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YLZB-G2018078-1</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lang w:eastAsia="zh-CN"/>
        </w:rPr>
        <w:t>许昌市中心医院“彩超（进口）等医疗设备采购项目”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Theme="majorEastAsia" w:hAnsiTheme="majorEastAsia" w:eastAsiaTheme="majorEastAsia" w:cstheme="majorEastAsia"/>
          <w:b/>
          <w:bCs/>
          <w:color w:val="auto"/>
          <w:sz w:val="36"/>
          <w:szCs w:val="36"/>
          <w:lang w:eastAsia="zh-CN"/>
        </w:rPr>
        <w:t>YLZB-G2018078-1</w:t>
      </w:r>
      <w:r>
        <w:rPr>
          <w:rFonts w:hint="eastAsia" w:asciiTheme="majorEastAsia" w:hAnsiTheme="majorEastAsia" w:eastAsiaTheme="majorEastAsia" w:cstheme="majorEastAsia"/>
          <w:b/>
          <w:bCs/>
          <w:color w:val="auto"/>
          <w:sz w:val="36"/>
          <w:szCs w:val="36"/>
        </w:rPr>
        <w:t>号</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eastAsia="zh-CN"/>
        </w:rPr>
        <w:t>许昌市中心医院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一</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2"/>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许昌市中心医院“彩超（进口）等医疗设备采购项目”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w:t>
      </w:r>
      <w:r>
        <w:rPr>
          <w:rFonts w:hint="eastAsia" w:cs="仿宋_GB2312" w:asciiTheme="minorEastAsia" w:hAnsiTheme="minorEastAsia" w:eastAsiaTheme="minorEastAsia"/>
          <w:color w:val="auto"/>
          <w:shd w:val="clear" w:color="auto" w:fill="FFFFFF"/>
          <w:lang w:eastAsia="zh-CN"/>
        </w:rPr>
        <w:t>YLZB-G2018078-1</w:t>
      </w:r>
      <w:r>
        <w:rPr>
          <w:rFonts w:hint="eastAsia" w:cs="仿宋_GB2312" w:asciiTheme="minorEastAsia" w:hAnsiTheme="minorEastAsia" w:eastAsiaTheme="minorEastAsia"/>
          <w:color w:val="auto"/>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cs="仿宋_GB2312" w:asciiTheme="minorEastAsia" w:hAnsiTheme="minorEastAsia" w:eastAsiaTheme="minorEastAsia"/>
          <w:color w:val="auto"/>
          <w:shd w:val="clear" w:color="auto" w:fill="FFFFFF"/>
          <w:lang w:eastAsia="zh-CN"/>
        </w:rPr>
        <w:t>彩超（进口）</w:t>
      </w:r>
      <w:r>
        <w:rPr>
          <w:rFonts w:hint="eastAsia" w:cs="仿宋_GB2312" w:asciiTheme="minorEastAsia" w:hAnsiTheme="minorEastAsia" w:eastAsiaTheme="minorEastAsia"/>
          <w:color w:val="auto"/>
          <w:shd w:val="clear" w:color="auto" w:fill="FFFFFF"/>
          <w:lang w:val="en-US" w:eastAsia="zh-CN"/>
        </w:rPr>
        <w:t>3台，全温控监测智能化血浆解冻仪（国产）1台</w:t>
      </w:r>
      <w:r>
        <w:rPr>
          <w:rFonts w:hint="eastAsia" w:cs="仿宋_GB2312" w:asciiTheme="minorEastAsia" w:hAnsiTheme="minorEastAsia" w:eastAsiaTheme="minorEastAsia"/>
          <w:color w:val="auto"/>
          <w:shd w:val="clear" w:color="auto" w:fill="FFFFFF"/>
        </w:rPr>
        <w:t>（具体详见招标文件）。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（五）标包划分：</w:t>
      </w:r>
      <w:r>
        <w:rPr>
          <w:rFonts w:hint="eastAsia" w:cs="仿宋_GB2312" w:asciiTheme="minorEastAsia" w:hAnsiTheme="minorEastAsia" w:eastAsiaTheme="minorEastAsia"/>
          <w:color w:val="auto"/>
          <w:shd w:val="clear" w:color="auto" w:fill="FFFFFF"/>
          <w:lang w:eastAsia="zh-CN"/>
        </w:rPr>
        <w:t>本项目共设两个包，A包彩超（进口）3台；B包全温控监测智能化血浆解冻仪（国产）1台</w:t>
      </w:r>
      <w:bookmarkStart w:id="23" w:name="_GoBack"/>
      <w:bookmarkEnd w:id="23"/>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（六）预算金额：</w:t>
      </w:r>
      <w:r>
        <w:rPr>
          <w:rFonts w:hint="eastAsia" w:cs="仿宋_GB2312" w:asciiTheme="minorEastAsia" w:hAnsiTheme="minorEastAsia" w:eastAsiaTheme="minorEastAsia"/>
          <w:color w:val="auto"/>
          <w:shd w:val="clear" w:color="auto" w:fill="FFFFFF"/>
          <w:lang w:val="en-US" w:eastAsia="zh-CN"/>
        </w:rPr>
        <w:t>A包：430万元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430万元；B包：16万元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16万元</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（八）交付地点：</w:t>
      </w:r>
      <w:r>
        <w:rPr>
          <w:rFonts w:hint="eastAsia" w:cs="仿宋_GB2312" w:asciiTheme="minorEastAsia" w:hAnsiTheme="minorEastAsia" w:eastAsiaTheme="minorEastAsia"/>
          <w:color w:val="auto"/>
          <w:shd w:val="clear" w:color="auto" w:fill="FFFFFF"/>
          <w:lang w:eastAsia="zh-CN"/>
        </w:rPr>
        <w:t>许昌市中心医院</w:t>
      </w:r>
      <w:r>
        <w:rPr>
          <w:rFonts w:hint="eastAsia" w:cs="仿宋_GB2312" w:asciiTheme="minorEastAsia" w:hAnsiTheme="minorEastAsia" w:eastAsiaTheme="minorEastAsia"/>
          <w:color w:val="auto"/>
          <w:shd w:val="clear" w:color="auto" w:fill="FFFFFF"/>
        </w:rPr>
        <w:t>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（九）进口产品：</w:t>
      </w:r>
      <w:r>
        <w:rPr>
          <w:rFonts w:hint="eastAsia" w:cs="仿宋_GB2312" w:asciiTheme="minorEastAsia" w:hAnsiTheme="minorEastAsia" w:eastAsiaTheme="minorEastAsia"/>
          <w:color w:val="auto"/>
          <w:shd w:val="clear" w:color="auto" w:fill="FFFFFF"/>
          <w:lang w:val="en-US" w:eastAsia="zh-CN"/>
        </w:rPr>
        <w:t>A包允许；B包不允许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（二）</w:t>
      </w:r>
      <w:r>
        <w:rPr>
          <w:rFonts w:hint="eastAsia" w:cs="仿宋_GB2312" w:asciiTheme="minorEastAsia" w:hAnsiTheme="minorEastAsia" w:eastAsiaTheme="minorEastAsia"/>
          <w:color w:val="auto"/>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eastAsiaTheme="minorEastAsia"/>
          <w:color w:val="auto"/>
          <w:shd w:val="clear" w:color="auto" w:fill="FFFFFF"/>
        </w:rPr>
        <w:t>；所投设备如为进口产品的，须具备《中华人民共和国医疗器械注册证》并加盖投标人公章的原件扫描件或复印件扫描件（或图片）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hint="eastAsia"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w:t>
      </w:r>
      <w:r>
        <w:rPr>
          <w:rFonts w:hint="eastAsia" w:cs="仿宋_GB2312" w:asciiTheme="minorEastAsia" w:hAnsiTheme="minorEastAsia" w:eastAsiaTheme="minorEastAsia"/>
          <w:color w:val="auto"/>
          <w:lang w:eastAsia="zh-CN"/>
        </w:rPr>
        <w:t>2019</w:t>
      </w:r>
      <w:r>
        <w:rPr>
          <w:rFonts w:hint="eastAsia" w:cs="仿宋_GB2312" w:asciiTheme="minorEastAsia" w:hAnsiTheme="minorEastAsia" w:eastAsiaTheme="minorEastAsia"/>
          <w:color w:val="auto"/>
        </w:rPr>
        <w:t>年</w:t>
      </w:r>
      <w:r>
        <w:rPr>
          <w:rFonts w:hint="eastAsia" w:cs="仿宋_GB2312" w:asciiTheme="minorEastAsia" w:hAnsiTheme="minorEastAsia" w:eastAsiaTheme="minorEastAsia"/>
          <w:color w:val="auto"/>
          <w:u w:val="single"/>
          <w:lang w:val="en-US" w:eastAsia="zh-CN"/>
        </w:rPr>
        <w:t>1</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29</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三</w:t>
      </w:r>
      <w:r>
        <w:rPr>
          <w:rFonts w:hint="eastAsia" w:cs="仿宋_GB2312" w:asciiTheme="minorEastAsia" w:hAnsiTheme="minorEastAsia" w:eastAsiaTheme="minorEastAsia"/>
          <w:color w:val="auto"/>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采购人：</w:t>
      </w:r>
      <w:r>
        <w:rPr>
          <w:rFonts w:hint="eastAsia" w:cs="仿宋_GB2312" w:asciiTheme="minorEastAsia" w:hAnsiTheme="minorEastAsia" w:eastAsiaTheme="minorEastAsia"/>
          <w:color w:val="auto"/>
          <w:lang w:eastAsia="zh-CN"/>
        </w:rPr>
        <w:t>许昌市中心医院</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地  址：</w:t>
      </w:r>
      <w:r>
        <w:rPr>
          <w:rFonts w:hint="eastAsia" w:cs="仿宋_GB2312" w:asciiTheme="minorEastAsia" w:hAnsiTheme="minorEastAsia" w:eastAsiaTheme="minorEastAsia"/>
          <w:color w:val="auto"/>
          <w:lang w:eastAsia="zh-CN"/>
        </w:rPr>
        <w:t>许昌市华佗路30号</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李岩</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13137431907</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代理机构：</w:t>
      </w:r>
      <w:r>
        <w:rPr>
          <w:rFonts w:hint="eastAsia" w:cs="仿宋_GB2312" w:asciiTheme="minorEastAsia" w:hAnsiTheme="minorEastAsia" w:eastAsiaTheme="minorEastAsia"/>
          <w:color w:val="auto"/>
          <w:lang w:eastAsia="zh-CN"/>
        </w:rPr>
        <w:t>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w:t>
      </w:r>
      <w:r>
        <w:rPr>
          <w:rFonts w:hint="eastAsia" w:cs="仿宋_GB2312" w:asciiTheme="minorEastAsia" w:hAnsiTheme="minorEastAsia" w:eastAsiaTheme="minorEastAsia"/>
          <w:color w:val="auto"/>
          <w:lang w:val="en-US" w:eastAsia="zh-CN"/>
        </w:rPr>
        <w:t>77号</w:t>
      </w:r>
      <w:r>
        <w:rPr>
          <w:rFonts w:hint="eastAsia" w:cs="仿宋_GB2312" w:asciiTheme="minorEastAsia" w:hAnsiTheme="minorEastAsia" w:eastAsiaTheme="minorEastAsia"/>
          <w:color w:val="auto"/>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王晓亚</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13703747866</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许昌市中心医院</w:t>
      </w:r>
    </w:p>
    <w:p>
      <w:pPr>
        <w:autoSpaceDE w:val="0"/>
        <w:autoSpaceDN w:val="0"/>
        <w:adjustRightInd w:val="0"/>
        <w:spacing w:line="700" w:lineRule="exact"/>
        <w:ind w:firstLine="560"/>
        <w:rPr>
          <w:rFonts w:hAnsi="宋体"/>
          <w:b/>
          <w:color w:val="auto"/>
          <w:sz w:val="28"/>
          <w:szCs w:val="28"/>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2019</w:t>
      </w:r>
      <w:r>
        <w:rPr>
          <w:rFonts w:hint="eastAsia" w:cs="仿宋_GB2312" w:asciiTheme="minorEastAsia" w:hAnsiTheme="minorEastAsia"/>
          <w:color w:val="auto"/>
          <w:sz w:val="24"/>
          <w:szCs w:val="24"/>
        </w:rPr>
        <w:t>年</w:t>
      </w: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彩超（进口）3台，全温控监测智能化血浆解冻仪（国产）1台</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A包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t>彩色多普勒超声波诊断仪</w:t>
            </w:r>
            <w:r>
              <w:rPr>
                <w:rFonts w:hint="eastAsia" w:ascii="宋体" w:hAnsi="宋体" w:eastAsia="宋体" w:cs="宋体"/>
                <w:i w:val="0"/>
                <w:color w:val="000000"/>
                <w:kern w:val="0"/>
                <w:sz w:val="21"/>
                <w:szCs w:val="21"/>
                <w:u w:val="none"/>
                <w:lang w:val="en-US" w:eastAsia="zh-CN" w:bidi="ar"/>
              </w:rPr>
              <w:t>（进口）</w:t>
            </w:r>
          </w:p>
        </w:tc>
        <w:tc>
          <w:tcPr>
            <w:tcW w:w="6737" w:type="dxa"/>
            <w:vAlign w:val="center"/>
          </w:tcPr>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1、设备需适用于心脏、腹部、妇产科、泌尿科、浅表组织与小器官、外周血管、儿科、术中、介入诊断和治疗及临床学术研究。</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2、需具有≥21英寸高分辨率液晶显示器, 可全方位旋转和前后折叠，显示器扫描方式需为逐行扫描，并需具有可调节高度和旋转移动的操作控制台。</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3、需具有脉冲优化处理技术。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4、需具有自适应增益补偿技术。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5、需具有解剖M型技术,可360度任意旋转M型取样线角度进行测量。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6、需具有脉冲反向谐波成像单元。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7、需具有彩色多普勒成像技术。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8、需具有自适应宽频带彩色多普勒成像技术。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9、需具有彩色多普勒能量图技术。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10、需具有方向性能量图技术。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11、需具有数字化频谱多普勒显示和分析单元 (包括 PW 、CW和 HPRF)。</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12、动态范围需≥280dB。</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13、数字化通道需≥4,000,000。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14、需具有智能化一键图像优化技术，可自适应调整图像的增益等参数获取最佳图像。</w:t>
            </w:r>
          </w:p>
          <w:p>
            <w:pPr>
              <w:overflowPunct w:val="0"/>
              <w:autoSpaceDE w:val="0"/>
              <w:autoSpaceDN w:val="0"/>
              <w:adjustRightInd w:val="0"/>
              <w:spacing w:after="0" w:line="240" w:lineRule="auto"/>
              <w:jc w:val="both"/>
              <w:textAlignment w:val="baseline"/>
              <w:rPr>
                <w:rFonts w:hint="eastAsia" w:ascii="宋体" w:hAnsi="宋体" w:eastAsia="宋体" w:cs="宋体"/>
                <w:color w:val="FF0000"/>
                <w:sz w:val="21"/>
                <w:szCs w:val="21"/>
              </w:rPr>
            </w:pPr>
            <w:r>
              <w:rPr>
                <w:rFonts w:hint="eastAsia" w:ascii="宋体" w:hAnsi="宋体" w:eastAsia="宋体" w:cs="宋体"/>
                <w:sz w:val="21"/>
                <w:szCs w:val="21"/>
              </w:rPr>
              <w:t>15、需具有组织谐波成像技术，需可用于全部探头，频率可视可调，具体中心频率数值可显示。</w:t>
            </w:r>
            <w:bookmarkStart w:id="1" w:name="_Hlk497765221"/>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16、需具有斑点噪音抑制技术，可支持所有探头，可多级调节, 可支持3D/4D和CFM/PDI。</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17、需具有宽景成像以及造影</w:t>
            </w:r>
            <w:bookmarkEnd w:id="1"/>
            <w:bookmarkStart w:id="2" w:name="_Hlk512286603"/>
            <w:bookmarkStart w:id="3" w:name="_Hlk497765431"/>
            <w:r>
              <w:rPr>
                <w:rFonts w:hint="eastAsia" w:ascii="宋体" w:hAnsi="宋体" w:eastAsia="宋体" w:cs="宋体"/>
                <w:sz w:val="21"/>
                <w:szCs w:val="21"/>
              </w:rPr>
              <w:t>空间复合成像技术，可用于所有凸阵、线阵和容积探头，具有焦点、线密度、帧平均等多种参数可调</w:t>
            </w:r>
            <w:bookmarkEnd w:id="2"/>
            <w:bookmarkEnd w:id="3"/>
            <w:r>
              <w:rPr>
                <w:rFonts w:hint="eastAsia" w:ascii="宋体" w:hAnsi="宋体" w:eastAsia="宋体" w:cs="宋体"/>
                <w:sz w:val="21"/>
                <w:szCs w:val="21"/>
              </w:rPr>
              <w:t>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18、需具有造影成像技术，包含谐波造影模式和基波造影模式</w:t>
            </w:r>
            <w:bookmarkStart w:id="4" w:name="_Hlk497765899"/>
            <w:r>
              <w:rPr>
                <w:rFonts w:hint="eastAsia" w:ascii="宋体" w:hAnsi="宋体" w:eastAsia="宋体" w:cs="宋体"/>
                <w:sz w:val="21"/>
                <w:szCs w:val="21"/>
              </w:rPr>
              <w:t>，B型图与造影图像需可实时同屏双幅显示，同屏双幅造影可带双穿刺引导线，可同屏双幅同时测量</w:t>
            </w:r>
            <w:bookmarkEnd w:id="4"/>
            <w:r>
              <w:rPr>
                <w:rFonts w:hint="eastAsia" w:ascii="宋体" w:hAnsi="宋体" w:eastAsia="宋体" w:cs="宋体"/>
                <w:sz w:val="21"/>
                <w:szCs w:val="21"/>
              </w:rPr>
              <w:t>。</w:t>
            </w:r>
          </w:p>
          <w:p>
            <w:pPr>
              <w:spacing w:after="0" w:line="240" w:lineRule="auto"/>
              <w:jc w:val="both"/>
              <w:rPr>
                <w:rFonts w:hint="eastAsia" w:ascii="宋体" w:hAnsi="宋体" w:eastAsia="宋体" w:cs="宋体"/>
                <w:color w:val="FF0000"/>
                <w:sz w:val="21"/>
                <w:szCs w:val="21"/>
              </w:rPr>
            </w:pPr>
            <w:bookmarkStart w:id="5" w:name="_Hlk497765952"/>
            <w:r>
              <w:rPr>
                <w:rFonts w:hint="eastAsia" w:ascii="宋体" w:hAnsi="宋体" w:eastAsia="宋体" w:cs="宋体"/>
                <w:sz w:val="21"/>
                <w:szCs w:val="21"/>
              </w:rPr>
              <w:t>19、需支持造影剂二次注射，具有1个独立造影计时器</w:t>
            </w:r>
            <w:bookmarkEnd w:id="5"/>
            <w:r>
              <w:rPr>
                <w:rFonts w:hint="eastAsia" w:ascii="宋体" w:hAnsi="宋体" w:eastAsia="宋体" w:cs="宋体"/>
                <w:sz w:val="21"/>
                <w:szCs w:val="21"/>
              </w:rPr>
              <w:t>。</w:t>
            </w:r>
            <w:bookmarkStart w:id="6" w:name="_Hlk512286919"/>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20、造影功能需支持凸阵、线阵、腔内探头、面阵探头、凸阵容积探头、腔内容积探头</w:t>
            </w:r>
            <w:bookmarkEnd w:id="6"/>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21、需具有血管内中膜自动测量功能。</w:t>
            </w:r>
          </w:p>
          <w:p>
            <w:pPr>
              <w:pStyle w:val="39"/>
              <w:spacing w:after="0"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22、需具有精细血流自动识别成像功能，在非造影状态下可显示动脉硬化斑块等细微血流信息。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23、需具有剪切波弹性成像功能，</w:t>
            </w:r>
            <w:bookmarkStart w:id="7" w:name="_Hlk497766534"/>
            <w:r>
              <w:rPr>
                <w:rFonts w:hint="eastAsia" w:ascii="宋体" w:hAnsi="宋体" w:eastAsia="宋体" w:cs="宋体"/>
                <w:sz w:val="21"/>
                <w:szCs w:val="21"/>
              </w:rPr>
              <w:t>弹性成像功能可支持凸阵、线阵、腔内微凸探头</w:t>
            </w:r>
            <w:bookmarkEnd w:id="7"/>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bookmarkStart w:id="8" w:name="_Hlk497766659"/>
            <w:r>
              <w:rPr>
                <w:rFonts w:hint="eastAsia" w:ascii="宋体" w:hAnsi="宋体" w:eastAsia="宋体" w:cs="宋体"/>
                <w:sz w:val="21"/>
                <w:szCs w:val="21"/>
              </w:rPr>
              <w:t>24、需具有弹性量化分析功能，可实现动态弹性图定量分析，可同屏提供≥6个区域的硬度值和≥6个区域与参照区的硬度比，可同屏提供≥6条定量数据时间变化曲线</w:t>
            </w:r>
            <w:bookmarkEnd w:id="8"/>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bookmarkStart w:id="9" w:name="_Hlk497766707"/>
            <w:r>
              <w:rPr>
                <w:rFonts w:hint="eastAsia" w:ascii="宋体" w:hAnsi="宋体" w:eastAsia="宋体" w:cs="宋体"/>
                <w:sz w:val="21"/>
                <w:szCs w:val="21"/>
              </w:rPr>
              <w:t>25、需</w:t>
            </w:r>
            <w:r>
              <w:rPr>
                <w:rFonts w:hint="eastAsia" w:ascii="宋体" w:hAnsi="宋体" w:eastAsia="宋体" w:cs="宋体"/>
                <w:bCs/>
                <w:sz w:val="21"/>
                <w:szCs w:val="21"/>
              </w:rPr>
              <w:t>标配</w:t>
            </w:r>
            <w:r>
              <w:rPr>
                <w:rFonts w:hint="eastAsia" w:ascii="宋体" w:hAnsi="宋体" w:eastAsia="宋体" w:cs="宋体"/>
                <w:sz w:val="21"/>
                <w:szCs w:val="21"/>
              </w:rPr>
              <w:t>心脏相控阵探头，扫描角度需≥90°</w:t>
            </w:r>
            <w:bookmarkEnd w:id="9"/>
            <w:r>
              <w:rPr>
                <w:rFonts w:hint="eastAsia" w:ascii="宋体" w:hAnsi="宋体" w:eastAsia="宋体" w:cs="宋体"/>
                <w:sz w:val="21"/>
                <w:szCs w:val="21"/>
              </w:rPr>
              <w:t>。</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26、测量和分析参数要求：(B型、M型、频谱多普勒、彩色模式)</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（1）需具有距离、面积、周长等测量功能。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（2）产科测量功能需包括全面的产科径线测量、NT测量、单/双胎儿孕龄及生长曲线、羊水指数、新生儿髋关节角度等。</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（3）需具有外周血管测量和计算功能。</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（4）需具有多普勒血流测量与分析功能 (含自动多普勒频谱包络计算)。</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（5）需具有心脏功能测量功能。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27、设备需</w:t>
            </w:r>
            <w:r>
              <w:rPr>
                <w:rFonts w:hint="eastAsia" w:ascii="宋体" w:hAnsi="宋体" w:eastAsia="宋体" w:cs="宋体"/>
                <w:bCs/>
                <w:sz w:val="21"/>
                <w:szCs w:val="21"/>
              </w:rPr>
              <w:t>具有主机硬盘图像数据存储功能，</w:t>
            </w:r>
            <w:r>
              <w:rPr>
                <w:rFonts w:hint="eastAsia" w:ascii="宋体" w:hAnsi="宋体" w:eastAsia="宋体" w:cs="宋体"/>
                <w:sz w:val="21"/>
                <w:szCs w:val="21"/>
              </w:rPr>
              <w:t>内置硬盘存储需≥500G，并需具有DVD和USB图像存储功能，电影回放重现单元需&gt;1500帧。</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bCs/>
                <w:sz w:val="21"/>
                <w:szCs w:val="21"/>
              </w:rPr>
              <w:t>28、需具有</w:t>
            </w:r>
            <w:r>
              <w:rPr>
                <w:rFonts w:hint="eastAsia" w:ascii="宋体" w:hAnsi="宋体" w:eastAsia="宋体" w:cs="宋体"/>
                <w:sz w:val="21"/>
                <w:szCs w:val="21"/>
              </w:rPr>
              <w:t>超声图像存档与病案管理</w:t>
            </w:r>
            <w:r>
              <w:rPr>
                <w:rFonts w:hint="eastAsia" w:ascii="宋体" w:hAnsi="宋体" w:eastAsia="宋体" w:cs="宋体"/>
                <w:bCs/>
                <w:sz w:val="21"/>
                <w:szCs w:val="21"/>
              </w:rPr>
              <w:t>功能，可实现病人资料、报告、图像等的存储、修改、检索和打印等。</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29、需具有DICOM3.0数据接口。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30、需具有≥4个探头接口。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31、需配备凸阵探头、超高频电子线阵探头、相控阵探头、经直肠探头、小儿相控阵探头各1把。</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32、探头频率需为宽频变频型探头，可实现二维、彩色、多普勒频率独立可调。</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33、探头工作频率范围需1—16MHz之间可选，显示频率最高需≥16MHz。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34、B/D兼用：线阵需B/PWD；凸阵需B/PWD。</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35、探头需配穿刺导向装置。</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36、二维灰阶显像参数要求：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（1）凸阵探头：超声频率2.0—6.0 MHz，支持造影、剪切波弹性功能。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（2）超高频电子线阵探头：超声频率8—18MHz，支持造影、弹性成像功能。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（3）电子相控阵探头1：超声频率2—5MHz。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（4）电子相控阵探头2：超声频率3.0—6.0MHz。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（5）经直肠探头：超声频率6—10MHz，支持造影、弹性成像功能。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（6）凸阵探头需为全视野，18cm深度时帧速率需≥36帧/秒。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（7）相控阵探头需为90度开角，18cm深度时帧速率需≥60帧/秒。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（8）心脏探头扫描角度需≥90°。</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（9）灰阶图像回放需≥2500幅，回放时间需≥100秒。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（10）增益调节需B/M可独立调节，STC分段需≥8。</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（11）扫描深度需≥30cm。</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37、频谱多普勒参数要求：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（1）需具有脉冲多普勒 (PWD)、高脉冲重复频率 (HPRF)和连续波多普勒（CW）模式。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（2）显示方式需具有B/D、M/D、D、B/CDV。</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（3）最大测量速度需为PWD血流速度≥ 6.0 m/s（0度夹角）和CWD血流速度≥10.0m/s。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（4）最低测量速度需为≤ 0.25mm/s。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（5）Doppler及M型电影回放需≥60 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（6）需具有高通滤波或低通滤波两种滤波器，可分级选择。</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（7）取样宽度需 0.5mm至15mm多级可调。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（8）零位移动需≥ 8级。</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（9）显示控制需具有反转显示 (上/下)、零移位、B-刷新、D 扩展、B/D 扩展、局放及移位。</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（10）需具有实时自动包络频谱并完成频谱测量计算功能。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38、彩色多普勒</w:t>
            </w:r>
            <w:r>
              <w:rPr>
                <w:rFonts w:hint="eastAsia" w:ascii="宋体" w:hAnsi="宋体" w:eastAsia="宋体" w:cs="宋体"/>
                <w:bCs/>
                <w:sz w:val="21"/>
                <w:szCs w:val="21"/>
              </w:rPr>
              <w:t>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（1）显示方式需具有速度方差显示、能量显示，速度显示、方差显示。</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（2）需具有双同步 / 三同步显示(B/D/CDV)功能。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（3）凸阵探头需为全视野，18cm深时彩色显示帧频需≥10帧/秒。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（4）相控阵探头需为90度开角，18cm深度彩色显示帧频需≥11帧/秒。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（5）线阵扫描的图像显示位置调整范围需为-20°～ +20°。</w:t>
            </w:r>
          </w:p>
          <w:p>
            <w:pPr>
              <w:spacing w:after="0" w:line="240" w:lineRule="auto"/>
              <w:jc w:val="both"/>
              <w:rPr>
                <w:rFonts w:hint="eastAsia" w:ascii="宋体" w:hAnsi="宋体" w:eastAsia="宋体" w:cs="宋体"/>
                <w:sz w:val="21"/>
                <w:szCs w:val="21"/>
              </w:rPr>
            </w:pPr>
            <w:r>
              <w:rPr>
                <w:rFonts w:hint="eastAsia" w:ascii="宋体" w:hAnsi="宋体" w:eastAsia="宋体" w:cs="宋体"/>
                <w:bCs/>
                <w:sz w:val="21"/>
                <w:szCs w:val="21"/>
              </w:rPr>
              <w:t>39、需配备</w:t>
            </w:r>
            <w:r>
              <w:rPr>
                <w:rFonts w:hint="eastAsia" w:ascii="宋体" w:hAnsi="宋体" w:eastAsia="宋体" w:cs="宋体"/>
                <w:sz w:val="21"/>
                <w:szCs w:val="21"/>
              </w:rPr>
              <w:t>网络版蓝韵超声报告工作站1套，含计算机、打印机、不间断电源及电脑桌、电脑椅办公家具，并需负责与医院在用PACS系统数据对接。</w:t>
            </w:r>
          </w:p>
          <w:p>
            <w:pPr>
              <w:spacing w:line="360" w:lineRule="auto"/>
              <w:jc w:val="left"/>
              <w:rPr>
                <w:rFonts w:hint="eastAsia" w:ascii="宋体" w:hAnsi="宋体" w:eastAsia="宋体" w:cs="宋体"/>
                <w:color w:val="auto"/>
                <w:sz w:val="21"/>
                <w:szCs w:val="21"/>
              </w:rPr>
            </w:pPr>
            <w:r>
              <w:rPr>
                <w:rFonts w:hint="eastAsia" w:ascii="宋体" w:hAnsi="宋体" w:eastAsia="宋体" w:cs="宋体"/>
                <w:kern w:val="0"/>
                <w:sz w:val="21"/>
                <w:szCs w:val="21"/>
              </w:rPr>
              <w:t>40、整套设备自验收合格之日起原厂保修期不低于两年。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t>彩色多普勒超声波诊断仪</w:t>
            </w:r>
            <w:r>
              <w:rPr>
                <w:rFonts w:hint="eastAsia" w:ascii="宋体" w:hAnsi="宋体" w:eastAsia="宋体" w:cs="宋体"/>
                <w:sz w:val="21"/>
                <w:szCs w:val="21"/>
                <w:lang w:eastAsia="zh-CN"/>
              </w:rPr>
              <w:t>（进口）</w:t>
            </w:r>
          </w:p>
        </w:tc>
        <w:tc>
          <w:tcPr>
            <w:tcW w:w="6737" w:type="dxa"/>
            <w:vAlign w:val="center"/>
          </w:tcPr>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1、设备需适用于心脏、腹部、妇产科、泌尿科、浅表组织与小器官、外周血管、儿科、术中、介入诊断和治疗及临床学术研究。</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2、需具有≥21英寸高分辨率液晶显示器, 可全方位旋转和前后折叠，显示器扫描方式需为逐行扫描，并需具有可调节高度和旋转移动的操作控制台。</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3、需具有脉冲优化处理技术。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4、需具有自适应增益补偿技术。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5、需具有解剖M型技术,可360度任意旋转M型取样线角度进行测量。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6、需具有脉冲反向谐波成像单元。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7、需具有彩色多普勒成像技术。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8、需具有自适应宽频带彩色多普勒成像技术。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9、需具有彩色多普勒能量图技术。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10、需具有方向性能量图技术。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11、需具有数字化频谱多普勒显示和分析单元 (包括 PW 、CW和 HPRF)。</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12、动态范围需≥280dB。</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13、数字化通道需≥4,000,000。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14、需具有智能化一键图像优化技术，可自适应调整图像的增益等参数获取最佳图像。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15、需具有组织谐波成像技术，需可用于全部探头，频率可视可调，具体中心频率数值可显示。</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16、需具有斑点噪音抑制技术，可支持所有探头，可多级调节, 可支持3D/4D和CFM/PDI。</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17、需具有宽景成像以及造影空间复合成像技术，可用于所有凸阵、线阵和容积探头，具有焦点、线密度、帧平均等多种参数可调功能。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18、需具有造影成像技术，包含谐波造影模式和基波造影模式，B型图与造影图像需可实时同屏双幅显示，同屏双幅造影可带双穿刺引导线，可同屏双幅同时测量。</w:t>
            </w:r>
          </w:p>
          <w:p>
            <w:pPr>
              <w:spacing w:after="0" w:line="240" w:lineRule="auto"/>
              <w:jc w:val="both"/>
              <w:rPr>
                <w:rFonts w:hint="eastAsia" w:ascii="宋体" w:hAnsi="宋体" w:eastAsia="宋体" w:cs="宋体"/>
                <w:color w:val="FF0000"/>
                <w:sz w:val="21"/>
                <w:szCs w:val="21"/>
              </w:rPr>
            </w:pPr>
            <w:r>
              <w:rPr>
                <w:rFonts w:hint="eastAsia" w:ascii="宋体" w:hAnsi="宋体" w:eastAsia="宋体" w:cs="宋体"/>
                <w:sz w:val="21"/>
                <w:szCs w:val="21"/>
              </w:rPr>
              <w:t>19、需支持造影剂二次注射，具有1个独立造影计时器。</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20、造影功能需支持凸阵、线阵、腔内探头、面阵探头、凸阵容积探头、腔内容积探头。</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21、需具有血管内中膜自动测量功能。</w:t>
            </w:r>
          </w:p>
          <w:p>
            <w:pPr>
              <w:pStyle w:val="39"/>
              <w:spacing w:after="0"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22、需具有精细血流自动识别成像功能，在非造影状态下可显示动脉硬化斑块等细微血流信息。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23、需具有剪切波弹性成像功能，弹性成像功能可支持凸阵、线阵、腔内微凸探头。</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24、需具有弹性量化分析功能，可实现动态弹性图定量分析，可同屏提供≥6个区域的硬度值和≥6个区域与参照区的硬度比，可同屏提供≥6条定量数据时间变化曲线。</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25、需</w:t>
            </w:r>
            <w:r>
              <w:rPr>
                <w:rFonts w:hint="eastAsia" w:ascii="宋体" w:hAnsi="宋体" w:eastAsia="宋体" w:cs="宋体"/>
                <w:bCs/>
                <w:sz w:val="21"/>
                <w:szCs w:val="21"/>
              </w:rPr>
              <w:t>标配</w:t>
            </w:r>
            <w:r>
              <w:rPr>
                <w:rFonts w:hint="eastAsia" w:ascii="宋体" w:hAnsi="宋体" w:eastAsia="宋体" w:cs="宋体"/>
                <w:sz w:val="21"/>
                <w:szCs w:val="21"/>
              </w:rPr>
              <w:t>心脏相控阵探头，扫描角度需≥90°。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26、测量和分析参数要求：(B型、M型、频谱多普勒、彩色模式)</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（1）需具有距离、面积、周长等测量功能。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（2）产科测量功能需包括全面的产科径线测量、NT测量、单/双胎儿孕龄及生长曲线、羊水指数、新生儿髋关节角度等。</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（3）需具有外周血管测量和计算功能。</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（4）需具有多普勒血流测量与分析功能 (含自动多普勒频谱包络计算)。</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（5）需具有心脏功能测量功能。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27、设备需</w:t>
            </w:r>
            <w:r>
              <w:rPr>
                <w:rFonts w:hint="eastAsia" w:ascii="宋体" w:hAnsi="宋体" w:eastAsia="宋体" w:cs="宋体"/>
                <w:bCs/>
                <w:sz w:val="21"/>
                <w:szCs w:val="21"/>
              </w:rPr>
              <w:t>具有主机硬盘图像数据存储功能，</w:t>
            </w:r>
            <w:r>
              <w:rPr>
                <w:rFonts w:hint="eastAsia" w:ascii="宋体" w:hAnsi="宋体" w:eastAsia="宋体" w:cs="宋体"/>
                <w:sz w:val="21"/>
                <w:szCs w:val="21"/>
              </w:rPr>
              <w:t>内置硬盘存储需≥500G，并需具有DVD和USB图像存储功能，电影回放重现单元需&gt;1500帧。</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bCs/>
                <w:sz w:val="21"/>
                <w:szCs w:val="21"/>
              </w:rPr>
              <w:t>28、需具有</w:t>
            </w:r>
            <w:r>
              <w:rPr>
                <w:rFonts w:hint="eastAsia" w:ascii="宋体" w:hAnsi="宋体" w:eastAsia="宋体" w:cs="宋体"/>
                <w:sz w:val="21"/>
                <w:szCs w:val="21"/>
              </w:rPr>
              <w:t>超声图像存档与病案管理</w:t>
            </w:r>
            <w:r>
              <w:rPr>
                <w:rFonts w:hint="eastAsia" w:ascii="宋体" w:hAnsi="宋体" w:eastAsia="宋体" w:cs="宋体"/>
                <w:bCs/>
                <w:sz w:val="21"/>
                <w:szCs w:val="21"/>
              </w:rPr>
              <w:t>功能，可实现病人资料、报告、图像等的存储、修改、检索和打印等。</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29、需具有DICOM3.0数据接口。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30、需具有≥4个探头接口。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31、需配备凸阵探头、电子线阵探头、成人相控阵探头、经阴道探头各1把。</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32、探头频率需为宽频变频型探头，可实现二维、彩色、多普勒频率独立可调。</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33、探头工作频率范围需1—16MHz之间可选，显示频率最高需≥16MHz。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34、B/D兼用：线阵需B/PWD；凸阵需B/PWD。</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35、探头需配穿刺导向装置。</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36、二维灰阶显像参数要求：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（1）凸阵探头：超声频率1—5 MHz，支持造影、剪切波弹性功能。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（2）高频电子线阵探头：超声频率5—12MHz，支持造影、弹性成像功能。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（3）电子经阴道探头：超声频率6—10MHz，支持造影、弹性成像功能。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（4）凸阵探头需为全视野，18cm深度时帧速率需≥36帧/秒。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（5）相控阵探头：超声频率2—5MHz，需为90度开角，18cm深度时帧速率需≥60帧/秒。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（6）灰阶图像回放需≥2500幅，回放时间需≥100秒。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（7）增益调节需B/M可独立调节，STC分段需≥8。</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（8）扫描深度需≥30cm。</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37、频谱多普勒参数要求：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（1）需具有脉冲多普勒 (PWD)、高脉冲重复频率 (HPRF)和连续波多普勒（CW）模式。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（2）显示方式需具有B/D、M/D、D、B/CDV。</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（3）最大测量速度需为PWD血流速度≥ 6.0 m/s（0度夹角）和CWD血流速度≥10.0m/s。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（4）最低测量速度需为≤ 0.25mm/s。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（5）Doppler及M型电影回放需≥60 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（6）需具有高通滤波或低通滤波两种滤波器，可分级选择。</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（7）取样宽度需 0.5mm至15mm多级可调。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（8）零位移动需≥ 8级。</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（9）显示控制需具有反转显示 (上/下)、零移位、B-刷新、D 扩展、B/D 扩展、局放及移位。</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（10）需具有实时自动包络频谱并完成频谱测量计算功能。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38、彩色多普勒</w:t>
            </w:r>
            <w:r>
              <w:rPr>
                <w:rFonts w:hint="eastAsia" w:ascii="宋体" w:hAnsi="宋体" w:eastAsia="宋体" w:cs="宋体"/>
                <w:bCs/>
                <w:sz w:val="21"/>
                <w:szCs w:val="21"/>
              </w:rPr>
              <w:t>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（1）显示方式需具有速度方差显示、能量显示，速度显示、方差显示。</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（2）需具有双同步 / 三同步显示(B/D/CDV)功能。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（3）凸阵探头需为全视野，18cm深时彩色显示帧频需≥10帧/秒。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（4）相控阵探头需为90度开角，18cm深度彩色显示帧频需≥11帧/秒。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（5）线阵扫描的图像显示位置调整范围需为-20°～ +20°。</w:t>
            </w:r>
          </w:p>
          <w:p>
            <w:pPr>
              <w:spacing w:after="0" w:line="240" w:lineRule="auto"/>
              <w:jc w:val="both"/>
              <w:rPr>
                <w:rFonts w:hint="eastAsia" w:ascii="宋体" w:hAnsi="宋体" w:eastAsia="宋体" w:cs="宋体"/>
                <w:sz w:val="21"/>
                <w:szCs w:val="21"/>
              </w:rPr>
            </w:pPr>
            <w:r>
              <w:rPr>
                <w:rFonts w:hint="eastAsia" w:ascii="宋体" w:hAnsi="宋体" w:eastAsia="宋体" w:cs="宋体"/>
                <w:bCs/>
                <w:sz w:val="21"/>
                <w:szCs w:val="21"/>
              </w:rPr>
              <w:t>39、需配备</w:t>
            </w:r>
            <w:r>
              <w:rPr>
                <w:rFonts w:hint="eastAsia" w:ascii="宋体" w:hAnsi="宋体" w:eastAsia="宋体" w:cs="宋体"/>
                <w:sz w:val="21"/>
                <w:szCs w:val="21"/>
              </w:rPr>
              <w:t>网络版蓝韵超声报告工作站1套，含计算机、打印机、不间断电源及电脑桌、电脑椅办公家具，并需负责与医院在用PACS系统数据对接。</w:t>
            </w:r>
          </w:p>
          <w:p>
            <w:pPr>
              <w:pStyle w:val="57"/>
              <w:ind w:firstLine="0" w:firstLineChars="0"/>
              <w:rPr>
                <w:rFonts w:hint="eastAsia" w:ascii="宋体" w:hAnsi="宋体" w:eastAsia="宋体" w:cs="宋体"/>
                <w:color w:val="auto"/>
                <w:sz w:val="21"/>
                <w:szCs w:val="21"/>
              </w:rPr>
            </w:pPr>
            <w:r>
              <w:rPr>
                <w:rFonts w:hint="eastAsia" w:ascii="宋体" w:hAnsi="宋体" w:eastAsia="宋体" w:cs="宋体"/>
                <w:kern w:val="0"/>
                <w:sz w:val="21"/>
                <w:szCs w:val="21"/>
              </w:rPr>
              <w:t>40、整套设备自验收合格之日起原厂保修期不低于两年。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kern w:val="0"/>
                <w:sz w:val="21"/>
                <w:szCs w:val="21"/>
              </w:rPr>
              <w:t>便携式彩色多普勒超声波诊断仪</w:t>
            </w:r>
            <w:r>
              <w:rPr>
                <w:rFonts w:hint="eastAsia" w:ascii="宋体" w:hAnsi="宋体" w:eastAsia="宋体" w:cs="宋体"/>
                <w:kern w:val="0"/>
                <w:sz w:val="21"/>
                <w:szCs w:val="21"/>
                <w:lang w:eastAsia="zh-CN"/>
              </w:rPr>
              <w:t>（进口）</w:t>
            </w:r>
          </w:p>
        </w:tc>
        <w:tc>
          <w:tcPr>
            <w:tcW w:w="6737" w:type="dxa"/>
            <w:vAlign w:val="center"/>
          </w:tcPr>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1、设备需适用于颅脑、心脏、腹部、妇科、产科、浅表组织、周围血管介入性超声引导等全身应用。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2、需具有≥15英寸高清晰医用彩色液晶显示器。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3、需具有全数字高集成宽频带声束形成器。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4、动态范围需≥150dB，并需可视可调。</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5、需具有实时自动优化功能。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6、需具有高帧频实时解剖M型功能，360度范围内可调。</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7、需具有实时双幅对比显像功能。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8、需具有自适应多普勒技术。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9、需具有自动多普勒分析功能。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10、需具有组织谐波成像模式。</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11、需具有空间复合成像功能。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12、需具有斑点抑制成像功能。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13、需具有频率复合成像功能。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14、需具有超宽频带血流显像技术。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15、需具有自适应彩色多普勒技术。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16、需具有智能优化彩色血流技术。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17、需具有高帧频彩色和脉冲波组织多普勒成像功能。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18、需具有彩色多普勒成像功能，包括彩色、能量、方向能量多普勒模式。</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19、需具有超宽动态血流技术。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20、需具有频谱多普勒成像功能，包括脉冲多普勒、高脉冲重复频率、连续波多普勒。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21、需具有低机械指数造影模式，具备微血管造影成像功能，支持线阵探头、凸阵探头造影成像。</w:t>
            </w:r>
          </w:p>
          <w:p>
            <w:pPr>
              <w:pStyle w:val="57"/>
              <w:ind w:firstLine="0" w:firstLineChars="0"/>
              <w:rPr>
                <w:rFonts w:hint="eastAsia" w:ascii="宋体" w:hAnsi="宋体" w:eastAsia="宋体" w:cs="宋体"/>
                <w:kern w:val="0"/>
                <w:sz w:val="21"/>
                <w:szCs w:val="21"/>
              </w:rPr>
            </w:pPr>
            <w:bookmarkStart w:id="10" w:name="_Hlk497766155"/>
            <w:bookmarkStart w:id="11" w:name="_Hlk512287174"/>
            <w:bookmarkStart w:id="12" w:name="OLE_LINK2"/>
            <w:r>
              <w:rPr>
                <w:rFonts w:hint="eastAsia" w:ascii="宋体" w:hAnsi="宋体" w:eastAsia="宋体" w:cs="宋体"/>
                <w:kern w:val="0"/>
                <w:sz w:val="21"/>
                <w:szCs w:val="21"/>
              </w:rPr>
              <w:t>22、需具有造影定量分析软件。</w:t>
            </w:r>
            <w:bookmarkEnd w:id="10"/>
            <w:bookmarkEnd w:id="11"/>
            <w:bookmarkEnd w:id="12"/>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23、需具有实时宽景成像功能，支持凸阵和线阵。</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24、需具有实时双幅对比成像功能。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25、需具有高分辨率血流成像功能。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26、需具有智能多普勒角度矫正功能。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27、需具有支持穿刺针增强技术。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28、需支持DICOM3.0。</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29、测量和分析参数要求：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（1）需具有距离、面积、周长、体积、角度等测量功能。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（2）需具有多普勒血流测量及分析功能。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（3）需具有产科测量功能。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（3）需具有外周血管测量功能。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（4）需具有心脏功能测量与分析功能。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（5）需具有自动和实时Doppler 频谱波形分析常规测量功能。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30、电影回放需在所有模式下支持手动和自动回放，支持向后存储和向前存储，时间长度需可预置，向后存储需≥5分钟可回放。</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31、需具有保存后的图像对比分析（动态、静态）及测量功能。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32、原始数据处理需可对回放图像进行参数调节。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33、需具有内置超声工作站，内置固态硬盘存储需≥200G。</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34、需具有多种导出图像格式，动态图像和静态图像需可以PC格式直接导出。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35、需具有≥3个探头接口。</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36、需配备凸阵探头、线阵探头、成人相控阵探头、</w:t>
            </w:r>
            <w:r>
              <w:rPr>
                <w:rFonts w:hint="eastAsia" w:ascii="宋体" w:hAnsi="宋体" w:eastAsia="宋体" w:cs="宋体"/>
                <w:sz w:val="21"/>
                <w:szCs w:val="21"/>
              </w:rPr>
              <w:t>新生儿相控阵探头、</w:t>
            </w:r>
            <w:r>
              <w:rPr>
                <w:rFonts w:hint="eastAsia" w:ascii="宋体" w:hAnsi="宋体" w:eastAsia="宋体" w:cs="宋体"/>
                <w:kern w:val="0"/>
                <w:sz w:val="21"/>
                <w:szCs w:val="21"/>
              </w:rPr>
              <w:t>微凸阵探头各1把。</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37、探头频率需为宽频变频型探头，二维及多普勒兼用。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38、凸阵探头和线阵探头需配穿刺导向装置。</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39、二维成像参数要求：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（1）电子相控阵探头1：超声频率1.0—5.0 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（2）电子相控阵探头2：超声频率5—7MHz。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（3）电子凸阵探头：超声频率1.0—5.0MHz。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（4）微凸阵探头：超声频率4.0—9.0MHz，最大扫描角度≥120°。</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（5）超宽频带线阵探头：超声频率3.0—12.0MHz。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（6）相控阵探头需为全视野，17cm深度时帧速率需≥50帧/秒。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（7）凸阵探头需为全视野，17cm深度时帧速率需≥25帧/秒。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（8）线阵探头需具有≥6种频率的变频范围，支持T型扩展显示。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（9）需具备穿刺针增强显影技术，穿刺针增益需独立可调，穿刺针增强显影技术需可用于线阵和凸阵探头，满足腹部及浅表术中超声引导。</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（10）声束聚焦发射需≥6段，可接收自动连续聚焦。</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（11）探头谐波成像频率个数需≥2。</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（12）灰阶图像回放需≥300幅。</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（13）增益调节需B/D可独立调节。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40、频谱多普勒参数要求：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（1）需具有脉冲波多普勒PW和连续波多普勒CW（相控阵探头）模式。</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（2）多普勒探头与频率需为电子扇形PW，CW。</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（3）取样容积需具有0.8-20mm。</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（4）偏转角度需 ≥±30度 (线阵探头)。</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（5）零位移动需≥ 8级。</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（6）需具有快速角度校正功能。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（7）最小测量速度需≤ 1mm/s（非噪声信号）。</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（8）最大测量速度需为PW血流速度≥±6.0 m/s和CW血流速度≥±10.0m/s。</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（9）需具有频谱自动测量功能。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（10）显示方式需具有B/D、M/D、D。</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（11）电影回放需≥120秒。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（12）需具有高通滤波或低通滤波两种滤波器，可分级选择。</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（13）显示控制需具有左右反转、上下反转、零移位、局部放大。</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41、彩色多普勒参数要求：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（1）显示方式需具有速度方差显示、速度显示、方差显示。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（2）需具有实时双副对比显像功能。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（3）需具有速度、速度方差、能量、方向能量显示。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（4）显示方式需具有B/C、B/C/M、B/POWER、B/C/PW。</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（5）取样框偏转需≥±30度 (线阵探头)。</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（6）彩色显示角度需20-90度可选。</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（7）相控阵探头需为80度开角，16cm深度彩色显示帧频需≥15帧/秒。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（8）凸阵探头需为全视野，17cm深时彩色显示帧频需≥10帧/秒。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42、需配备原厂专用仪器推车，可放置及固定彩超主机及相关备件，推车高度需可调节，并需可旋转锁定。</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43、需配备网络版蓝韵超声报告工作站1套，含计算机、打印机及电脑桌、电脑椅办公家具，并需负责与医院在用PACS系统数据对接。</w:t>
            </w:r>
          </w:p>
          <w:p>
            <w:pPr>
              <w:spacing w:line="360" w:lineRule="auto"/>
              <w:jc w:val="left"/>
              <w:rPr>
                <w:rFonts w:hint="eastAsia" w:ascii="宋体" w:hAnsi="宋体" w:eastAsia="宋体" w:cs="宋体"/>
                <w:color w:val="auto"/>
                <w:sz w:val="21"/>
                <w:szCs w:val="21"/>
              </w:rPr>
            </w:pPr>
            <w:r>
              <w:rPr>
                <w:rFonts w:hint="eastAsia" w:ascii="宋体" w:hAnsi="宋体" w:eastAsia="宋体" w:cs="宋体"/>
                <w:kern w:val="0"/>
                <w:sz w:val="21"/>
                <w:szCs w:val="21"/>
              </w:rPr>
              <w:t>44、整套设备自验收合格之日起原厂保修期不低于两年。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B包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全温控监测智能化血浆解冻仪   （国产）</w:t>
            </w:r>
          </w:p>
        </w:tc>
        <w:tc>
          <w:tcPr>
            <w:tcW w:w="6737" w:type="dxa"/>
            <w:vAlign w:val="center"/>
          </w:tcPr>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1、需具有不少于5种的融浆解冻模式，最大化浆量需不小于25袋（200ml）。</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2、需具有质控数据溯源功能，可对融浆时模拟血袋核心温度及各水箱温度进行数字化分析和自动保存结果。</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3、需具有水温监控系统质量管理功能，可通过监控各水箱间温度探头的温度差来实现监测温度探头的检测精度是否达到质控要求。</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4、需可对模拟血浆袋核心温度变化的数据进行分析，实现校正不同融浆段时间的功能。</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5、需具有无线WIFI传输功能，可将数据直接传输、显示、存储在主机工作站内。</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6、需具有微电脑触摸显示屏，可实时显示温度和时间的变化情况，并需可显示设备发生故障的内容及原因。</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7、需具有数据存储功能，可存储2000组以上的记录数据。</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8、需具有流量不小于60升/分钟的水泵，并需具有自动注水、自动排水、预热、加温和循环清洗功能。</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9、设备温控调节范围需为常温～41℃，温控精度需≤±1℃。</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10、设备解冻时间需≤30分钟（满载状态），定时调节范围需为1分钟～99分钟，振摇频率需为30r/min。</w:t>
            </w:r>
          </w:p>
          <w:p>
            <w:pPr>
              <w:tabs>
                <w:tab w:val="left" w:pos="1714"/>
                <w:tab w:val="center" w:pos="3321"/>
              </w:tabs>
              <w:jc w:val="both"/>
              <w:rPr>
                <w:rFonts w:hint="eastAsia" w:ascii="宋体" w:hAnsi="宋体" w:eastAsia="宋体" w:cs="宋体"/>
                <w:b w:val="0"/>
                <w:bCs w:val="0"/>
                <w:color w:val="auto"/>
                <w:sz w:val="21"/>
                <w:szCs w:val="21"/>
              </w:rPr>
            </w:pPr>
            <w:r>
              <w:rPr>
                <w:rFonts w:hint="eastAsia" w:ascii="宋体" w:hAnsi="宋体" w:eastAsia="宋体" w:cs="宋体"/>
                <w:b w:val="0"/>
                <w:bCs w:val="0"/>
                <w:kern w:val="0"/>
                <w:sz w:val="21"/>
                <w:szCs w:val="21"/>
              </w:rPr>
              <w:t>11、整套设备自验收合格之日起原厂保修期不低于两年。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9、自验收合格之日起原厂免费</w:t>
      </w:r>
      <w:r>
        <w:rPr>
          <w:rFonts w:hint="eastAsia" w:cs="宋体" w:asciiTheme="minorEastAsia" w:hAnsiTheme="minorEastAsia"/>
          <w:bCs/>
          <w:color w:val="auto"/>
          <w:kern w:val="0"/>
          <w:sz w:val="24"/>
          <w:szCs w:val="24"/>
          <w:lang w:eastAsia="zh-CN"/>
        </w:rPr>
        <w:t>保修</w:t>
      </w:r>
      <w:r>
        <w:rPr>
          <w:rFonts w:hint="eastAsia" w:cs="宋体" w:asciiTheme="minorEastAsia" w:hAnsiTheme="minorEastAsia"/>
          <w:bCs/>
          <w:color w:val="auto"/>
          <w:kern w:val="0"/>
          <w:sz w:val="24"/>
          <w:szCs w:val="24"/>
        </w:rPr>
        <w:t>期</w:t>
      </w:r>
      <w:r>
        <w:rPr>
          <w:rFonts w:hint="eastAsia" w:cs="宋体" w:asciiTheme="minorEastAsia" w:hAnsiTheme="minorEastAsia"/>
          <w:bCs/>
          <w:color w:val="auto"/>
          <w:kern w:val="0"/>
          <w:sz w:val="24"/>
          <w:szCs w:val="24"/>
          <w:lang w:eastAsia="zh-CN"/>
        </w:rPr>
        <w:t>两</w:t>
      </w:r>
      <w:r>
        <w:rPr>
          <w:rFonts w:hint="eastAsia" w:cs="宋体" w:asciiTheme="minorEastAsia" w:hAnsiTheme="minorEastAsia"/>
          <w:bCs/>
          <w:color w:val="auto"/>
          <w:kern w:val="0"/>
          <w:sz w:val="24"/>
          <w:szCs w:val="24"/>
        </w:rPr>
        <w:t>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hint="eastAsia"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bookmarkStart w:id="13" w:name="_Hlk517922146"/>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A包：430万元，最高限价：430万元；B包：16万元，最高限价：16万元。</w:t>
      </w:r>
      <w:r>
        <w:rPr>
          <w:rFonts w:hint="eastAsia" w:cs="仿宋_GB2312" w:asciiTheme="minorEastAsia" w:hAnsiTheme="minorEastAsia" w:eastAsiaTheme="minorEastAsia"/>
          <w:color w:val="auto"/>
          <w:shd w:val="clear" w:color="auto" w:fill="FFFFFF"/>
          <w:lang w:val="en-US" w:eastAsia="zh-CN"/>
        </w:rPr>
        <w:t xml:space="preserve">    </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13"/>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许昌市中心医院“彩超（进口）等医疗设备采购项目”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YLZB-G2018078-1</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彩超（进口）3台，全温控监测智能化血浆解冻仪（国产）1台</w:t>
            </w:r>
            <w:r>
              <w:rPr>
                <w:rFonts w:hint="eastAsia" w:cs="仿宋_GB2312" w:asciiTheme="minorEastAsia" w:hAnsiTheme="minorEastAsia"/>
                <w:color w:val="auto"/>
                <w:sz w:val="24"/>
                <w:szCs w:val="24"/>
              </w:rPr>
              <w:t>（具体详见招标文件）。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许昌市中心医院</w:t>
            </w:r>
            <w:r>
              <w:rPr>
                <w:rFonts w:hint="eastAsia" w:cs="仿宋_GB2312" w:asciiTheme="minorEastAsia" w:hAnsiTheme="minorEastAsia"/>
                <w:color w:val="auto"/>
                <w:sz w:val="24"/>
                <w:szCs w:val="24"/>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许昌市中心医院</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  址：</w:t>
            </w:r>
            <w:r>
              <w:rPr>
                <w:rFonts w:hint="eastAsia" w:cs="仿宋_GB2312" w:asciiTheme="minorEastAsia" w:hAnsiTheme="minorEastAsia"/>
                <w:color w:val="auto"/>
                <w:sz w:val="24"/>
                <w:szCs w:val="24"/>
                <w:lang w:eastAsia="zh-CN"/>
              </w:rPr>
              <w:t>许昌市华佗路30号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李岩</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许昌市新许路</w:t>
            </w:r>
            <w:r>
              <w:rPr>
                <w:rFonts w:hint="eastAsia" w:cs="仿宋_GB2312" w:asciiTheme="minorEastAsia" w:hAnsiTheme="minorEastAsia"/>
                <w:color w:val="auto"/>
                <w:sz w:val="24"/>
                <w:szCs w:val="24"/>
                <w:lang w:val="en-US" w:eastAsia="zh-CN"/>
              </w:rPr>
              <w:t>77号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en-US" w:eastAsia="zh-CN"/>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color w:val="auto"/>
                <w:sz w:val="24"/>
                <w:szCs w:val="24"/>
                <w:shd w:val="clear" w:color="auto" w:fill="FFFFFF"/>
              </w:rPr>
              <w:t>；所投设备如为进口产品的，须具备《中华人民共和国医疗器械注册证》并加盖投标人公章的原件扫描件或复印件扫描件（或图片）。</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A包：430万元；B包：16万元。</w:t>
            </w:r>
          </w:p>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asciiTheme="minorEastAsia" w:hAnsiTheme="minorEastAsia"/>
                <w:color w:val="auto"/>
                <w:sz w:val="24"/>
                <w:szCs w:val="24"/>
              </w:rPr>
              <w:t>A包允许；B包不允许；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eastAsia="zh-CN"/>
              </w:rPr>
              <w:t>2019</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29</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三</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val="en-US" w:eastAsia="zh-CN"/>
              </w:rPr>
              <w:t>A包：捌万陆仟元整（86000元）</w:t>
            </w:r>
          </w:p>
          <w:p>
            <w:pPr>
              <w:tabs>
                <w:tab w:val="left" w:pos="1260"/>
              </w:tabs>
              <w:autoSpaceDE w:val="0"/>
              <w:autoSpaceDN w:val="0"/>
              <w:adjustRightInd w:val="0"/>
              <w:spacing w:line="360" w:lineRule="auto"/>
              <w:ind w:firstLine="720" w:firstLineChars="3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B包：叁仟贰佰元整（3200元）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40"/>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40"/>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0"/>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4" w:name="OLE_LINK6"/>
      <w:r>
        <w:rPr>
          <w:rFonts w:hint="eastAsia" w:cs="仿宋_GB2312" w:asciiTheme="minorEastAsia" w:hAnsiTheme="minorEastAsia"/>
          <w:color w:val="auto"/>
          <w:szCs w:val="21"/>
          <w:lang w:val="zh-CN"/>
        </w:rPr>
        <w:t>财库[2014]68号</w:t>
      </w:r>
      <w:bookmarkEnd w:id="14"/>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2017</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w:t>
            </w:r>
            <w:r>
              <w:rPr>
                <w:rFonts w:hint="eastAsia" w:asciiTheme="minorEastAsia" w:hAnsiTheme="minorEastAsia"/>
                <w:b/>
                <w:color w:val="auto"/>
                <w:sz w:val="24"/>
                <w:szCs w:val="24"/>
                <w:lang w:eastAsia="zh-CN"/>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8"/>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val="en-US" w:eastAsia="zh-CN" w:bidi="ar"/>
              </w:rPr>
              <w:t>40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val="en-US" w:eastAsia="zh-CN" w:bidi="ar"/>
              </w:rPr>
              <w:t>4</w:t>
            </w:r>
            <w:r>
              <w:rPr>
                <w:rFonts w:hint="eastAsia" w:ascii="宋体" w:hAnsi="宋体" w:eastAsia="宋体" w:cs="宋体"/>
                <w:b/>
                <w:color w:val="000000"/>
                <w:szCs w:val="21"/>
                <w:u w:val="single"/>
                <w:lang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val="en-US" w:eastAsia="zh-CN" w:bidi="ar"/>
              </w:rPr>
              <w:t>4</w:t>
            </w:r>
            <w:r>
              <w:rPr>
                <w:rFonts w:hint="eastAsia" w:ascii="宋体" w:hAnsi="宋体" w:eastAsia="宋体" w:cs="宋体"/>
                <w:szCs w:val="21"/>
                <w:u w:val="single"/>
                <w:lang w:bidi="ar"/>
              </w:rPr>
              <w:t>0</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u w:val="single"/>
                <w:lang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w:t>
            </w:r>
            <w:r>
              <w:rPr>
                <w:rFonts w:hint="eastAsia" w:ascii="宋体" w:hAnsi="宋体" w:eastAsia="宋体" w:cs="宋体"/>
                <w:b/>
                <w:color w:val="000000"/>
                <w:szCs w:val="21"/>
                <w:u w:val="single"/>
                <w:lang w:val="en-US" w:eastAsia="zh-CN"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投标人2015年1月1日以来，具有类似项目业绩，合同及验收报告齐全且合同金额不低于本项目每包最高限价的，每提供一份得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hint="eastAsia" w:ascii="宋体" w:hAnsi="宋体" w:eastAsia="宋体" w:cs="宋体"/>
                <w:szCs w:val="21"/>
                <w:lang w:val="en-US" w:eastAsia="zh-CN" w:bidi="ar"/>
              </w:rPr>
              <w:t>4</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lang w:val="en-US" w:eastAsia="zh-CN"/>
              </w:rPr>
              <w:t>1</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lang w:bidi="ar"/>
              </w:rPr>
            </w:pPr>
            <w:r>
              <w:rPr>
                <w:rFonts w:hint="eastAsia" w:ascii="宋体" w:hAnsi="宋体" w:eastAsia="宋体" w:cs="宋体"/>
                <w:szCs w:val="21"/>
                <w:lang w:val="en-US" w:eastAsia="zh-CN"/>
              </w:rPr>
              <w:t>5</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w:t>
            </w:r>
            <w:r>
              <w:rPr>
                <w:rFonts w:hint="eastAsia" w:ascii="宋体" w:hAnsi="宋体" w:eastAsia="宋体" w:cs="宋体"/>
                <w:szCs w:val="21"/>
                <w:lang w:val="en-US" w:eastAsia="zh-CN"/>
              </w:rPr>
              <w:t>4</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w:t>
            </w:r>
            <w:r>
              <w:rPr>
                <w:rFonts w:hint="eastAsia" w:ascii="宋体" w:hAnsi="宋体" w:eastAsia="宋体" w:cs="宋体"/>
                <w:szCs w:val="21"/>
                <w:lang w:val="en-US" w:eastAsia="zh-CN"/>
              </w:rPr>
              <w:t>3</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hint="eastAsia" w:ascii="宋体" w:hAnsi="宋体" w:eastAsia="宋体" w:cs="宋体"/>
                <w:szCs w:val="21"/>
              </w:rPr>
            </w:pPr>
            <w:r>
              <w:rPr>
                <w:rFonts w:hint="eastAsia" w:ascii="宋体" w:hAnsi="宋体" w:eastAsia="宋体" w:cs="宋体"/>
                <w:szCs w:val="21"/>
              </w:rPr>
              <w:t>3、投标人在项目实施完成后所承诺的责任、服务内容合理完整的得</w:t>
            </w:r>
            <w:r>
              <w:rPr>
                <w:rFonts w:hint="eastAsia" w:ascii="宋体" w:hAnsi="宋体" w:eastAsia="宋体" w:cs="宋体"/>
                <w:szCs w:val="21"/>
                <w:lang w:val="en-US" w:eastAsia="zh-CN"/>
              </w:rPr>
              <w:t>3</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10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val="en-US" w:eastAsia="zh-CN" w:bidi="ar"/>
              </w:rPr>
              <w:t>40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w:t>
            </w:r>
            <w:r>
              <w:rPr>
                <w:rFonts w:hint="eastAsia" w:ascii="宋体" w:hAnsi="宋体" w:eastAsia="宋体" w:cs="宋体"/>
                <w:szCs w:val="21"/>
                <w:lang w:val="en-US" w:eastAsia="zh-CN" w:bidi="ar"/>
              </w:rPr>
              <w:t>20</w:t>
            </w:r>
            <w:r>
              <w:rPr>
                <w:rFonts w:hint="eastAsia" w:ascii="宋体" w:hAnsi="宋体" w:eastAsia="宋体" w:cs="宋体"/>
                <w:szCs w:val="21"/>
                <w:lang w:bidi="ar"/>
              </w:rPr>
              <w:t>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szCs w:val="21"/>
                <w:lang w:val="en-US" w:eastAsia="zh-CN" w:bidi="ar"/>
              </w:rPr>
              <w:t>8</w:t>
            </w:r>
            <w:r>
              <w:rPr>
                <w:rFonts w:hint="eastAsia" w:ascii="宋体" w:hAnsi="宋体" w:eastAsia="宋体" w:cs="宋体"/>
                <w:szCs w:val="21"/>
                <w:lang w:bidi="ar"/>
              </w:rPr>
              <w:t>分（仅进行了简单概况的或不能完整提供有效证明文件的不得分）。满分</w:t>
            </w: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4"/>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4"/>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8"/>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5" w:name="_Toc186274126"/>
      <w:bookmarkStart w:id="16" w:name="_Toc184023138"/>
      <w:bookmarkStart w:id="17" w:name="_Toc174185203"/>
      <w:r>
        <w:rPr>
          <w:rFonts w:hint="eastAsia" w:cs="黑体" w:asciiTheme="minorEastAsia" w:hAnsiTheme="minorEastAsia" w:eastAsiaTheme="minorEastAsia"/>
          <w:color w:val="auto"/>
          <w:kern w:val="2"/>
          <w:sz w:val="36"/>
          <w:szCs w:val="36"/>
          <w:lang w:val="zh-CN"/>
        </w:rPr>
        <w:t>一、投标人应答索引表</w:t>
      </w:r>
      <w:bookmarkEnd w:id="15"/>
      <w:bookmarkEnd w:id="16"/>
      <w:bookmarkEnd w:id="17"/>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4"/>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r>
        <w:rPr>
          <w:rFonts w:hint="eastAsia" w:asciiTheme="minorEastAsia" w:hAnsiTheme="minorEastAsia"/>
          <w:b/>
          <w:snapToGrid w:val="0"/>
          <w:color w:val="auto"/>
          <w:kern w:val="0"/>
          <w:sz w:val="24"/>
          <w:szCs w:val="24"/>
          <w:lang w:eastAsia="zh-CN"/>
        </w:rPr>
        <w:t>或采购代理机构</w:t>
      </w:r>
      <w:r>
        <w:rPr>
          <w:rFonts w:hint="eastAsia" w:asciiTheme="minorEastAsia" w:hAnsiTheme="minorEastAsia"/>
          <w:b/>
          <w:snapToGrid w:val="0"/>
          <w:color w:val="auto"/>
          <w:kern w:val="0"/>
          <w:sz w:val="24"/>
          <w:szCs w:val="24"/>
        </w:rPr>
        <w:t>）</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2"/>
        <w:spacing w:line="480" w:lineRule="auto"/>
        <w:ind w:firstLine="540" w:firstLineChars="225"/>
        <w:jc w:val="left"/>
        <w:rPr>
          <w:rFonts w:asciiTheme="minorEastAsia" w:hAnsiTheme="minorEastAsia"/>
          <w:color w:val="auto"/>
          <w:szCs w:val="24"/>
        </w:rPr>
      </w:pPr>
    </w:p>
    <w:p>
      <w:pPr>
        <w:pStyle w:val="42"/>
        <w:spacing w:line="480" w:lineRule="auto"/>
        <w:ind w:firstLine="540" w:firstLineChars="225"/>
        <w:jc w:val="left"/>
        <w:rPr>
          <w:rFonts w:asciiTheme="minorEastAsia" w:hAnsiTheme="minorEastAsia"/>
          <w:color w:val="auto"/>
          <w:szCs w:val="24"/>
        </w:rPr>
      </w:pPr>
    </w:p>
    <w:p>
      <w:pPr>
        <w:pStyle w:val="42"/>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2"/>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5"/>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4"/>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18" w:name="_资格证明文件"/>
            <w:bookmarkEnd w:id="18"/>
            <w:bookmarkStart w:id="19" w:name="_Toc364329026"/>
            <w:r>
              <w:rPr>
                <w:rFonts w:hint="eastAsia" w:asciiTheme="minorEastAsia" w:hAnsiTheme="minorEastAsia"/>
                <w:color w:val="auto"/>
                <w:sz w:val="24"/>
                <w:szCs w:val="24"/>
              </w:rPr>
              <w:t>法定代表人授权代表身份证（正面）</w:t>
            </w:r>
            <w:bookmarkEnd w:id="19"/>
          </w:p>
        </w:tc>
        <w:tc>
          <w:tcPr>
            <w:tcW w:w="4492" w:type="dxa"/>
            <w:gridSpan w:val="2"/>
            <w:vAlign w:val="center"/>
          </w:tcPr>
          <w:p>
            <w:pPr>
              <w:jc w:val="center"/>
              <w:rPr>
                <w:rFonts w:asciiTheme="minorEastAsia" w:hAnsiTheme="minorEastAsia"/>
                <w:color w:val="auto"/>
                <w:sz w:val="24"/>
                <w:szCs w:val="24"/>
              </w:rPr>
            </w:pPr>
            <w:bookmarkStart w:id="20" w:name="_Toc364329027"/>
            <w:r>
              <w:rPr>
                <w:rFonts w:hint="eastAsia" w:asciiTheme="minorEastAsia" w:hAnsiTheme="minorEastAsia"/>
                <w:color w:val="auto"/>
                <w:sz w:val="24"/>
                <w:szCs w:val="24"/>
              </w:rPr>
              <w:t>法定代表人授权代表身份证（反面）</w:t>
            </w:r>
            <w:bookmarkEnd w:id="20"/>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21" w:name="OLE_LINK13"/>
      <w:bookmarkStart w:id="22" w:name="OLE_LINK14"/>
      <w:r>
        <w:rPr>
          <w:rFonts w:hint="eastAsia" w:ascii="宋体" w:hAnsi="宋体"/>
          <w:b/>
          <w:bCs/>
          <w:color w:val="auto"/>
          <w:sz w:val="36"/>
          <w:szCs w:val="36"/>
        </w:rPr>
        <w:t>4.10 残疾人福利性单位声明函</w:t>
      </w:r>
    </w:p>
    <w:bookmarkEnd w:id="21"/>
    <w:bookmarkEnd w:id="22"/>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1"/>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3314117"/>
    <w:rsid w:val="036320D4"/>
    <w:rsid w:val="04764B88"/>
    <w:rsid w:val="049C336A"/>
    <w:rsid w:val="05851304"/>
    <w:rsid w:val="05A66782"/>
    <w:rsid w:val="06032CF4"/>
    <w:rsid w:val="062B0BA4"/>
    <w:rsid w:val="06473CC7"/>
    <w:rsid w:val="06904873"/>
    <w:rsid w:val="0A412642"/>
    <w:rsid w:val="0E77567F"/>
    <w:rsid w:val="0F1974C2"/>
    <w:rsid w:val="0FD55139"/>
    <w:rsid w:val="1007750D"/>
    <w:rsid w:val="101F07CA"/>
    <w:rsid w:val="12633776"/>
    <w:rsid w:val="13365917"/>
    <w:rsid w:val="14282195"/>
    <w:rsid w:val="143D23BB"/>
    <w:rsid w:val="144016B6"/>
    <w:rsid w:val="14BF58CA"/>
    <w:rsid w:val="151E6543"/>
    <w:rsid w:val="16120009"/>
    <w:rsid w:val="172D0BA2"/>
    <w:rsid w:val="18165D0C"/>
    <w:rsid w:val="181929D7"/>
    <w:rsid w:val="18274E5F"/>
    <w:rsid w:val="18F86225"/>
    <w:rsid w:val="190E52D1"/>
    <w:rsid w:val="19713F62"/>
    <w:rsid w:val="197E7B14"/>
    <w:rsid w:val="19AE47E0"/>
    <w:rsid w:val="19D73C2E"/>
    <w:rsid w:val="1AEC0950"/>
    <w:rsid w:val="1AF22BAA"/>
    <w:rsid w:val="1B5C7908"/>
    <w:rsid w:val="1BAF271B"/>
    <w:rsid w:val="1E01467A"/>
    <w:rsid w:val="1E1D6FF7"/>
    <w:rsid w:val="1FC121F0"/>
    <w:rsid w:val="21014C5D"/>
    <w:rsid w:val="21671591"/>
    <w:rsid w:val="21B26B3F"/>
    <w:rsid w:val="22260C97"/>
    <w:rsid w:val="237350F3"/>
    <w:rsid w:val="23C04A76"/>
    <w:rsid w:val="23E330AE"/>
    <w:rsid w:val="25B142AB"/>
    <w:rsid w:val="28F025A3"/>
    <w:rsid w:val="29827945"/>
    <w:rsid w:val="2A1D6C96"/>
    <w:rsid w:val="2B955B97"/>
    <w:rsid w:val="2D79511A"/>
    <w:rsid w:val="2F1B757B"/>
    <w:rsid w:val="2F2E6045"/>
    <w:rsid w:val="2F652AF5"/>
    <w:rsid w:val="303456C6"/>
    <w:rsid w:val="304460C7"/>
    <w:rsid w:val="30ED3EB7"/>
    <w:rsid w:val="31001BFC"/>
    <w:rsid w:val="312C3F38"/>
    <w:rsid w:val="32C361F8"/>
    <w:rsid w:val="33C24A64"/>
    <w:rsid w:val="34501561"/>
    <w:rsid w:val="34C8683A"/>
    <w:rsid w:val="34D660FC"/>
    <w:rsid w:val="360C7BA3"/>
    <w:rsid w:val="36977DC0"/>
    <w:rsid w:val="37F4112A"/>
    <w:rsid w:val="38392496"/>
    <w:rsid w:val="39CA7A84"/>
    <w:rsid w:val="3A567318"/>
    <w:rsid w:val="3CB712D2"/>
    <w:rsid w:val="3EEC2556"/>
    <w:rsid w:val="405D0B4F"/>
    <w:rsid w:val="40D520C7"/>
    <w:rsid w:val="436D082F"/>
    <w:rsid w:val="43A12D70"/>
    <w:rsid w:val="442C5709"/>
    <w:rsid w:val="44484B3D"/>
    <w:rsid w:val="44813CAF"/>
    <w:rsid w:val="44C24A62"/>
    <w:rsid w:val="44D06250"/>
    <w:rsid w:val="450B2124"/>
    <w:rsid w:val="45327A4B"/>
    <w:rsid w:val="45C64FA4"/>
    <w:rsid w:val="46433D37"/>
    <w:rsid w:val="46CC5B0B"/>
    <w:rsid w:val="47535AF9"/>
    <w:rsid w:val="479F493E"/>
    <w:rsid w:val="47E86902"/>
    <w:rsid w:val="482070FF"/>
    <w:rsid w:val="48FD2BFD"/>
    <w:rsid w:val="49810E90"/>
    <w:rsid w:val="4ADE353A"/>
    <w:rsid w:val="4B3B43DC"/>
    <w:rsid w:val="4B570E56"/>
    <w:rsid w:val="4BEE7609"/>
    <w:rsid w:val="4C554AB2"/>
    <w:rsid w:val="4C7122E0"/>
    <w:rsid w:val="4EB45F50"/>
    <w:rsid w:val="4F146E0B"/>
    <w:rsid w:val="4F152AD5"/>
    <w:rsid w:val="4F3B1AD7"/>
    <w:rsid w:val="505D42CC"/>
    <w:rsid w:val="50775C50"/>
    <w:rsid w:val="509D7FC5"/>
    <w:rsid w:val="516C62DE"/>
    <w:rsid w:val="52B3711D"/>
    <w:rsid w:val="52B473A8"/>
    <w:rsid w:val="54E4407B"/>
    <w:rsid w:val="54F32CB4"/>
    <w:rsid w:val="54F42526"/>
    <w:rsid w:val="555A4F1D"/>
    <w:rsid w:val="555C6279"/>
    <w:rsid w:val="556632E1"/>
    <w:rsid w:val="56AD14CC"/>
    <w:rsid w:val="56D57114"/>
    <w:rsid w:val="57204064"/>
    <w:rsid w:val="57F57718"/>
    <w:rsid w:val="58AC67C2"/>
    <w:rsid w:val="5B5B3ECD"/>
    <w:rsid w:val="5BD21553"/>
    <w:rsid w:val="5BFE0885"/>
    <w:rsid w:val="5D287C15"/>
    <w:rsid w:val="5DA440F6"/>
    <w:rsid w:val="5E633E31"/>
    <w:rsid w:val="5E9E5CBE"/>
    <w:rsid w:val="5F4B3C09"/>
    <w:rsid w:val="608355DF"/>
    <w:rsid w:val="60A02E78"/>
    <w:rsid w:val="60BB5B26"/>
    <w:rsid w:val="60ED2F3A"/>
    <w:rsid w:val="622F1798"/>
    <w:rsid w:val="632D7A84"/>
    <w:rsid w:val="6331309E"/>
    <w:rsid w:val="6428471C"/>
    <w:rsid w:val="64820698"/>
    <w:rsid w:val="6504685B"/>
    <w:rsid w:val="659F02C0"/>
    <w:rsid w:val="67740EFF"/>
    <w:rsid w:val="67AE01B7"/>
    <w:rsid w:val="67EF097B"/>
    <w:rsid w:val="681B1C02"/>
    <w:rsid w:val="68C63FA1"/>
    <w:rsid w:val="68E56591"/>
    <w:rsid w:val="69475541"/>
    <w:rsid w:val="6A692423"/>
    <w:rsid w:val="6B58054B"/>
    <w:rsid w:val="6BA73629"/>
    <w:rsid w:val="6BD579B3"/>
    <w:rsid w:val="6ECB2D14"/>
    <w:rsid w:val="6FDC4587"/>
    <w:rsid w:val="717F55BF"/>
    <w:rsid w:val="719E0453"/>
    <w:rsid w:val="728D5BBC"/>
    <w:rsid w:val="72A12EEA"/>
    <w:rsid w:val="73D63E07"/>
    <w:rsid w:val="73FA0EDC"/>
    <w:rsid w:val="742733AB"/>
    <w:rsid w:val="748E2E4F"/>
    <w:rsid w:val="749003E7"/>
    <w:rsid w:val="75323C2B"/>
    <w:rsid w:val="756D320E"/>
    <w:rsid w:val="768D0DDD"/>
    <w:rsid w:val="77437BD7"/>
    <w:rsid w:val="774C2C6A"/>
    <w:rsid w:val="778E6BE6"/>
    <w:rsid w:val="78122AB0"/>
    <w:rsid w:val="78AA1042"/>
    <w:rsid w:val="7A0C2134"/>
    <w:rsid w:val="7ACE383C"/>
    <w:rsid w:val="7AD85A75"/>
    <w:rsid w:val="7C493A6A"/>
    <w:rsid w:val="7C4B5BB7"/>
    <w:rsid w:val="7DC538CD"/>
    <w:rsid w:val="7EA9351E"/>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FF"/>
      <w:u w:val="single"/>
    </w:rPr>
  </w:style>
  <w:style w:type="character" w:customStyle="1" w:styleId="29">
    <w:name w:val="标题 1 字符"/>
    <w:basedOn w:val="23"/>
    <w:link w:val="4"/>
    <w:qFormat/>
    <w:uiPriority w:val="0"/>
    <w:rPr>
      <w:rFonts w:ascii="Calibri" w:hAnsi="Calibri" w:eastAsia="宋体" w:cs="Times New Roman"/>
      <w:b/>
      <w:bCs/>
      <w:kern w:val="44"/>
      <w:sz w:val="44"/>
      <w:szCs w:val="44"/>
    </w:rPr>
  </w:style>
  <w:style w:type="character" w:customStyle="1" w:styleId="30">
    <w:name w:val="标题 2 字符"/>
    <w:basedOn w:val="23"/>
    <w:link w:val="5"/>
    <w:qFormat/>
    <w:uiPriority w:val="0"/>
    <w:rPr>
      <w:rFonts w:ascii="Arial" w:hAnsi="Arial" w:eastAsia="黑体" w:cs="Times New Roman"/>
      <w:b/>
      <w:bCs/>
      <w:kern w:val="0"/>
      <w:sz w:val="32"/>
      <w:szCs w:val="32"/>
    </w:rPr>
  </w:style>
  <w:style w:type="character" w:customStyle="1" w:styleId="31">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2">
    <w:name w:val="标题 4 字符"/>
    <w:basedOn w:val="23"/>
    <w:link w:val="7"/>
    <w:qFormat/>
    <w:uiPriority w:val="0"/>
    <w:rPr>
      <w:rFonts w:ascii="Arial" w:hAnsi="Arial" w:eastAsia="黑体" w:cs="Times New Roman"/>
      <w:b/>
      <w:bCs/>
      <w:kern w:val="0"/>
      <w:sz w:val="28"/>
      <w:szCs w:val="28"/>
    </w:rPr>
  </w:style>
  <w:style w:type="character" w:customStyle="1" w:styleId="33">
    <w:name w:val="纯文本 字符"/>
    <w:basedOn w:val="23"/>
    <w:link w:val="14"/>
    <w:qFormat/>
    <w:uiPriority w:val="0"/>
    <w:rPr>
      <w:rFonts w:eastAsia="宋体"/>
      <w:sz w:val="24"/>
    </w:rPr>
  </w:style>
  <w:style w:type="character" w:customStyle="1" w:styleId="34">
    <w:name w:val="日期 字符"/>
    <w:basedOn w:val="23"/>
    <w:link w:val="15"/>
    <w:qFormat/>
    <w:uiPriority w:val="99"/>
  </w:style>
  <w:style w:type="character" w:customStyle="1" w:styleId="35">
    <w:name w:val="页脚 字符"/>
    <w:basedOn w:val="23"/>
    <w:link w:val="17"/>
    <w:qFormat/>
    <w:uiPriority w:val="99"/>
    <w:rPr>
      <w:sz w:val="18"/>
      <w:szCs w:val="18"/>
    </w:rPr>
  </w:style>
  <w:style w:type="character" w:customStyle="1" w:styleId="36">
    <w:name w:val="页眉 字符"/>
    <w:basedOn w:val="23"/>
    <w:link w:val="19"/>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0"/>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3"/>
    <w:link w:val="3"/>
    <w:semiHidden/>
    <w:qFormat/>
    <w:uiPriority w:val="99"/>
  </w:style>
  <w:style w:type="character" w:customStyle="1" w:styleId="53">
    <w:name w:val="正文文本首行缩进 字符"/>
    <w:basedOn w:val="52"/>
    <w:link w:val="2"/>
    <w:qFormat/>
    <w:uiPriority w:val="0"/>
    <w:rPr>
      <w:rFonts w:ascii="宋体" w:hAnsi="Times New Roman" w:eastAsia="宋体" w:cs="Times New Roman"/>
      <w:kern w:val="0"/>
      <w:sz w:val="34"/>
      <w:szCs w:val="20"/>
    </w:rPr>
  </w:style>
  <w:style w:type="character" w:customStyle="1" w:styleId="54">
    <w:name w:val="HTML 预设格式 字符"/>
    <w:basedOn w:val="23"/>
    <w:link w:val="21"/>
    <w:semiHidden/>
    <w:qFormat/>
    <w:uiPriority w:val="99"/>
    <w:rPr>
      <w:rFonts w:ascii="宋体" w:hAnsi="宋体" w:eastAsia="宋体" w:cs="宋体"/>
      <w:kern w:val="0"/>
      <w:sz w:val="24"/>
      <w:szCs w:val="24"/>
    </w:rPr>
  </w:style>
  <w:style w:type="paragraph" w:customStyle="1" w:styleId="55">
    <w:name w:val="列出段落11"/>
    <w:basedOn w:val="1"/>
    <w:qFormat/>
    <w:uiPriority w:val="0"/>
    <w:pPr>
      <w:ind w:firstLine="420" w:firstLineChars="200"/>
    </w:pPr>
    <w:rPr>
      <w:rFonts w:ascii="Times New Roman" w:hAnsi="Times New Roman" w:eastAsia="宋体" w:cs="Times New Roman"/>
      <w:szCs w:val="24"/>
    </w:rPr>
  </w:style>
  <w:style w:type="paragraph" w:customStyle="1" w:styleId="56">
    <w:name w:val="List Paragraph1"/>
    <w:basedOn w:val="1"/>
    <w:qFormat/>
    <w:uiPriority w:val="0"/>
    <w:pPr>
      <w:ind w:firstLine="420" w:firstLineChars="200"/>
    </w:pPr>
  </w:style>
  <w:style w:type="paragraph" w:customStyle="1" w:styleId="57">
    <w:name w:val="_Style 1"/>
    <w:basedOn w:val="1"/>
    <w:qFormat/>
    <w:uiPriority w:val="0"/>
    <w:pPr>
      <w:widowControl w:val="0"/>
      <w:spacing w:after="0" w:line="240" w:lineRule="auto"/>
      <w:ind w:firstLine="420" w:firstLineChars="200"/>
      <w:jc w:val="both"/>
    </w:pPr>
    <w:rPr>
      <w:kern w:val="2"/>
      <w:sz w:val="21"/>
      <w:szCs w:val="24"/>
    </w:rPr>
  </w:style>
  <w:style w:type="character" w:customStyle="1" w:styleId="58">
    <w:name w:val="red"/>
    <w:basedOn w:val="23"/>
    <w:qFormat/>
    <w:uiPriority w:val="0"/>
    <w:rPr>
      <w:color w:val="FF0000"/>
      <w:sz w:val="18"/>
      <w:szCs w:val="18"/>
    </w:rPr>
  </w:style>
  <w:style w:type="character" w:customStyle="1" w:styleId="59">
    <w:name w:val="red1"/>
    <w:basedOn w:val="23"/>
    <w:qFormat/>
    <w:uiPriority w:val="0"/>
    <w:rPr>
      <w:color w:val="FF0000"/>
      <w:sz w:val="18"/>
      <w:szCs w:val="18"/>
    </w:rPr>
  </w:style>
  <w:style w:type="character" w:customStyle="1" w:styleId="60">
    <w:name w:val="red2"/>
    <w:basedOn w:val="23"/>
    <w:qFormat/>
    <w:uiPriority w:val="0"/>
    <w:rPr>
      <w:color w:val="CC0000"/>
    </w:rPr>
  </w:style>
  <w:style w:type="character" w:customStyle="1" w:styleId="61">
    <w:name w:val="red3"/>
    <w:basedOn w:val="23"/>
    <w:qFormat/>
    <w:uiPriority w:val="0"/>
    <w:rPr>
      <w:color w:val="FF0000"/>
    </w:rPr>
  </w:style>
  <w:style w:type="character" w:customStyle="1" w:styleId="62">
    <w:name w:val="green"/>
    <w:basedOn w:val="23"/>
    <w:qFormat/>
    <w:uiPriority w:val="0"/>
    <w:rPr>
      <w:color w:val="66AE00"/>
      <w:sz w:val="18"/>
      <w:szCs w:val="18"/>
    </w:rPr>
  </w:style>
  <w:style w:type="character" w:customStyle="1" w:styleId="63">
    <w:name w:val="green1"/>
    <w:basedOn w:val="23"/>
    <w:qFormat/>
    <w:uiPriority w:val="0"/>
    <w:rPr>
      <w:color w:val="66AE00"/>
      <w:sz w:val="18"/>
      <w:szCs w:val="18"/>
    </w:rPr>
  </w:style>
  <w:style w:type="character" w:customStyle="1" w:styleId="64">
    <w:name w:val="gb-jt"/>
    <w:basedOn w:val="23"/>
    <w:uiPriority w:val="0"/>
  </w:style>
  <w:style w:type="character" w:customStyle="1" w:styleId="65">
    <w:name w:val="hover25"/>
    <w:basedOn w:val="23"/>
    <w:qFormat/>
    <w:uiPriority w:val="0"/>
  </w:style>
  <w:style w:type="character" w:customStyle="1" w:styleId="66">
    <w:name w:val="blue"/>
    <w:basedOn w:val="23"/>
    <w:qFormat/>
    <w:uiPriority w:val="0"/>
    <w:rPr>
      <w:color w:val="0371C6"/>
      <w:sz w:val="21"/>
      <w:szCs w:val="21"/>
    </w:rPr>
  </w:style>
  <w:style w:type="character" w:customStyle="1" w:styleId="67">
    <w:name w:val="right"/>
    <w:basedOn w:val="23"/>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2</TotalTime>
  <ScaleCrop>false</ScaleCrop>
  <LinksUpToDate>false</LinksUpToDate>
  <CharactersWithSpaces>43211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2018-12-28T07:02:00Z</cp:lastPrinted>
  <dcterms:modified xsi:type="dcterms:W3CDTF">2019-01-03T07:23:40Z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