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t>技术方案</w:t>
      </w:r>
    </w:p>
    <w:p>
      <w:pPr>
        <w:pStyle w:val="4"/>
        <w:rPr>
          <w:rFonts w:asciiTheme="minorEastAsia" w:hAnsiTheme="minorEastAsia" w:eastAsiaTheme="minorEastAsia" w:cstheme="minorEastAsia"/>
          <w:color w:val="000000"/>
          <w:sz w:val="28"/>
          <w:szCs w:val="28"/>
        </w:rPr>
      </w:pPr>
      <w:bookmarkStart w:id="0" w:name="_Toc494194648"/>
      <w:r>
        <w:rPr>
          <w:rFonts w:hint="eastAsia" w:asciiTheme="minorEastAsia" w:hAnsiTheme="minorEastAsia" w:eastAsiaTheme="minorEastAsia" w:cstheme="minorEastAsia"/>
          <w:color w:val="000000"/>
        </w:rPr>
        <w:t>1、</w:t>
      </w:r>
      <w:r>
        <w:rPr>
          <w:rFonts w:hint="eastAsia" w:asciiTheme="minorEastAsia" w:hAnsiTheme="minorEastAsia" w:eastAsiaTheme="minorEastAsia" w:cstheme="minorEastAsia"/>
          <w:color w:val="000000"/>
          <w:sz w:val="28"/>
          <w:szCs w:val="28"/>
        </w:rPr>
        <w:t>中建政研简介</w:t>
      </w:r>
      <w:bookmarkEnd w:id="0"/>
      <w:bookmarkStart w:id="1" w:name="_Toc494194649"/>
    </w:p>
    <w:p>
      <w:pPr>
        <w:spacing w:line="360" w:lineRule="auto"/>
        <w:ind w:firstLine="560" w:firstLineChars="200"/>
        <w:rPr>
          <w:rFonts w:asciiTheme="minorEastAsia" w:hAnsiTheme="minorEastAsia" w:eastAsiaTheme="minorEastAsia" w:cstheme="minorEastAsia"/>
          <w:bCs/>
          <w:color w:val="000000"/>
          <w:sz w:val="28"/>
        </w:rPr>
      </w:pPr>
      <w:r>
        <w:rPr>
          <w:rFonts w:hint="eastAsia" w:asciiTheme="minorEastAsia" w:hAnsiTheme="minorEastAsia" w:eastAsiaTheme="minorEastAsia" w:cstheme="minorEastAsia"/>
          <w:bCs/>
          <w:color w:val="000000"/>
          <w:sz w:val="28"/>
        </w:rPr>
        <w:t>（一）公司简介</w:t>
      </w:r>
      <w:bookmarkEnd w:id="1"/>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北京中建政研信息咨询中心以住房和城乡建设部政策研究中心为依托，于2004年正式成立。中心自成立伊始，即致力于为行业搭建立体性、全方位综合服务平台，成为行业资源与信息交流对接的平台；中建政研始终同相关政府部门、社团组织、科研单位、大型企业保持着广泛联系与合作。由政府官员、研究学者、行业专家组成专家委员会，使中心拥有了一批专业理论强、实践经验丰富的专家及顾问队伍。如今，中建政研已经成为基建工程领域咨询与服务第一品牌，并位列由中国企业联合会发布的“2017中国管理咨询机构50大”前十名。目前已形成业内独有的“咨询+培训+资本+资源”综合运营服务体系，为客户提供一体化、系统集成解决方案，倾力打造行业“生态圈”。</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中建政研顺应国家关于国有企业改革、平台公司转型及PPP相关政策走势，整合优质专家为国内各地政府和企业提供国有企业改革、平台公司及事业单位改革、PPP项目管理咨询服务，取得显著成绩。中建政研及其成员机构（中建政研工程咨询公司、海方格投资咨询公司、星云基金等）凭借庞大的专家资源和经验丰富的团队，至今已累计为数十个平台公司转型项目提供了相关的咨询服务，逐步成长为国内平台公司转型最为权威的咨询机构之一。</w:t>
      </w:r>
    </w:p>
    <w:p>
      <w:pPr>
        <w:spacing w:line="360" w:lineRule="auto"/>
        <w:ind w:firstLine="560" w:firstLineChars="200"/>
        <w:rPr>
          <w:rFonts w:asciiTheme="minorEastAsia" w:hAnsiTheme="minorEastAsia" w:eastAsiaTheme="minorEastAsia" w:cstheme="minorEastAsia"/>
          <w:bCs/>
          <w:color w:val="000000"/>
          <w:sz w:val="28"/>
        </w:rPr>
      </w:pPr>
      <w:bookmarkStart w:id="2" w:name="_Toc494194650"/>
      <w:r>
        <w:rPr>
          <w:rFonts w:hint="eastAsia" w:asciiTheme="minorEastAsia" w:hAnsiTheme="minorEastAsia" w:eastAsiaTheme="minorEastAsia" w:cstheme="minorEastAsia"/>
          <w:bCs/>
          <w:color w:val="000000"/>
          <w:sz w:val="28"/>
        </w:rPr>
        <w:t>（二）我们的核心优势</w:t>
      </w:r>
      <w:bookmarkEnd w:id="2"/>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中建政研对于项目的理解，不仅仅停留在项目本身，更多地是经营资源、经营客户；因此，我们以最大的专家队伍投入保证项目的100%成功，以期培养长期关系型客户资源。</w:t>
      </w:r>
    </w:p>
    <w:p>
      <w:pPr>
        <w:spacing w:line="360" w:lineRule="auto"/>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我们的核心优势在于：</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行业经验：中建政研以住房和城乡建设部政策研究中心为依托，同财政部、发改委、国资委等部位研究机构保持长期合作关系，致力于国有企业特别是平台公司系统性解决方案。我们的客户以地方国有企业、平台公司为主，项目成员也多数具备国有企业、平台公司领域实体或咨询相关经验。</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专业优势：中建政研在人力资源管理领域具备丰富的经验，团队成员多数具备企业战略、人力资源管理相关工作经历，其中不乏全球顶尖人力资源咨询公司服务经验的项目经理。</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相关项目经验：中建政研人力资源团队先后主导上百个地方投融资平台公司、国有企业的转型咨询项目，涉及到人力资源战略规划、薪酬、绩效、定岗定编、职业发展规划、员工培训、企业文化等核心领域，具有相对项目优势。</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服务理念：我们咨询服务的基本目的：传播一套理念，教授一套方法，培养一批队伍，搭建一个体系，形成统一思想。我们不仅关注咨询服务本身的价值，同时将专业化服务延伸到方案落地，几乎所有项目都是和客户共同来执行。</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 xml:space="preserve">长期聚焦服务优势：中建政研管理咨询团队长期为客户免费提供长期咨询辅导、公开课、沙龙等一体化服务，保证项目成果的落地实施、动态调整。 </w:t>
      </w:r>
    </w:p>
    <w:p>
      <w:pPr>
        <w:rPr>
          <w:rFonts w:asciiTheme="minorEastAsia" w:hAnsiTheme="minorEastAsia" w:eastAsiaTheme="minorEastAsia" w:cstheme="minorEastAsia"/>
        </w:rPr>
      </w:pPr>
      <w:bookmarkStart w:id="3" w:name="_Toc494194651"/>
      <w:r>
        <w:rPr>
          <w:rFonts w:hint="eastAsia" w:asciiTheme="minorEastAsia" w:hAnsiTheme="minorEastAsia" w:eastAsiaTheme="minorEastAsia" w:cstheme="minorEastAsia"/>
        </w:rPr>
        <w:br w:type="page"/>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2、服务核心内容</w:t>
      </w:r>
      <w:bookmarkEnd w:id="3"/>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根据与鄢陵县政通投资集团初步沟通，考虑公司发展阶段，将工作内容划分为五大模块，各模块进度根据实际情况交叉进行。</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核心目标为通过对鄢陵县政通投资集团现状及未来方向进行系统梳理和分析，对公司未来转型发展、政企关系规范化、公司治理及组织管控、人才管理体系及后期辅导落地等几个阶段进行咨询。</w:t>
      </w:r>
    </w:p>
    <w:p>
      <w:pPr>
        <w:spacing w:line="360" w:lineRule="auto"/>
        <w:ind w:firstLine="562" w:firstLineChars="200"/>
        <w:rPr>
          <w:rFonts w:asciiTheme="minorEastAsia" w:hAnsiTheme="minorEastAsia" w:eastAsiaTheme="minorEastAsia" w:cstheme="minorEastAsia"/>
          <w:b/>
          <w:color w:val="000000"/>
          <w:sz w:val="28"/>
        </w:rPr>
      </w:pPr>
      <w:r>
        <w:rPr>
          <w:rFonts w:hint="eastAsia" w:asciiTheme="minorEastAsia" w:hAnsiTheme="minorEastAsia" w:eastAsiaTheme="minorEastAsia" w:cstheme="minorEastAsia"/>
          <w:b/>
          <w:color w:val="000000"/>
          <w:sz w:val="28"/>
        </w:rPr>
        <w:t>第一模块：</w:t>
      </w:r>
      <w:r>
        <w:rPr>
          <w:rFonts w:hint="eastAsia" w:asciiTheme="minorEastAsia" w:hAnsiTheme="minorEastAsia" w:eastAsiaTheme="minorEastAsia" w:cstheme="minorEastAsia"/>
          <w:b/>
          <w:bCs/>
          <w:color w:val="000000"/>
          <w:sz w:val="28"/>
        </w:rPr>
        <w:t>集团转型方案设计（约2个月）</w:t>
      </w:r>
    </w:p>
    <w:p>
      <w:pPr>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1.调研诊断。</w:t>
      </w:r>
      <w:r>
        <w:rPr>
          <w:rFonts w:hint="eastAsia" w:asciiTheme="minorEastAsia" w:hAnsiTheme="minorEastAsia" w:eastAsiaTheme="minorEastAsia" w:cstheme="minorEastAsia"/>
          <w:b w:val="0"/>
          <w:bCs/>
          <w:color w:val="000000"/>
          <w:sz w:val="24"/>
        </w:rPr>
        <w:t>对集团业务进行系统调研，集团和子公司业务情况、经营情况、管理现状等进行重点调研与梳理分析。</w:t>
      </w:r>
    </w:p>
    <w:p>
      <w:pPr>
        <w:spacing w:line="36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2.环境分析。</w:t>
      </w:r>
      <w:r>
        <w:rPr>
          <w:rFonts w:hint="eastAsia" w:asciiTheme="minorEastAsia" w:hAnsiTheme="minorEastAsia" w:eastAsiaTheme="minorEastAsia" w:cstheme="minorEastAsia"/>
          <w:color w:val="000000"/>
          <w:sz w:val="24"/>
        </w:rPr>
        <w:t>对鄢陵县域（包含经济技术开发区）发展环境、未来城市发展规划、项目建设规划、融资环境等进行分析研究，理清区域发展需求。</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rPr>
        <w:t>3.债务处置。</w:t>
      </w:r>
      <w:r>
        <w:rPr>
          <w:rFonts w:hint="eastAsia" w:asciiTheme="minorEastAsia" w:hAnsiTheme="minorEastAsia" w:eastAsiaTheme="minorEastAsia" w:cstheme="minorEastAsia"/>
          <w:color w:val="000000"/>
          <w:sz w:val="24"/>
        </w:rPr>
        <w:t>对公司债务进行深入调研分析，分类化解：属于政府应承担的债务，与相关部委进行沟通协调，签订化解方案和还款计划；属于企业间借款的债务，与相关企业签订偿还计划，必要时可申请律师介入。债务处置完成后，发布不再承担政府债务的公告，实现企业身份的市场化转型。</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4.确定集团战略定位及战略规划。</w:t>
      </w:r>
      <w:r>
        <w:rPr>
          <w:rFonts w:hint="eastAsia" w:asciiTheme="minorEastAsia" w:hAnsiTheme="minorEastAsia" w:eastAsiaTheme="minorEastAsia" w:cstheme="minorEastAsia"/>
          <w:color w:val="000000"/>
          <w:sz w:val="24"/>
        </w:rPr>
        <w:t>根据调研诊断、环境分析及业务梳理，编制集团总体战略定位及战略规划报告（包含产业布局规划和资产资源配置规划），确定集团战略目标、战略支持策略</w:t>
      </w:r>
      <w:r>
        <w:rPr>
          <w:rFonts w:hint="eastAsia" w:asciiTheme="minorEastAsia" w:hAnsiTheme="minorEastAsia" w:eastAsiaTheme="minorEastAsia" w:cstheme="minorEastAsia"/>
          <w:color w:val="000000"/>
          <w:sz w:val="24"/>
          <w:lang w:val="en-US" w:eastAsia="zh-CN"/>
        </w:rPr>
        <w:t>等</w:t>
      </w:r>
      <w:r>
        <w:rPr>
          <w:rFonts w:hint="eastAsia" w:asciiTheme="minorEastAsia" w:hAnsiTheme="minorEastAsia" w:eastAsiaTheme="minorEastAsia" w:cstheme="minorEastAsia"/>
          <w:color w:val="000000"/>
          <w:sz w:val="24"/>
        </w:rPr>
        <w:t>，确保各板块业务能正常运转，可持续发展，获得社会效益和经济效益的双赢。</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5.搭建战略保障体系。</w:t>
      </w:r>
      <w:r>
        <w:rPr>
          <w:rFonts w:hint="eastAsia" w:asciiTheme="minorEastAsia" w:hAnsiTheme="minorEastAsia" w:eastAsiaTheme="minorEastAsia" w:cstheme="minorEastAsia"/>
          <w:color w:val="000000"/>
          <w:sz w:val="24"/>
        </w:rPr>
        <w:t>基于集团战略形成战略保障体系，包含组织管控保障体系、项目管理保障体系、投融资保障体系、人力资源管理保障体系、党群保障体系、监察保障体系、企业文化保障体系等。</w:t>
      </w:r>
    </w:p>
    <w:p>
      <w:pPr>
        <w:spacing w:line="360" w:lineRule="auto"/>
        <w:ind w:firstLine="562" w:firstLineChars="200"/>
        <w:rPr>
          <w:rFonts w:asciiTheme="minorEastAsia" w:hAnsiTheme="minorEastAsia" w:eastAsiaTheme="minorEastAsia" w:cstheme="minorEastAsia"/>
          <w:b/>
          <w:color w:val="000000"/>
          <w:sz w:val="28"/>
        </w:rPr>
      </w:pPr>
      <w:r>
        <w:rPr>
          <w:rFonts w:hint="eastAsia" w:asciiTheme="minorEastAsia" w:hAnsiTheme="minorEastAsia" w:eastAsiaTheme="minorEastAsia" w:cstheme="minorEastAsia"/>
          <w:b/>
          <w:color w:val="000000"/>
          <w:sz w:val="28"/>
        </w:rPr>
        <w:t>第二模块：政企关系规范化</w:t>
      </w:r>
      <w:r>
        <w:rPr>
          <w:rFonts w:hint="eastAsia" w:asciiTheme="minorEastAsia" w:hAnsiTheme="minorEastAsia" w:eastAsiaTheme="minorEastAsia" w:cstheme="minorEastAsia"/>
          <w:b/>
          <w:bCs/>
          <w:color w:val="000000"/>
          <w:sz w:val="28"/>
        </w:rPr>
        <w:t>（约1个月）</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1.明确国有资产管理职责。</w:t>
      </w:r>
      <w:r>
        <w:rPr>
          <w:rFonts w:hint="eastAsia" w:asciiTheme="minorEastAsia" w:hAnsiTheme="minorEastAsia" w:eastAsiaTheme="minorEastAsia" w:cstheme="minorEastAsia"/>
          <w:color w:val="000000"/>
          <w:sz w:val="24"/>
        </w:rPr>
        <w:t>根据国有资产管理的相关政策、法规，明确国有资产管理职责，在依法授权范围内充分发挥鄢陵县政通投资集团自主决策权。</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2.三重一大”重要事项的规定范围。</w:t>
      </w:r>
      <w:r>
        <w:rPr>
          <w:rFonts w:hint="eastAsia" w:asciiTheme="minorEastAsia" w:hAnsiTheme="minorEastAsia" w:eastAsiaTheme="minorEastAsia" w:cstheme="minorEastAsia"/>
          <w:color w:val="000000"/>
          <w:sz w:val="24"/>
        </w:rPr>
        <w:t>根据国有企业管理相关政策、法规，明确“三重一大”重要事项的规定范围，促使管理规范、效率优先。</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3.经营考核等方面的管理机制。</w:t>
      </w:r>
      <w:r>
        <w:rPr>
          <w:rFonts w:hint="eastAsia" w:asciiTheme="minorEastAsia" w:hAnsiTheme="minorEastAsia" w:eastAsiaTheme="minorEastAsia" w:cstheme="minorEastAsia"/>
          <w:color w:val="000000"/>
          <w:sz w:val="24"/>
        </w:rPr>
        <w:t>以政企分开、政资分开、政事分开、政社分开为原则，完善国资管理部门对县政府国有资产使用公司的经营考核等方面的管理机制，积极发挥企业的积极性。</w:t>
      </w:r>
    </w:p>
    <w:p>
      <w:pPr>
        <w:spacing w:line="360" w:lineRule="auto"/>
        <w:rPr>
          <w:rFonts w:asciiTheme="minorEastAsia" w:hAnsiTheme="minorEastAsia" w:eastAsiaTheme="minorEastAsia" w:cstheme="minorEastAsia"/>
          <w:b/>
          <w:bCs/>
          <w:color w:val="000000"/>
          <w:sz w:val="28"/>
        </w:rPr>
      </w:pPr>
      <w:r>
        <w:rPr>
          <w:rFonts w:hint="eastAsia" w:asciiTheme="minorEastAsia" w:hAnsiTheme="minorEastAsia" w:eastAsiaTheme="minorEastAsia" w:cstheme="minorEastAsia"/>
          <w:b/>
          <w:bCs/>
          <w:color w:val="000000"/>
          <w:sz w:val="28"/>
        </w:rPr>
        <w:t>第三模块：法人治理结构、组织管控体系（约1个月）</w:t>
      </w:r>
    </w:p>
    <w:p>
      <w:pPr>
        <w:numPr>
          <w:ilvl w:val="0"/>
          <w:numId w:val="1"/>
        </w:numPr>
        <w:spacing w:line="36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母子公司运营架构体系设计。</w:t>
      </w:r>
    </w:p>
    <w:p>
      <w:pPr>
        <w:numPr>
          <w:numId w:val="0"/>
        </w:numPr>
        <w:spacing w:line="360" w:lineRule="auto"/>
        <w:ind w:firstLine="482" w:firstLineChars="200"/>
      </w:pPr>
      <w:r>
        <w:rPr>
          <w:rFonts w:hint="eastAsia" w:asciiTheme="minorEastAsia" w:hAnsiTheme="minorEastAsia" w:eastAsiaTheme="minorEastAsia" w:cstheme="minorEastAsia"/>
          <w:b/>
          <w:color w:val="000000"/>
          <w:sz w:val="24"/>
        </w:rPr>
        <w:t>2.集团部门架构体系设计。</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3.公司法人治理结构设计。</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4.设计集团层面权责管理体系</w:t>
      </w:r>
      <w:r>
        <w:rPr>
          <w:rFonts w:hint="eastAsia" w:asciiTheme="minorEastAsia" w:hAnsiTheme="minorEastAsia" w:eastAsiaTheme="minorEastAsia" w:cstheme="minorEastAsia"/>
          <w:color w:val="000000"/>
          <w:sz w:val="24"/>
        </w:rPr>
        <w:t>。</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5、设计母公司与子公司之间的权责体系。</w:t>
      </w:r>
    </w:p>
    <w:p>
      <w:pPr>
        <w:spacing w:line="360" w:lineRule="auto"/>
        <w:rPr>
          <w:rFonts w:asciiTheme="minorEastAsia" w:hAnsiTheme="minorEastAsia" w:eastAsiaTheme="minorEastAsia" w:cstheme="minorEastAsia"/>
          <w:b/>
          <w:bCs/>
          <w:color w:val="000000"/>
          <w:sz w:val="28"/>
        </w:rPr>
      </w:pPr>
      <w:r>
        <w:rPr>
          <w:rFonts w:hint="eastAsia" w:asciiTheme="minorEastAsia" w:hAnsiTheme="minorEastAsia" w:eastAsiaTheme="minorEastAsia" w:cstheme="minorEastAsia"/>
          <w:b/>
          <w:bCs/>
          <w:color w:val="000000"/>
          <w:sz w:val="28"/>
        </w:rPr>
        <w:t>第四模块：人力资源管理体系（约2个月）</w:t>
      </w:r>
    </w:p>
    <w:p>
      <w:pPr>
        <w:spacing w:line="360" w:lineRule="auto"/>
        <w:rPr>
          <w:rFonts w:asciiTheme="minorEastAsia" w:hAnsiTheme="minorEastAsia" w:eastAsiaTheme="minorEastAsia" w:cstheme="minorEastAsia"/>
          <w:b/>
          <w:bCs/>
          <w:color w:val="000000"/>
          <w:sz w:val="28"/>
        </w:rPr>
      </w:pPr>
      <w:r>
        <w:rPr>
          <w:rFonts w:hint="eastAsia" w:asciiTheme="minorEastAsia" w:hAnsiTheme="minorEastAsia" w:eastAsiaTheme="minorEastAsia" w:cstheme="minorEastAsia"/>
          <w:b/>
          <w:bCs/>
          <w:color w:val="000000"/>
          <w:sz w:val="28"/>
        </w:rPr>
        <w:t>薪酬管理体系设计（约1个月）</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1.建立集团薪酬管理体系。</w:t>
      </w:r>
      <w:r>
        <w:rPr>
          <w:rFonts w:hint="eastAsia" w:asciiTheme="minorEastAsia" w:hAnsiTheme="minorEastAsia" w:eastAsiaTheme="minorEastAsia" w:cstheme="minorEastAsia"/>
          <w:color w:val="000000"/>
          <w:sz w:val="24"/>
        </w:rPr>
        <w:t>综合考虑集团现有薪酬管理体系以及市场化运行下薪酬水平和方式，以市场化为导向进行集团整体薪酬管理体系设计，在调查分析各岗位在薪资市场上薪资水平的基础上，结合职位评价结果，对公司员工薪酬管理制度、薪酬水平、薪酬结构等要素进行重新梳理与设计，建立适合集团公司发展阶段的薪酬管理体系，激发员工的工作热情。</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2.规范子公司高管薪酬管理体系。</w:t>
      </w:r>
      <w:r>
        <w:rPr>
          <w:rFonts w:hint="eastAsia" w:asciiTheme="minorEastAsia" w:hAnsiTheme="minorEastAsia" w:eastAsiaTheme="minorEastAsia" w:cstheme="minorEastAsia"/>
          <w:color w:val="000000"/>
          <w:sz w:val="24"/>
        </w:rPr>
        <w:t>根据各子公司业务特点，通过企业价值评估，设计子公司高管薪酬标准和薪酬结构，规范子公司高管薪酬管理体系。</w:t>
      </w:r>
    </w:p>
    <w:p>
      <w:pPr>
        <w:spacing w:line="360" w:lineRule="auto"/>
        <w:rPr>
          <w:rFonts w:asciiTheme="minorEastAsia" w:hAnsiTheme="minorEastAsia" w:eastAsiaTheme="minorEastAsia" w:cstheme="minorEastAsia"/>
          <w:b/>
          <w:bCs/>
          <w:color w:val="000000"/>
          <w:sz w:val="28"/>
        </w:rPr>
      </w:pPr>
      <w:r>
        <w:rPr>
          <w:rFonts w:hint="eastAsia" w:asciiTheme="minorEastAsia" w:hAnsiTheme="minorEastAsia" w:eastAsiaTheme="minorEastAsia" w:cstheme="minorEastAsia"/>
          <w:b/>
          <w:bCs/>
          <w:color w:val="000000"/>
          <w:sz w:val="28"/>
        </w:rPr>
        <w:t>绩效管理体系设计（约1个月）</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1.建立母子公司目标经营考核体系。</w:t>
      </w:r>
      <w:r>
        <w:rPr>
          <w:rFonts w:hint="eastAsia" w:asciiTheme="minorEastAsia" w:hAnsiTheme="minorEastAsia" w:eastAsiaTheme="minorEastAsia" w:cstheme="minorEastAsia"/>
          <w:color w:val="000000"/>
          <w:sz w:val="24"/>
        </w:rPr>
        <w:t>建立集团对下属子公司的经营考核考核体系，通过设计以目标经营责任书为主体的综合性绩效考核体系，实现集团公司对下属子公司的有效把控。</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2.建立集团各部门和岗位的绩效管理体系。</w:t>
      </w:r>
      <w:r>
        <w:rPr>
          <w:rFonts w:hint="eastAsia" w:asciiTheme="minorEastAsia" w:hAnsiTheme="minorEastAsia" w:eastAsiaTheme="minorEastAsia" w:cstheme="minorEastAsia"/>
          <w:bCs/>
          <w:color w:val="000000"/>
          <w:sz w:val="24"/>
        </w:rPr>
        <w:t>根据集团公司各部门和岗位绩效管理的实际需要，结合同类公司绩效管理的实践案例，</w:t>
      </w:r>
      <w:r>
        <w:rPr>
          <w:rFonts w:hint="eastAsia" w:asciiTheme="minorEastAsia" w:hAnsiTheme="minorEastAsia" w:eastAsiaTheme="minorEastAsia" w:cstheme="minorEastAsia"/>
          <w:color w:val="000000"/>
          <w:sz w:val="24"/>
        </w:rPr>
        <w:t>设计集团公司各部门和主要管理岗位的绩效管理体系，达到集团战略规划目标的落地实施。</w:t>
      </w:r>
    </w:p>
    <w:p>
      <w:pPr>
        <w:spacing w:line="360" w:lineRule="auto"/>
        <w:rPr>
          <w:rFonts w:asciiTheme="minorEastAsia" w:hAnsiTheme="minorEastAsia" w:eastAsiaTheme="minorEastAsia" w:cstheme="minorEastAsia"/>
          <w:b/>
          <w:bCs/>
          <w:color w:val="000000"/>
          <w:sz w:val="28"/>
        </w:rPr>
      </w:pPr>
      <w:r>
        <w:rPr>
          <w:rFonts w:hint="eastAsia" w:asciiTheme="minorEastAsia" w:hAnsiTheme="minorEastAsia" w:eastAsiaTheme="minorEastAsia" w:cstheme="minorEastAsia"/>
          <w:b/>
          <w:bCs/>
          <w:color w:val="000000"/>
          <w:sz w:val="28"/>
        </w:rPr>
        <w:t>招聘体系搭建（约1个月）</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1.建立集团招聘体系。</w:t>
      </w:r>
      <w:r>
        <w:rPr>
          <w:rFonts w:hint="eastAsia" w:asciiTheme="minorEastAsia" w:hAnsiTheme="minorEastAsia" w:eastAsiaTheme="minorEastAsia" w:cstheme="minorEastAsia"/>
          <w:color w:val="000000"/>
          <w:sz w:val="24"/>
        </w:rPr>
        <w:t>建立市场化的招聘体系，拓宽招聘渠道，树立集团公司在人才市场上的品牌优势。</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2.编制招聘制度及表单。</w:t>
      </w:r>
      <w:r>
        <w:rPr>
          <w:rFonts w:hint="eastAsia" w:asciiTheme="minorEastAsia" w:hAnsiTheme="minorEastAsia" w:eastAsiaTheme="minorEastAsia" w:cstheme="minorEastAsia"/>
          <w:bCs/>
          <w:color w:val="000000"/>
          <w:sz w:val="24"/>
        </w:rPr>
        <w:t>根据集团公司人才招聘管理的实际需要，结合同类公司招聘体系建设的实践案例，编制</w:t>
      </w:r>
      <w:r>
        <w:rPr>
          <w:rFonts w:hint="eastAsia" w:asciiTheme="minorEastAsia" w:hAnsiTheme="minorEastAsia" w:eastAsiaTheme="minorEastAsia" w:cstheme="minorEastAsia"/>
          <w:color w:val="000000"/>
          <w:sz w:val="24"/>
        </w:rPr>
        <w:t>集团公司人才招聘管理制度，满足集团快速成长对优秀人才的招聘需求。</w:t>
      </w:r>
    </w:p>
    <w:p>
      <w:pPr>
        <w:spacing w:line="360" w:lineRule="auto"/>
        <w:rPr>
          <w:rFonts w:asciiTheme="minorEastAsia" w:hAnsiTheme="minorEastAsia" w:eastAsiaTheme="minorEastAsia" w:cstheme="minorEastAsia"/>
          <w:b/>
          <w:bCs/>
          <w:color w:val="000000"/>
          <w:sz w:val="28"/>
        </w:rPr>
      </w:pPr>
      <w:r>
        <w:rPr>
          <w:rFonts w:hint="eastAsia" w:asciiTheme="minorEastAsia" w:hAnsiTheme="minorEastAsia" w:eastAsiaTheme="minorEastAsia" w:cstheme="minorEastAsia"/>
          <w:b/>
          <w:bCs/>
          <w:color w:val="000000"/>
          <w:sz w:val="28"/>
        </w:rPr>
        <w:t>培训体系搭建（约1个月）</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1.建立集团人才培养体系。</w:t>
      </w:r>
      <w:r>
        <w:rPr>
          <w:rFonts w:hint="eastAsia" w:asciiTheme="minorEastAsia" w:hAnsiTheme="minorEastAsia" w:eastAsiaTheme="minorEastAsia" w:cstheme="minorEastAsia"/>
          <w:color w:val="000000"/>
          <w:sz w:val="24"/>
        </w:rPr>
        <w:t>建立集团人才培养体系，构建规范化、制度化的人才培养运作体系。</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2.编制人才培养制度、培训课程体系及管理表单。</w:t>
      </w:r>
      <w:r>
        <w:rPr>
          <w:rFonts w:hint="eastAsia" w:asciiTheme="minorEastAsia" w:hAnsiTheme="minorEastAsia" w:eastAsiaTheme="minorEastAsia" w:cstheme="minorEastAsia"/>
          <w:bCs/>
          <w:color w:val="000000"/>
          <w:sz w:val="24"/>
        </w:rPr>
        <w:t>根据集团公司人才培养的实际需要，结合同类公司人才培养体系建设的实践案例，编制</w:t>
      </w:r>
      <w:r>
        <w:rPr>
          <w:rFonts w:hint="eastAsia" w:asciiTheme="minorEastAsia" w:hAnsiTheme="minorEastAsia" w:eastAsiaTheme="minorEastAsia" w:cstheme="minorEastAsia"/>
          <w:color w:val="000000"/>
          <w:sz w:val="24"/>
        </w:rPr>
        <w:t>集团公司人才培养管理制度，提升集团公司人才培养的规范化与制度化水平，满足集团所需。</w:t>
      </w:r>
    </w:p>
    <w:p>
      <w:pPr>
        <w:spacing w:line="360" w:lineRule="auto"/>
        <w:rPr>
          <w:rFonts w:asciiTheme="minorEastAsia" w:hAnsiTheme="minorEastAsia" w:eastAsiaTheme="minorEastAsia" w:cstheme="minorEastAsia"/>
          <w:b/>
          <w:bCs/>
          <w:color w:val="000000"/>
          <w:sz w:val="28"/>
        </w:rPr>
      </w:pPr>
      <w:r>
        <w:rPr>
          <w:rFonts w:hint="eastAsia" w:asciiTheme="minorEastAsia" w:hAnsiTheme="minorEastAsia" w:eastAsiaTheme="minorEastAsia" w:cstheme="minorEastAsia"/>
          <w:b/>
          <w:bCs/>
          <w:color w:val="000000"/>
          <w:sz w:val="28"/>
        </w:rPr>
        <w:t>制度体系细化方案（约1个月）</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1.建立集团制度体系细化方案。</w:t>
      </w:r>
      <w:r>
        <w:rPr>
          <w:rFonts w:hint="eastAsia" w:asciiTheme="minorEastAsia" w:hAnsiTheme="minorEastAsia" w:eastAsiaTheme="minorEastAsia" w:cstheme="minorEastAsia"/>
          <w:color w:val="000000"/>
          <w:sz w:val="24"/>
        </w:rPr>
        <w:t>建立集团制度管理体系以及各部门规章制度清单，构建规范化、集约化的现代企业管理的制度体系。</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2.编制各部门规章制度。</w:t>
      </w:r>
      <w:r>
        <w:rPr>
          <w:rFonts w:hint="eastAsia" w:asciiTheme="minorEastAsia" w:hAnsiTheme="minorEastAsia" w:eastAsiaTheme="minorEastAsia" w:cstheme="minorEastAsia"/>
          <w:bCs/>
          <w:color w:val="000000"/>
          <w:sz w:val="24"/>
        </w:rPr>
        <w:t>根据集团公司各部门运营管理的实际需要，结合同类公司现代企业制度建设的实践案例，编制</w:t>
      </w:r>
      <w:r>
        <w:rPr>
          <w:rFonts w:hint="eastAsia" w:asciiTheme="minorEastAsia" w:hAnsiTheme="minorEastAsia" w:eastAsiaTheme="minorEastAsia" w:cstheme="minorEastAsia"/>
          <w:color w:val="000000"/>
          <w:sz w:val="24"/>
        </w:rPr>
        <w:t>集团公司各部门的规章制度，，降低集团公司的经营风险、长久高效运营的目的。</w:t>
      </w:r>
    </w:p>
    <w:p>
      <w:pPr>
        <w:spacing w:line="360" w:lineRule="auto"/>
        <w:rPr>
          <w:rFonts w:asciiTheme="minorEastAsia" w:hAnsiTheme="minorEastAsia" w:eastAsiaTheme="minorEastAsia" w:cstheme="minorEastAsia"/>
          <w:b/>
          <w:bCs/>
          <w:color w:val="000000"/>
          <w:sz w:val="28"/>
        </w:rPr>
      </w:pPr>
      <w:bookmarkStart w:id="7" w:name="_GoBack"/>
      <w:bookmarkEnd w:id="7"/>
      <w:r>
        <w:rPr>
          <w:rFonts w:hint="eastAsia" w:asciiTheme="minorEastAsia" w:hAnsiTheme="minorEastAsia" w:eastAsiaTheme="minorEastAsia" w:cstheme="minorEastAsia"/>
          <w:b/>
          <w:bCs/>
          <w:color w:val="000000"/>
          <w:sz w:val="28"/>
        </w:rPr>
        <w:t>第五模块：集团转型辅导培训阶段（约6个月）</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中建政研认为，项目成果的长期跟踪服务是项目成果的关键一步。</w:t>
      </w:r>
      <w:r>
        <w:rPr>
          <w:rFonts w:hint="eastAsia" w:asciiTheme="minorEastAsia" w:hAnsiTheme="minorEastAsia" w:eastAsiaTheme="minorEastAsia" w:cstheme="minorEastAsia"/>
          <w:b/>
          <w:bCs/>
          <w:color w:val="000000"/>
          <w:sz w:val="24"/>
        </w:rPr>
        <w:t>中建政研长期为客户提供系统的辅导培训、跟踪服务，以保证项目成果的最终落地实施，这也是我们区别于其他咨询公司的核心竞争力之一。</w:t>
      </w:r>
      <w:r>
        <w:rPr>
          <w:rFonts w:hint="eastAsia" w:asciiTheme="minorEastAsia" w:hAnsiTheme="minorEastAsia" w:eastAsiaTheme="minorEastAsia" w:cstheme="minorEastAsia"/>
          <w:color w:val="000000"/>
          <w:sz w:val="24"/>
        </w:rPr>
        <w:t>在项目落地实施辅导阶段，我们将为集团提供持续的辅导培训服务，其主要内容包括：</w:t>
      </w:r>
    </w:p>
    <w:p>
      <w:pPr>
        <w:tabs>
          <w:tab w:val="left" w:pos="720"/>
        </w:tabs>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项目落地实施过程的现场辅导、沟通及专项研讨；</w:t>
      </w:r>
    </w:p>
    <w:p>
      <w:pPr>
        <w:numPr>
          <w:ilvl w:val="0"/>
          <w:numId w:val="2"/>
        </w:num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项目成果文件宣贯培训； </w:t>
      </w:r>
    </w:p>
    <w:p>
      <w:pPr>
        <w:numPr>
          <w:ilvl w:val="0"/>
          <w:numId w:val="2"/>
        </w:num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项目成果动态调整；</w:t>
      </w:r>
    </w:p>
    <w:p>
      <w:pPr>
        <w:numPr>
          <w:ilvl w:val="0"/>
          <w:numId w:val="2"/>
        </w:num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中建政研2019年度学习沙龙免费参与。</w:t>
      </w:r>
    </w:p>
    <w:p>
      <w:pPr>
        <w:numPr>
          <w:ilvl w:val="0"/>
          <w:numId w:val="2"/>
        </w:num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中建政研2019年度公开课程免费参与。</w:t>
      </w:r>
    </w:p>
    <w:p>
      <w:pPr>
        <w:rPr>
          <w:rFonts w:asciiTheme="minorEastAsia" w:hAnsiTheme="minorEastAsia" w:eastAsiaTheme="minorEastAsia" w:cstheme="minorEastAsia"/>
        </w:rPr>
      </w:pPr>
      <w:bookmarkStart w:id="4" w:name="_Toc494194652"/>
      <w:r>
        <w:rPr>
          <w:rFonts w:hint="eastAsia" w:asciiTheme="minorEastAsia" w:hAnsiTheme="minorEastAsia" w:eastAsiaTheme="minorEastAsia" w:cstheme="minorEastAsia"/>
        </w:rPr>
        <w:br w:type="page"/>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3、咨询项目运作管理</w:t>
      </w:r>
      <w:bookmarkEnd w:id="4"/>
      <w:r>
        <w:rPr>
          <w:rFonts w:hint="eastAsia" w:asciiTheme="minorEastAsia" w:hAnsiTheme="minorEastAsia" w:eastAsiaTheme="minorEastAsia" w:cstheme="minorEastAsia"/>
        </w:rPr>
        <w:t>（时间推进表）</w:t>
      </w:r>
    </w:p>
    <w:p>
      <w:pPr>
        <w:spacing w:line="360" w:lineRule="auto"/>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4"/>
        </w:rPr>
        <w:t>项目服务期限为1年，整体方案设计时间约个6月，其中各个模块工作可交叉进行；方案落地辅导服务时间约6个月。</w:t>
      </w:r>
    </w:p>
    <w:tbl>
      <w:tblPr>
        <w:tblStyle w:val="11"/>
        <w:tblpPr w:leftFromText="180" w:rightFromText="180" w:vertAnchor="text" w:horzAnchor="margin" w:tblpXSpec="center" w:tblpY="86"/>
        <w:tblW w:w="9464" w:type="dxa"/>
        <w:tblInd w:w="0" w:type="dxa"/>
        <w:tblLayout w:type="fixed"/>
        <w:tblCellMar>
          <w:top w:w="0" w:type="dxa"/>
          <w:left w:w="108" w:type="dxa"/>
          <w:bottom w:w="0" w:type="dxa"/>
          <w:right w:w="108" w:type="dxa"/>
        </w:tblCellMar>
      </w:tblPr>
      <w:tblGrid>
        <w:gridCol w:w="809"/>
        <w:gridCol w:w="1738"/>
        <w:gridCol w:w="809"/>
        <w:gridCol w:w="809"/>
        <w:gridCol w:w="809"/>
        <w:gridCol w:w="809"/>
        <w:gridCol w:w="809"/>
        <w:gridCol w:w="809"/>
        <w:gridCol w:w="809"/>
        <w:gridCol w:w="1254"/>
      </w:tblGrid>
      <w:tr>
        <w:tblPrEx>
          <w:tblLayout w:type="fixed"/>
          <w:tblCellMar>
            <w:top w:w="0" w:type="dxa"/>
            <w:left w:w="108" w:type="dxa"/>
            <w:bottom w:w="0" w:type="dxa"/>
            <w:right w:w="108" w:type="dxa"/>
          </w:tblCellMar>
        </w:tblPrEx>
        <w:trPr>
          <w:trHeight w:val="236" w:hRule="atLeast"/>
        </w:trPr>
        <w:tc>
          <w:tcPr>
            <w:tcW w:w="8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序号</w:t>
            </w:r>
          </w:p>
        </w:tc>
        <w:tc>
          <w:tcPr>
            <w:tcW w:w="1738"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项目阶段</w:t>
            </w:r>
          </w:p>
        </w:tc>
        <w:tc>
          <w:tcPr>
            <w:tcW w:w="80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项目周期</w:t>
            </w:r>
          </w:p>
        </w:tc>
        <w:tc>
          <w:tcPr>
            <w:tcW w:w="80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11月</w:t>
            </w:r>
          </w:p>
        </w:tc>
        <w:tc>
          <w:tcPr>
            <w:tcW w:w="80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12月</w:t>
            </w:r>
          </w:p>
        </w:tc>
        <w:tc>
          <w:tcPr>
            <w:tcW w:w="80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1月</w:t>
            </w:r>
          </w:p>
        </w:tc>
        <w:tc>
          <w:tcPr>
            <w:tcW w:w="80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2月</w:t>
            </w:r>
          </w:p>
        </w:tc>
        <w:tc>
          <w:tcPr>
            <w:tcW w:w="80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3月</w:t>
            </w:r>
          </w:p>
        </w:tc>
        <w:tc>
          <w:tcPr>
            <w:tcW w:w="80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4月</w:t>
            </w:r>
          </w:p>
        </w:tc>
        <w:tc>
          <w:tcPr>
            <w:tcW w:w="1254"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5月-10月</w:t>
            </w:r>
          </w:p>
        </w:tc>
      </w:tr>
      <w:tr>
        <w:tblPrEx>
          <w:tblLayout w:type="fixed"/>
          <w:tblCellMar>
            <w:top w:w="0" w:type="dxa"/>
            <w:left w:w="108" w:type="dxa"/>
            <w:bottom w:w="0" w:type="dxa"/>
            <w:right w:w="108" w:type="dxa"/>
          </w:tblCellMar>
        </w:tblPrEx>
        <w:trPr>
          <w:trHeight w:val="236"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一</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集团转型方案设计</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2个月</w:t>
            </w:r>
          </w:p>
        </w:tc>
        <w:tc>
          <w:tcPr>
            <w:tcW w:w="809"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125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r>
      <w:tr>
        <w:tblPrEx>
          <w:tblLayout w:type="fixed"/>
          <w:tblCellMar>
            <w:top w:w="0" w:type="dxa"/>
            <w:left w:w="108" w:type="dxa"/>
            <w:bottom w:w="0" w:type="dxa"/>
            <w:right w:w="108" w:type="dxa"/>
          </w:tblCellMar>
        </w:tblPrEx>
        <w:trPr>
          <w:trHeight w:val="236"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二</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政企关系规范化</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1个月</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125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r>
      <w:tr>
        <w:tblPrEx>
          <w:tblLayout w:type="fixed"/>
          <w:tblCellMar>
            <w:top w:w="0" w:type="dxa"/>
            <w:left w:w="108" w:type="dxa"/>
            <w:bottom w:w="0" w:type="dxa"/>
            <w:right w:w="108" w:type="dxa"/>
          </w:tblCellMar>
        </w:tblPrEx>
        <w:trPr>
          <w:trHeight w:val="471"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三</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法人治理结构、   组织管控体系</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1个月</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125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r>
      <w:tr>
        <w:tblPrEx>
          <w:tblLayout w:type="fixed"/>
          <w:tblCellMar>
            <w:top w:w="0" w:type="dxa"/>
            <w:left w:w="108" w:type="dxa"/>
            <w:bottom w:w="0" w:type="dxa"/>
            <w:right w:w="108" w:type="dxa"/>
          </w:tblCellMar>
        </w:tblPrEx>
        <w:trPr>
          <w:trHeight w:val="236"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四</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人力资源管理体系</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2个月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125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r>
      <w:tr>
        <w:tblPrEx>
          <w:tblLayout w:type="fixed"/>
          <w:tblCellMar>
            <w:top w:w="0" w:type="dxa"/>
            <w:left w:w="108" w:type="dxa"/>
            <w:bottom w:w="0" w:type="dxa"/>
            <w:right w:w="108" w:type="dxa"/>
          </w:tblCellMar>
        </w:tblPrEx>
        <w:trPr>
          <w:trHeight w:val="236"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4.1</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薪酬管理体系设计</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125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r>
      <w:tr>
        <w:tblPrEx>
          <w:tblLayout w:type="fixed"/>
          <w:tblCellMar>
            <w:top w:w="0" w:type="dxa"/>
            <w:left w:w="108" w:type="dxa"/>
            <w:bottom w:w="0" w:type="dxa"/>
            <w:right w:w="108" w:type="dxa"/>
          </w:tblCellMar>
        </w:tblPrEx>
        <w:trPr>
          <w:trHeight w:val="236"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4.2</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绩效管理体系设计</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548DD4"/>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1254" w:type="dxa"/>
            <w:tcBorders>
              <w:top w:val="nil"/>
              <w:left w:val="nil"/>
              <w:bottom w:val="single" w:color="auto" w:sz="4" w:space="0"/>
              <w:right w:val="single" w:color="auto" w:sz="4" w:space="0"/>
            </w:tcBorders>
            <w:noWrap/>
            <w:vAlign w:val="center"/>
          </w:tcPr>
          <w:p>
            <w:pPr>
              <w:pStyle w:val="2"/>
              <w:ind w:left="2250" w:hanging="1200"/>
              <w:rPr>
                <w:rFonts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236"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4.3</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制度体系细化方案</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p>
        </w:tc>
        <w:tc>
          <w:tcPr>
            <w:tcW w:w="1254" w:type="dxa"/>
            <w:tcBorders>
              <w:top w:val="nil"/>
              <w:left w:val="nil"/>
              <w:bottom w:val="single" w:color="auto" w:sz="4" w:space="0"/>
              <w:right w:val="single" w:color="auto" w:sz="4" w:space="0"/>
            </w:tcBorders>
            <w:noWrap/>
            <w:vAlign w:val="center"/>
          </w:tcPr>
          <w:p>
            <w:pPr>
              <w:pStyle w:val="2"/>
              <w:ind w:left="2250" w:hanging="1200"/>
              <w:rPr>
                <w:rFonts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236"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4.4</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人才招聘体系搭建</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p>
        </w:tc>
        <w:tc>
          <w:tcPr>
            <w:tcW w:w="1254" w:type="dxa"/>
            <w:tcBorders>
              <w:top w:val="nil"/>
              <w:left w:val="nil"/>
              <w:bottom w:val="single" w:color="auto" w:sz="4" w:space="0"/>
              <w:right w:val="single" w:color="auto" w:sz="4" w:space="0"/>
            </w:tcBorders>
            <w:noWrap/>
            <w:vAlign w:val="center"/>
          </w:tcPr>
          <w:p>
            <w:pPr>
              <w:pStyle w:val="2"/>
              <w:ind w:left="2250" w:hanging="1200"/>
              <w:rPr>
                <w:rFonts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236"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4.5</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人才培养体系搭建</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p>
        </w:tc>
        <w:tc>
          <w:tcPr>
            <w:tcW w:w="809"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p>
        </w:tc>
        <w:tc>
          <w:tcPr>
            <w:tcW w:w="1254" w:type="dxa"/>
            <w:tcBorders>
              <w:top w:val="nil"/>
              <w:left w:val="nil"/>
              <w:bottom w:val="single" w:color="auto" w:sz="4" w:space="0"/>
              <w:right w:val="single" w:color="auto" w:sz="4" w:space="0"/>
            </w:tcBorders>
            <w:noWrap/>
            <w:vAlign w:val="center"/>
          </w:tcPr>
          <w:p>
            <w:pPr>
              <w:pStyle w:val="2"/>
              <w:ind w:left="2250" w:hanging="1200"/>
              <w:rPr>
                <w:rFonts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236"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五</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集团转型辅导培训阶段</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6个月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8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c>
          <w:tcPr>
            <w:tcW w:w="1254" w:type="dxa"/>
            <w:tcBorders>
              <w:top w:val="nil"/>
              <w:left w:val="nil"/>
              <w:bottom w:val="single" w:color="auto" w:sz="4" w:space="0"/>
              <w:right w:val="single" w:color="auto" w:sz="4" w:space="0"/>
            </w:tcBorders>
            <w:shd w:val="clear" w:color="000000" w:fill="538ED5"/>
            <w:noWrap/>
            <w:vAlign w:val="center"/>
          </w:tcPr>
          <w:p>
            <w:pPr>
              <w:widowControl/>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　</w:t>
            </w:r>
          </w:p>
        </w:tc>
      </w:tr>
    </w:tbl>
    <w:p>
      <w:pPr>
        <w:spacing w:line="360" w:lineRule="auto"/>
        <w:ind w:firstLine="480" w:firstLineChars="200"/>
        <w:rPr>
          <w:rFonts w:asciiTheme="minorEastAsia" w:hAnsiTheme="minorEastAsia" w:eastAsiaTheme="minorEastAsia" w:cstheme="minorEastAsia"/>
          <w:color w:val="000000"/>
          <w:sz w:val="24"/>
        </w:rPr>
      </w:pPr>
    </w:p>
    <w:p>
      <w:pPr>
        <w:rPr>
          <w:rFonts w:asciiTheme="minorEastAsia" w:hAnsiTheme="minorEastAsia" w:eastAsiaTheme="minorEastAsia" w:cstheme="minorEastAsia"/>
        </w:rPr>
      </w:pPr>
      <w:bookmarkStart w:id="5" w:name="_Toc494194653"/>
      <w:r>
        <w:rPr>
          <w:rFonts w:hint="eastAsia" w:asciiTheme="minorEastAsia" w:hAnsiTheme="minorEastAsia" w:eastAsiaTheme="minorEastAsia" w:cstheme="minorEastAsia"/>
        </w:rPr>
        <w:br w:type="page"/>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4、项目人员配备</w:t>
      </w:r>
      <w:bookmarkEnd w:id="5"/>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中建政研高度重视与集团的本项目合作及后续的长期战略合作，本项目将由中建政研信息咨询中心副总经理刘存京带队。具体拟投入人员如下：</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核心领导成员：</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项目总监：（根据时间匹配度安排1人）</w:t>
      </w:r>
    </w:p>
    <w:p>
      <w:pPr>
        <w:spacing w:line="360" w:lineRule="auto"/>
        <w:ind w:firstLine="720" w:firstLineChars="3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刘存京 咨询事业部  总经理</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项目经理：（根据项目实际开展时间安排1人）</w:t>
      </w:r>
    </w:p>
    <w:p>
      <w:pPr>
        <w:spacing w:line="360" w:lineRule="auto"/>
        <w:ind w:firstLine="720" w:firstLineChars="3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杨新春 咨询事业部  高级咨询师</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团队成员：高级咨询顾问1-2人</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项目支持：中建政研相关专家</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中建政研信息咨询中心 专家委员/投融资专家 林正刚</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中建政研信息咨询中心 专家委员/PPP资深律师 刘生娜</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中建政研信息咨询中心 专家委员/PPP资深律师 张晓峰</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中建政研信息咨询中心 专家委员 PPP融资专家 王杰</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中建政研信息咨询中心 管理咨询专家 刘玉国</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中建政研信息咨询中心 PPP投融资和管理咨询专家 艾文</w:t>
      </w:r>
    </w:p>
    <w:p>
      <w:pPr>
        <w:pStyle w:val="5"/>
        <w:rPr>
          <w:rFonts w:asciiTheme="minorEastAsia" w:hAnsiTheme="minorEastAsia" w:eastAsiaTheme="minorEastAsia" w:cstheme="minorEastAsia"/>
          <w:color w:val="000000"/>
        </w:rPr>
      </w:pPr>
      <w:bookmarkStart w:id="6" w:name="_Toc494194654"/>
      <w:r>
        <w:rPr>
          <w:rFonts w:hint="eastAsia" w:asciiTheme="minorEastAsia" w:hAnsiTheme="minorEastAsia" w:eastAsiaTheme="minorEastAsia" w:cstheme="minorEastAsia"/>
          <w:color w:val="000000"/>
          <w:sz w:val="28"/>
          <w:szCs w:val="28"/>
        </w:rPr>
        <w:br w:type="page"/>
      </w:r>
      <w:r>
        <w:rPr>
          <w:rFonts w:hint="eastAsia" w:asciiTheme="minorEastAsia" w:hAnsiTheme="minorEastAsia" w:eastAsiaTheme="minorEastAsia" w:cstheme="minorEastAsia"/>
          <w:color w:val="000000"/>
          <w:sz w:val="28"/>
          <w:szCs w:val="28"/>
        </w:rPr>
        <w:t>附件：核心案例</w:t>
      </w:r>
      <w:bookmarkEnd w:id="6"/>
    </w:p>
    <w:p>
      <w:pPr>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近两年中建政研国企改革及投融资平台公司转型部分核心案例：</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河南省水利投资集团</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吉林省长春新区龙翔集团</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山东省日照市交通发展集团</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山东省莱芜市交通发展集团</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山东省东营城市发展集团</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洛阳市政建设集团有限公司</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邢台路桥建设总公司</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内蒙古巴彦淖尔市城市发展投资有限公司</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黑龙江大庆市城市发展投资有限公司</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山东临沂市城市投资有限公司</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河北沧州建设投资有限公司</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河南汝州市鑫源集团</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河南洛阳市高新实业有限公司</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河南孟州市投资有限公司</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河南开封市财政局</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河南郏县人民政府</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河南邓州市投资有限公司</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山东宁津县投资有限公司</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中山市交通发展集团有限公司</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辽宁盘锦兴隆台区国资委</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河北赤城县投资集团</w:t>
      </w:r>
    </w:p>
    <w:p>
      <w:pPr>
        <w:numPr>
          <w:ilvl w:val="0"/>
          <w:numId w:val="3"/>
        </w:numPr>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山东滕州市国资委</w:t>
      </w:r>
    </w:p>
    <w:p>
      <w:pPr>
        <w:widowControl/>
        <w:rPr>
          <w:rFonts w:asciiTheme="minorEastAsia" w:hAnsiTheme="minorEastAsia" w:eastAsiaTheme="minorEastAsia" w:cstheme="minorEastAsia"/>
          <w:b/>
          <w:bCs/>
          <w:sz w:val="24"/>
          <w:szCs w:val="24"/>
        </w:rPr>
      </w:pPr>
    </w:p>
    <w:p>
      <w:pPr>
        <w:widowControl/>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t>服务承诺</w:t>
      </w:r>
    </w:p>
    <w:p>
      <w:pPr>
        <w:widowControl/>
        <w:jc w:val="center"/>
        <w:rPr>
          <w:rFonts w:asciiTheme="minorEastAsia" w:hAnsiTheme="minorEastAsia" w:eastAsiaTheme="minorEastAsia" w:cstheme="minorEastAsia"/>
          <w:bCs/>
          <w:sz w:val="24"/>
          <w:szCs w:val="24"/>
        </w:rPr>
      </w:pPr>
    </w:p>
    <w:p>
      <w:pPr>
        <w:widowControl/>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致：鄢陵县政通投资集团有限公司</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asciiTheme="minorEastAsia" w:hAnsiTheme="minorEastAsia" w:eastAsiaTheme="minorEastAsia" w:cstheme="minorEastAsia"/>
          <w:bCs/>
        </w:rPr>
        <w:t>根据贵方为鄢陵县企业转型发展咨询项目的投标邀请(招标编号：Y2018FZ240)，本公司将实质响应招标文件的要求，若本公司一旦中标，本公司承诺：</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asciiTheme="minorEastAsia" w:hAnsiTheme="minorEastAsia" w:eastAsiaTheme="minorEastAsia" w:cstheme="minorEastAsia"/>
          <w:bCs/>
        </w:rPr>
        <w:t>一、保证</w:t>
      </w:r>
      <w:r>
        <w:rPr>
          <w:rFonts w:hint="eastAsia" w:asciiTheme="minorEastAsia" w:hAnsiTheme="minorEastAsia" w:eastAsiaTheme="minorEastAsia" w:cstheme="minorEastAsia"/>
          <w:bCs/>
        </w:rPr>
        <w:t>本公司</w:t>
      </w:r>
      <w:r>
        <w:rPr>
          <w:rFonts w:asciiTheme="minorEastAsia" w:hAnsiTheme="minorEastAsia" w:eastAsiaTheme="minorEastAsia" w:cstheme="minorEastAsia"/>
          <w:bCs/>
        </w:rPr>
        <w:t>提供的全部</w:t>
      </w:r>
      <w:r>
        <w:rPr>
          <w:rFonts w:hint="eastAsia" w:asciiTheme="minorEastAsia" w:hAnsiTheme="minorEastAsia" w:eastAsiaTheme="minorEastAsia" w:cstheme="minorEastAsia"/>
          <w:bCs/>
        </w:rPr>
        <w:t>证明</w:t>
      </w:r>
      <w:r>
        <w:rPr>
          <w:rFonts w:asciiTheme="minorEastAsia" w:hAnsiTheme="minorEastAsia" w:eastAsiaTheme="minorEastAsia" w:cstheme="minorEastAsia"/>
          <w:bCs/>
        </w:rPr>
        <w:t>材料</w:t>
      </w:r>
      <w:r>
        <w:fldChar w:fldCharType="begin"/>
      </w:r>
      <w:r>
        <w:instrText xml:space="preserve"> HYPERLINK "https://baike.so.com/doc/113105-119292.html" \t "https://baike.so.com/doc/_blank" </w:instrText>
      </w:r>
      <w:r>
        <w:fldChar w:fldCharType="separate"/>
      </w:r>
      <w:r>
        <w:rPr>
          <w:rFonts w:asciiTheme="minorEastAsia" w:hAnsiTheme="minorEastAsia" w:eastAsiaTheme="minorEastAsia" w:cstheme="minorEastAsia"/>
          <w:bCs/>
        </w:rPr>
        <w:t>真实</w:t>
      </w:r>
      <w:r>
        <w:rPr>
          <w:rFonts w:asciiTheme="minorEastAsia" w:hAnsiTheme="minorEastAsia" w:eastAsiaTheme="minorEastAsia" w:cstheme="minorEastAsia"/>
          <w:bCs/>
        </w:rPr>
        <w:fldChar w:fldCharType="end"/>
      </w:r>
      <w:r>
        <w:rPr>
          <w:rFonts w:asciiTheme="minorEastAsia" w:hAnsiTheme="minorEastAsia" w:eastAsiaTheme="minorEastAsia" w:cstheme="minorEastAsia"/>
          <w:bCs/>
        </w:rPr>
        <w:t>、</w:t>
      </w:r>
      <w:r>
        <w:fldChar w:fldCharType="begin"/>
      </w:r>
      <w:r>
        <w:instrText xml:space="preserve"> HYPERLINK "https://baike.so.com/doc/6914464-7136328.html" \t "https://baike.so.com/doc/_blank" </w:instrText>
      </w:r>
      <w:r>
        <w:fldChar w:fldCharType="separate"/>
      </w:r>
      <w:r>
        <w:rPr>
          <w:rFonts w:asciiTheme="minorEastAsia" w:hAnsiTheme="minorEastAsia" w:eastAsiaTheme="minorEastAsia" w:cstheme="minorEastAsia"/>
          <w:bCs/>
        </w:rPr>
        <w:t>完整</w:t>
      </w:r>
      <w:r>
        <w:rPr>
          <w:rFonts w:asciiTheme="minorEastAsia" w:hAnsiTheme="minorEastAsia" w:eastAsiaTheme="minorEastAsia" w:cstheme="minorEastAsia"/>
          <w:bCs/>
        </w:rPr>
        <w:fldChar w:fldCharType="end"/>
      </w:r>
      <w:r>
        <w:rPr>
          <w:rFonts w:asciiTheme="minorEastAsia" w:hAnsiTheme="minorEastAsia" w:eastAsiaTheme="minorEastAsia" w:cstheme="minorEastAsia"/>
          <w:bCs/>
        </w:rPr>
        <w:t>、</w:t>
      </w:r>
      <w:r>
        <w:fldChar w:fldCharType="begin"/>
      </w:r>
      <w:r>
        <w:instrText xml:space="preserve"> HYPERLINK "https://baike.so.com/doc/6294542-6508059.html" \t "https://baike.so.com/doc/_blank" </w:instrText>
      </w:r>
      <w:r>
        <w:fldChar w:fldCharType="separate"/>
      </w:r>
      <w:r>
        <w:rPr>
          <w:rFonts w:asciiTheme="minorEastAsia" w:hAnsiTheme="minorEastAsia" w:eastAsiaTheme="minorEastAsia" w:cstheme="minorEastAsia"/>
          <w:bCs/>
        </w:rPr>
        <w:t>准确</w:t>
      </w:r>
      <w:r>
        <w:rPr>
          <w:rFonts w:asciiTheme="minorEastAsia" w:hAnsiTheme="minorEastAsia" w:eastAsiaTheme="minorEastAsia" w:cstheme="minorEastAsia"/>
          <w:bCs/>
        </w:rPr>
        <w:fldChar w:fldCharType="end"/>
      </w:r>
      <w:r>
        <w:rPr>
          <w:rFonts w:hint="eastAsia" w:asciiTheme="minorEastAsia" w:hAnsiTheme="minorEastAsia" w:eastAsiaTheme="minorEastAsia" w:cstheme="minorEastAsia"/>
          <w:bCs/>
        </w:rPr>
        <w:t>；</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asciiTheme="minorEastAsia" w:hAnsiTheme="minorEastAsia" w:eastAsiaTheme="minorEastAsia" w:cstheme="minorEastAsia"/>
          <w:bCs/>
        </w:rPr>
        <w:t>二、本</w:t>
      </w:r>
      <w:r>
        <w:rPr>
          <w:rFonts w:hint="eastAsia" w:asciiTheme="minorEastAsia" w:hAnsiTheme="minorEastAsia" w:eastAsiaTheme="minorEastAsia" w:cstheme="minorEastAsia"/>
          <w:bCs/>
        </w:rPr>
        <w:t>公司所提供</w:t>
      </w:r>
      <w:r>
        <w:rPr>
          <w:rFonts w:asciiTheme="minorEastAsia" w:hAnsiTheme="minorEastAsia" w:eastAsiaTheme="minorEastAsia" w:cstheme="minorEastAsia"/>
          <w:bCs/>
        </w:rPr>
        <w:t>的每项</w:t>
      </w:r>
      <w:r>
        <w:rPr>
          <w:rFonts w:hint="eastAsia" w:asciiTheme="minorEastAsia" w:hAnsiTheme="minorEastAsia" w:eastAsiaTheme="minorEastAsia" w:cstheme="minorEastAsia"/>
          <w:bCs/>
        </w:rPr>
        <w:t>咨询服务</w:t>
      </w:r>
      <w:r>
        <w:rPr>
          <w:rFonts w:asciiTheme="minorEastAsia" w:hAnsiTheme="minorEastAsia" w:eastAsiaTheme="minorEastAsia" w:cstheme="minorEastAsia"/>
          <w:bCs/>
        </w:rPr>
        <w:t>严格遵守国家法律、法规、规章的规定</w:t>
      </w:r>
      <w:r>
        <w:rPr>
          <w:rFonts w:hint="eastAsia" w:asciiTheme="minorEastAsia" w:hAnsiTheme="minorEastAsia" w:eastAsiaTheme="minorEastAsia" w:cstheme="minorEastAsia"/>
          <w:bCs/>
        </w:rPr>
        <w:t>；</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asciiTheme="minorEastAsia" w:hAnsiTheme="minorEastAsia" w:eastAsiaTheme="minorEastAsia" w:cstheme="minorEastAsia"/>
          <w:bCs/>
        </w:rPr>
        <w:t>三、保证按照核准的业务范围合法、公正、公平地从事</w:t>
      </w:r>
      <w:r>
        <w:rPr>
          <w:rFonts w:hint="eastAsia" w:asciiTheme="minorEastAsia" w:hAnsiTheme="minorEastAsia" w:eastAsiaTheme="minorEastAsia" w:cstheme="minorEastAsia"/>
          <w:bCs/>
        </w:rPr>
        <w:t>咨询</w:t>
      </w:r>
      <w:r>
        <w:rPr>
          <w:rFonts w:asciiTheme="minorEastAsia" w:hAnsiTheme="minorEastAsia" w:eastAsiaTheme="minorEastAsia" w:cstheme="minorEastAsia"/>
          <w:bCs/>
        </w:rPr>
        <w:t>业务</w:t>
      </w:r>
      <w:r>
        <w:rPr>
          <w:rFonts w:hint="eastAsia" w:asciiTheme="minorEastAsia" w:hAnsiTheme="minorEastAsia" w:eastAsiaTheme="minorEastAsia" w:cstheme="minorEastAsia"/>
          <w:bCs/>
        </w:rPr>
        <w:t>；</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asciiTheme="minorEastAsia" w:hAnsiTheme="minorEastAsia" w:eastAsiaTheme="minorEastAsia" w:cstheme="minorEastAsia"/>
          <w:bCs/>
        </w:rPr>
        <w:t>四、保证所</w:t>
      </w:r>
      <w:r>
        <w:rPr>
          <w:rFonts w:hint="eastAsia" w:asciiTheme="minorEastAsia" w:hAnsiTheme="minorEastAsia" w:eastAsiaTheme="minorEastAsia" w:cstheme="minorEastAsia"/>
          <w:bCs/>
        </w:rPr>
        <w:t>提供的咨询服务</w:t>
      </w:r>
      <w:r>
        <w:rPr>
          <w:rFonts w:asciiTheme="minorEastAsia" w:hAnsiTheme="minorEastAsia" w:eastAsiaTheme="minorEastAsia" w:cstheme="minorEastAsia"/>
          <w:bCs/>
        </w:rPr>
        <w:t>内容客观公正，无虚假材料</w:t>
      </w:r>
      <w:r>
        <w:rPr>
          <w:rFonts w:hint="eastAsia" w:asciiTheme="minorEastAsia" w:hAnsiTheme="minorEastAsia" w:eastAsiaTheme="minorEastAsia" w:cstheme="minorEastAsia"/>
          <w:bCs/>
        </w:rPr>
        <w:t>；</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五、保证咨询顾问</w:t>
      </w:r>
      <w:r>
        <w:rPr>
          <w:rFonts w:asciiTheme="minorEastAsia" w:hAnsiTheme="minorEastAsia" w:eastAsiaTheme="minorEastAsia" w:cstheme="minorEastAsia"/>
          <w:bCs/>
        </w:rPr>
        <w:t>均为</w:t>
      </w:r>
      <w:r>
        <w:rPr>
          <w:rFonts w:hint="eastAsia" w:asciiTheme="minorEastAsia" w:hAnsiTheme="minorEastAsia" w:eastAsiaTheme="minorEastAsia" w:cstheme="minorEastAsia"/>
          <w:bCs/>
        </w:rPr>
        <w:t>管理经验丰富的专业咨询师；</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六</w:t>
      </w:r>
      <w:r>
        <w:rPr>
          <w:rFonts w:asciiTheme="minorEastAsia" w:hAnsiTheme="minorEastAsia" w:eastAsiaTheme="minorEastAsia" w:cstheme="minorEastAsia"/>
          <w:bCs/>
        </w:rPr>
        <w:t>、建立有效的</w:t>
      </w:r>
      <w:r>
        <w:rPr>
          <w:rFonts w:hint="eastAsia" w:asciiTheme="minorEastAsia" w:hAnsiTheme="minorEastAsia" w:eastAsiaTheme="minorEastAsia" w:cstheme="minorEastAsia"/>
          <w:bCs/>
        </w:rPr>
        <w:t>管理顾问</w:t>
      </w:r>
      <w:r>
        <w:rPr>
          <w:rFonts w:asciiTheme="minorEastAsia" w:hAnsiTheme="minorEastAsia" w:eastAsiaTheme="minorEastAsia" w:cstheme="minorEastAsia"/>
          <w:bCs/>
        </w:rPr>
        <w:t>聘用、培训、考核、使用和控制程序制度</w:t>
      </w:r>
      <w:r>
        <w:rPr>
          <w:rFonts w:hint="eastAsia" w:asciiTheme="minorEastAsia" w:hAnsiTheme="minorEastAsia" w:eastAsiaTheme="minorEastAsia" w:cstheme="minorEastAsia"/>
          <w:bCs/>
        </w:rPr>
        <w:t>；</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七</w:t>
      </w:r>
      <w:r>
        <w:rPr>
          <w:rFonts w:asciiTheme="minorEastAsia" w:hAnsiTheme="minorEastAsia" w:eastAsiaTheme="minorEastAsia" w:cstheme="minorEastAsia"/>
          <w:bCs/>
        </w:rPr>
        <w:t>、建立和完善对</w:t>
      </w:r>
      <w:r>
        <w:rPr>
          <w:rFonts w:hint="eastAsia" w:asciiTheme="minorEastAsia" w:hAnsiTheme="minorEastAsia" w:eastAsiaTheme="minorEastAsia" w:cstheme="minorEastAsia"/>
          <w:bCs/>
        </w:rPr>
        <w:t>管理咨询</w:t>
      </w:r>
      <w:r>
        <w:rPr>
          <w:rFonts w:asciiTheme="minorEastAsia" w:hAnsiTheme="minorEastAsia" w:eastAsiaTheme="minorEastAsia" w:cstheme="minorEastAsia"/>
          <w:bCs/>
        </w:rPr>
        <w:t>活动实施有效控制的管理体系</w:t>
      </w:r>
      <w:r>
        <w:rPr>
          <w:rFonts w:hint="eastAsia" w:asciiTheme="minorEastAsia" w:hAnsiTheme="minorEastAsia" w:eastAsiaTheme="minorEastAsia" w:cstheme="minorEastAsia"/>
          <w:bCs/>
        </w:rPr>
        <w:t>；</w:t>
      </w:r>
      <w:r>
        <w:rPr>
          <w:rFonts w:asciiTheme="minorEastAsia" w:hAnsiTheme="minorEastAsia" w:eastAsiaTheme="minorEastAsia" w:cstheme="minorEastAsia"/>
          <w:bCs/>
        </w:rPr>
        <w:t>制定有效的实施程序，严格按照合同约定内容和实施程序提供</w:t>
      </w:r>
      <w:r>
        <w:rPr>
          <w:rFonts w:hint="eastAsia" w:asciiTheme="minorEastAsia" w:hAnsiTheme="minorEastAsia" w:eastAsiaTheme="minorEastAsia" w:cstheme="minorEastAsia"/>
          <w:bCs/>
        </w:rPr>
        <w:t>管理咨询方案、培训课程和咨询辅导</w:t>
      </w:r>
      <w:r>
        <w:rPr>
          <w:rFonts w:asciiTheme="minorEastAsia" w:hAnsiTheme="minorEastAsia" w:eastAsiaTheme="minorEastAsia" w:cstheme="minorEastAsia"/>
          <w:bCs/>
        </w:rPr>
        <w:t>活动</w:t>
      </w:r>
      <w:r>
        <w:rPr>
          <w:rFonts w:hint="eastAsia" w:asciiTheme="minorEastAsia" w:hAnsiTheme="minorEastAsia" w:eastAsiaTheme="minorEastAsia" w:cstheme="minorEastAsia"/>
          <w:bCs/>
        </w:rPr>
        <w:t>；</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八</w:t>
      </w:r>
      <w:r>
        <w:rPr>
          <w:rFonts w:asciiTheme="minorEastAsia" w:hAnsiTheme="minorEastAsia" w:eastAsiaTheme="minorEastAsia" w:cstheme="minorEastAsia"/>
          <w:bCs/>
        </w:rPr>
        <w:t>、保证</w:t>
      </w:r>
      <w:r>
        <w:rPr>
          <w:rFonts w:hint="eastAsia" w:asciiTheme="minorEastAsia" w:hAnsiTheme="minorEastAsia" w:eastAsiaTheme="minorEastAsia" w:cstheme="minorEastAsia"/>
          <w:bCs/>
        </w:rPr>
        <w:t>按时完成合同约定的服务内容，保证所提供的咨询方案及培训课程适合委托人经营管理的实际情况；</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九、接到委托人咨询电话或邮件后，24小时内给予答复，确需现场服务的，保证48小时之内到达现场进行服务；</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十</w:t>
      </w:r>
      <w:r>
        <w:rPr>
          <w:rFonts w:asciiTheme="minorEastAsia" w:hAnsiTheme="minorEastAsia" w:eastAsiaTheme="minorEastAsia" w:cstheme="minorEastAsia"/>
          <w:bCs/>
        </w:rPr>
        <w:t>、保证不索取、收受委托合同以外的酬金或者其他财物</w:t>
      </w:r>
      <w:r>
        <w:rPr>
          <w:rFonts w:hint="eastAsia" w:asciiTheme="minorEastAsia" w:hAnsiTheme="minorEastAsia" w:eastAsiaTheme="minorEastAsia" w:cstheme="minorEastAsia"/>
          <w:bCs/>
        </w:rPr>
        <w:t>。</w:t>
      </w:r>
    </w:p>
    <w:p>
      <w:pPr>
        <w:pStyle w:val="9"/>
        <w:widowControl/>
        <w:shd w:val="clear" w:color="auto" w:fill="FFFFFF"/>
        <w:spacing w:after="225" w:line="360" w:lineRule="auto"/>
        <w:ind w:firstLine="420"/>
        <w:rPr>
          <w:rFonts w:asciiTheme="minorEastAsia" w:hAnsiTheme="minorEastAsia" w:eastAsiaTheme="minorEastAsia" w:cstheme="minorEastAsia"/>
          <w:bCs/>
        </w:rPr>
      </w:pPr>
      <w:r>
        <w:rPr>
          <w:rFonts w:asciiTheme="minorEastAsia" w:hAnsiTheme="minorEastAsia" w:eastAsiaTheme="minorEastAsia" w:cstheme="minorEastAsia"/>
          <w:bCs/>
        </w:rPr>
        <w:t>我们将严格遵守本承诺，如有违反，愿意承担相应的法律责任，并接受处罚，欢迎各界全程监督。</w:t>
      </w:r>
    </w:p>
    <w:p>
      <w:pPr>
        <w:pStyle w:val="9"/>
        <w:widowControl/>
        <w:shd w:val="clear" w:color="auto" w:fill="FFFFFF"/>
        <w:spacing w:after="225" w:line="360" w:lineRule="atLeast"/>
        <w:ind w:firstLine="420"/>
        <w:jc w:val="right"/>
        <w:rPr>
          <w:rFonts w:asciiTheme="minorEastAsia" w:hAnsiTheme="minorEastAsia" w:eastAsiaTheme="minorEastAsia" w:cstheme="minorEastAsia"/>
          <w:bCs/>
        </w:rPr>
      </w:pPr>
      <w:r>
        <w:rPr>
          <w:rFonts w:asciiTheme="minorEastAsia" w:hAnsiTheme="minorEastAsia" w:eastAsiaTheme="minorEastAsia" w:cstheme="minorEastAsia"/>
          <w:bCs/>
        </w:rPr>
        <w:t>承诺单位</w:t>
      </w:r>
      <w:r>
        <w:rPr>
          <w:rFonts w:hint="eastAsia" w:asciiTheme="minorEastAsia" w:hAnsiTheme="minorEastAsia" w:eastAsiaTheme="minorEastAsia" w:cstheme="minorEastAsia"/>
          <w:bCs/>
        </w:rPr>
        <w:t>：北京中建政研信息咨询中心</w:t>
      </w:r>
      <w:r>
        <w:rPr>
          <w:rFonts w:asciiTheme="minorEastAsia" w:hAnsiTheme="minorEastAsia" w:eastAsiaTheme="minorEastAsia" w:cstheme="minorEastAsia"/>
          <w:bCs/>
        </w:rPr>
        <w:t>(盖章)</w:t>
      </w:r>
    </w:p>
    <w:p>
      <w:pPr>
        <w:pStyle w:val="9"/>
        <w:widowControl/>
        <w:shd w:val="clear" w:color="auto" w:fill="FFFFFF"/>
        <w:spacing w:after="225" w:line="360" w:lineRule="atLeast"/>
        <w:ind w:firstLine="420"/>
        <w:jc w:val="right"/>
        <w:rPr>
          <w:rFonts w:asciiTheme="minorEastAsia" w:hAnsiTheme="minorEastAsia" w:eastAsiaTheme="minorEastAsia" w:cstheme="minorEastAsia"/>
          <w:bCs/>
        </w:rPr>
      </w:pPr>
      <w:r>
        <w:rPr>
          <w:rFonts w:hint="eastAsia" w:asciiTheme="minorEastAsia" w:hAnsiTheme="minorEastAsia" w:eastAsiaTheme="minorEastAsia" w:cstheme="minorEastAsia"/>
          <w:bCs/>
        </w:rPr>
        <w:t>2019</w:t>
      </w:r>
      <w:r>
        <w:rPr>
          <w:rFonts w:asciiTheme="minorEastAsia" w:hAnsiTheme="minorEastAsia" w:eastAsiaTheme="minorEastAsia" w:cstheme="minorEastAsia"/>
          <w:bCs/>
        </w:rPr>
        <w:t>年</w:t>
      </w:r>
      <w:r>
        <w:rPr>
          <w:rFonts w:hint="eastAsia" w:asciiTheme="minorEastAsia" w:hAnsiTheme="minorEastAsia" w:eastAsiaTheme="minorEastAsia" w:cstheme="minorEastAsia"/>
          <w:bCs/>
        </w:rPr>
        <w:t>1</w:t>
      </w:r>
      <w:r>
        <w:rPr>
          <w:rFonts w:asciiTheme="minorEastAsia" w:hAnsiTheme="minorEastAsia" w:eastAsiaTheme="minorEastAsia" w:cstheme="minorEastAsia"/>
          <w:bCs/>
        </w:rPr>
        <w:t>月</w:t>
      </w:r>
      <w:r>
        <w:rPr>
          <w:rFonts w:hint="eastAsia" w:asciiTheme="minorEastAsia" w:hAnsiTheme="minorEastAsia" w:eastAsiaTheme="minorEastAsia" w:cstheme="minorEastAsia"/>
          <w:bCs/>
        </w:rPr>
        <w:t xml:space="preserve">29 </w:t>
      </w:r>
      <w:r>
        <w:rPr>
          <w:rFonts w:asciiTheme="minorEastAsia" w:hAnsiTheme="minorEastAsia" w:eastAsiaTheme="minorEastAsia" w:cstheme="minorEastAsia"/>
          <w:bC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D7335"/>
    <w:multiLevelType w:val="singleLevel"/>
    <w:tmpl w:val="272D7335"/>
    <w:lvl w:ilvl="0" w:tentative="0">
      <w:start w:val="1"/>
      <w:numFmt w:val="decimal"/>
      <w:lvlText w:val="%1."/>
      <w:lvlJc w:val="left"/>
      <w:pPr>
        <w:tabs>
          <w:tab w:val="left" w:pos="312"/>
        </w:tabs>
      </w:pPr>
    </w:lvl>
  </w:abstractNum>
  <w:abstractNum w:abstractNumId="1">
    <w:nsid w:val="46BB2B9A"/>
    <w:multiLevelType w:val="multilevel"/>
    <w:tmpl w:val="46BB2B9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70B7774D"/>
    <w:multiLevelType w:val="multilevel"/>
    <w:tmpl w:val="70B7774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6C8A"/>
    <w:rsid w:val="0000340D"/>
    <w:rsid w:val="00006A8C"/>
    <w:rsid w:val="00014373"/>
    <w:rsid w:val="00016729"/>
    <w:rsid w:val="00017D97"/>
    <w:rsid w:val="00022C83"/>
    <w:rsid w:val="0002485B"/>
    <w:rsid w:val="000248BA"/>
    <w:rsid w:val="00031751"/>
    <w:rsid w:val="00032489"/>
    <w:rsid w:val="00036EFF"/>
    <w:rsid w:val="00041587"/>
    <w:rsid w:val="00046AF4"/>
    <w:rsid w:val="00046BAC"/>
    <w:rsid w:val="00056C61"/>
    <w:rsid w:val="00061E93"/>
    <w:rsid w:val="00063635"/>
    <w:rsid w:val="00070A75"/>
    <w:rsid w:val="00072F69"/>
    <w:rsid w:val="000732EE"/>
    <w:rsid w:val="00076B5F"/>
    <w:rsid w:val="0007726E"/>
    <w:rsid w:val="0008339C"/>
    <w:rsid w:val="000854BB"/>
    <w:rsid w:val="000878C7"/>
    <w:rsid w:val="00091FDF"/>
    <w:rsid w:val="000A1887"/>
    <w:rsid w:val="000A5BD9"/>
    <w:rsid w:val="000B1818"/>
    <w:rsid w:val="000B2DE1"/>
    <w:rsid w:val="000B7E2B"/>
    <w:rsid w:val="000C2FC2"/>
    <w:rsid w:val="000C5E9A"/>
    <w:rsid w:val="000D076C"/>
    <w:rsid w:val="000D445B"/>
    <w:rsid w:val="000D6177"/>
    <w:rsid w:val="000E732E"/>
    <w:rsid w:val="000F4EF5"/>
    <w:rsid w:val="000F5238"/>
    <w:rsid w:val="000F6B05"/>
    <w:rsid w:val="000F7FA1"/>
    <w:rsid w:val="001122DB"/>
    <w:rsid w:val="00114324"/>
    <w:rsid w:val="00115E2A"/>
    <w:rsid w:val="001176E3"/>
    <w:rsid w:val="001178B4"/>
    <w:rsid w:val="00117C85"/>
    <w:rsid w:val="00124C8E"/>
    <w:rsid w:val="00126157"/>
    <w:rsid w:val="0013110B"/>
    <w:rsid w:val="00131BDF"/>
    <w:rsid w:val="00131E55"/>
    <w:rsid w:val="00133309"/>
    <w:rsid w:val="00133C91"/>
    <w:rsid w:val="00134EFE"/>
    <w:rsid w:val="00135D13"/>
    <w:rsid w:val="00152696"/>
    <w:rsid w:val="00156F5E"/>
    <w:rsid w:val="00160EDD"/>
    <w:rsid w:val="001614B9"/>
    <w:rsid w:val="0016275E"/>
    <w:rsid w:val="0016281A"/>
    <w:rsid w:val="00174E8A"/>
    <w:rsid w:val="0018180F"/>
    <w:rsid w:val="001840D9"/>
    <w:rsid w:val="001844A9"/>
    <w:rsid w:val="0018533C"/>
    <w:rsid w:val="00191D00"/>
    <w:rsid w:val="00197112"/>
    <w:rsid w:val="001978C4"/>
    <w:rsid w:val="001A122E"/>
    <w:rsid w:val="001B2D8D"/>
    <w:rsid w:val="001B40ED"/>
    <w:rsid w:val="001C1F06"/>
    <w:rsid w:val="001C456B"/>
    <w:rsid w:val="001C710F"/>
    <w:rsid w:val="001C7190"/>
    <w:rsid w:val="001D013F"/>
    <w:rsid w:val="001D246D"/>
    <w:rsid w:val="001D6726"/>
    <w:rsid w:val="001E5885"/>
    <w:rsid w:val="001E619A"/>
    <w:rsid w:val="001E7EE6"/>
    <w:rsid w:val="001F7413"/>
    <w:rsid w:val="00203DE1"/>
    <w:rsid w:val="00204A57"/>
    <w:rsid w:val="00206498"/>
    <w:rsid w:val="0021235F"/>
    <w:rsid w:val="002174A0"/>
    <w:rsid w:val="00226E4A"/>
    <w:rsid w:val="00240426"/>
    <w:rsid w:val="002411F6"/>
    <w:rsid w:val="00251223"/>
    <w:rsid w:val="0025175E"/>
    <w:rsid w:val="0025282A"/>
    <w:rsid w:val="00252946"/>
    <w:rsid w:val="00254EFB"/>
    <w:rsid w:val="002604DE"/>
    <w:rsid w:val="002611B4"/>
    <w:rsid w:val="00264F30"/>
    <w:rsid w:val="002730F6"/>
    <w:rsid w:val="002774A1"/>
    <w:rsid w:val="00280043"/>
    <w:rsid w:val="00282BEB"/>
    <w:rsid w:val="00283D3D"/>
    <w:rsid w:val="0028417C"/>
    <w:rsid w:val="0029228C"/>
    <w:rsid w:val="002950CD"/>
    <w:rsid w:val="002A110E"/>
    <w:rsid w:val="002A6ED4"/>
    <w:rsid w:val="002B36EA"/>
    <w:rsid w:val="002B5264"/>
    <w:rsid w:val="002B5486"/>
    <w:rsid w:val="002B5613"/>
    <w:rsid w:val="002B5CBC"/>
    <w:rsid w:val="002B7A31"/>
    <w:rsid w:val="002C11FC"/>
    <w:rsid w:val="002C33DD"/>
    <w:rsid w:val="002C63F0"/>
    <w:rsid w:val="002D4009"/>
    <w:rsid w:val="002D48E6"/>
    <w:rsid w:val="002D5471"/>
    <w:rsid w:val="002D7102"/>
    <w:rsid w:val="002F0D2B"/>
    <w:rsid w:val="002F4BE9"/>
    <w:rsid w:val="002F6EC3"/>
    <w:rsid w:val="002F7D5C"/>
    <w:rsid w:val="003004BF"/>
    <w:rsid w:val="00301734"/>
    <w:rsid w:val="00302110"/>
    <w:rsid w:val="003051A9"/>
    <w:rsid w:val="00305613"/>
    <w:rsid w:val="0030655C"/>
    <w:rsid w:val="003125D2"/>
    <w:rsid w:val="00314379"/>
    <w:rsid w:val="00315D15"/>
    <w:rsid w:val="0032354F"/>
    <w:rsid w:val="00326188"/>
    <w:rsid w:val="00334B3F"/>
    <w:rsid w:val="00340A3B"/>
    <w:rsid w:val="00352693"/>
    <w:rsid w:val="00354B91"/>
    <w:rsid w:val="0035708A"/>
    <w:rsid w:val="0035790C"/>
    <w:rsid w:val="003619F9"/>
    <w:rsid w:val="00367A2D"/>
    <w:rsid w:val="00367C6B"/>
    <w:rsid w:val="003737FB"/>
    <w:rsid w:val="003813AC"/>
    <w:rsid w:val="003816EF"/>
    <w:rsid w:val="003855D6"/>
    <w:rsid w:val="00391029"/>
    <w:rsid w:val="00391208"/>
    <w:rsid w:val="00396FAA"/>
    <w:rsid w:val="003A4710"/>
    <w:rsid w:val="003A6760"/>
    <w:rsid w:val="003C3319"/>
    <w:rsid w:val="003E6228"/>
    <w:rsid w:val="003F1500"/>
    <w:rsid w:val="0040197E"/>
    <w:rsid w:val="00405E13"/>
    <w:rsid w:val="004060BC"/>
    <w:rsid w:val="00406238"/>
    <w:rsid w:val="00406767"/>
    <w:rsid w:val="00422AA4"/>
    <w:rsid w:val="004234C3"/>
    <w:rsid w:val="004245BD"/>
    <w:rsid w:val="00430DC4"/>
    <w:rsid w:val="004313C8"/>
    <w:rsid w:val="004334ED"/>
    <w:rsid w:val="004354BF"/>
    <w:rsid w:val="004471E5"/>
    <w:rsid w:val="00470A98"/>
    <w:rsid w:val="00471A0D"/>
    <w:rsid w:val="00473436"/>
    <w:rsid w:val="00475135"/>
    <w:rsid w:val="00483EA2"/>
    <w:rsid w:val="00485A2E"/>
    <w:rsid w:val="00491775"/>
    <w:rsid w:val="00494CBD"/>
    <w:rsid w:val="00494F99"/>
    <w:rsid w:val="004974DB"/>
    <w:rsid w:val="00497502"/>
    <w:rsid w:val="004C17C1"/>
    <w:rsid w:val="004C1816"/>
    <w:rsid w:val="004C60DD"/>
    <w:rsid w:val="004C66BA"/>
    <w:rsid w:val="004D0CDF"/>
    <w:rsid w:val="004D170B"/>
    <w:rsid w:val="004D7A16"/>
    <w:rsid w:val="004E0A03"/>
    <w:rsid w:val="004E2690"/>
    <w:rsid w:val="004E32C1"/>
    <w:rsid w:val="00500C43"/>
    <w:rsid w:val="0050545F"/>
    <w:rsid w:val="00517E63"/>
    <w:rsid w:val="00521368"/>
    <w:rsid w:val="00526532"/>
    <w:rsid w:val="00527BE3"/>
    <w:rsid w:val="005318B8"/>
    <w:rsid w:val="00550166"/>
    <w:rsid w:val="005502AF"/>
    <w:rsid w:val="005510F6"/>
    <w:rsid w:val="00553599"/>
    <w:rsid w:val="00554BB0"/>
    <w:rsid w:val="005577A1"/>
    <w:rsid w:val="00560A30"/>
    <w:rsid w:val="0056294A"/>
    <w:rsid w:val="00563284"/>
    <w:rsid w:val="00566227"/>
    <w:rsid w:val="00585B45"/>
    <w:rsid w:val="0059064E"/>
    <w:rsid w:val="0059353F"/>
    <w:rsid w:val="00594D44"/>
    <w:rsid w:val="00595BD4"/>
    <w:rsid w:val="005A3000"/>
    <w:rsid w:val="005A494C"/>
    <w:rsid w:val="005A67D5"/>
    <w:rsid w:val="005B7EC2"/>
    <w:rsid w:val="005C2B94"/>
    <w:rsid w:val="005C384B"/>
    <w:rsid w:val="005C783B"/>
    <w:rsid w:val="005C7F12"/>
    <w:rsid w:val="005D29DB"/>
    <w:rsid w:val="005D3B0F"/>
    <w:rsid w:val="005D4EB0"/>
    <w:rsid w:val="005D5C0E"/>
    <w:rsid w:val="005E2B2E"/>
    <w:rsid w:val="005F257D"/>
    <w:rsid w:val="005F3724"/>
    <w:rsid w:val="006012D5"/>
    <w:rsid w:val="00601450"/>
    <w:rsid w:val="006237E9"/>
    <w:rsid w:val="0064042A"/>
    <w:rsid w:val="00641CE6"/>
    <w:rsid w:val="0064797F"/>
    <w:rsid w:val="006503FA"/>
    <w:rsid w:val="00657EC7"/>
    <w:rsid w:val="00671A73"/>
    <w:rsid w:val="00686C10"/>
    <w:rsid w:val="00692F83"/>
    <w:rsid w:val="00694292"/>
    <w:rsid w:val="00694608"/>
    <w:rsid w:val="00694B59"/>
    <w:rsid w:val="00697068"/>
    <w:rsid w:val="006A3565"/>
    <w:rsid w:val="006A3CFD"/>
    <w:rsid w:val="006A4C6F"/>
    <w:rsid w:val="006A7FD6"/>
    <w:rsid w:val="006B2460"/>
    <w:rsid w:val="006B4631"/>
    <w:rsid w:val="006B7EC8"/>
    <w:rsid w:val="006C04A9"/>
    <w:rsid w:val="006C2DA2"/>
    <w:rsid w:val="006D2BC1"/>
    <w:rsid w:val="006D481F"/>
    <w:rsid w:val="006D520C"/>
    <w:rsid w:val="006D5E99"/>
    <w:rsid w:val="006D7158"/>
    <w:rsid w:val="006D799B"/>
    <w:rsid w:val="006E0DB0"/>
    <w:rsid w:val="006E1731"/>
    <w:rsid w:val="006E2B6A"/>
    <w:rsid w:val="006F3012"/>
    <w:rsid w:val="00700391"/>
    <w:rsid w:val="00700C41"/>
    <w:rsid w:val="0071426F"/>
    <w:rsid w:val="007222FA"/>
    <w:rsid w:val="00722AD5"/>
    <w:rsid w:val="00723D20"/>
    <w:rsid w:val="007257F6"/>
    <w:rsid w:val="00730676"/>
    <w:rsid w:val="00741A90"/>
    <w:rsid w:val="00741C01"/>
    <w:rsid w:val="0074711E"/>
    <w:rsid w:val="0075267E"/>
    <w:rsid w:val="0076197C"/>
    <w:rsid w:val="00761F41"/>
    <w:rsid w:val="00762D5F"/>
    <w:rsid w:val="00762EE7"/>
    <w:rsid w:val="00765139"/>
    <w:rsid w:val="007673C0"/>
    <w:rsid w:val="007713C8"/>
    <w:rsid w:val="007716B7"/>
    <w:rsid w:val="00774CBD"/>
    <w:rsid w:val="0078018A"/>
    <w:rsid w:val="00791D9F"/>
    <w:rsid w:val="007933B6"/>
    <w:rsid w:val="007955C0"/>
    <w:rsid w:val="007A307D"/>
    <w:rsid w:val="007A3FDE"/>
    <w:rsid w:val="007A57C3"/>
    <w:rsid w:val="007C0A36"/>
    <w:rsid w:val="007C2DBA"/>
    <w:rsid w:val="007C4B45"/>
    <w:rsid w:val="007D51A1"/>
    <w:rsid w:val="007D5389"/>
    <w:rsid w:val="007E2E08"/>
    <w:rsid w:val="00811CF8"/>
    <w:rsid w:val="00817091"/>
    <w:rsid w:val="00817A44"/>
    <w:rsid w:val="00821357"/>
    <w:rsid w:val="00825533"/>
    <w:rsid w:val="00825A5F"/>
    <w:rsid w:val="00834761"/>
    <w:rsid w:val="00842832"/>
    <w:rsid w:val="00850DE5"/>
    <w:rsid w:val="0085109A"/>
    <w:rsid w:val="00857691"/>
    <w:rsid w:val="00857FA6"/>
    <w:rsid w:val="00873DCE"/>
    <w:rsid w:val="008805F7"/>
    <w:rsid w:val="008855EF"/>
    <w:rsid w:val="00885C2C"/>
    <w:rsid w:val="008868A4"/>
    <w:rsid w:val="00894B8B"/>
    <w:rsid w:val="00896008"/>
    <w:rsid w:val="008978E0"/>
    <w:rsid w:val="008A3858"/>
    <w:rsid w:val="008B1C93"/>
    <w:rsid w:val="008B62D3"/>
    <w:rsid w:val="008C6B2C"/>
    <w:rsid w:val="008C7704"/>
    <w:rsid w:val="008C7D4C"/>
    <w:rsid w:val="008D1559"/>
    <w:rsid w:val="008E0A4F"/>
    <w:rsid w:val="008E2DE8"/>
    <w:rsid w:val="008E36ED"/>
    <w:rsid w:val="008E3BFD"/>
    <w:rsid w:val="008E498E"/>
    <w:rsid w:val="008F29E7"/>
    <w:rsid w:val="008F2B3B"/>
    <w:rsid w:val="008F73A3"/>
    <w:rsid w:val="008F7A8A"/>
    <w:rsid w:val="009010B0"/>
    <w:rsid w:val="00901920"/>
    <w:rsid w:val="00905CC3"/>
    <w:rsid w:val="0091234C"/>
    <w:rsid w:val="009162AD"/>
    <w:rsid w:val="00916CB4"/>
    <w:rsid w:val="00916D17"/>
    <w:rsid w:val="009261B3"/>
    <w:rsid w:val="00937EC2"/>
    <w:rsid w:val="00942B0E"/>
    <w:rsid w:val="0095543D"/>
    <w:rsid w:val="009578AA"/>
    <w:rsid w:val="00961932"/>
    <w:rsid w:val="009642EC"/>
    <w:rsid w:val="00967B1A"/>
    <w:rsid w:val="0097005E"/>
    <w:rsid w:val="0097627F"/>
    <w:rsid w:val="00984704"/>
    <w:rsid w:val="00984E51"/>
    <w:rsid w:val="009962FC"/>
    <w:rsid w:val="009A2952"/>
    <w:rsid w:val="009A4F3A"/>
    <w:rsid w:val="009B1C2D"/>
    <w:rsid w:val="009B1F5D"/>
    <w:rsid w:val="009B2FAA"/>
    <w:rsid w:val="009B50DB"/>
    <w:rsid w:val="009C5E38"/>
    <w:rsid w:val="009D2E1B"/>
    <w:rsid w:val="009E0FF8"/>
    <w:rsid w:val="009E406B"/>
    <w:rsid w:val="009E6B4A"/>
    <w:rsid w:val="009F0640"/>
    <w:rsid w:val="009F10CC"/>
    <w:rsid w:val="009F24C0"/>
    <w:rsid w:val="009F27C4"/>
    <w:rsid w:val="009F47FA"/>
    <w:rsid w:val="009F6944"/>
    <w:rsid w:val="00A031D6"/>
    <w:rsid w:val="00A06347"/>
    <w:rsid w:val="00A10168"/>
    <w:rsid w:val="00A1067F"/>
    <w:rsid w:val="00A13837"/>
    <w:rsid w:val="00A1417C"/>
    <w:rsid w:val="00A1456F"/>
    <w:rsid w:val="00A17BA7"/>
    <w:rsid w:val="00A20C9E"/>
    <w:rsid w:val="00A2291F"/>
    <w:rsid w:val="00A2568F"/>
    <w:rsid w:val="00A30007"/>
    <w:rsid w:val="00A31F07"/>
    <w:rsid w:val="00A35627"/>
    <w:rsid w:val="00A51B95"/>
    <w:rsid w:val="00A57B3E"/>
    <w:rsid w:val="00A605FB"/>
    <w:rsid w:val="00A614E2"/>
    <w:rsid w:val="00A675F6"/>
    <w:rsid w:val="00A67DC9"/>
    <w:rsid w:val="00A76688"/>
    <w:rsid w:val="00A77E8F"/>
    <w:rsid w:val="00A84E05"/>
    <w:rsid w:val="00A87784"/>
    <w:rsid w:val="00A904F1"/>
    <w:rsid w:val="00A90BD8"/>
    <w:rsid w:val="00A90E7E"/>
    <w:rsid w:val="00A91ADF"/>
    <w:rsid w:val="00A927A1"/>
    <w:rsid w:val="00AA0788"/>
    <w:rsid w:val="00AB7ED4"/>
    <w:rsid w:val="00AC3C73"/>
    <w:rsid w:val="00AD54FA"/>
    <w:rsid w:val="00AD5663"/>
    <w:rsid w:val="00AE30D1"/>
    <w:rsid w:val="00AE3171"/>
    <w:rsid w:val="00AE53B6"/>
    <w:rsid w:val="00AE609D"/>
    <w:rsid w:val="00AF3045"/>
    <w:rsid w:val="00AF5CEA"/>
    <w:rsid w:val="00AF76D4"/>
    <w:rsid w:val="00B00218"/>
    <w:rsid w:val="00B06DC7"/>
    <w:rsid w:val="00B12AC0"/>
    <w:rsid w:val="00B139ED"/>
    <w:rsid w:val="00B15003"/>
    <w:rsid w:val="00B17FC2"/>
    <w:rsid w:val="00B218F0"/>
    <w:rsid w:val="00B33D1C"/>
    <w:rsid w:val="00B40515"/>
    <w:rsid w:val="00B423F8"/>
    <w:rsid w:val="00B4328A"/>
    <w:rsid w:val="00B45F78"/>
    <w:rsid w:val="00B525AF"/>
    <w:rsid w:val="00B52E6A"/>
    <w:rsid w:val="00B5447B"/>
    <w:rsid w:val="00B83FF9"/>
    <w:rsid w:val="00B87B3C"/>
    <w:rsid w:val="00B903A9"/>
    <w:rsid w:val="00B9719E"/>
    <w:rsid w:val="00BA36A8"/>
    <w:rsid w:val="00BB5F94"/>
    <w:rsid w:val="00BB6903"/>
    <w:rsid w:val="00BC4027"/>
    <w:rsid w:val="00BC43BB"/>
    <w:rsid w:val="00BC7765"/>
    <w:rsid w:val="00BD6B0A"/>
    <w:rsid w:val="00BD7AB2"/>
    <w:rsid w:val="00BE2E03"/>
    <w:rsid w:val="00BE44CC"/>
    <w:rsid w:val="00BF07AC"/>
    <w:rsid w:val="00BF0809"/>
    <w:rsid w:val="00C02DF1"/>
    <w:rsid w:val="00C10603"/>
    <w:rsid w:val="00C15641"/>
    <w:rsid w:val="00C22D48"/>
    <w:rsid w:val="00C22FDF"/>
    <w:rsid w:val="00C25177"/>
    <w:rsid w:val="00C305A7"/>
    <w:rsid w:val="00C43C56"/>
    <w:rsid w:val="00C44D68"/>
    <w:rsid w:val="00C4541F"/>
    <w:rsid w:val="00C5601C"/>
    <w:rsid w:val="00C56726"/>
    <w:rsid w:val="00C57A6F"/>
    <w:rsid w:val="00C57D55"/>
    <w:rsid w:val="00C6358C"/>
    <w:rsid w:val="00C64CB1"/>
    <w:rsid w:val="00C64E77"/>
    <w:rsid w:val="00C71072"/>
    <w:rsid w:val="00C729E4"/>
    <w:rsid w:val="00C72FFF"/>
    <w:rsid w:val="00C74939"/>
    <w:rsid w:val="00C76CF3"/>
    <w:rsid w:val="00C86564"/>
    <w:rsid w:val="00CA080A"/>
    <w:rsid w:val="00CA6D45"/>
    <w:rsid w:val="00CC1572"/>
    <w:rsid w:val="00CC6C8A"/>
    <w:rsid w:val="00CC6F3D"/>
    <w:rsid w:val="00CD1365"/>
    <w:rsid w:val="00CD2A26"/>
    <w:rsid w:val="00CD5C3F"/>
    <w:rsid w:val="00CD7134"/>
    <w:rsid w:val="00CD79B2"/>
    <w:rsid w:val="00CE0406"/>
    <w:rsid w:val="00CE481B"/>
    <w:rsid w:val="00CF1FFD"/>
    <w:rsid w:val="00CF2A54"/>
    <w:rsid w:val="00CF442C"/>
    <w:rsid w:val="00D020B0"/>
    <w:rsid w:val="00D02CC2"/>
    <w:rsid w:val="00D03E72"/>
    <w:rsid w:val="00D0589F"/>
    <w:rsid w:val="00D076E7"/>
    <w:rsid w:val="00D12E70"/>
    <w:rsid w:val="00D13527"/>
    <w:rsid w:val="00D1483B"/>
    <w:rsid w:val="00D15F23"/>
    <w:rsid w:val="00D172C4"/>
    <w:rsid w:val="00D3285B"/>
    <w:rsid w:val="00D33A2B"/>
    <w:rsid w:val="00D41602"/>
    <w:rsid w:val="00D41BBF"/>
    <w:rsid w:val="00D55DA5"/>
    <w:rsid w:val="00D6093E"/>
    <w:rsid w:val="00D61C12"/>
    <w:rsid w:val="00D66BCF"/>
    <w:rsid w:val="00D70876"/>
    <w:rsid w:val="00D72B94"/>
    <w:rsid w:val="00D8258E"/>
    <w:rsid w:val="00D941E3"/>
    <w:rsid w:val="00DA3B39"/>
    <w:rsid w:val="00DA4E17"/>
    <w:rsid w:val="00DA4FFA"/>
    <w:rsid w:val="00DA7267"/>
    <w:rsid w:val="00DA7ED8"/>
    <w:rsid w:val="00DB55FB"/>
    <w:rsid w:val="00DB6263"/>
    <w:rsid w:val="00DB678D"/>
    <w:rsid w:val="00DB7A5D"/>
    <w:rsid w:val="00DC5667"/>
    <w:rsid w:val="00DC591F"/>
    <w:rsid w:val="00DC5CCF"/>
    <w:rsid w:val="00DD1C41"/>
    <w:rsid w:val="00DD5984"/>
    <w:rsid w:val="00DE2CFD"/>
    <w:rsid w:val="00DF37D5"/>
    <w:rsid w:val="00E01CD9"/>
    <w:rsid w:val="00E04FF8"/>
    <w:rsid w:val="00E1107A"/>
    <w:rsid w:val="00E119AE"/>
    <w:rsid w:val="00E21E57"/>
    <w:rsid w:val="00E2218A"/>
    <w:rsid w:val="00E3006A"/>
    <w:rsid w:val="00E3437B"/>
    <w:rsid w:val="00E40103"/>
    <w:rsid w:val="00E47F88"/>
    <w:rsid w:val="00E62605"/>
    <w:rsid w:val="00E67606"/>
    <w:rsid w:val="00E72C03"/>
    <w:rsid w:val="00E75CEB"/>
    <w:rsid w:val="00E7665E"/>
    <w:rsid w:val="00E83E1A"/>
    <w:rsid w:val="00E84065"/>
    <w:rsid w:val="00E865CF"/>
    <w:rsid w:val="00E873A4"/>
    <w:rsid w:val="00E903DA"/>
    <w:rsid w:val="00E90827"/>
    <w:rsid w:val="00EB0E1D"/>
    <w:rsid w:val="00EB12A0"/>
    <w:rsid w:val="00EB21BA"/>
    <w:rsid w:val="00EB3552"/>
    <w:rsid w:val="00EC4B2E"/>
    <w:rsid w:val="00EC6391"/>
    <w:rsid w:val="00EC6CE6"/>
    <w:rsid w:val="00EC7150"/>
    <w:rsid w:val="00ED20AB"/>
    <w:rsid w:val="00ED4D8B"/>
    <w:rsid w:val="00EE1C8C"/>
    <w:rsid w:val="00EE405A"/>
    <w:rsid w:val="00EE7482"/>
    <w:rsid w:val="00EE7785"/>
    <w:rsid w:val="00EF0964"/>
    <w:rsid w:val="00EF20E4"/>
    <w:rsid w:val="00F061D4"/>
    <w:rsid w:val="00F15D5C"/>
    <w:rsid w:val="00F23196"/>
    <w:rsid w:val="00F24F84"/>
    <w:rsid w:val="00F26955"/>
    <w:rsid w:val="00F353A5"/>
    <w:rsid w:val="00F35708"/>
    <w:rsid w:val="00F35BF9"/>
    <w:rsid w:val="00F37856"/>
    <w:rsid w:val="00F43805"/>
    <w:rsid w:val="00F44A10"/>
    <w:rsid w:val="00F44B9A"/>
    <w:rsid w:val="00F50873"/>
    <w:rsid w:val="00F549BD"/>
    <w:rsid w:val="00F569F0"/>
    <w:rsid w:val="00F61FF1"/>
    <w:rsid w:val="00F6245B"/>
    <w:rsid w:val="00F65124"/>
    <w:rsid w:val="00F67AC9"/>
    <w:rsid w:val="00F746CE"/>
    <w:rsid w:val="00F828A3"/>
    <w:rsid w:val="00F86623"/>
    <w:rsid w:val="00F87488"/>
    <w:rsid w:val="00F87C21"/>
    <w:rsid w:val="00F902AB"/>
    <w:rsid w:val="00F938C1"/>
    <w:rsid w:val="00FB00D5"/>
    <w:rsid w:val="00FB4690"/>
    <w:rsid w:val="00FC4EA7"/>
    <w:rsid w:val="00FC5304"/>
    <w:rsid w:val="00FC6B11"/>
    <w:rsid w:val="00FD1436"/>
    <w:rsid w:val="00FD1B6B"/>
    <w:rsid w:val="00FE16D9"/>
    <w:rsid w:val="00FE32BF"/>
    <w:rsid w:val="00FE7A5A"/>
    <w:rsid w:val="00FF4082"/>
    <w:rsid w:val="00FF5131"/>
    <w:rsid w:val="500B14FB"/>
    <w:rsid w:val="7D967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4"/>
    <w:unhideWhenUsed/>
    <w:qFormat/>
    <w:uiPriority w:val="0"/>
    <w:pPr>
      <w:keepNext/>
      <w:keepLines/>
      <w:spacing w:line="413" w:lineRule="auto"/>
      <w:jc w:val="center"/>
      <w:outlineLvl w:val="1"/>
    </w:pPr>
    <w:rPr>
      <w:rFonts w:ascii="Arial" w:hAnsi="Arial"/>
      <w:b/>
      <w:sz w:val="24"/>
      <w:szCs w:val="24"/>
    </w:rPr>
  </w:style>
  <w:style w:type="paragraph" w:styleId="4">
    <w:name w:val="heading 3"/>
    <w:basedOn w:val="1"/>
    <w:next w:val="1"/>
    <w:link w:val="15"/>
    <w:unhideWhenUsed/>
    <w:qFormat/>
    <w:uiPriority w:val="0"/>
    <w:pPr>
      <w:keepNext/>
      <w:keepLines/>
      <w:spacing w:line="360" w:lineRule="auto"/>
      <w:jc w:val="center"/>
      <w:outlineLvl w:val="2"/>
    </w:pPr>
    <w:rPr>
      <w:rFonts w:ascii="Times New Roman" w:hAnsi="Times New Roman"/>
      <w:b/>
      <w:bCs/>
      <w:sz w:val="24"/>
      <w:szCs w:val="32"/>
    </w:rPr>
  </w:style>
  <w:style w:type="paragraph" w:styleId="5">
    <w:name w:val="heading 4"/>
    <w:basedOn w:val="1"/>
    <w:next w:val="1"/>
    <w:link w:val="16"/>
    <w:unhideWhenUsed/>
    <w:qFormat/>
    <w:uiPriority w:val="0"/>
    <w:pPr>
      <w:keepNext/>
      <w:keepLines/>
      <w:spacing w:before="280" w:after="290" w:line="360" w:lineRule="auto"/>
      <w:jc w:val="center"/>
      <w:outlineLvl w:val="3"/>
    </w:pPr>
    <w:rPr>
      <w:rFonts w:ascii="宋体" w:hAnsi="宋体" w:cs="宋体"/>
      <w:b/>
      <w:bCs/>
      <w:sz w:val="24"/>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link w:val="17"/>
    <w:unhideWhenUsed/>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6">
    <w:name w:val="Document Map"/>
    <w:basedOn w:val="1"/>
    <w:link w:val="18"/>
    <w:semiHidden/>
    <w:unhideWhenUsed/>
    <w:qFormat/>
    <w:uiPriority w:val="99"/>
    <w:rPr>
      <w:rFonts w:ascii="宋体"/>
      <w:sz w:val="18"/>
      <w:szCs w:val="18"/>
    </w:r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szCs w:val="24"/>
    </w:rPr>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标题 2 Char"/>
    <w:basedOn w:val="10"/>
    <w:link w:val="3"/>
    <w:qFormat/>
    <w:uiPriority w:val="0"/>
    <w:rPr>
      <w:rFonts w:ascii="Arial" w:hAnsi="Arial" w:eastAsia="宋体" w:cs="Times New Roman"/>
      <w:b/>
      <w:sz w:val="24"/>
      <w:szCs w:val="24"/>
    </w:rPr>
  </w:style>
  <w:style w:type="character" w:customStyle="1" w:styleId="15">
    <w:name w:val="标题 3 Char"/>
    <w:basedOn w:val="10"/>
    <w:link w:val="4"/>
    <w:qFormat/>
    <w:uiPriority w:val="0"/>
    <w:rPr>
      <w:rFonts w:ascii="Times New Roman" w:hAnsi="Times New Roman" w:eastAsia="宋体" w:cs="Times New Roman"/>
      <w:b/>
      <w:bCs/>
      <w:sz w:val="24"/>
      <w:szCs w:val="32"/>
    </w:rPr>
  </w:style>
  <w:style w:type="character" w:customStyle="1" w:styleId="16">
    <w:name w:val="标题 4 Char"/>
    <w:basedOn w:val="10"/>
    <w:link w:val="5"/>
    <w:qFormat/>
    <w:uiPriority w:val="0"/>
    <w:rPr>
      <w:rFonts w:ascii="宋体" w:hAnsi="宋体" w:eastAsia="宋体" w:cs="宋体"/>
      <w:b/>
      <w:bCs/>
      <w:sz w:val="24"/>
    </w:rPr>
  </w:style>
  <w:style w:type="character" w:customStyle="1" w:styleId="17">
    <w:name w:val="信息标题 Char"/>
    <w:basedOn w:val="10"/>
    <w:link w:val="2"/>
    <w:qFormat/>
    <w:uiPriority w:val="0"/>
    <w:rPr>
      <w:rFonts w:ascii="Arial" w:hAnsi="Arial" w:eastAsia="宋体" w:cs="Arial"/>
      <w:sz w:val="24"/>
      <w:szCs w:val="24"/>
      <w:shd w:val="clear" w:color="auto" w:fill="7F7F7F"/>
    </w:rPr>
  </w:style>
  <w:style w:type="character" w:customStyle="1" w:styleId="18">
    <w:name w:val="文档结构图 Char"/>
    <w:basedOn w:val="10"/>
    <w:link w:val="6"/>
    <w:semiHidden/>
    <w:qFormat/>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12</Pages>
  <Words>1017</Words>
  <Characters>5801</Characters>
  <Lines>48</Lines>
  <Paragraphs>13</Paragraphs>
  <TotalTime>8</TotalTime>
  <ScaleCrop>false</ScaleCrop>
  <LinksUpToDate>false</LinksUpToDate>
  <CharactersWithSpaces>6805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2019-01-30T01:36:00Z</dcterms:created>
  <dc:creator>田桂芬</dc:creator>
  <cp:lastModifiedBy>花花草草</cp:lastModifiedBy>
  <dcterms:modified xsi:type="dcterms:W3CDTF">2019-01-30T03:39:22Z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