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b/>
          <w:sz w:val="44"/>
          <w:szCs w:val="44"/>
        </w:rPr>
      </w:pPr>
    </w:p>
    <w:p>
      <w:pPr>
        <w:jc w:val="center"/>
        <w:rPr>
          <w:rFonts w:ascii="黑体" w:hAnsi="黑体" w:eastAsia="黑体" w:cs="黑体"/>
          <w:b/>
          <w:sz w:val="44"/>
          <w:szCs w:val="44"/>
        </w:rPr>
      </w:pPr>
    </w:p>
    <w:p>
      <w:pPr>
        <w:spacing w:line="400" w:lineRule="atLeast"/>
        <w:jc w:val="center"/>
        <w:rPr>
          <w:rFonts w:ascii="宋体" w:hAnsi="宋体" w:cs="宋体"/>
          <w:b/>
          <w:sz w:val="40"/>
          <w:szCs w:val="36"/>
        </w:rPr>
      </w:pPr>
      <w:bookmarkStart w:id="0" w:name="_Toc152042286"/>
      <w:bookmarkStart w:id="1" w:name="_Toc144974478"/>
      <w:r>
        <w:rPr>
          <w:rFonts w:hint="eastAsia" w:ascii="宋体" w:hAnsi="宋体" w:cs="宋体"/>
          <w:b/>
          <w:sz w:val="40"/>
          <w:szCs w:val="36"/>
        </w:rPr>
        <w:t>政府和社会资本合作（PPP模式）</w:t>
      </w:r>
    </w:p>
    <w:p>
      <w:pPr>
        <w:pStyle w:val="2"/>
        <w:ind w:firstLine="210"/>
      </w:pPr>
    </w:p>
    <w:p>
      <w:pPr>
        <w:spacing w:line="400" w:lineRule="atLeast"/>
        <w:jc w:val="center"/>
        <w:rPr>
          <w:rFonts w:ascii="黑体" w:hAnsi="黑体" w:eastAsia="黑体" w:cs="宋体"/>
          <w:b/>
          <w:sz w:val="44"/>
          <w:szCs w:val="36"/>
        </w:rPr>
      </w:pPr>
      <w:r>
        <w:rPr>
          <w:rFonts w:hint="eastAsia" w:ascii="黑体" w:hAnsi="黑体" w:eastAsia="黑体" w:cs="宋体"/>
          <w:b/>
          <w:sz w:val="44"/>
          <w:szCs w:val="36"/>
        </w:rPr>
        <w:t>禹州市绿色铸造园区与陶瓷园区污水处理厂ppp项目</w:t>
      </w:r>
    </w:p>
    <w:p>
      <w:pPr>
        <w:spacing w:line="400" w:lineRule="atLeast"/>
        <w:jc w:val="center"/>
        <w:rPr>
          <w:rFonts w:ascii="宋体" w:hAnsi="宋体" w:cs="宋体"/>
          <w:b/>
          <w:sz w:val="28"/>
          <w:szCs w:val="28"/>
        </w:rPr>
      </w:pPr>
    </w:p>
    <w:p>
      <w:pPr>
        <w:spacing w:line="400" w:lineRule="atLeast"/>
        <w:jc w:val="center"/>
        <w:rPr>
          <w:rFonts w:ascii="宋体" w:hAnsi="宋体" w:cs="宋体"/>
          <w:b/>
          <w:sz w:val="28"/>
          <w:szCs w:val="28"/>
        </w:rPr>
      </w:pPr>
    </w:p>
    <w:p>
      <w:pPr>
        <w:pStyle w:val="2"/>
        <w:ind w:firstLine="210"/>
      </w:pPr>
    </w:p>
    <w:p>
      <w:pPr>
        <w:pStyle w:val="2"/>
        <w:ind w:firstLine="0" w:firstLineChars="0"/>
        <w:rPr>
          <w:rFonts w:ascii="宋体" w:hAnsi="宋体" w:cs="宋体"/>
        </w:rPr>
      </w:pPr>
    </w:p>
    <w:p>
      <w:pPr>
        <w:spacing w:line="400" w:lineRule="atLeast"/>
        <w:jc w:val="center"/>
        <w:rPr>
          <w:rFonts w:ascii="宋体" w:hAnsi="宋体" w:cs="宋体"/>
          <w:b/>
          <w:sz w:val="84"/>
          <w:szCs w:val="84"/>
        </w:rPr>
      </w:pPr>
      <w:r>
        <w:rPr>
          <w:rFonts w:hint="eastAsia" w:ascii="宋体" w:hAnsi="宋体" w:cs="宋体"/>
          <w:b/>
          <w:sz w:val="84"/>
          <w:szCs w:val="84"/>
        </w:rPr>
        <w:t>采 购 文 件</w:t>
      </w:r>
    </w:p>
    <w:p>
      <w:pPr>
        <w:spacing w:line="400" w:lineRule="atLeast"/>
        <w:jc w:val="center"/>
        <w:rPr>
          <w:rFonts w:ascii="宋体" w:hAnsi="宋体" w:cs="宋体"/>
          <w:b/>
          <w:sz w:val="28"/>
          <w:szCs w:val="28"/>
        </w:rPr>
      </w:pPr>
      <w:r>
        <w:rPr>
          <w:rFonts w:hint="eastAsia" w:ascii="宋体" w:hAnsi="宋体" w:cs="宋体"/>
          <w:b/>
          <w:sz w:val="44"/>
          <w:szCs w:val="44"/>
        </w:rPr>
        <w:drawing>
          <wp:anchor distT="0" distB="0" distL="114300" distR="114300" simplePos="0" relativeHeight="251657216" behindDoc="0" locked="0" layoutInCell="1" allowOverlap="1">
            <wp:simplePos x="0" y="0"/>
            <wp:positionH relativeFrom="column">
              <wp:posOffset>1725295</wp:posOffset>
            </wp:positionH>
            <wp:positionV relativeFrom="paragraph">
              <wp:posOffset>89535</wp:posOffset>
            </wp:positionV>
            <wp:extent cx="2035810" cy="1527175"/>
            <wp:effectExtent l="19050" t="0" r="2540" b="0"/>
            <wp:wrapNone/>
            <wp:docPr id="3" name="图片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01"/>
                    <pic:cNvPicPr>
                      <a:picLocks noChangeAspect="1" noChangeArrowheads="1"/>
                    </pic:cNvPicPr>
                  </pic:nvPicPr>
                  <pic:blipFill>
                    <a:blip r:embed="rId27"/>
                    <a:srcRect/>
                    <a:stretch>
                      <a:fillRect/>
                    </a:stretch>
                  </pic:blipFill>
                  <pic:spPr>
                    <a:xfrm>
                      <a:off x="0" y="0"/>
                      <a:ext cx="2035810" cy="1527175"/>
                    </a:xfrm>
                    <a:prstGeom prst="rect">
                      <a:avLst/>
                    </a:prstGeom>
                    <a:noFill/>
                    <a:ln w="9525">
                      <a:noFill/>
                      <a:miter lim="800000"/>
                      <a:headEnd/>
                      <a:tailEnd/>
                    </a:ln>
                  </pic:spPr>
                </pic:pic>
              </a:graphicData>
            </a:graphic>
          </wp:anchor>
        </w:drawing>
      </w:r>
    </w:p>
    <w:p>
      <w:pPr>
        <w:spacing w:line="400" w:lineRule="atLeast"/>
        <w:rPr>
          <w:rFonts w:ascii="宋体" w:hAnsi="宋体" w:cs="宋体"/>
          <w:b/>
          <w:sz w:val="28"/>
          <w:szCs w:val="28"/>
        </w:rPr>
      </w:pPr>
    </w:p>
    <w:p>
      <w:pPr>
        <w:spacing w:line="400" w:lineRule="atLeast"/>
        <w:jc w:val="center"/>
        <w:rPr>
          <w:rFonts w:ascii="宋体" w:hAnsi="宋体" w:cs="宋体"/>
          <w:b/>
          <w:sz w:val="28"/>
          <w:szCs w:val="28"/>
        </w:rPr>
      </w:pPr>
    </w:p>
    <w:p>
      <w:pPr>
        <w:spacing w:line="400" w:lineRule="atLeast"/>
        <w:jc w:val="center"/>
        <w:rPr>
          <w:rFonts w:ascii="宋体" w:hAnsi="宋体" w:cs="宋体"/>
          <w:b/>
          <w:sz w:val="28"/>
          <w:szCs w:val="28"/>
        </w:rPr>
      </w:pPr>
    </w:p>
    <w:p>
      <w:pPr>
        <w:spacing w:line="400" w:lineRule="atLeast"/>
        <w:jc w:val="center"/>
        <w:rPr>
          <w:rFonts w:ascii="宋体" w:hAnsi="宋体" w:cs="宋体"/>
          <w:b/>
          <w:sz w:val="28"/>
          <w:szCs w:val="28"/>
        </w:rPr>
      </w:pPr>
    </w:p>
    <w:p>
      <w:pPr>
        <w:spacing w:line="400" w:lineRule="atLeast"/>
        <w:jc w:val="center"/>
        <w:rPr>
          <w:rFonts w:ascii="宋体" w:hAnsi="宋体" w:cs="宋体"/>
          <w:b/>
          <w:sz w:val="28"/>
          <w:szCs w:val="28"/>
        </w:rPr>
      </w:pPr>
    </w:p>
    <w:p>
      <w:pPr>
        <w:spacing w:line="400" w:lineRule="atLeast"/>
        <w:rPr>
          <w:rFonts w:ascii="宋体" w:hAnsi="宋体" w:cs="宋体"/>
          <w:b/>
          <w:sz w:val="28"/>
          <w:szCs w:val="28"/>
        </w:rPr>
      </w:pPr>
    </w:p>
    <w:p>
      <w:pPr>
        <w:spacing w:line="400" w:lineRule="atLeast"/>
        <w:jc w:val="center"/>
        <w:rPr>
          <w:rFonts w:ascii="宋体" w:hAnsi="宋体" w:cs="宋体"/>
          <w:b/>
          <w:sz w:val="28"/>
          <w:szCs w:val="28"/>
        </w:rPr>
      </w:pPr>
    </w:p>
    <w:p>
      <w:pPr>
        <w:pStyle w:val="2"/>
        <w:ind w:firstLine="281"/>
        <w:rPr>
          <w:rFonts w:ascii="宋体" w:hAnsi="宋体" w:cs="宋体"/>
          <w:b/>
          <w:sz w:val="28"/>
          <w:szCs w:val="28"/>
        </w:rPr>
      </w:pPr>
    </w:p>
    <w:p>
      <w:pPr>
        <w:pStyle w:val="5"/>
      </w:pPr>
    </w:p>
    <w:p>
      <w:pPr>
        <w:spacing w:line="400" w:lineRule="atLeast"/>
        <w:jc w:val="center"/>
        <w:rPr>
          <w:rFonts w:ascii="宋体" w:hAnsi="宋体" w:cs="宋体"/>
          <w:b/>
          <w:sz w:val="28"/>
          <w:szCs w:val="28"/>
        </w:rPr>
      </w:pPr>
    </w:p>
    <w:p>
      <w:pPr>
        <w:spacing w:line="360" w:lineRule="auto"/>
        <w:rPr>
          <w:rFonts w:ascii="宋体" w:hAnsi="宋体" w:cs="宋体"/>
          <w:sz w:val="32"/>
          <w:szCs w:val="32"/>
        </w:rPr>
      </w:pPr>
    </w:p>
    <w:p>
      <w:pPr>
        <w:spacing w:line="360" w:lineRule="auto"/>
        <w:rPr>
          <w:rFonts w:ascii="宋体" w:hAnsi="宋体" w:cs="宋体"/>
          <w:b/>
          <w:bCs/>
          <w:sz w:val="32"/>
          <w:szCs w:val="32"/>
        </w:rPr>
      </w:pPr>
      <w:r>
        <w:rPr>
          <w:rFonts w:hint="eastAsia" w:ascii="宋体" w:hAnsi="宋体" w:cs="宋体"/>
          <w:b/>
          <w:bCs/>
          <w:sz w:val="32"/>
          <w:szCs w:val="32"/>
        </w:rPr>
        <w:t xml:space="preserve">   项目实施机构：禹州市住房和城乡规划建设局</w:t>
      </w:r>
    </w:p>
    <w:p>
      <w:pPr>
        <w:spacing w:line="360" w:lineRule="auto"/>
        <w:jc w:val="center"/>
        <w:rPr>
          <w:rFonts w:ascii="宋体" w:hAnsi="宋体" w:cs="宋体"/>
          <w:b/>
          <w:bCs/>
          <w:sz w:val="32"/>
          <w:szCs w:val="32"/>
        </w:rPr>
      </w:pPr>
      <w:r>
        <w:rPr>
          <w:rFonts w:hint="eastAsia" w:ascii="宋体" w:hAnsi="宋体" w:cs="宋体"/>
          <w:b/>
          <w:bCs/>
          <w:sz w:val="32"/>
          <w:szCs w:val="32"/>
        </w:rPr>
        <w:t xml:space="preserve">  采购代理机构：北京江河润泽工程管理咨询有限公司</w:t>
      </w:r>
    </w:p>
    <w:p>
      <w:pPr>
        <w:spacing w:line="360" w:lineRule="auto"/>
        <w:jc w:val="center"/>
        <w:rPr>
          <w:rFonts w:ascii="宋体" w:hAnsi="宋体" w:cs="宋体"/>
          <w:b/>
          <w:bCs/>
          <w:sz w:val="36"/>
          <w:szCs w:val="36"/>
        </w:rPr>
      </w:pPr>
      <w:r>
        <w:rPr>
          <w:rFonts w:hint="eastAsia" w:ascii="宋体" w:hAnsi="宋体" w:cs="宋体"/>
          <w:b/>
          <w:bCs/>
          <w:sz w:val="32"/>
          <w:szCs w:val="32"/>
        </w:rPr>
        <w:t>二〇一九年一月</w:t>
      </w:r>
    </w:p>
    <w:p>
      <w:pPr>
        <w:spacing w:line="400" w:lineRule="exact"/>
        <w:rPr>
          <w:rFonts w:ascii="Arial" w:hAnsi="Arial" w:cs="Arial"/>
          <w:sz w:val="36"/>
          <w:szCs w:val="36"/>
        </w:rPr>
        <w:sectPr>
          <w:headerReference r:id="rId3" w:type="default"/>
          <w:type w:val="nextColumn"/>
          <w:pgSz w:w="11850" w:h="16783"/>
          <w:pgMar w:top="1418" w:right="1797" w:bottom="1418" w:left="1797" w:header="851" w:footer="992" w:gutter="0"/>
          <w:cols w:space="720" w:num="1"/>
          <w:docGrid w:linePitch="312" w:charSpace="0"/>
        </w:sectPr>
      </w:pPr>
    </w:p>
    <w:bookmarkEnd w:id="0"/>
    <w:bookmarkEnd w:id="1"/>
    <w:p>
      <w:pPr>
        <w:pStyle w:val="33"/>
        <w:jc w:val="center"/>
        <w:rPr>
          <w:rFonts w:ascii="Arial" w:hAnsi="Arial" w:cs="Arial"/>
          <w:b w:val="0"/>
          <w:sz w:val="30"/>
          <w:szCs w:val="30"/>
        </w:rPr>
      </w:pPr>
      <w:r>
        <w:rPr>
          <w:rFonts w:ascii="Arial" w:cs="Arial"/>
          <w:b w:val="0"/>
          <w:sz w:val="30"/>
          <w:szCs w:val="30"/>
        </w:rPr>
        <w:t>目录</w:t>
      </w:r>
    </w:p>
    <w:p>
      <w:pPr>
        <w:pStyle w:val="33"/>
        <w:tabs>
          <w:tab w:val="right" w:leader="dot" w:pos="8246"/>
        </w:tabs>
        <w:rPr>
          <w:rFonts w:cs="Times New Roman"/>
          <w:b w:val="0"/>
          <w:bCs w:val="0"/>
          <w:caps w:val="0"/>
          <w:szCs w:val="22"/>
        </w:rPr>
      </w:pPr>
      <w:r>
        <w:rPr>
          <w:rFonts w:hint="eastAsia" w:ascii="宋体" w:hAnsi="宋体" w:cs="宋体"/>
          <w:sz w:val="24"/>
          <w:szCs w:val="24"/>
        </w:rPr>
        <w:fldChar w:fldCharType="begin"/>
      </w:r>
      <w:r>
        <w:rPr>
          <w:rFonts w:hint="eastAsia" w:ascii="宋体" w:hAnsi="宋体" w:cs="宋体"/>
          <w:sz w:val="24"/>
          <w:szCs w:val="24"/>
        </w:rPr>
        <w:instrText xml:space="preserve"> TOC \o "1-2" \h \z \u </w:instrText>
      </w:r>
      <w:r>
        <w:rPr>
          <w:rFonts w:hint="eastAsia" w:ascii="宋体" w:hAnsi="宋体" w:cs="宋体"/>
          <w:sz w:val="24"/>
          <w:szCs w:val="24"/>
        </w:rPr>
        <w:fldChar w:fldCharType="separate"/>
      </w:r>
      <w:r>
        <w:fldChar w:fldCharType="begin"/>
      </w:r>
      <w:r>
        <w:instrText xml:space="preserve"> HYPERLINK \l "_Toc534812993" </w:instrText>
      </w:r>
      <w:r>
        <w:fldChar w:fldCharType="separate"/>
      </w:r>
      <w:r>
        <w:rPr>
          <w:rStyle w:val="49"/>
          <w:rFonts w:hint="eastAsia" w:ascii="Arial" w:hAnsi="Arial" w:cs="Arial"/>
          <w:color w:val="auto"/>
        </w:rPr>
        <w:t>第一章采购邀请</w:t>
      </w:r>
      <w:r>
        <w:tab/>
      </w:r>
      <w:r>
        <w:fldChar w:fldCharType="begin"/>
      </w:r>
      <w:r>
        <w:instrText xml:space="preserve"> PAGEREF _Toc534812993 \h </w:instrText>
      </w:r>
      <w:r>
        <w:fldChar w:fldCharType="separate"/>
      </w:r>
      <w:r>
        <w:t>1</w:t>
      </w:r>
      <w:r>
        <w:fldChar w:fldCharType="end"/>
      </w:r>
      <w:r>
        <w:fldChar w:fldCharType="end"/>
      </w:r>
    </w:p>
    <w:p>
      <w:pPr>
        <w:pStyle w:val="33"/>
        <w:tabs>
          <w:tab w:val="right" w:leader="dot" w:pos="8246"/>
        </w:tabs>
        <w:rPr>
          <w:rFonts w:cs="Times New Roman"/>
          <w:b w:val="0"/>
          <w:bCs w:val="0"/>
          <w:caps w:val="0"/>
          <w:szCs w:val="22"/>
        </w:rPr>
      </w:pPr>
      <w:r>
        <w:fldChar w:fldCharType="begin"/>
      </w:r>
      <w:r>
        <w:instrText xml:space="preserve"> HYPERLINK \l "_Toc534812994" </w:instrText>
      </w:r>
      <w:r>
        <w:fldChar w:fldCharType="separate"/>
      </w:r>
      <w:r>
        <w:rPr>
          <w:rStyle w:val="49"/>
          <w:rFonts w:hint="eastAsia" w:ascii="Arial" w:hAnsi="Arial" w:cs="Arial"/>
          <w:color w:val="auto"/>
        </w:rPr>
        <w:t>第二章投标人须知</w:t>
      </w:r>
      <w:r>
        <w:tab/>
      </w:r>
      <w:r>
        <w:fldChar w:fldCharType="begin"/>
      </w:r>
      <w:r>
        <w:instrText xml:space="preserve"> PAGEREF _Toc534812994 \h </w:instrText>
      </w:r>
      <w:r>
        <w:fldChar w:fldCharType="separate"/>
      </w:r>
      <w:r>
        <w:t>7</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"_Toc534812995" </w:instrText>
      </w:r>
      <w:r>
        <w:fldChar w:fldCharType="separate"/>
      </w:r>
      <w:r>
        <w:rPr>
          <w:rStyle w:val="49"/>
          <w:rFonts w:hint="eastAsia" w:cs="Arial"/>
          <w:color w:val="auto"/>
        </w:rPr>
        <w:t>投标人须知前附表</w:t>
      </w:r>
      <w:r>
        <w:tab/>
      </w:r>
      <w:r>
        <w:fldChar w:fldCharType="begin"/>
      </w:r>
      <w:r>
        <w:instrText xml:space="preserve"> PAGEREF _Toc534812995 \h </w:instrText>
      </w:r>
      <w:r>
        <w:fldChar w:fldCharType="separate"/>
      </w:r>
      <w:r>
        <w:t>8</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"_Toc534812996" </w:instrText>
      </w:r>
      <w:r>
        <w:fldChar w:fldCharType="separate"/>
      </w:r>
      <w:r>
        <w:rPr>
          <w:rStyle w:val="49"/>
          <w:rFonts w:cs="Arial"/>
          <w:color w:val="auto"/>
        </w:rPr>
        <w:t xml:space="preserve">1. </w:t>
      </w:r>
      <w:r>
        <w:rPr>
          <w:rStyle w:val="49"/>
          <w:rFonts w:hint="eastAsia" w:cs="Arial"/>
          <w:color w:val="auto"/>
        </w:rPr>
        <w:t>说明</w:t>
      </w:r>
      <w:r>
        <w:tab/>
      </w:r>
      <w:r>
        <w:fldChar w:fldCharType="begin"/>
      </w:r>
      <w:r>
        <w:instrText xml:space="preserve"> PAGEREF _Toc534812996 \h </w:instrText>
      </w:r>
      <w:r>
        <w:fldChar w:fldCharType="separate"/>
      </w:r>
      <w:r>
        <w:t>16</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"_Toc534812997" </w:instrText>
      </w:r>
      <w:r>
        <w:fldChar w:fldCharType="separate"/>
      </w:r>
      <w:r>
        <w:rPr>
          <w:rStyle w:val="49"/>
          <w:rFonts w:cs="Arial"/>
          <w:color w:val="auto"/>
        </w:rPr>
        <w:t xml:space="preserve">2. </w:t>
      </w:r>
      <w:r>
        <w:rPr>
          <w:rStyle w:val="49"/>
          <w:rFonts w:hint="eastAsia" w:cs="Arial"/>
          <w:color w:val="auto"/>
        </w:rPr>
        <w:t>采购文件</w:t>
      </w:r>
      <w:r>
        <w:tab/>
      </w:r>
      <w:r>
        <w:fldChar w:fldCharType="begin"/>
      </w:r>
      <w:r>
        <w:instrText xml:space="preserve"> PAGEREF _Toc534812997 \h </w:instrText>
      </w:r>
      <w:r>
        <w:fldChar w:fldCharType="separate"/>
      </w:r>
      <w:r>
        <w:t>19</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"_Toc534812998" </w:instrText>
      </w:r>
      <w:r>
        <w:fldChar w:fldCharType="separate"/>
      </w:r>
      <w:r>
        <w:rPr>
          <w:rStyle w:val="49"/>
          <w:rFonts w:cs="Arial"/>
          <w:color w:val="auto"/>
        </w:rPr>
        <w:t xml:space="preserve">3. </w:t>
      </w:r>
      <w:r>
        <w:rPr>
          <w:rStyle w:val="49"/>
          <w:rFonts w:hint="eastAsia" w:cs="Arial"/>
          <w:color w:val="auto"/>
        </w:rPr>
        <w:t>投标文件</w:t>
      </w:r>
      <w:r>
        <w:tab/>
      </w:r>
      <w:r>
        <w:fldChar w:fldCharType="begin"/>
      </w:r>
      <w:r>
        <w:instrText xml:space="preserve"> PAGEREF _Toc534812998 \h </w:instrText>
      </w:r>
      <w:r>
        <w:fldChar w:fldCharType="separate"/>
      </w:r>
      <w:r>
        <w:t>20</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"_Toc534812999" </w:instrText>
      </w:r>
      <w:r>
        <w:fldChar w:fldCharType="separate"/>
      </w:r>
      <w:r>
        <w:rPr>
          <w:rStyle w:val="49"/>
          <w:rFonts w:cs="Arial"/>
          <w:color w:val="auto"/>
        </w:rPr>
        <w:t xml:space="preserve">4. </w:t>
      </w:r>
      <w:r>
        <w:rPr>
          <w:rStyle w:val="49"/>
          <w:rFonts w:hint="eastAsia" w:cs="Arial"/>
          <w:color w:val="auto"/>
        </w:rPr>
        <w:t>投标文件的递交</w:t>
      </w:r>
      <w:r>
        <w:tab/>
      </w:r>
      <w:r>
        <w:fldChar w:fldCharType="begin"/>
      </w:r>
      <w:r>
        <w:instrText xml:space="preserve"> PAGEREF _Toc534812999 \h </w:instrText>
      </w:r>
      <w:r>
        <w:fldChar w:fldCharType="separate"/>
      </w:r>
      <w:r>
        <w:t>22</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"_Toc534813000" </w:instrText>
      </w:r>
      <w:r>
        <w:fldChar w:fldCharType="separate"/>
      </w:r>
      <w:r>
        <w:rPr>
          <w:rStyle w:val="49"/>
          <w:rFonts w:cs="Arial"/>
          <w:color w:val="auto"/>
        </w:rPr>
        <w:t xml:space="preserve">5. </w:t>
      </w:r>
      <w:r>
        <w:rPr>
          <w:rStyle w:val="49"/>
          <w:rFonts w:hint="eastAsia" w:cs="Arial"/>
          <w:color w:val="auto"/>
        </w:rPr>
        <w:t>开标</w:t>
      </w:r>
      <w:r>
        <w:tab/>
      </w:r>
      <w:r>
        <w:fldChar w:fldCharType="begin"/>
      </w:r>
      <w:r>
        <w:instrText xml:space="preserve"> PAGEREF _Toc534813000 \h </w:instrText>
      </w:r>
      <w:r>
        <w:fldChar w:fldCharType="separate"/>
      </w:r>
      <w:r>
        <w:t>23</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"_Toc534813001" </w:instrText>
      </w:r>
      <w:r>
        <w:fldChar w:fldCharType="separate"/>
      </w:r>
      <w:r>
        <w:rPr>
          <w:rStyle w:val="49"/>
          <w:rFonts w:cs="Arial"/>
          <w:color w:val="auto"/>
        </w:rPr>
        <w:t xml:space="preserve">6. </w:t>
      </w:r>
      <w:r>
        <w:rPr>
          <w:rStyle w:val="49"/>
          <w:rFonts w:hint="eastAsia" w:cs="Arial"/>
          <w:color w:val="auto"/>
        </w:rPr>
        <w:t>评审</w:t>
      </w:r>
      <w:r>
        <w:tab/>
      </w:r>
      <w:r>
        <w:fldChar w:fldCharType="begin"/>
      </w:r>
      <w:r>
        <w:instrText xml:space="preserve"> PAGEREF _Toc534813001 \h </w:instrText>
      </w:r>
      <w:r>
        <w:fldChar w:fldCharType="separate"/>
      </w:r>
      <w:r>
        <w:t>24</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"_Toc534813002" </w:instrText>
      </w:r>
      <w:r>
        <w:fldChar w:fldCharType="separate"/>
      </w:r>
      <w:r>
        <w:rPr>
          <w:rStyle w:val="49"/>
          <w:rFonts w:cs="Arial"/>
          <w:color w:val="auto"/>
        </w:rPr>
        <w:t xml:space="preserve">7. </w:t>
      </w:r>
      <w:r>
        <w:rPr>
          <w:rStyle w:val="49"/>
          <w:rFonts w:hint="eastAsia" w:cs="Arial"/>
          <w:color w:val="auto"/>
        </w:rPr>
        <w:t>合同授予</w:t>
      </w:r>
      <w:r>
        <w:tab/>
      </w:r>
      <w:r>
        <w:fldChar w:fldCharType="begin"/>
      </w:r>
      <w:r>
        <w:instrText xml:space="preserve"> PAGEREF _Toc534813002 \h </w:instrText>
      </w:r>
      <w:r>
        <w:fldChar w:fldCharType="separate"/>
      </w:r>
      <w:r>
        <w:t>24</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"_Toc534813003" </w:instrText>
      </w:r>
      <w:r>
        <w:fldChar w:fldCharType="separate"/>
      </w:r>
      <w:r>
        <w:rPr>
          <w:rStyle w:val="49"/>
          <w:rFonts w:cs="Arial"/>
          <w:color w:val="auto"/>
        </w:rPr>
        <w:t xml:space="preserve">8. </w:t>
      </w:r>
      <w:r>
        <w:rPr>
          <w:rStyle w:val="49"/>
          <w:rFonts w:hint="eastAsia" w:cs="Arial"/>
          <w:color w:val="auto"/>
        </w:rPr>
        <w:t>重新招标</w:t>
      </w:r>
      <w:r>
        <w:tab/>
      </w:r>
      <w:r>
        <w:fldChar w:fldCharType="begin"/>
      </w:r>
      <w:r>
        <w:instrText xml:space="preserve"> PAGEREF _Toc534813003 \h </w:instrText>
      </w:r>
      <w:r>
        <w:fldChar w:fldCharType="separate"/>
      </w:r>
      <w:r>
        <w:t>26</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"_Toc534813004" </w:instrText>
      </w:r>
      <w:r>
        <w:fldChar w:fldCharType="separate"/>
      </w:r>
      <w:r>
        <w:rPr>
          <w:rStyle w:val="49"/>
          <w:rFonts w:cs="Arial"/>
          <w:color w:val="auto"/>
        </w:rPr>
        <w:t xml:space="preserve">9. </w:t>
      </w:r>
      <w:r>
        <w:rPr>
          <w:rStyle w:val="49"/>
          <w:rFonts w:hint="eastAsia" w:cs="Arial"/>
          <w:color w:val="auto"/>
        </w:rPr>
        <w:t>纪律和监督</w:t>
      </w:r>
      <w:r>
        <w:tab/>
      </w:r>
      <w:r>
        <w:fldChar w:fldCharType="begin"/>
      </w:r>
      <w:r>
        <w:instrText xml:space="preserve"> PAGEREF _Toc534813004 \h </w:instrText>
      </w:r>
      <w:r>
        <w:fldChar w:fldCharType="separate"/>
      </w:r>
      <w:r>
        <w:t>26</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"_Toc534813005" </w:instrText>
      </w:r>
      <w:r>
        <w:fldChar w:fldCharType="separate"/>
      </w:r>
      <w:r>
        <w:rPr>
          <w:rStyle w:val="49"/>
          <w:rFonts w:cs="Arial"/>
          <w:color w:val="auto"/>
        </w:rPr>
        <w:t xml:space="preserve">10. </w:t>
      </w:r>
      <w:r>
        <w:rPr>
          <w:rStyle w:val="49"/>
          <w:rFonts w:hint="eastAsia" w:cs="Arial"/>
          <w:color w:val="auto"/>
        </w:rPr>
        <w:t>政府采购政策</w:t>
      </w:r>
      <w:r>
        <w:tab/>
      </w:r>
      <w:r>
        <w:fldChar w:fldCharType="begin"/>
      </w:r>
      <w:r>
        <w:instrText xml:space="preserve"> PAGEREF _Toc534813005 \h </w:instrText>
      </w:r>
      <w:r>
        <w:fldChar w:fldCharType="separate"/>
      </w:r>
      <w:r>
        <w:t>26</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"_Toc534813006" </w:instrText>
      </w:r>
      <w:r>
        <w:fldChar w:fldCharType="separate"/>
      </w:r>
      <w:r>
        <w:rPr>
          <w:rStyle w:val="49"/>
          <w:rFonts w:cs="Arial"/>
          <w:color w:val="auto"/>
        </w:rPr>
        <w:t xml:space="preserve">11. </w:t>
      </w:r>
      <w:r>
        <w:rPr>
          <w:rStyle w:val="49"/>
          <w:rFonts w:hint="eastAsia" w:cs="Arial"/>
          <w:color w:val="auto"/>
        </w:rPr>
        <w:t>需要补充的其他内容</w:t>
      </w:r>
      <w:r>
        <w:tab/>
      </w:r>
      <w:r>
        <w:fldChar w:fldCharType="begin"/>
      </w:r>
      <w:r>
        <w:instrText xml:space="preserve"> PAGEREF _Toc534813006 \h </w:instrText>
      </w:r>
      <w:r>
        <w:fldChar w:fldCharType="separate"/>
      </w:r>
      <w:r>
        <w:t>27</w:t>
      </w:r>
      <w:r>
        <w:fldChar w:fldCharType="end"/>
      </w:r>
      <w:r>
        <w:fldChar w:fldCharType="end"/>
      </w:r>
    </w:p>
    <w:p>
      <w:pPr>
        <w:pStyle w:val="33"/>
        <w:tabs>
          <w:tab w:val="right" w:leader="dot" w:pos="8246"/>
        </w:tabs>
        <w:rPr>
          <w:rFonts w:cs="Times New Roman"/>
          <w:b w:val="0"/>
          <w:bCs w:val="0"/>
          <w:caps w:val="0"/>
          <w:szCs w:val="22"/>
        </w:rPr>
      </w:pPr>
      <w:r>
        <w:fldChar w:fldCharType="begin"/>
      </w:r>
      <w:r>
        <w:instrText xml:space="preserve"> HYPERLINK \l "_Toc534813007" </w:instrText>
      </w:r>
      <w:r>
        <w:fldChar w:fldCharType="separate"/>
      </w:r>
      <w:r>
        <w:rPr>
          <w:rStyle w:val="49"/>
          <w:rFonts w:hint="eastAsia" w:ascii="Arial" w:hAnsi="Arial" w:cs="Arial"/>
          <w:color w:val="auto"/>
        </w:rPr>
        <w:t>第三章</w:t>
      </w:r>
      <w:r>
        <w:rPr>
          <w:rStyle w:val="49"/>
          <w:color w:val="auto"/>
        </w:rPr>
        <w:t>PPP</w:t>
      </w:r>
      <w:r>
        <w:rPr>
          <w:rStyle w:val="49"/>
          <w:rFonts w:hint="eastAsia"/>
          <w:color w:val="auto"/>
        </w:rPr>
        <w:t>项目合同（草案）</w:t>
      </w:r>
      <w:r>
        <w:tab/>
      </w:r>
      <w:r>
        <w:fldChar w:fldCharType="begin"/>
      </w:r>
      <w:r>
        <w:instrText xml:space="preserve"> PAGEREF _Toc534813007 \h </w:instrText>
      </w:r>
      <w:r>
        <w:fldChar w:fldCharType="separate"/>
      </w:r>
      <w:r>
        <w:t>28</w:t>
      </w:r>
      <w:r>
        <w:fldChar w:fldCharType="end"/>
      </w:r>
      <w:r>
        <w:fldChar w:fldCharType="end"/>
      </w:r>
    </w:p>
    <w:p>
      <w:pPr>
        <w:pStyle w:val="33"/>
        <w:tabs>
          <w:tab w:val="right" w:leader="dot" w:pos="8246"/>
        </w:tabs>
        <w:rPr>
          <w:rFonts w:cs="Times New Roman"/>
          <w:b w:val="0"/>
          <w:bCs w:val="0"/>
          <w:caps w:val="0"/>
          <w:szCs w:val="22"/>
        </w:rPr>
      </w:pPr>
      <w:r>
        <w:fldChar w:fldCharType="begin"/>
      </w:r>
      <w:r>
        <w:instrText xml:space="preserve"> HYPERLINK \l "_Toc534813008" </w:instrText>
      </w:r>
      <w:r>
        <w:fldChar w:fldCharType="separate"/>
      </w:r>
      <w:r>
        <w:rPr>
          <w:rStyle w:val="49"/>
          <w:rFonts w:hint="eastAsia" w:ascii="Arial" w:hAnsi="Arial" w:cs="Arial"/>
          <w:color w:val="auto"/>
        </w:rPr>
        <w:t>第四章</w:t>
      </w:r>
      <w:r>
        <w:rPr>
          <w:rStyle w:val="49"/>
          <w:rFonts w:hint="eastAsia"/>
          <w:color w:val="auto"/>
        </w:rPr>
        <w:t>项目采购需求</w:t>
      </w:r>
      <w:r>
        <w:tab/>
      </w:r>
      <w:r>
        <w:fldChar w:fldCharType="begin"/>
      </w:r>
      <w:r>
        <w:instrText xml:space="preserve"> PAGEREF _Toc534813008 \h </w:instrText>
      </w:r>
      <w:r>
        <w:fldChar w:fldCharType="separate"/>
      </w:r>
      <w:r>
        <w:t>101</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"_Toc534813009" </w:instrText>
      </w:r>
      <w:r>
        <w:fldChar w:fldCharType="separate"/>
      </w:r>
      <w:r>
        <w:rPr>
          <w:rStyle w:val="49"/>
          <w:rFonts w:hint="eastAsia"/>
          <w:color w:val="auto"/>
        </w:rPr>
        <w:t>一、</w:t>
      </w:r>
      <w:r>
        <w:rPr>
          <w:rFonts w:cs="Times New Roman"/>
          <w:smallCaps w:val="0"/>
          <w:szCs w:val="22"/>
        </w:rPr>
        <w:tab/>
      </w:r>
      <w:r>
        <w:rPr>
          <w:rStyle w:val="49"/>
          <w:rFonts w:hint="eastAsia"/>
          <w:color w:val="auto"/>
        </w:rPr>
        <w:t>项目概况</w:t>
      </w:r>
      <w:r>
        <w:tab/>
      </w:r>
      <w:r>
        <w:fldChar w:fldCharType="begin"/>
      </w:r>
      <w:r>
        <w:instrText xml:space="preserve"> PAGEREF _Toc534813009 \h </w:instrText>
      </w:r>
      <w:r>
        <w:fldChar w:fldCharType="separate"/>
      </w:r>
      <w:r>
        <w:t>101</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"_Toc534813010" </w:instrText>
      </w:r>
      <w:r>
        <w:fldChar w:fldCharType="separate"/>
      </w:r>
      <w:r>
        <w:rPr>
          <w:rStyle w:val="49"/>
          <w:rFonts w:hint="eastAsia"/>
          <w:b/>
          <w:bCs/>
          <w:color w:val="auto"/>
        </w:rPr>
        <w:t>二、</w:t>
      </w:r>
      <w:r>
        <w:rPr>
          <w:rFonts w:cs="Times New Roman"/>
          <w:smallCaps w:val="0"/>
          <w:szCs w:val="22"/>
        </w:rPr>
        <w:tab/>
      </w:r>
      <w:r>
        <w:rPr>
          <w:rStyle w:val="49"/>
          <w:rFonts w:hint="eastAsia"/>
          <w:b/>
          <w:bCs/>
          <w:color w:val="auto"/>
        </w:rPr>
        <w:t>风险分配基本框架</w:t>
      </w:r>
      <w:r>
        <w:tab/>
      </w:r>
      <w:r>
        <w:fldChar w:fldCharType="begin"/>
      </w:r>
      <w:r>
        <w:instrText xml:space="preserve"> PAGEREF _Toc534813010 \h </w:instrText>
      </w:r>
      <w:r>
        <w:fldChar w:fldCharType="separate"/>
      </w:r>
      <w:r>
        <w:t>101</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"_Toc534813011" </w:instrText>
      </w:r>
      <w:r>
        <w:fldChar w:fldCharType="separate"/>
      </w:r>
      <w:r>
        <w:rPr>
          <w:rStyle w:val="49"/>
          <w:rFonts w:hint="eastAsia"/>
          <w:b/>
          <w:bCs/>
          <w:color w:val="auto"/>
        </w:rPr>
        <w:t>三、</w:t>
      </w:r>
      <w:r>
        <w:rPr>
          <w:rFonts w:cs="Times New Roman"/>
          <w:smallCaps w:val="0"/>
          <w:szCs w:val="22"/>
        </w:rPr>
        <w:tab/>
      </w:r>
      <w:r>
        <w:rPr>
          <w:rStyle w:val="49"/>
          <w:rFonts w:hint="eastAsia"/>
          <w:b/>
          <w:bCs/>
          <w:color w:val="auto"/>
        </w:rPr>
        <w:t>项目运作方式</w:t>
      </w:r>
      <w:r>
        <w:tab/>
      </w:r>
      <w:r>
        <w:fldChar w:fldCharType="begin"/>
      </w:r>
      <w:r>
        <w:instrText xml:space="preserve"> PAGEREF _Toc534813011 \h </w:instrText>
      </w:r>
      <w:r>
        <w:fldChar w:fldCharType="separate"/>
      </w:r>
      <w:r>
        <w:t>102</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"_Toc534813012" </w:instrText>
      </w:r>
      <w:r>
        <w:fldChar w:fldCharType="separate"/>
      </w:r>
      <w:r>
        <w:rPr>
          <w:rStyle w:val="49"/>
          <w:rFonts w:hint="eastAsia"/>
          <w:b/>
          <w:bCs/>
          <w:color w:val="auto"/>
        </w:rPr>
        <w:t>四、</w:t>
      </w:r>
      <w:r>
        <w:rPr>
          <w:rFonts w:cs="Times New Roman"/>
          <w:smallCaps w:val="0"/>
          <w:szCs w:val="22"/>
        </w:rPr>
        <w:tab/>
      </w:r>
      <w:r>
        <w:rPr>
          <w:rStyle w:val="49"/>
          <w:rFonts w:hint="eastAsia"/>
          <w:b/>
          <w:bCs/>
          <w:color w:val="auto"/>
        </w:rPr>
        <w:t>项目交易结构</w:t>
      </w:r>
      <w:r>
        <w:tab/>
      </w:r>
      <w:r>
        <w:fldChar w:fldCharType="begin"/>
      </w:r>
      <w:r>
        <w:instrText xml:space="preserve"> PAGEREF _Toc534813012 \h </w:instrText>
      </w:r>
      <w:r>
        <w:fldChar w:fldCharType="separate"/>
      </w:r>
      <w:r>
        <w:t>102</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"_Toc534813013" </w:instrText>
      </w:r>
      <w:r>
        <w:fldChar w:fldCharType="separate"/>
      </w:r>
      <w:r>
        <w:rPr>
          <w:rStyle w:val="49"/>
          <w:rFonts w:hint="eastAsia"/>
          <w:b/>
          <w:bCs/>
          <w:color w:val="auto"/>
        </w:rPr>
        <w:t>五、</w:t>
      </w:r>
      <w:r>
        <w:rPr>
          <w:rFonts w:cs="Times New Roman"/>
          <w:smallCaps w:val="0"/>
          <w:szCs w:val="22"/>
        </w:rPr>
        <w:tab/>
      </w:r>
      <w:r>
        <w:rPr>
          <w:rStyle w:val="49"/>
          <w:rFonts w:hint="eastAsia"/>
          <w:b/>
          <w:bCs/>
          <w:color w:val="auto"/>
        </w:rPr>
        <w:t>项目合同体系</w:t>
      </w:r>
      <w:r>
        <w:tab/>
      </w:r>
      <w:r>
        <w:fldChar w:fldCharType="begin"/>
      </w:r>
      <w:r>
        <w:instrText xml:space="preserve"> PAGEREF _Toc534813013 \h </w:instrText>
      </w:r>
      <w:r>
        <w:fldChar w:fldCharType="separate"/>
      </w:r>
      <w:r>
        <w:t>105</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"_Toc534813014" </w:instrText>
      </w:r>
      <w:r>
        <w:fldChar w:fldCharType="separate"/>
      </w:r>
      <w:r>
        <w:rPr>
          <w:rStyle w:val="49"/>
          <w:rFonts w:hint="eastAsia"/>
          <w:b/>
          <w:bCs/>
          <w:color w:val="auto"/>
        </w:rPr>
        <w:t>六、</w:t>
      </w:r>
      <w:r>
        <w:rPr>
          <w:rFonts w:cs="Times New Roman"/>
          <w:smallCaps w:val="0"/>
          <w:szCs w:val="22"/>
        </w:rPr>
        <w:tab/>
      </w:r>
      <w:r>
        <w:rPr>
          <w:rStyle w:val="49"/>
          <w:rFonts w:hint="eastAsia"/>
          <w:b/>
          <w:bCs/>
          <w:color w:val="auto"/>
        </w:rPr>
        <w:t>项目监管架构</w:t>
      </w:r>
      <w:r>
        <w:tab/>
      </w:r>
      <w:r>
        <w:fldChar w:fldCharType="begin"/>
      </w:r>
      <w:r>
        <w:instrText xml:space="preserve"> PAGEREF _Toc534813014 \h </w:instrText>
      </w:r>
      <w:r>
        <w:fldChar w:fldCharType="separate"/>
      </w:r>
      <w:r>
        <w:t>106</w:t>
      </w:r>
      <w:r>
        <w:fldChar w:fldCharType="end"/>
      </w:r>
      <w:r>
        <w:fldChar w:fldCharType="end"/>
      </w:r>
    </w:p>
    <w:p>
      <w:pPr>
        <w:pStyle w:val="38"/>
        <w:tabs>
          <w:tab w:val="left" w:pos="1050"/>
          <w:tab w:val="right" w:leader="dot" w:pos="8246"/>
        </w:tabs>
        <w:rPr>
          <w:rFonts w:cs="Times New Roman"/>
          <w:smallCaps w:val="0"/>
          <w:szCs w:val="22"/>
        </w:rPr>
      </w:pPr>
      <w:r>
        <w:fldChar w:fldCharType="begin"/>
      </w:r>
      <w:r>
        <w:instrText xml:space="preserve"> HYPERLINK \l "_Toc534813015" </w:instrText>
      </w:r>
      <w:r>
        <w:fldChar w:fldCharType="separate"/>
      </w:r>
      <w:r>
        <w:rPr>
          <w:rStyle w:val="49"/>
          <w:rFonts w:hint="eastAsia"/>
          <w:b/>
          <w:bCs/>
          <w:color w:val="auto"/>
        </w:rPr>
        <w:t>七、</w:t>
      </w:r>
      <w:r>
        <w:rPr>
          <w:rFonts w:cs="Times New Roman"/>
          <w:smallCaps w:val="0"/>
          <w:szCs w:val="22"/>
        </w:rPr>
        <w:tab/>
      </w:r>
      <w:r>
        <w:rPr>
          <w:rStyle w:val="49"/>
          <w:rFonts w:hint="eastAsia"/>
          <w:b/>
          <w:bCs/>
          <w:color w:val="auto"/>
        </w:rPr>
        <w:t>附件</w:t>
      </w:r>
      <w:r>
        <w:tab/>
      </w:r>
      <w:r>
        <w:fldChar w:fldCharType="begin"/>
      </w:r>
      <w:r>
        <w:instrText xml:space="preserve"> PAGEREF _Toc534813015 \h </w:instrText>
      </w:r>
      <w:r>
        <w:fldChar w:fldCharType="separate"/>
      </w:r>
      <w:r>
        <w:t>107</w:t>
      </w:r>
      <w:r>
        <w:fldChar w:fldCharType="end"/>
      </w:r>
      <w:r>
        <w:fldChar w:fldCharType="end"/>
      </w:r>
    </w:p>
    <w:p>
      <w:pPr>
        <w:pStyle w:val="33"/>
        <w:tabs>
          <w:tab w:val="right" w:leader="dot" w:pos="8246"/>
        </w:tabs>
        <w:rPr>
          <w:rFonts w:cs="Times New Roman"/>
          <w:b w:val="0"/>
          <w:bCs w:val="0"/>
          <w:caps w:val="0"/>
          <w:szCs w:val="22"/>
        </w:rPr>
      </w:pPr>
      <w:r>
        <w:fldChar w:fldCharType="begin"/>
      </w:r>
      <w:r>
        <w:instrText xml:space="preserve"> HYPERLINK \l "_Toc534813016" </w:instrText>
      </w:r>
      <w:r>
        <w:fldChar w:fldCharType="separate"/>
      </w:r>
      <w:r>
        <w:rPr>
          <w:rStyle w:val="49"/>
          <w:rFonts w:hint="eastAsia" w:ascii="Arial" w:hAnsi="Arial" w:cs="Arial"/>
          <w:color w:val="auto"/>
        </w:rPr>
        <w:t>第五章</w:t>
      </w:r>
      <w:r>
        <w:rPr>
          <w:rStyle w:val="49"/>
          <w:rFonts w:hint="eastAsia"/>
          <w:color w:val="auto"/>
        </w:rPr>
        <w:t>评审方法</w:t>
      </w:r>
      <w:r>
        <w:tab/>
      </w:r>
      <w:r>
        <w:fldChar w:fldCharType="begin"/>
      </w:r>
      <w:r>
        <w:instrText xml:space="preserve"> PAGEREF _Toc534813016 \h </w:instrText>
      </w:r>
      <w:r>
        <w:fldChar w:fldCharType="separate"/>
      </w:r>
      <w:r>
        <w:t>108</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"_Toc534813017" </w:instrText>
      </w:r>
      <w:r>
        <w:fldChar w:fldCharType="separate"/>
      </w:r>
      <w:r>
        <w:rPr>
          <w:rStyle w:val="49"/>
          <w:rFonts w:hint="eastAsia" w:cs="Arial"/>
          <w:color w:val="auto"/>
        </w:rPr>
        <w:t>评审方法前附表</w:t>
      </w:r>
      <w:r>
        <w:tab/>
      </w:r>
      <w:r>
        <w:fldChar w:fldCharType="begin"/>
      </w:r>
      <w:r>
        <w:instrText xml:space="preserve"> PAGEREF _Toc534813017 \h </w:instrText>
      </w:r>
      <w:r>
        <w:fldChar w:fldCharType="separate"/>
      </w:r>
      <w:r>
        <w:t>109</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"_Toc534813018" </w:instrText>
      </w:r>
      <w:r>
        <w:fldChar w:fldCharType="separate"/>
      </w:r>
      <w:r>
        <w:rPr>
          <w:rStyle w:val="49"/>
          <w:rFonts w:ascii="宋体" w:hAnsi="宋体" w:cs="宋体"/>
          <w:color w:val="auto"/>
        </w:rPr>
        <w:t xml:space="preserve">1. </w:t>
      </w:r>
      <w:r>
        <w:rPr>
          <w:rStyle w:val="49"/>
          <w:rFonts w:hint="eastAsia" w:ascii="宋体" w:hAnsi="宋体" w:cs="宋体"/>
          <w:color w:val="auto"/>
        </w:rPr>
        <w:t>评审方法</w:t>
      </w:r>
      <w:r>
        <w:tab/>
      </w:r>
      <w:r>
        <w:fldChar w:fldCharType="begin"/>
      </w:r>
      <w:r>
        <w:instrText xml:space="preserve"> PAGEREF _Toc534813018 \h </w:instrText>
      </w:r>
      <w:r>
        <w:fldChar w:fldCharType="separate"/>
      </w:r>
      <w:r>
        <w:t>115</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"_Toc534813019" </w:instrText>
      </w:r>
      <w:r>
        <w:fldChar w:fldCharType="separate"/>
      </w:r>
      <w:r>
        <w:rPr>
          <w:rStyle w:val="49"/>
          <w:rFonts w:ascii="宋体" w:hAnsi="宋体" w:cs="宋体"/>
          <w:color w:val="auto"/>
        </w:rPr>
        <w:t xml:space="preserve">2. </w:t>
      </w:r>
      <w:r>
        <w:rPr>
          <w:rStyle w:val="49"/>
          <w:rFonts w:hint="eastAsia" w:ascii="宋体" w:hAnsi="宋体" w:cs="宋体"/>
          <w:color w:val="auto"/>
        </w:rPr>
        <w:t>评审程序</w:t>
      </w:r>
      <w:r>
        <w:tab/>
      </w:r>
      <w:r>
        <w:fldChar w:fldCharType="begin"/>
      </w:r>
      <w:r>
        <w:instrText xml:space="preserve"> PAGEREF _Toc534813019 \h </w:instrText>
      </w:r>
      <w:r>
        <w:fldChar w:fldCharType="separate"/>
      </w:r>
      <w:r>
        <w:t>115</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"_Toc534813020" </w:instrText>
      </w:r>
      <w:r>
        <w:fldChar w:fldCharType="separate"/>
      </w:r>
      <w:r>
        <w:rPr>
          <w:rStyle w:val="49"/>
          <w:rFonts w:ascii="宋体" w:hAnsi="宋体" w:cs="宋体"/>
          <w:color w:val="auto"/>
        </w:rPr>
        <w:t xml:space="preserve">3. </w:t>
      </w:r>
      <w:r>
        <w:rPr>
          <w:rStyle w:val="49"/>
          <w:rFonts w:hint="eastAsia" w:ascii="宋体" w:hAnsi="宋体" w:cs="宋体"/>
          <w:color w:val="auto"/>
        </w:rPr>
        <w:t>投标文件初审</w:t>
      </w:r>
      <w:r>
        <w:tab/>
      </w:r>
      <w:r>
        <w:fldChar w:fldCharType="begin"/>
      </w:r>
      <w:r>
        <w:instrText xml:space="preserve"> PAGEREF _Toc534813020 \h </w:instrText>
      </w:r>
      <w:r>
        <w:fldChar w:fldCharType="separate"/>
      </w:r>
      <w:r>
        <w:t>115</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"_Toc534813021" </w:instrText>
      </w:r>
      <w:r>
        <w:fldChar w:fldCharType="separate"/>
      </w:r>
      <w:r>
        <w:rPr>
          <w:rStyle w:val="49"/>
          <w:rFonts w:ascii="宋体" w:hAnsi="宋体" w:cs="宋体"/>
          <w:color w:val="auto"/>
        </w:rPr>
        <w:t xml:space="preserve">4. </w:t>
      </w:r>
      <w:r>
        <w:rPr>
          <w:rStyle w:val="49"/>
          <w:rFonts w:hint="eastAsia" w:ascii="宋体" w:hAnsi="宋体" w:cs="宋体"/>
          <w:color w:val="auto"/>
        </w:rPr>
        <w:t>澄清有关问题</w:t>
      </w:r>
      <w:r>
        <w:tab/>
      </w:r>
      <w:r>
        <w:fldChar w:fldCharType="begin"/>
      </w:r>
      <w:r>
        <w:instrText xml:space="preserve"> PAGEREF _Toc534813021 \h </w:instrText>
      </w:r>
      <w:r>
        <w:fldChar w:fldCharType="separate"/>
      </w:r>
      <w:r>
        <w:t>116</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"_Toc534813022" </w:instrText>
      </w:r>
      <w:r>
        <w:fldChar w:fldCharType="separate"/>
      </w:r>
      <w:r>
        <w:rPr>
          <w:rStyle w:val="49"/>
          <w:rFonts w:ascii="宋体" w:hAnsi="宋体" w:cs="宋体"/>
          <w:color w:val="auto"/>
        </w:rPr>
        <w:t xml:space="preserve">5. </w:t>
      </w:r>
      <w:r>
        <w:rPr>
          <w:rStyle w:val="49"/>
          <w:rFonts w:hint="eastAsia" w:ascii="宋体" w:hAnsi="宋体" w:cs="宋体"/>
          <w:color w:val="auto"/>
        </w:rPr>
        <w:t>比较与评价</w:t>
      </w:r>
      <w:r>
        <w:tab/>
      </w:r>
      <w:r>
        <w:fldChar w:fldCharType="begin"/>
      </w:r>
      <w:r>
        <w:instrText xml:space="preserve"> PAGEREF _Toc534813022 \h </w:instrText>
      </w:r>
      <w:r>
        <w:fldChar w:fldCharType="separate"/>
      </w:r>
      <w:r>
        <w:t>117</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"_Toc534813023" </w:instrText>
      </w:r>
      <w:r>
        <w:fldChar w:fldCharType="separate"/>
      </w:r>
      <w:r>
        <w:rPr>
          <w:rStyle w:val="49"/>
          <w:rFonts w:ascii="宋体" w:hAnsi="宋体" w:cs="宋体"/>
          <w:color w:val="auto"/>
        </w:rPr>
        <w:t>6</w:t>
      </w:r>
      <w:r>
        <w:rPr>
          <w:rStyle w:val="49"/>
          <w:rFonts w:hint="eastAsia" w:ascii="宋体" w:hAnsi="宋体" w:cs="宋体"/>
          <w:color w:val="auto"/>
        </w:rPr>
        <w:t>．评审结果</w:t>
      </w:r>
      <w:r>
        <w:tab/>
      </w:r>
      <w:r>
        <w:fldChar w:fldCharType="begin"/>
      </w:r>
      <w:r>
        <w:instrText xml:space="preserve"> PAGEREF _Toc534813023 \h </w:instrText>
      </w:r>
      <w:r>
        <w:fldChar w:fldCharType="separate"/>
      </w:r>
      <w:r>
        <w:t>117</w:t>
      </w:r>
      <w:r>
        <w:fldChar w:fldCharType="end"/>
      </w:r>
      <w:r>
        <w:fldChar w:fldCharType="end"/>
      </w:r>
    </w:p>
    <w:p>
      <w:pPr>
        <w:pStyle w:val="33"/>
        <w:tabs>
          <w:tab w:val="right" w:leader="dot" w:pos="8246"/>
        </w:tabs>
        <w:rPr>
          <w:rFonts w:cs="Times New Roman"/>
          <w:b w:val="0"/>
          <w:bCs w:val="0"/>
          <w:caps w:val="0"/>
          <w:szCs w:val="22"/>
        </w:rPr>
      </w:pPr>
      <w:r>
        <w:fldChar w:fldCharType="begin"/>
      </w:r>
      <w:r>
        <w:instrText xml:space="preserve"> HYPERLINK \l "_Toc534813024" </w:instrText>
      </w:r>
      <w:r>
        <w:fldChar w:fldCharType="separate"/>
      </w:r>
      <w:r>
        <w:rPr>
          <w:rStyle w:val="49"/>
          <w:rFonts w:hint="eastAsia" w:ascii="Arial" w:hAnsi="Arial" w:cs="Arial"/>
          <w:color w:val="auto"/>
        </w:rPr>
        <w:t>第六章投标文件格式</w:t>
      </w:r>
      <w:r>
        <w:tab/>
      </w:r>
      <w:r>
        <w:fldChar w:fldCharType="begin"/>
      </w:r>
      <w:r>
        <w:instrText xml:space="preserve"> PAGEREF _Toc534813024 \h </w:instrText>
      </w:r>
      <w:r>
        <w:fldChar w:fldCharType="separate"/>
      </w:r>
      <w:r>
        <w:t>118</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"_Toc534813025" </w:instrText>
      </w:r>
      <w:r>
        <w:fldChar w:fldCharType="separate"/>
      </w:r>
      <w:r>
        <w:rPr>
          <w:rStyle w:val="49"/>
          <w:rFonts w:hint="eastAsia" w:cs="Arial"/>
          <w:color w:val="auto"/>
        </w:rPr>
        <w:t>一、投标函</w:t>
      </w:r>
      <w:r>
        <w:tab/>
      </w:r>
      <w:r>
        <w:fldChar w:fldCharType="begin"/>
      </w:r>
      <w:r>
        <w:instrText xml:space="preserve"> PAGEREF _Toc534813025 \h </w:instrText>
      </w:r>
      <w:r>
        <w:fldChar w:fldCharType="separate"/>
      </w:r>
      <w:r>
        <w:t>120</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"_Toc534813026" </w:instrText>
      </w:r>
      <w:r>
        <w:fldChar w:fldCharType="separate"/>
      </w:r>
      <w:r>
        <w:rPr>
          <w:rStyle w:val="49"/>
          <w:rFonts w:hint="eastAsia"/>
          <w:b/>
          <w:bCs/>
          <w:color w:val="auto"/>
        </w:rPr>
        <w:t>二、开标一览表</w:t>
      </w:r>
      <w:r>
        <w:tab/>
      </w:r>
      <w:r>
        <w:fldChar w:fldCharType="begin"/>
      </w:r>
      <w:r>
        <w:instrText xml:space="preserve"> PAGEREF _Toc534813026 \h </w:instrText>
      </w:r>
      <w:r>
        <w:fldChar w:fldCharType="separate"/>
      </w:r>
      <w:r>
        <w:t>123</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"_Toc534813027" </w:instrText>
      </w:r>
      <w:r>
        <w:fldChar w:fldCharType="separate"/>
      </w:r>
      <w:r>
        <w:rPr>
          <w:rStyle w:val="49"/>
          <w:rFonts w:hint="eastAsia"/>
          <w:b/>
          <w:bCs/>
          <w:color w:val="auto"/>
        </w:rPr>
        <w:t>三、法定代表人身份证明</w:t>
      </w:r>
      <w:r>
        <w:tab/>
      </w:r>
      <w:r>
        <w:fldChar w:fldCharType="begin"/>
      </w:r>
      <w:r>
        <w:instrText xml:space="preserve"> PAGEREF _Toc534813027 \h </w:instrText>
      </w:r>
      <w:r>
        <w:fldChar w:fldCharType="separate"/>
      </w:r>
      <w:r>
        <w:t>124</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"_Toc534813028" </w:instrText>
      </w:r>
      <w:r>
        <w:fldChar w:fldCharType="separate"/>
      </w:r>
      <w:r>
        <w:rPr>
          <w:rStyle w:val="49"/>
          <w:rFonts w:hint="eastAsia"/>
          <w:b/>
          <w:bCs/>
          <w:color w:val="auto"/>
        </w:rPr>
        <w:t>四、授权委托书</w:t>
      </w:r>
      <w:r>
        <w:tab/>
      </w:r>
      <w:r>
        <w:fldChar w:fldCharType="begin"/>
      </w:r>
      <w:r>
        <w:instrText xml:space="preserve"> PAGEREF _Toc534813028 \h </w:instrText>
      </w:r>
      <w:r>
        <w:fldChar w:fldCharType="separate"/>
      </w:r>
      <w:r>
        <w:t>131</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"_Toc534813029" </w:instrText>
      </w:r>
      <w:r>
        <w:fldChar w:fldCharType="separate"/>
      </w:r>
      <w:r>
        <w:rPr>
          <w:rStyle w:val="49"/>
          <w:rFonts w:hint="eastAsia"/>
          <w:b/>
          <w:bCs/>
          <w:color w:val="auto"/>
        </w:rPr>
        <w:t>五、联合体协议书（如有）</w:t>
      </w:r>
      <w:r>
        <w:tab/>
      </w:r>
      <w:r>
        <w:fldChar w:fldCharType="begin"/>
      </w:r>
      <w:r>
        <w:instrText xml:space="preserve"> PAGEREF _Toc534813029 \h </w:instrText>
      </w:r>
      <w:r>
        <w:fldChar w:fldCharType="separate"/>
      </w:r>
      <w:r>
        <w:t>132</w:t>
      </w:r>
      <w:r>
        <w:fldChar w:fldCharType="end"/>
      </w:r>
      <w:r>
        <w:fldChar w:fldCharType="end"/>
      </w:r>
    </w:p>
    <w:p>
      <w:pPr>
        <w:pStyle w:val="38"/>
        <w:tabs>
          <w:tab w:val="right" w:leader="dot" w:pos="8246"/>
        </w:tabs>
        <w:rPr>
          <w:rFonts w:cs="Times New Roman"/>
          <w:smallCaps w:val="0"/>
          <w:szCs w:val="22"/>
        </w:rPr>
      </w:pPr>
      <w:r>
        <w:rPr>
          <w:rFonts w:hint="eastAsia" w:ascii="宋体" w:hAnsi="宋体" w:cs="宋体"/>
          <w:b/>
        </w:rPr>
        <w:fldChar w:fldCharType="end"/>
      </w:r>
      <w:r>
        <w:fldChar w:fldCharType="begin"/>
      </w:r>
      <w:r>
        <w:instrText xml:space="preserve"> HYPERLINK \l "_Toc534813029" </w:instrText>
      </w:r>
      <w:r>
        <w:fldChar w:fldCharType="separate"/>
      </w:r>
      <w:r>
        <w:rPr>
          <w:rStyle w:val="49"/>
          <w:rFonts w:hint="eastAsia"/>
          <w:b/>
          <w:bCs/>
          <w:color w:val="auto"/>
          <w:u w:val="none"/>
        </w:rPr>
        <w:t>六、投标保证金</w:t>
      </w:r>
      <w:r>
        <w:tab/>
      </w:r>
      <w:r>
        <w:fldChar w:fldCharType="begin"/>
      </w:r>
      <w:r>
        <w:instrText xml:space="preserve"> PAGEREF _Toc534813029 \h </w:instrText>
      </w:r>
      <w:r>
        <w:fldChar w:fldCharType="separate"/>
      </w:r>
      <w:r>
        <w:t>132</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"_Toc534813029" </w:instrText>
      </w:r>
      <w:r>
        <w:fldChar w:fldCharType="separate"/>
      </w:r>
      <w:r>
        <w:rPr>
          <w:rStyle w:val="49"/>
          <w:rFonts w:hint="eastAsia"/>
          <w:b/>
          <w:bCs/>
          <w:color w:val="auto"/>
          <w:u w:val="none"/>
        </w:rPr>
        <w:t>七、资格文件</w:t>
      </w:r>
      <w:r>
        <w:tab/>
      </w:r>
      <w:r>
        <w:fldChar w:fldCharType="begin"/>
      </w:r>
      <w:r>
        <w:instrText xml:space="preserve"> PAGEREF _Toc534813029 \h </w:instrText>
      </w:r>
      <w:r>
        <w:fldChar w:fldCharType="separate"/>
      </w:r>
      <w:r>
        <w:t>132</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"_Toc534813030" </w:instrText>
      </w:r>
      <w:r>
        <w:fldChar w:fldCharType="separate"/>
      </w:r>
      <w:r>
        <w:rPr>
          <w:rStyle w:val="49"/>
          <w:rFonts w:hint="eastAsia"/>
          <w:b/>
          <w:bCs/>
          <w:color w:val="auto"/>
          <w:u w:val="none"/>
        </w:rPr>
        <w:t>八、投融资方案</w:t>
      </w:r>
      <w:r>
        <w:tab/>
      </w:r>
      <w:r>
        <w:fldChar w:fldCharType="begin"/>
      </w:r>
      <w:r>
        <w:instrText xml:space="preserve"> PAGEREF _Toc534813030 \h </w:instrText>
      </w:r>
      <w:r>
        <w:fldChar w:fldCharType="separate"/>
      </w:r>
      <w:r>
        <w:t>141</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"_Toc534813030" </w:instrText>
      </w:r>
      <w:r>
        <w:fldChar w:fldCharType="separate"/>
      </w:r>
      <w:r>
        <w:rPr>
          <w:rStyle w:val="49"/>
          <w:rFonts w:hint="eastAsia"/>
          <w:b/>
          <w:bCs/>
          <w:color w:val="auto"/>
          <w:u w:val="none"/>
        </w:rPr>
        <w:t>九、技术方案</w:t>
      </w:r>
      <w:r>
        <w:tab/>
      </w:r>
      <w:r>
        <w:fldChar w:fldCharType="begin"/>
      </w:r>
      <w:r>
        <w:instrText xml:space="preserve"> PAGEREF _Toc534813030 \h </w:instrText>
      </w:r>
      <w:r>
        <w:fldChar w:fldCharType="separate"/>
      </w:r>
      <w:r>
        <w:t>141</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"_Toc534813029" </w:instrText>
      </w:r>
      <w:r>
        <w:fldChar w:fldCharType="separate"/>
      </w:r>
      <w:r>
        <w:rPr>
          <w:rStyle w:val="49"/>
          <w:rFonts w:hint="eastAsia"/>
          <w:b/>
          <w:bCs/>
          <w:color w:val="auto"/>
          <w:u w:val="none"/>
        </w:rPr>
        <w:t>十、法律方案</w:t>
      </w:r>
      <w:r>
        <w:tab/>
      </w:r>
      <w:r>
        <w:fldChar w:fldCharType="begin"/>
      </w:r>
      <w:r>
        <w:instrText xml:space="preserve"> PAGEREF _Toc534813029 \h </w:instrText>
      </w:r>
      <w:r>
        <w:fldChar w:fldCharType="separate"/>
      </w:r>
      <w:r>
        <w:t>132</w:t>
      </w:r>
      <w:r>
        <w:fldChar w:fldCharType="end"/>
      </w:r>
      <w:r>
        <w:fldChar w:fldCharType="end"/>
      </w:r>
    </w:p>
    <w:p>
      <w:pPr>
        <w:pStyle w:val="38"/>
        <w:tabs>
          <w:tab w:val="right" w:leader="dot" w:pos="8246"/>
        </w:tabs>
        <w:rPr>
          <w:rFonts w:cs="Times New Roman"/>
          <w:smallCaps w:val="0"/>
          <w:szCs w:val="22"/>
        </w:rPr>
      </w:pPr>
      <w:r>
        <w:fldChar w:fldCharType="begin"/>
      </w:r>
      <w:r>
        <w:instrText xml:space="preserve"> HYPERLINK \l "_Toc534813030" </w:instrText>
      </w:r>
      <w:r>
        <w:fldChar w:fldCharType="separate"/>
      </w:r>
      <w:r>
        <w:rPr>
          <w:rStyle w:val="49"/>
          <w:rFonts w:hint="eastAsia"/>
          <w:b/>
          <w:bCs/>
          <w:color w:val="auto"/>
          <w:u w:val="none"/>
        </w:rPr>
        <w:t>十一、其他材料</w:t>
      </w:r>
      <w:r>
        <w:tab/>
      </w:r>
      <w:r>
        <w:fldChar w:fldCharType="begin"/>
      </w:r>
      <w:r>
        <w:instrText xml:space="preserve"> PAGEREF _Toc534813030 \h </w:instrText>
      </w:r>
      <w:r>
        <w:fldChar w:fldCharType="separate"/>
      </w:r>
      <w:r>
        <w:t>141</w:t>
      </w:r>
      <w:r>
        <w:fldChar w:fldCharType="end"/>
      </w:r>
      <w:r>
        <w:fldChar w:fldCharType="end"/>
      </w:r>
    </w:p>
    <w:p>
      <w:pPr>
        <w:rPr>
          <w:rFonts w:ascii="Arial" w:hAnsi="Arial" w:cs="Arial"/>
        </w:rPr>
        <w:sectPr>
          <w:type w:val="nextColumn"/>
          <w:pgSz w:w="11850" w:h="16783"/>
          <w:pgMar w:top="1440" w:right="1797" w:bottom="1440" w:left="1797" w:header="0" w:footer="999" w:gutter="0"/>
          <w:pgNumType w:start="1"/>
          <w:cols w:space="720" w:num="1"/>
        </w:sectPr>
      </w:pPr>
    </w:p>
    <w:p>
      <w:pPr>
        <w:spacing w:line="200" w:lineRule="exact"/>
        <w:rPr>
          <w:rFonts w:ascii="Arial" w:hAnsi="Arial" w:cs="Arial"/>
          <w:sz w:val="20"/>
          <w:szCs w:val="20"/>
        </w:rPr>
      </w:pPr>
      <w:bookmarkStart w:id="2" w:name="_Toc285702988"/>
      <w:bookmarkStart w:id="3" w:name="_Toc232217542"/>
      <w:bookmarkStart w:id="4" w:name="_Toc249188348"/>
      <w:bookmarkStart w:id="5" w:name="_Toc240341520"/>
      <w:bookmarkStart w:id="6" w:name="_Toc230488979"/>
      <w:bookmarkStart w:id="7" w:name="_Toc249188235"/>
      <w:bookmarkStart w:id="8" w:name="_Toc262032728"/>
      <w:bookmarkStart w:id="9" w:name="_Toc152045511"/>
      <w:bookmarkStart w:id="10" w:name="_Toc144974479"/>
      <w:bookmarkStart w:id="11" w:name="_Toc152042287"/>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pStyle w:val="7"/>
        <w:jc w:val="center"/>
        <w:rPr>
          <w:rFonts w:ascii="Arial" w:hAnsi="Arial" w:cs="Arial"/>
        </w:rPr>
      </w:pPr>
      <w:bookmarkStart w:id="12" w:name="_Toc414277111"/>
      <w:bookmarkStart w:id="13" w:name="_Toc419726481"/>
      <w:bookmarkStart w:id="14" w:name="_Toc531614615"/>
      <w:bookmarkStart w:id="15" w:name="_Toc534812993"/>
      <w:r>
        <w:rPr>
          <w:rFonts w:ascii="Arial" w:hAnsi="Arial" w:cs="Arial"/>
        </w:rPr>
        <w:t>第</w:t>
      </w:r>
      <w:r>
        <w:rPr>
          <w:rFonts w:hint="eastAsia" w:ascii="Arial" w:hAnsi="Arial" w:cs="Arial"/>
        </w:rPr>
        <w:t>一章</w:t>
      </w:r>
      <w:bookmarkEnd w:id="12"/>
      <w:bookmarkEnd w:id="13"/>
      <w:r>
        <w:rPr>
          <w:rFonts w:hint="eastAsia" w:ascii="Arial" w:hAnsi="Arial" w:cs="Arial"/>
        </w:rPr>
        <w:t xml:space="preserve">  采购邀请</w:t>
      </w:r>
      <w:bookmarkEnd w:id="14"/>
      <w:bookmarkEnd w:id="15"/>
    </w:p>
    <w:p>
      <w:pPr>
        <w:rPr>
          <w:rFonts w:ascii="Arial" w:hAnsi="Arial" w:eastAsia="黑体" w:cs="Arial"/>
          <w:sz w:val="32"/>
          <w:szCs w:val="32"/>
        </w:rPr>
        <w:sectPr>
          <w:footerReference r:id="rId4" w:type="default"/>
          <w:type w:val="nextColumn"/>
          <w:pgSz w:w="11850" w:h="16783"/>
          <w:pgMar w:top="1440" w:right="1797" w:bottom="1440" w:left="1797" w:header="0" w:footer="999" w:gutter="0"/>
          <w:pgNumType w:start="1"/>
          <w:cols w:space="720" w:num="1"/>
        </w:sectPr>
      </w:pPr>
      <w:bookmarkStart w:id="16" w:name="_Toc414112603"/>
    </w:p>
    <w:p>
      <w:pPr>
        <w:tabs>
          <w:tab w:val="center" w:pos="4408"/>
          <w:tab w:val="right" w:pos="8256"/>
        </w:tabs>
        <w:spacing w:line="360" w:lineRule="auto"/>
        <w:ind w:firstLine="560" w:firstLineChars="200"/>
        <w:jc w:val="left"/>
        <w:rPr>
          <w:rFonts w:ascii="Arial" w:hAnsi="Arial" w:eastAsia="黑体" w:cs="Arial"/>
          <w:sz w:val="28"/>
          <w:szCs w:val="32"/>
        </w:rPr>
      </w:pPr>
      <w:r>
        <w:rPr>
          <w:rFonts w:ascii="Arial" w:hAnsi="Arial" w:eastAsia="黑体" w:cs="Arial"/>
          <w:sz w:val="28"/>
          <w:szCs w:val="32"/>
        </w:rPr>
        <w:tab/>
      </w:r>
      <w:r>
        <w:rPr>
          <w:rFonts w:hint="eastAsia" w:ascii="Arial" w:hAnsi="Arial" w:eastAsia="黑体" w:cs="Arial"/>
          <w:sz w:val="28"/>
          <w:szCs w:val="32"/>
        </w:rPr>
        <w:t>禹州市绿色铸造园区与陶瓷园区污水处理厂ppp项目</w:t>
      </w:r>
      <w:r>
        <w:rPr>
          <w:rFonts w:ascii="Arial" w:hAnsi="Arial" w:eastAsia="黑体" w:cs="Arial"/>
          <w:sz w:val="28"/>
          <w:szCs w:val="32"/>
        </w:rPr>
        <w:tab/>
      </w:r>
    </w:p>
    <w:bookmarkEnd w:id="16"/>
    <w:p>
      <w:pPr>
        <w:spacing w:line="360" w:lineRule="auto"/>
        <w:ind w:firstLine="560" w:firstLineChars="200"/>
        <w:jc w:val="center"/>
        <w:rPr>
          <w:rFonts w:ascii="宋体" w:hAnsi="宋体" w:cs="宋体"/>
          <w:sz w:val="20"/>
          <w:szCs w:val="21"/>
        </w:rPr>
      </w:pPr>
      <w:r>
        <w:rPr>
          <w:rFonts w:hint="eastAsia" w:ascii="Arial" w:hAnsi="Arial" w:eastAsia="黑体" w:cs="Arial"/>
          <w:sz w:val="28"/>
          <w:szCs w:val="32"/>
        </w:rPr>
        <w:t>采购邀请书</w:t>
      </w:r>
    </w:p>
    <w:p>
      <w:pPr>
        <w:spacing w:line="360" w:lineRule="auto"/>
        <w:ind w:firstLine="480" w:firstLineChars="200"/>
        <w:jc w:val="left"/>
        <w:rPr>
          <w:rFonts w:ascii="宋体" w:hAnsi="宋体" w:cs="宋体"/>
          <w:bCs/>
          <w:sz w:val="24"/>
        </w:rPr>
      </w:pPr>
      <w:r>
        <w:rPr>
          <w:rFonts w:hint="eastAsia" w:ascii="宋体" w:hAnsi="宋体" w:cs="宋体"/>
          <w:bCs/>
          <w:sz w:val="24"/>
        </w:rPr>
        <w:t>致：</w:t>
      </w:r>
      <w:r>
        <w:rPr>
          <w:rFonts w:hint="eastAsia" w:ascii="宋体" w:hAnsi="宋体" w:cs="宋体"/>
          <w:bCs/>
          <w:sz w:val="24"/>
          <w:u w:val="single"/>
        </w:rPr>
        <w:t>中州水务控股有限公司、河南同生环境工程有限公司、中持水务股份有限公司、开源环保（集团）有限公司</w:t>
      </w:r>
      <w:r>
        <w:rPr>
          <w:rFonts w:hint="eastAsia" w:ascii="宋体" w:hAnsi="宋体" w:cs="宋体"/>
          <w:bCs/>
          <w:sz w:val="24"/>
        </w:rPr>
        <w:t>（被邀请单位名称）：</w:t>
      </w:r>
    </w:p>
    <w:p>
      <w:pPr>
        <w:spacing w:line="360" w:lineRule="auto"/>
        <w:ind w:firstLine="480" w:firstLineChars="200"/>
        <w:jc w:val="left"/>
        <w:rPr>
          <w:rFonts w:ascii="宋体" w:hAnsi="宋体" w:cs="宋体"/>
          <w:bCs/>
          <w:sz w:val="24"/>
        </w:rPr>
      </w:pPr>
      <w:r>
        <w:rPr>
          <w:rFonts w:hint="eastAsia" w:ascii="宋体" w:hAnsi="宋体" w:cs="宋体"/>
          <w:bCs/>
          <w:sz w:val="24"/>
        </w:rPr>
        <w:t>以上单位已通过资格预审，现邀请以上单位按采购文件规定的内容，参加</w:t>
      </w:r>
      <w:r>
        <w:rPr>
          <w:rFonts w:hint="eastAsia" w:ascii="宋体" w:hAnsi="宋体" w:cs="宋体"/>
          <w:bCs/>
          <w:sz w:val="24"/>
          <w:u w:val="single"/>
        </w:rPr>
        <w:t>禹州市绿色铸造园区与陶瓷园区污水处理厂ppp项目</w:t>
      </w:r>
      <w:r>
        <w:rPr>
          <w:rFonts w:hint="eastAsia" w:ascii="宋体" w:hAnsi="宋体" w:cs="宋体"/>
          <w:bCs/>
          <w:sz w:val="24"/>
        </w:rPr>
        <w:t>（项目名称）采购社会资本方投标。</w:t>
      </w:r>
    </w:p>
    <w:p>
      <w:pPr>
        <w:spacing w:line="360" w:lineRule="auto"/>
        <w:ind w:firstLine="482" w:firstLineChars="200"/>
        <w:rPr>
          <w:rFonts w:ascii="宋体" w:hAnsi="宋体" w:cs="宋体"/>
          <w:b/>
          <w:bCs/>
          <w:sz w:val="24"/>
        </w:rPr>
      </w:pPr>
      <w:bookmarkStart w:id="17" w:name="_Toc522540092"/>
      <w:bookmarkStart w:id="18" w:name="_Toc456780747"/>
      <w:bookmarkStart w:id="19" w:name="_Toc456771904"/>
      <w:bookmarkStart w:id="20" w:name="_Toc456780929"/>
      <w:bookmarkStart w:id="21" w:name="_Toc434838047"/>
      <w:bookmarkStart w:id="22" w:name="_Toc456778819"/>
      <w:r>
        <w:rPr>
          <w:rFonts w:hint="eastAsia" w:ascii="宋体" w:hAnsi="宋体" w:cs="宋体"/>
          <w:b/>
          <w:bCs/>
          <w:sz w:val="24"/>
        </w:rPr>
        <w:t>1.项目概况及采购内容</w:t>
      </w:r>
      <w:bookmarkEnd w:id="17"/>
      <w:bookmarkEnd w:id="18"/>
      <w:bookmarkEnd w:id="19"/>
      <w:bookmarkEnd w:id="20"/>
      <w:bookmarkEnd w:id="21"/>
      <w:bookmarkEnd w:id="22"/>
    </w:p>
    <w:p>
      <w:pPr>
        <w:spacing w:line="360" w:lineRule="auto"/>
        <w:ind w:firstLine="480" w:firstLineChars="200"/>
        <w:rPr>
          <w:rFonts w:ascii="宋体" w:hAnsi="宋体" w:cs="宋体"/>
          <w:bCs/>
          <w:sz w:val="24"/>
        </w:rPr>
      </w:pPr>
      <w:r>
        <w:rPr>
          <w:rFonts w:hint="eastAsia" w:ascii="宋体" w:hAnsi="宋体" w:cs="宋体"/>
          <w:bCs/>
          <w:sz w:val="24"/>
        </w:rPr>
        <w:t>1</w:t>
      </w:r>
      <w:r>
        <w:rPr>
          <w:rFonts w:ascii="宋体" w:hAnsi="宋体" w:cs="宋体"/>
          <w:bCs/>
          <w:sz w:val="24"/>
        </w:rPr>
        <w:t xml:space="preserve">.1 </w:t>
      </w:r>
      <w:r>
        <w:rPr>
          <w:rFonts w:hint="eastAsia" w:ascii="宋体" w:hAnsi="宋体" w:cs="宋体"/>
          <w:bCs/>
          <w:sz w:val="24"/>
        </w:rPr>
        <w:t>项目名称：禹州市绿色铸造园区与陶瓷园区污水处理厂ppp项目</w:t>
      </w:r>
    </w:p>
    <w:p>
      <w:pPr>
        <w:spacing w:line="360" w:lineRule="auto"/>
        <w:ind w:firstLine="480" w:firstLineChars="200"/>
        <w:rPr>
          <w:rFonts w:ascii="宋体" w:hAnsi="宋体" w:cs="宋体"/>
          <w:bCs/>
          <w:sz w:val="24"/>
        </w:rPr>
      </w:pPr>
      <w:r>
        <w:rPr>
          <w:rFonts w:hint="eastAsia" w:ascii="宋体" w:hAnsi="宋体" w:cs="宋体"/>
          <w:bCs/>
          <w:sz w:val="24"/>
        </w:rPr>
        <w:t>1.2采购编号：YZCG-DL-2018020-2</w:t>
      </w:r>
    </w:p>
    <w:p>
      <w:pPr>
        <w:spacing w:line="360" w:lineRule="auto"/>
        <w:ind w:firstLine="480" w:firstLineChars="200"/>
        <w:rPr>
          <w:rFonts w:ascii="宋体" w:hAnsi="宋体" w:cs="宋体"/>
          <w:bCs/>
          <w:sz w:val="24"/>
        </w:rPr>
      </w:pPr>
      <w:r>
        <w:rPr>
          <w:rFonts w:hint="eastAsia" w:ascii="宋体" w:hAnsi="宋体" w:cs="宋体"/>
          <w:bCs/>
          <w:sz w:val="24"/>
        </w:rPr>
        <w:t>1</w:t>
      </w:r>
      <w:r>
        <w:rPr>
          <w:rFonts w:ascii="宋体" w:hAnsi="宋体" w:cs="宋体"/>
          <w:bCs/>
          <w:sz w:val="24"/>
        </w:rPr>
        <w:t>.</w:t>
      </w:r>
      <w:r>
        <w:rPr>
          <w:rFonts w:hint="eastAsia" w:ascii="宋体" w:hAnsi="宋体" w:cs="宋体"/>
          <w:bCs/>
          <w:sz w:val="24"/>
        </w:rPr>
        <w:t>3采购方式：公开招标</w:t>
      </w:r>
    </w:p>
    <w:p>
      <w:pPr>
        <w:spacing w:line="360" w:lineRule="auto"/>
        <w:ind w:firstLine="480" w:firstLineChars="200"/>
        <w:rPr>
          <w:rFonts w:ascii="宋体" w:hAnsi="宋体" w:cs="宋体"/>
          <w:bCs/>
          <w:sz w:val="24"/>
        </w:rPr>
      </w:pPr>
      <w:r>
        <w:rPr>
          <w:rFonts w:hint="eastAsia" w:ascii="宋体" w:hAnsi="宋体" w:cs="宋体"/>
          <w:bCs/>
          <w:sz w:val="24"/>
        </w:rPr>
        <w:t>1.4采购内容：社会资本方采购</w:t>
      </w:r>
    </w:p>
    <w:p>
      <w:pPr>
        <w:spacing w:line="360" w:lineRule="auto"/>
        <w:ind w:firstLine="480" w:firstLineChars="200"/>
        <w:rPr>
          <w:rFonts w:ascii="宋体" w:hAnsi="宋体" w:cs="宋体"/>
          <w:bCs/>
          <w:sz w:val="24"/>
        </w:rPr>
      </w:pPr>
      <w:r>
        <w:rPr>
          <w:rFonts w:hint="eastAsia" w:ascii="宋体" w:hAnsi="宋体" w:cs="宋体"/>
          <w:bCs/>
          <w:sz w:val="24"/>
        </w:rPr>
        <w:t>1</w:t>
      </w:r>
      <w:r>
        <w:rPr>
          <w:rFonts w:ascii="宋体" w:hAnsi="宋体" w:cs="宋体"/>
          <w:bCs/>
          <w:sz w:val="24"/>
        </w:rPr>
        <w:t>.</w:t>
      </w:r>
      <w:r>
        <w:rPr>
          <w:rFonts w:hint="eastAsia" w:ascii="宋体" w:hAnsi="宋体" w:cs="宋体"/>
          <w:bCs/>
          <w:sz w:val="24"/>
        </w:rPr>
        <w:t>5项目概况</w:t>
      </w:r>
    </w:p>
    <w:p>
      <w:pPr>
        <w:spacing w:line="360" w:lineRule="auto"/>
        <w:ind w:firstLine="480" w:firstLineChars="200"/>
        <w:rPr>
          <w:rFonts w:ascii="宋体" w:hAnsi="宋体" w:cs="宋体"/>
          <w:bCs/>
          <w:sz w:val="24"/>
        </w:rPr>
      </w:pPr>
      <w:r>
        <w:rPr>
          <w:rFonts w:hint="eastAsia" w:ascii="宋体" w:hAnsi="宋体" w:cs="宋体"/>
          <w:bCs/>
          <w:sz w:val="24"/>
        </w:rPr>
        <w:t>根据《河南禹州绿色铸造示范产业园总体发展规划》（2016-2025）和《禹州市陶瓷专业园总体发展规划》（2016-2025）的相关产业发展规划，未来将有多家企业陆续进驻工业园区，预计2025年产生工业废水及生活污水约1.5万吨，环保要求园区内工业废水和生活污水不经处理不能直接排放。因此，禹州市住房和城乡规划建设局特发起本项目，将园区内工业废水和生活污水引入新建的禹州市绿色铸造园区与陶瓷园区污水处理厂，经达标处理后排放。</w:t>
      </w:r>
    </w:p>
    <w:p>
      <w:pPr>
        <w:spacing w:line="360" w:lineRule="auto"/>
        <w:ind w:firstLine="480" w:firstLineChars="200"/>
        <w:rPr>
          <w:rFonts w:ascii="宋体" w:hAnsi="宋体" w:cs="宋体"/>
          <w:bCs/>
          <w:sz w:val="24"/>
        </w:rPr>
      </w:pPr>
      <w:r>
        <w:rPr>
          <w:rFonts w:hint="eastAsia" w:ascii="宋体" w:hAnsi="宋体" w:cs="宋体"/>
          <w:bCs/>
          <w:sz w:val="24"/>
        </w:rPr>
        <w:t>本项目静态投资估算为6464.44万元(不含土地费用，项目投资金额初期以可研报告和项目方提供数据为参考，后期以通过评审的竣工结算报告为准)。规划占地</w:t>
      </w:r>
      <w:r>
        <w:rPr>
          <w:rFonts w:ascii="宋体" w:hAnsi="宋体" w:cs="宋体"/>
          <w:bCs/>
          <w:sz w:val="24"/>
        </w:rPr>
        <w:t>约55.07亩（最终以政府批复文件为准）</w:t>
      </w:r>
      <w:r>
        <w:rPr>
          <w:rFonts w:hint="eastAsia" w:ascii="宋体" w:hAnsi="宋体" w:cs="宋体"/>
          <w:bCs/>
          <w:sz w:val="24"/>
        </w:rPr>
        <w:t>。主要建设内容包括</w:t>
      </w:r>
      <w:r>
        <w:rPr>
          <w:rFonts w:ascii="宋体" w:hAnsi="宋体" w:cs="宋体"/>
          <w:bCs/>
          <w:sz w:val="24"/>
        </w:rPr>
        <w:t>粗格栅及进水泵房、细格栅及旋流沉砂池、水解酸化池、生物池2座、污泥泵站、二沉池2座、中间提升泵房、反应沉淀池、纤维转盘滤池、贮泥池、紫外线消毒渠及巴氏计量槽、加药间及碳源投加间、污泥浓缩脱水机房、中心配电室及鼓风机房、综合办公楼、维修间及仓库、车棚以及厂区工艺、厂区相关设备和其他配套设施</w:t>
      </w:r>
      <w:r>
        <w:rPr>
          <w:rFonts w:hint="eastAsia" w:ascii="宋体" w:hAnsi="宋体" w:cs="宋体"/>
          <w:bCs/>
          <w:sz w:val="24"/>
        </w:rPr>
        <w:t>等。</w:t>
      </w:r>
    </w:p>
    <w:p>
      <w:pPr>
        <w:spacing w:line="360" w:lineRule="auto"/>
        <w:ind w:firstLine="482" w:firstLineChars="200"/>
        <w:rPr>
          <w:rFonts w:ascii="宋体" w:hAnsi="宋体" w:cs="宋体"/>
          <w:b/>
          <w:bCs/>
          <w:sz w:val="24"/>
        </w:rPr>
      </w:pPr>
      <w:bookmarkStart w:id="23" w:name="_Toc456771905"/>
      <w:bookmarkStart w:id="24" w:name="_Toc434838048"/>
      <w:bookmarkStart w:id="25" w:name="_Toc456778820"/>
      <w:bookmarkStart w:id="26" w:name="_Toc522540093"/>
      <w:bookmarkStart w:id="27" w:name="_Toc456780748"/>
      <w:bookmarkStart w:id="28" w:name="_Toc456780930"/>
      <w:r>
        <w:rPr>
          <w:rFonts w:hint="eastAsia" w:ascii="宋体" w:hAnsi="宋体" w:cs="宋体"/>
          <w:b/>
          <w:bCs/>
          <w:sz w:val="24"/>
        </w:rPr>
        <w:t>2.采购需求</w:t>
      </w:r>
      <w:bookmarkEnd w:id="23"/>
      <w:bookmarkEnd w:id="24"/>
      <w:bookmarkEnd w:id="25"/>
      <w:bookmarkEnd w:id="26"/>
      <w:bookmarkEnd w:id="27"/>
      <w:bookmarkEnd w:id="28"/>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 xml:space="preserve">.1 </w:t>
      </w:r>
      <w:r>
        <w:rPr>
          <w:rFonts w:hint="eastAsia" w:ascii="宋体" w:hAnsi="宋体" w:cs="宋体"/>
          <w:bCs/>
          <w:sz w:val="24"/>
        </w:rPr>
        <w:t>项目合作期限</w:t>
      </w:r>
    </w:p>
    <w:p>
      <w:pPr>
        <w:spacing w:line="360" w:lineRule="auto"/>
        <w:ind w:firstLine="480" w:firstLineChars="200"/>
        <w:rPr>
          <w:rFonts w:ascii="宋体" w:hAnsi="宋体" w:cs="宋体"/>
          <w:bCs/>
          <w:sz w:val="24"/>
        </w:rPr>
      </w:pPr>
      <w:r>
        <w:rPr>
          <w:rFonts w:hint="eastAsia" w:ascii="宋体" w:hAnsi="宋体" w:cs="宋体"/>
          <w:bCs/>
          <w:sz w:val="24"/>
        </w:rPr>
        <w:t>本项目合作期限为30年，其中暂定建设期（含设计、试运行期）2年，项目全部竣工验收合格后进入运营期，运营期28年。</w:t>
      </w:r>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2项目投资估算</w:t>
      </w:r>
    </w:p>
    <w:p>
      <w:pPr>
        <w:spacing w:line="360" w:lineRule="auto"/>
        <w:ind w:firstLine="480" w:firstLineChars="200"/>
        <w:rPr>
          <w:rFonts w:ascii="宋体" w:hAnsi="宋体" w:cs="宋体"/>
          <w:bCs/>
          <w:sz w:val="24"/>
        </w:rPr>
      </w:pPr>
      <w:r>
        <w:rPr>
          <w:rFonts w:ascii="宋体" w:hAnsi="宋体" w:cs="宋体"/>
          <w:bCs/>
          <w:sz w:val="24"/>
        </w:rPr>
        <w:t>本项目静态总投资6464.44万元，其中</w:t>
      </w:r>
      <w:r>
        <w:rPr>
          <w:rFonts w:hint="eastAsia" w:ascii="宋体" w:hAnsi="宋体" w:cs="宋体"/>
          <w:bCs/>
          <w:sz w:val="24"/>
        </w:rPr>
        <w:t>第一部分费用 5095.85万元，其他费用 780.91 万元(不含土地费用)，工程预备费 587.68 万元</w:t>
      </w:r>
    </w:p>
    <w:p>
      <w:pPr>
        <w:spacing w:line="360" w:lineRule="auto"/>
        <w:ind w:firstLine="480" w:firstLineChars="200"/>
        <w:rPr>
          <w:rFonts w:ascii="宋体" w:hAnsi="宋体" w:cs="宋体"/>
          <w:bCs/>
          <w:sz w:val="24"/>
        </w:rPr>
      </w:pPr>
      <w:r>
        <w:rPr>
          <w:rFonts w:hint="eastAsia" w:ascii="宋体" w:hAnsi="宋体" w:cs="宋体"/>
          <w:bCs/>
          <w:sz w:val="24"/>
        </w:rPr>
        <w:t>项目建设资金来源包括项目资本金和项目融资,项目资本金为项目总投资的</w:t>
      </w:r>
      <w:r>
        <w:rPr>
          <w:rFonts w:ascii="宋体" w:hAnsi="宋体" w:cs="宋体"/>
          <w:bCs/>
          <w:sz w:val="24"/>
        </w:rPr>
        <w:t>20%</w:t>
      </w:r>
      <w:r>
        <w:rPr>
          <w:rFonts w:hint="eastAsia" w:ascii="宋体" w:hAnsi="宋体" w:cs="宋体"/>
          <w:bCs/>
          <w:sz w:val="24"/>
        </w:rPr>
        <w:t>，融资比例为项目总投资的</w:t>
      </w:r>
      <w:r>
        <w:rPr>
          <w:rFonts w:ascii="宋体" w:hAnsi="宋体" w:cs="宋体"/>
          <w:bCs/>
          <w:sz w:val="24"/>
        </w:rPr>
        <w:t>80%</w:t>
      </w:r>
      <w:r>
        <w:rPr>
          <w:rFonts w:hint="eastAsia" w:ascii="宋体" w:hAnsi="宋体" w:cs="宋体"/>
          <w:bCs/>
          <w:sz w:val="24"/>
        </w:rPr>
        <w:t>。</w:t>
      </w:r>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3项目选址</w:t>
      </w:r>
    </w:p>
    <w:p>
      <w:pPr>
        <w:spacing w:line="360" w:lineRule="auto"/>
        <w:ind w:firstLine="480" w:firstLineChars="200"/>
        <w:rPr>
          <w:rFonts w:ascii="宋体" w:hAnsi="宋体" w:cs="宋体"/>
          <w:bCs/>
          <w:sz w:val="24"/>
        </w:rPr>
      </w:pPr>
      <w:r>
        <w:rPr>
          <w:rFonts w:hint="eastAsia" w:ascii="宋体" w:hAnsi="宋体" w:cs="宋体"/>
          <w:bCs/>
          <w:sz w:val="24"/>
        </w:rPr>
        <w:t>本项目选址位于</w:t>
      </w:r>
      <w:r>
        <w:rPr>
          <w:rFonts w:ascii="宋体" w:hAnsi="宋体" w:cs="宋体"/>
          <w:bCs/>
          <w:sz w:val="24"/>
        </w:rPr>
        <w:t>禹州市火龙镇火山赵村（陶瓷园内）十四号路以东，冠盛陶瓷厂区以北，白沙干渠以西，禹州市绿色铸造园区与陶瓷园区东北角</w:t>
      </w:r>
      <w:r>
        <w:rPr>
          <w:rFonts w:hint="eastAsia" w:ascii="宋体" w:hAnsi="宋体" w:cs="宋体"/>
          <w:bCs/>
          <w:sz w:val="24"/>
        </w:rPr>
        <w:t>。</w:t>
      </w:r>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4项目建设内容</w:t>
      </w:r>
    </w:p>
    <w:p>
      <w:pPr>
        <w:spacing w:line="360" w:lineRule="auto"/>
        <w:ind w:firstLine="480" w:firstLineChars="200"/>
        <w:rPr>
          <w:rFonts w:ascii="宋体" w:hAnsi="宋体" w:cs="宋体"/>
          <w:bCs/>
          <w:sz w:val="24"/>
        </w:rPr>
      </w:pPr>
      <w:r>
        <w:rPr>
          <w:rFonts w:hint="eastAsia" w:ascii="宋体" w:hAnsi="宋体" w:cs="宋体"/>
          <w:bCs/>
          <w:sz w:val="24"/>
        </w:rPr>
        <w:t>本项目规划占地</w:t>
      </w:r>
      <w:r>
        <w:rPr>
          <w:rFonts w:ascii="宋体" w:hAnsi="宋体" w:cs="宋体"/>
          <w:bCs/>
          <w:sz w:val="24"/>
        </w:rPr>
        <w:t>55.07亩（最终以政府批复文件为准）</w:t>
      </w:r>
      <w:r>
        <w:rPr>
          <w:rFonts w:hint="eastAsia" w:ascii="宋体" w:hAnsi="宋体" w:cs="宋体"/>
          <w:bCs/>
          <w:sz w:val="24"/>
        </w:rPr>
        <w:t>。主要建设内容包括</w:t>
      </w:r>
      <w:r>
        <w:rPr>
          <w:rFonts w:ascii="宋体" w:hAnsi="宋体" w:cs="宋体"/>
          <w:bCs/>
          <w:sz w:val="24"/>
        </w:rPr>
        <w:t>粗格栅及进水泵房、细格栅及旋流沉砂池、水解酸化池、生物池2座、污泥泵站、二沉池2座、中间提升泵房、反应沉淀池、纤维转盘滤池、贮泥池、紫外线消毒渠及巴氏计量槽、加药间及碳源投加间、污泥浓缩脱水机房、中心配电室及鼓风机房、综合办公楼、维修间及仓库、车棚以及厂区工艺、厂区相关设备和其他配套设施</w:t>
      </w:r>
      <w:r>
        <w:rPr>
          <w:rFonts w:hint="eastAsia" w:ascii="宋体" w:hAnsi="宋体" w:cs="宋体"/>
          <w:bCs/>
          <w:sz w:val="24"/>
        </w:rPr>
        <w:t>等。</w:t>
      </w:r>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5项目运作模式</w:t>
      </w:r>
    </w:p>
    <w:p>
      <w:pPr>
        <w:spacing w:line="360" w:lineRule="auto"/>
        <w:ind w:firstLine="480" w:firstLineChars="200"/>
        <w:rPr>
          <w:rFonts w:ascii="宋体" w:hAnsi="宋体" w:cs="宋体"/>
          <w:bCs/>
          <w:sz w:val="24"/>
        </w:rPr>
      </w:pPr>
      <w:r>
        <w:rPr>
          <w:rFonts w:hint="eastAsia" w:ascii="宋体" w:hAnsi="宋体" w:cs="宋体"/>
          <w:bCs/>
          <w:sz w:val="24"/>
        </w:rPr>
        <w:t>本项目属于新建项目，</w:t>
      </w:r>
      <w:r>
        <w:rPr>
          <w:rFonts w:ascii="宋体" w:hAnsi="宋体" w:cs="宋体"/>
          <w:bCs/>
          <w:sz w:val="24"/>
        </w:rPr>
        <w:t>为保障本项目顺利实施，综合考虑本项目特点、建设规模、回报机制、项目投资收益水平、风险分配基本框架以及融资需求等因素，本项目拟采取建设-运营-移交（BOT）的运作方式。合作期限内，由项目公司负责本项目的设计、投融资、建设和运营工作，并获得污水处理服务费。合作期满后，项目公司将项目设施按照移交标准无偿移交给项目实施机构或政府指定的其他机构</w:t>
      </w:r>
      <w:r>
        <w:rPr>
          <w:rFonts w:hint="eastAsia" w:ascii="宋体" w:hAnsi="宋体" w:cs="宋体"/>
          <w:bCs/>
          <w:sz w:val="24"/>
        </w:rPr>
        <w:t>。</w:t>
      </w:r>
    </w:p>
    <w:p>
      <w:pPr>
        <w:spacing w:line="360" w:lineRule="auto"/>
        <w:ind w:firstLine="480" w:firstLineChars="200"/>
        <w:rPr>
          <w:rFonts w:ascii="宋体" w:hAnsi="宋体" w:cs="宋体"/>
          <w:bCs/>
          <w:sz w:val="24"/>
        </w:rPr>
      </w:pPr>
      <w:r>
        <w:rPr>
          <w:rFonts w:hint="eastAsia" w:ascii="宋体" w:hAnsi="宋体" w:cs="宋体"/>
          <w:bCs/>
          <w:sz w:val="24"/>
        </w:rPr>
        <w:t>2.6股权结构</w:t>
      </w:r>
    </w:p>
    <w:p>
      <w:pPr>
        <w:spacing w:line="360" w:lineRule="auto"/>
        <w:ind w:firstLine="480" w:firstLineChars="200"/>
        <w:rPr>
          <w:rFonts w:ascii="宋体" w:hAnsi="宋体" w:cs="宋体"/>
          <w:bCs/>
          <w:sz w:val="24"/>
        </w:rPr>
      </w:pPr>
      <w:r>
        <w:rPr>
          <w:rFonts w:ascii="宋体" w:hAnsi="宋体" w:cs="宋体"/>
          <w:bCs/>
          <w:sz w:val="24"/>
        </w:rPr>
        <w:t>本项目拟由中标社会资本单独出资成立项目公司，社会资本持有项目公司100%股权（若为联合体中标，则联合体各成员均需在项目公司中占股）</w:t>
      </w:r>
      <w:r>
        <w:rPr>
          <w:rFonts w:hint="eastAsia" w:ascii="宋体" w:hAnsi="宋体" w:cs="宋体"/>
          <w:bCs/>
          <w:sz w:val="24"/>
        </w:rPr>
        <w:t>。</w:t>
      </w:r>
    </w:p>
    <w:p>
      <w:pPr>
        <w:spacing w:line="360" w:lineRule="auto"/>
        <w:ind w:firstLine="480" w:firstLineChars="200"/>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7回报机制</w:t>
      </w:r>
    </w:p>
    <w:p>
      <w:pPr>
        <w:pStyle w:val="2"/>
        <w:ind w:firstLine="240"/>
        <w:rPr>
          <w:rFonts w:ascii="宋体" w:hAnsi="宋体" w:cs="宋体"/>
          <w:bCs/>
          <w:sz w:val="24"/>
          <w:szCs w:val="24"/>
        </w:rPr>
      </w:pPr>
    </w:p>
    <w:p>
      <w:pPr>
        <w:pStyle w:val="2"/>
        <w:ind w:firstLine="240"/>
        <w:rPr>
          <w:rFonts w:ascii="宋体" w:hAnsi="宋体" w:cs="宋体"/>
          <w:bCs/>
          <w:sz w:val="24"/>
          <w:szCs w:val="24"/>
        </w:rPr>
      </w:pPr>
      <w:r>
        <w:rPr>
          <w:rFonts w:ascii="宋体" w:hAnsi="宋体" w:cs="宋体"/>
          <w:bCs/>
          <w:sz w:val="24"/>
          <w:szCs w:val="24"/>
        </w:rPr>
        <w:t>项目回报机制</w:t>
      </w:r>
      <w:r>
        <w:rPr>
          <w:rFonts w:hint="eastAsia" w:ascii="宋体" w:hAnsi="宋体" w:cs="宋体"/>
          <w:bCs/>
          <w:sz w:val="24"/>
          <w:szCs w:val="24"/>
        </w:rPr>
        <w:t>为可行性缺口补助</w:t>
      </w:r>
      <w:r>
        <w:rPr>
          <w:rFonts w:ascii="宋体" w:hAnsi="宋体" w:cs="宋体"/>
          <w:bCs/>
          <w:sz w:val="24"/>
          <w:szCs w:val="24"/>
        </w:rPr>
        <w:t>。即在本项目竣工验收合格后，由乙方为</w:t>
      </w:r>
      <w:r>
        <w:rPr>
          <w:rFonts w:hint="eastAsia" w:ascii="宋体" w:hAnsi="宋体" w:cs="宋体"/>
          <w:bCs/>
          <w:sz w:val="24"/>
          <w:szCs w:val="24"/>
        </w:rPr>
        <w:t>禹州市绿色铸造园区和陶瓷园区</w:t>
      </w:r>
      <w:r>
        <w:rPr>
          <w:rFonts w:ascii="宋体" w:hAnsi="宋体" w:cs="宋体"/>
          <w:bCs/>
          <w:sz w:val="24"/>
          <w:szCs w:val="24"/>
        </w:rPr>
        <w:t>提供</w:t>
      </w:r>
      <w:r>
        <w:rPr>
          <w:rFonts w:hint="eastAsia" w:ascii="宋体" w:hAnsi="宋体" w:cs="宋体"/>
          <w:bCs/>
          <w:sz w:val="24"/>
          <w:szCs w:val="24"/>
        </w:rPr>
        <w:t>污水处理</w:t>
      </w:r>
      <w:r>
        <w:rPr>
          <w:rFonts w:ascii="宋体" w:hAnsi="宋体" w:cs="宋体"/>
          <w:bCs/>
          <w:sz w:val="24"/>
          <w:szCs w:val="24"/>
        </w:rPr>
        <w:t>服务。运营期内，</w:t>
      </w:r>
      <w:r>
        <w:rPr>
          <w:rFonts w:hint="eastAsia" w:ascii="宋体" w:hAnsi="宋体" w:cs="宋体"/>
          <w:bCs/>
          <w:sz w:val="24"/>
          <w:szCs w:val="24"/>
        </w:rPr>
        <w:t>乙方根据达标污水处理情况及绩效考核结果获得污水处理服务费。项目公司获得的污水处理服务费主要由两部分构成：一是从污水排放企业获得污水处理费，二是由政府对污水处理费与项目公司应获得污水处理服务费之间的差额部分进行补贴，</w:t>
      </w:r>
      <w:r>
        <w:rPr>
          <w:rFonts w:ascii="宋体" w:hAnsi="宋体" w:cs="宋体"/>
          <w:bCs/>
          <w:sz w:val="24"/>
          <w:szCs w:val="24"/>
        </w:rPr>
        <w:t>以使项目公司收回投资并获得合理回报。</w:t>
      </w:r>
    </w:p>
    <w:p>
      <w:pPr>
        <w:spacing w:line="360" w:lineRule="auto"/>
        <w:ind w:firstLine="482" w:firstLineChars="200"/>
        <w:rPr>
          <w:rFonts w:ascii="宋体" w:hAnsi="宋体" w:cs="宋体"/>
          <w:b/>
          <w:bCs/>
          <w:sz w:val="24"/>
        </w:rPr>
      </w:pPr>
      <w:r>
        <w:rPr>
          <w:rFonts w:hint="eastAsia" w:ascii="宋体" w:hAnsi="宋体" w:cs="宋体"/>
          <w:b/>
          <w:bCs/>
          <w:sz w:val="24"/>
        </w:rPr>
        <w:t>3.报名方式及时间</w:t>
      </w:r>
    </w:p>
    <w:p>
      <w:pPr>
        <w:spacing w:line="360" w:lineRule="auto"/>
        <w:ind w:firstLine="480" w:firstLineChars="200"/>
        <w:rPr>
          <w:rFonts w:ascii="宋体" w:hAnsi="宋体" w:cs="宋体"/>
          <w:sz w:val="24"/>
        </w:rPr>
      </w:pPr>
      <w:r>
        <w:rPr>
          <w:rFonts w:hint="eastAsia" w:ascii="宋体" w:hAnsi="宋体" w:cs="宋体"/>
          <w:sz w:val="24"/>
        </w:rPr>
        <w:t>通过资格预审的投标人，在投标文件截止时间前均可参与报名。详情查看《全国公共资源交易平台（河南省·许昌市）》（www.xczbtb.com）首页办事指南中的业务流程（网上报名指南），网上报名后，自行下载采购文件。</w:t>
      </w:r>
    </w:p>
    <w:p>
      <w:pPr>
        <w:pStyle w:val="2"/>
        <w:ind w:firstLine="240"/>
        <w:rPr>
          <w:rFonts w:ascii="宋体" w:hAnsi="宋体" w:cs="宋体"/>
          <w:sz w:val="24"/>
          <w:szCs w:val="24"/>
        </w:rPr>
      </w:pPr>
      <w:r>
        <w:rPr>
          <w:rFonts w:hint="eastAsia" w:ascii="宋体" w:hAnsi="宋体" w:cs="宋体"/>
          <w:sz w:val="24"/>
          <w:szCs w:val="24"/>
        </w:rPr>
        <w:t>备注：若以联合体形式进行投标报名，只须联合体牵头单位在网上投标报名即可，但须在投标文件中附相应的联合体协议书。</w:t>
      </w:r>
    </w:p>
    <w:p>
      <w:pPr>
        <w:spacing w:line="360" w:lineRule="auto"/>
        <w:ind w:firstLine="482" w:firstLineChars="200"/>
        <w:rPr>
          <w:rFonts w:ascii="宋体" w:hAnsi="宋体" w:cs="宋体"/>
          <w:b/>
          <w:bCs/>
          <w:sz w:val="24"/>
        </w:rPr>
      </w:pPr>
      <w:r>
        <w:rPr>
          <w:rFonts w:hint="eastAsia" w:ascii="宋体" w:hAnsi="宋体" w:cs="宋体"/>
          <w:b/>
          <w:bCs/>
          <w:sz w:val="24"/>
        </w:rPr>
        <w:t>4.采购文件的获取</w:t>
      </w:r>
    </w:p>
    <w:p>
      <w:pPr>
        <w:spacing w:line="360" w:lineRule="auto"/>
        <w:ind w:firstLine="482" w:firstLineChars="200"/>
        <w:rPr>
          <w:rFonts w:ascii="宋体" w:hAnsi="宋体" w:cs="宋体"/>
          <w:sz w:val="24"/>
        </w:rPr>
      </w:pPr>
      <w:r>
        <w:rPr>
          <w:rFonts w:hint="eastAsia" w:ascii="宋体" w:hAnsi="宋体" w:cs="宋体"/>
          <w:b/>
          <w:bCs/>
          <w:sz w:val="24"/>
        </w:rPr>
        <w:t>4.1网上下载采购文件时间：</w:t>
      </w:r>
      <w:r>
        <w:rPr>
          <w:rFonts w:hint="eastAsia" w:ascii="宋体" w:hAnsi="宋体" w:cs="宋体"/>
          <w:sz w:val="24"/>
        </w:rPr>
        <w:t>通过资格预审的投标人于投标文件递交截止时间前均可在《全国公共资源交易平台（河南省·许昌市）》自行下载本项目采购文件。</w:t>
      </w:r>
    </w:p>
    <w:p>
      <w:pPr>
        <w:spacing w:line="360" w:lineRule="auto"/>
        <w:ind w:firstLine="482" w:firstLineChars="200"/>
        <w:rPr>
          <w:rFonts w:ascii="宋体" w:hAnsi="宋体" w:cs="宋体"/>
          <w:sz w:val="24"/>
        </w:rPr>
      </w:pPr>
      <w:r>
        <w:rPr>
          <w:rFonts w:hint="eastAsia" w:ascii="宋体" w:hAnsi="宋体" w:cs="宋体"/>
          <w:b/>
          <w:bCs/>
          <w:sz w:val="24"/>
        </w:rPr>
        <w:t>4.2采购文件售价：</w:t>
      </w:r>
      <w:r>
        <w:rPr>
          <w:rFonts w:hint="eastAsia" w:ascii="宋体" w:hAnsi="宋体" w:cs="宋体"/>
          <w:sz w:val="24"/>
        </w:rPr>
        <w:t xml:space="preserve">投标人在递交投标文件时，向代理机构支付采购文件费用，每套售价人民币500元，售后不退。 </w:t>
      </w:r>
    </w:p>
    <w:p>
      <w:pPr>
        <w:spacing w:line="360" w:lineRule="auto"/>
        <w:ind w:firstLine="482" w:firstLineChars="200"/>
        <w:rPr>
          <w:rFonts w:ascii="宋体" w:hAnsi="宋体" w:cs="宋体"/>
          <w:sz w:val="24"/>
        </w:rPr>
      </w:pPr>
      <w:r>
        <w:rPr>
          <w:rFonts w:hint="eastAsia" w:ascii="宋体" w:hAnsi="宋体" w:cs="宋体"/>
          <w:b/>
          <w:bCs/>
          <w:sz w:val="24"/>
        </w:rPr>
        <w:t>5.投标文件的递交</w:t>
      </w:r>
    </w:p>
    <w:p>
      <w:pPr>
        <w:spacing w:line="360" w:lineRule="auto"/>
        <w:ind w:firstLine="480" w:firstLineChars="200"/>
        <w:rPr>
          <w:rFonts w:ascii="宋体" w:hAnsi="宋体" w:cs="宋体"/>
          <w:bCs/>
          <w:sz w:val="24"/>
        </w:rPr>
      </w:pPr>
      <w:r>
        <w:rPr>
          <w:rFonts w:hint="eastAsia" w:ascii="宋体" w:hAnsi="宋体" w:cs="宋体"/>
          <w:bCs/>
          <w:sz w:val="24"/>
        </w:rPr>
        <w:t>5.1投标截止及开标时间：</w:t>
      </w:r>
      <w:r>
        <w:rPr>
          <w:rFonts w:hint="eastAsia" w:ascii="宋体" w:hAnsi="宋体" w:cs="宋体"/>
          <w:sz w:val="24"/>
          <w:szCs w:val="24"/>
        </w:rPr>
        <w:t>2019年</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25</w:t>
      </w:r>
      <w:r>
        <w:rPr>
          <w:rFonts w:hint="eastAsia" w:ascii="宋体" w:hAnsi="宋体" w:cs="宋体"/>
          <w:sz w:val="24"/>
          <w:szCs w:val="24"/>
        </w:rPr>
        <w:t xml:space="preserve"> 日</w:t>
      </w:r>
      <w:r>
        <w:rPr>
          <w:rFonts w:hint="eastAsia" w:ascii="宋体" w:hAnsi="宋体" w:cs="宋体"/>
          <w:sz w:val="24"/>
          <w:szCs w:val="24"/>
          <w:lang w:val="en-US" w:eastAsia="zh-CN"/>
        </w:rPr>
        <w:t>10</w:t>
      </w:r>
      <w:r>
        <w:rPr>
          <w:rFonts w:hint="eastAsia" w:ascii="宋体" w:hAnsi="宋体" w:cs="宋体"/>
          <w:sz w:val="24"/>
          <w:szCs w:val="24"/>
        </w:rPr>
        <w:t>时00分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bCs/>
          <w:sz w:val="24"/>
        </w:rPr>
        <w:t>，逾期送达或不符合规定的投标文件不予接受。</w:t>
      </w:r>
    </w:p>
    <w:p>
      <w:pPr>
        <w:spacing w:line="360" w:lineRule="auto"/>
        <w:ind w:firstLine="480" w:firstLineChars="200"/>
        <w:rPr>
          <w:rFonts w:ascii="宋体" w:hAnsi="宋体" w:cs="宋体"/>
          <w:bCs/>
          <w:sz w:val="24"/>
        </w:rPr>
      </w:pPr>
      <w:r>
        <w:rPr>
          <w:rFonts w:hint="eastAsia" w:ascii="宋体" w:hAnsi="宋体" w:cs="宋体"/>
          <w:bCs/>
          <w:sz w:val="24"/>
        </w:rPr>
        <w:t xml:space="preserve">5.2开标地点：禹州市公共资源交易中心第一开标室（禹州市行政服务中心楼9楼） </w:t>
      </w:r>
    </w:p>
    <w:p>
      <w:pPr>
        <w:spacing w:line="360" w:lineRule="auto"/>
        <w:ind w:firstLine="480" w:firstLineChars="200"/>
        <w:rPr>
          <w:rFonts w:ascii="宋体" w:hAnsi="宋体" w:cs="宋体"/>
          <w:sz w:val="24"/>
        </w:rPr>
      </w:pPr>
      <w:r>
        <w:rPr>
          <w:rFonts w:hint="eastAsia" w:ascii="宋体" w:hAnsi="宋体" w:cs="宋体"/>
          <w:bCs/>
          <w:sz w:val="24"/>
        </w:rPr>
        <w:t>5.3逾期送达的或者未送达指定地点的投标文件，采购人不予受理。</w:t>
      </w:r>
    </w:p>
    <w:p>
      <w:pPr>
        <w:spacing w:line="360" w:lineRule="auto"/>
        <w:ind w:firstLine="480" w:firstLineChars="200"/>
        <w:rPr>
          <w:rFonts w:ascii="宋体" w:hAnsi="宋体" w:cs="宋体"/>
          <w:bCs/>
          <w:sz w:val="24"/>
        </w:rPr>
      </w:pPr>
      <w:r>
        <w:rPr>
          <w:rFonts w:hint="eastAsia" w:ascii="宋体" w:hAnsi="宋体" w:cs="宋体"/>
          <w:bCs/>
          <w:sz w:val="24"/>
        </w:rPr>
        <w:t>5.4未通过《全国公共资源交易平台（河南省·许昌市）》下载采购文件的投标人，拒收其递交的投标文件。</w:t>
      </w:r>
    </w:p>
    <w:p>
      <w:pPr>
        <w:spacing w:line="360" w:lineRule="auto"/>
        <w:ind w:firstLine="482" w:firstLineChars="200"/>
        <w:rPr>
          <w:rFonts w:ascii="宋体" w:hAnsi="宋体" w:cs="宋体"/>
          <w:b/>
          <w:bCs/>
          <w:sz w:val="24"/>
        </w:rPr>
      </w:pPr>
      <w:r>
        <w:rPr>
          <w:rFonts w:hint="eastAsia" w:ascii="宋体" w:hAnsi="宋体" w:cs="宋体"/>
          <w:b/>
          <w:bCs/>
          <w:sz w:val="24"/>
        </w:rPr>
        <w:t>6.发布公告的媒介</w:t>
      </w:r>
    </w:p>
    <w:p>
      <w:pPr>
        <w:pStyle w:val="2"/>
        <w:ind w:firstLine="240"/>
        <w:rPr>
          <w:rFonts w:ascii="宋体" w:hAnsi="宋体" w:cs="宋体"/>
          <w:bCs/>
          <w:sz w:val="24"/>
          <w:szCs w:val="24"/>
        </w:rPr>
      </w:pPr>
      <w:r>
        <w:rPr>
          <w:rFonts w:hint="eastAsia" w:ascii="宋体" w:hAnsi="宋体" w:cs="宋体"/>
          <w:bCs/>
          <w:sz w:val="24"/>
          <w:szCs w:val="24"/>
        </w:rPr>
        <w:t>本项目邀请公告在在《中国采购与招标网》、《河南省政府采购网》、《全国公共资源交易平台(河南省▪许昌市)》、《河南省电子招标投标公共服务平台》上发布。</w:t>
      </w:r>
    </w:p>
    <w:p>
      <w:pPr>
        <w:spacing w:line="360" w:lineRule="auto"/>
        <w:ind w:firstLine="482" w:firstLineChars="200"/>
        <w:rPr>
          <w:rFonts w:ascii="宋体" w:hAnsi="宋体" w:cs="宋体"/>
          <w:b/>
          <w:bCs/>
          <w:sz w:val="24"/>
        </w:rPr>
      </w:pPr>
      <w:r>
        <w:rPr>
          <w:rFonts w:hint="eastAsia" w:ascii="宋体" w:hAnsi="宋体" w:cs="宋体"/>
          <w:b/>
          <w:bCs/>
          <w:sz w:val="24"/>
        </w:rPr>
        <w:t>7.</w:t>
      </w:r>
      <w:bookmarkStart w:id="29" w:name="_Toc522540100"/>
      <w:r>
        <w:rPr>
          <w:rFonts w:hint="eastAsia" w:ascii="宋体" w:hAnsi="宋体" w:cs="宋体"/>
          <w:b/>
          <w:bCs/>
          <w:sz w:val="24"/>
        </w:rPr>
        <w:t>联系方式</w:t>
      </w:r>
      <w:bookmarkEnd w:id="29"/>
    </w:p>
    <w:p>
      <w:pPr>
        <w:spacing w:line="360" w:lineRule="auto"/>
        <w:ind w:firstLine="480" w:firstLineChars="200"/>
        <w:rPr>
          <w:rFonts w:ascii="宋体" w:hAnsi="宋体" w:cs="宋体"/>
          <w:bCs/>
          <w:sz w:val="24"/>
        </w:rPr>
      </w:pPr>
      <w:r>
        <w:rPr>
          <w:rFonts w:hint="eastAsia" w:ascii="宋体" w:hAnsi="宋体" w:cs="宋体"/>
          <w:bCs/>
          <w:sz w:val="24"/>
        </w:rPr>
        <w:t xml:space="preserve">  采购</w:t>
      </w:r>
      <w:r>
        <w:rPr>
          <w:rFonts w:ascii="宋体" w:hAnsi="宋体" w:cs="宋体"/>
          <w:bCs/>
          <w:sz w:val="24"/>
        </w:rPr>
        <w:t>人：</w:t>
      </w:r>
      <w:r>
        <w:rPr>
          <w:rFonts w:hint="eastAsia" w:ascii="宋体" w:hAnsi="宋体" w:cs="宋体"/>
          <w:bCs/>
          <w:sz w:val="24"/>
        </w:rPr>
        <w:t>禹州市住房和城乡规划建设局</w:t>
      </w:r>
    </w:p>
    <w:p>
      <w:pPr>
        <w:spacing w:line="360" w:lineRule="auto"/>
        <w:ind w:firstLine="480" w:firstLineChars="200"/>
        <w:rPr>
          <w:rFonts w:ascii="宋体" w:hAnsi="宋体" w:cs="宋体"/>
          <w:bCs/>
          <w:sz w:val="24"/>
        </w:rPr>
      </w:pPr>
      <w:r>
        <w:rPr>
          <w:rFonts w:hint="eastAsia" w:ascii="宋体" w:hAnsi="宋体" w:cs="宋体"/>
          <w:bCs/>
          <w:sz w:val="24"/>
        </w:rPr>
        <w:t xml:space="preserve">  </w:t>
      </w:r>
      <w:r>
        <w:rPr>
          <w:rFonts w:ascii="宋体" w:hAnsi="宋体" w:cs="宋体"/>
          <w:bCs/>
          <w:sz w:val="24"/>
        </w:rPr>
        <w:t>地 址：禹州市禹王大道东段</w:t>
      </w:r>
    </w:p>
    <w:p>
      <w:pPr>
        <w:spacing w:line="360" w:lineRule="auto"/>
        <w:ind w:firstLine="480" w:firstLineChars="200"/>
        <w:rPr>
          <w:rFonts w:ascii="宋体" w:hAnsi="宋体" w:cs="宋体"/>
          <w:bCs/>
          <w:sz w:val="24"/>
        </w:rPr>
      </w:pPr>
      <w:r>
        <w:rPr>
          <w:rFonts w:hint="eastAsia" w:ascii="宋体" w:hAnsi="宋体" w:cs="宋体"/>
          <w:bCs/>
          <w:sz w:val="24"/>
        </w:rPr>
        <w:t xml:space="preserve">  </w:t>
      </w:r>
      <w:r>
        <w:rPr>
          <w:rFonts w:ascii="宋体" w:hAnsi="宋体" w:cs="宋体"/>
          <w:bCs/>
          <w:sz w:val="24"/>
        </w:rPr>
        <w:t>联系人：</w:t>
      </w:r>
      <w:r>
        <w:rPr>
          <w:rFonts w:hint="eastAsia" w:ascii="宋体" w:hAnsi="宋体" w:cs="宋体"/>
          <w:bCs/>
          <w:sz w:val="24"/>
        </w:rPr>
        <w:t>李先生</w:t>
      </w:r>
    </w:p>
    <w:p>
      <w:pPr>
        <w:spacing w:line="360" w:lineRule="auto"/>
        <w:ind w:firstLine="480" w:firstLineChars="200"/>
        <w:rPr>
          <w:rFonts w:ascii="宋体" w:hAnsi="宋体" w:cs="宋体"/>
          <w:bCs/>
          <w:sz w:val="24"/>
        </w:rPr>
      </w:pPr>
      <w:r>
        <w:rPr>
          <w:rFonts w:hint="eastAsia" w:ascii="宋体" w:hAnsi="宋体" w:cs="宋体"/>
          <w:bCs/>
          <w:sz w:val="24"/>
        </w:rPr>
        <w:t xml:space="preserve">  </w:t>
      </w:r>
      <w:r>
        <w:rPr>
          <w:rFonts w:ascii="宋体" w:hAnsi="宋体" w:cs="宋体"/>
          <w:bCs/>
          <w:sz w:val="24"/>
        </w:rPr>
        <w:t>联系电话：</w:t>
      </w:r>
      <w:r>
        <w:rPr>
          <w:rFonts w:hint="eastAsia" w:ascii="宋体" w:hAnsi="宋体" w:cs="宋体"/>
          <w:bCs/>
          <w:sz w:val="24"/>
        </w:rPr>
        <w:t>15937406969</w:t>
      </w:r>
    </w:p>
    <w:p>
      <w:pPr>
        <w:spacing w:line="360" w:lineRule="auto"/>
        <w:ind w:firstLine="480" w:firstLineChars="200"/>
        <w:rPr>
          <w:rFonts w:ascii="宋体" w:hAnsi="宋体" w:cs="宋体"/>
          <w:bCs/>
          <w:sz w:val="24"/>
        </w:rPr>
      </w:pPr>
      <w:r>
        <w:rPr>
          <w:rFonts w:hint="eastAsia" w:ascii="宋体" w:hAnsi="宋体" w:cs="宋体"/>
          <w:bCs/>
          <w:sz w:val="24"/>
        </w:rPr>
        <w:t xml:space="preserve">  招标代理机构：北京江河润泽工程管理咨询有限公司</w:t>
      </w:r>
    </w:p>
    <w:p>
      <w:pPr>
        <w:spacing w:line="360" w:lineRule="auto"/>
        <w:ind w:firstLine="480" w:firstLineChars="200"/>
        <w:rPr>
          <w:rFonts w:ascii="宋体" w:hAnsi="宋体" w:cs="宋体"/>
          <w:bCs/>
          <w:sz w:val="24"/>
        </w:rPr>
      </w:pPr>
      <w:r>
        <w:rPr>
          <w:rFonts w:hint="eastAsia" w:ascii="宋体" w:hAnsi="宋体" w:cs="宋体"/>
          <w:bCs/>
          <w:sz w:val="24"/>
        </w:rPr>
        <w:t xml:space="preserve">  联系人：江女士</w:t>
      </w:r>
    </w:p>
    <w:p>
      <w:pPr>
        <w:spacing w:line="360" w:lineRule="auto"/>
        <w:ind w:firstLine="480" w:firstLineChars="200"/>
        <w:rPr>
          <w:rFonts w:ascii="宋体" w:hAnsi="宋体" w:cs="宋体"/>
          <w:bCs/>
          <w:sz w:val="24"/>
        </w:rPr>
      </w:pPr>
      <w:r>
        <w:rPr>
          <w:rFonts w:hint="eastAsia" w:ascii="宋体" w:hAnsi="宋体" w:cs="宋体"/>
          <w:bCs/>
          <w:sz w:val="24"/>
        </w:rPr>
        <w:t xml:space="preserve">  联系电话：15516973596</w:t>
      </w:r>
    </w:p>
    <w:p>
      <w:pPr>
        <w:spacing w:line="360" w:lineRule="auto"/>
        <w:ind w:firstLine="480" w:firstLineChars="200"/>
        <w:rPr>
          <w:rFonts w:ascii="宋体" w:hAnsi="宋体" w:cs="宋体"/>
          <w:bCs/>
          <w:sz w:val="24"/>
        </w:rPr>
      </w:pPr>
      <w:r>
        <w:rPr>
          <w:rFonts w:hint="eastAsia" w:ascii="宋体" w:hAnsi="宋体" w:cs="宋体"/>
          <w:bCs/>
          <w:sz w:val="24"/>
        </w:rPr>
        <w:t xml:space="preserve">  监督单位：禹州市住房和城乡规划建设局监察室</w:t>
      </w:r>
    </w:p>
    <w:p>
      <w:pPr>
        <w:spacing w:line="360" w:lineRule="auto"/>
        <w:ind w:firstLine="480" w:firstLineChars="200"/>
        <w:rPr>
          <w:rFonts w:ascii="宋体" w:hAnsi="宋体" w:cs="宋体"/>
          <w:bCs/>
          <w:sz w:val="24"/>
        </w:rPr>
      </w:pPr>
      <w:r>
        <w:rPr>
          <w:rFonts w:hint="eastAsia" w:ascii="宋体" w:hAnsi="宋体" w:cs="宋体"/>
          <w:bCs/>
          <w:sz w:val="24"/>
        </w:rPr>
        <w:t xml:space="preserve">  联系电话：0374-8111237</w:t>
      </w:r>
    </w:p>
    <w:p>
      <w:pPr>
        <w:pStyle w:val="2"/>
        <w:ind w:firstLine="210"/>
      </w:pPr>
    </w:p>
    <w:p>
      <w:pPr>
        <w:spacing w:line="360" w:lineRule="auto"/>
        <w:ind w:firstLine="480" w:firstLineChars="200"/>
        <w:rPr>
          <w:rFonts w:ascii="宋体" w:hAnsi="宋体" w:cs="宋体"/>
          <w:bCs/>
          <w:sz w:val="24"/>
        </w:rPr>
      </w:pPr>
      <w:r>
        <w:rPr>
          <w:rFonts w:hint="eastAsia" w:ascii="宋体" w:hAnsi="宋体" w:cs="宋体"/>
          <w:bCs/>
          <w:sz w:val="24"/>
        </w:rPr>
        <w:t xml:space="preserve">                                              2019年1月</w:t>
      </w:r>
      <w:r>
        <w:rPr>
          <w:rFonts w:hint="eastAsia" w:ascii="宋体" w:hAnsi="宋体" w:cs="宋体"/>
          <w:bCs/>
          <w:sz w:val="24"/>
          <w:lang w:val="en-US" w:eastAsia="zh-CN"/>
        </w:rPr>
        <w:t>30</w:t>
      </w:r>
      <w:r>
        <w:rPr>
          <w:rFonts w:hint="eastAsia" w:ascii="宋体" w:hAnsi="宋体" w:cs="宋体"/>
          <w:bCs/>
          <w:sz w:val="24"/>
        </w:rPr>
        <w:t>日</w:t>
      </w:r>
    </w:p>
    <w:p>
      <w:pPr>
        <w:pStyle w:val="2"/>
        <w:ind w:firstLine="210"/>
      </w:pPr>
    </w:p>
    <w:p>
      <w:pPr>
        <w:spacing w:after="120"/>
        <w:ind w:firstLine="420" w:firstLineChars="200"/>
        <w:rPr>
          <w:rFonts w:ascii="宋体" w:hAnsi="宋体" w:cs="宋体"/>
          <w:b/>
          <w:sz w:val="32"/>
          <w:szCs w:val="32"/>
        </w:rPr>
      </w:pPr>
      <w:r>
        <w:rPr>
          <w:rFonts w:ascii="Calibri" w:hAnsi="Calibri"/>
        </w:rPr>
        <w:br w:type="page"/>
      </w:r>
    </w:p>
    <w:p>
      <w:pPr>
        <w:spacing w:line="360" w:lineRule="auto"/>
        <w:jc w:val="center"/>
        <w:rPr>
          <w:rFonts w:ascii="宋体" w:hAnsi="宋体" w:cs="宋体"/>
          <w:b/>
          <w:sz w:val="32"/>
          <w:szCs w:val="32"/>
        </w:rPr>
      </w:pPr>
      <w:r>
        <w:rPr>
          <w:rFonts w:hint="eastAsia" w:ascii="宋体" w:hAnsi="宋体" w:cs="宋体"/>
          <w:b/>
          <w:sz w:val="32"/>
          <w:szCs w:val="32"/>
        </w:rPr>
        <w:t>回 复 函</w:t>
      </w:r>
    </w:p>
    <w:p>
      <w:pPr>
        <w:pStyle w:val="2"/>
        <w:spacing w:after="0"/>
        <w:ind w:firstLine="0" w:firstLineChars="0"/>
        <w:rPr>
          <w:u w:val="single"/>
        </w:rPr>
      </w:pPr>
      <w:r>
        <w:rPr>
          <w:rFonts w:hint="eastAsia"/>
          <w:u w:val="single"/>
        </w:rPr>
        <w:t xml:space="preserve"> （采购人名称）：</w:t>
      </w:r>
    </w:p>
    <w:p>
      <w:pPr>
        <w:pStyle w:val="5"/>
        <w:spacing w:line="360" w:lineRule="auto"/>
        <w:ind w:left="0" w:leftChars="0"/>
      </w:pPr>
      <w:r>
        <w:rPr>
          <w:rFonts w:hint="eastAsia"/>
        </w:rPr>
        <w:t>贵方于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日发出的禹州市绿色铸造园区与陶瓷园区污水处理厂ppp项目采购邀请书，我方已收悉，经过我方的认真研究及考虑，决定</w:t>
      </w:r>
      <w:r>
        <w:rPr>
          <w:rFonts w:hint="eastAsia"/>
          <w:u w:val="single"/>
        </w:rPr>
        <w:t xml:space="preserve">   </w:t>
      </w:r>
      <w:r>
        <w:rPr>
          <w:rFonts w:hint="eastAsia"/>
        </w:rPr>
        <w:t>(参加/不参加) 禹州市绿色铸造园区与陶瓷园区污水处理厂ppp项目投标竞争。</w:t>
      </w:r>
    </w:p>
    <w:p>
      <w:pPr>
        <w:pStyle w:val="5"/>
        <w:spacing w:line="360" w:lineRule="auto"/>
        <w:ind w:left="0" w:leftChars="0"/>
      </w:pPr>
      <w:r>
        <w:rPr>
          <w:rFonts w:hint="eastAsia"/>
        </w:rPr>
        <w:t>特此回复确认!</w:t>
      </w:r>
    </w:p>
    <w:p>
      <w:pPr>
        <w:pStyle w:val="5"/>
        <w:wordWrap w:val="0"/>
        <w:spacing w:line="360" w:lineRule="auto"/>
        <w:ind w:left="0" w:leftChars="0"/>
        <w:jc w:val="right"/>
      </w:pPr>
      <w:r>
        <w:rPr>
          <w:rFonts w:hint="eastAsia"/>
        </w:rPr>
        <w:t>投标人名称：(盖公章)</w:t>
      </w:r>
    </w:p>
    <w:p>
      <w:pPr>
        <w:pStyle w:val="5"/>
        <w:wordWrap w:val="0"/>
        <w:spacing w:line="360" w:lineRule="auto"/>
        <w:ind w:left="0" w:leftChars="0"/>
        <w:jc w:val="right"/>
      </w:pPr>
      <w:r>
        <w:rPr>
          <w:rFonts w:hint="eastAsia"/>
        </w:rPr>
        <w:t>年   月   日</w:t>
      </w:r>
    </w:p>
    <w:p>
      <w:pPr>
        <w:spacing w:line="360" w:lineRule="auto"/>
        <w:ind w:firstLine="6240" w:firstLineChars="2600"/>
        <w:rPr>
          <w:rFonts w:ascii="Arial" w:hAnsi="Arial" w:cs="Arial"/>
          <w:sz w:val="20"/>
          <w:szCs w:val="20"/>
        </w:rPr>
      </w:pPr>
      <w:r>
        <w:rPr>
          <w:rFonts w:ascii="Arial" w:hAnsi="Arial" w:cs="Arial"/>
          <w:sz w:val="24"/>
        </w:rPr>
        <w:br w:type="page"/>
      </w: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pStyle w:val="7"/>
        <w:jc w:val="center"/>
        <w:rPr>
          <w:rFonts w:ascii="Arial" w:hAnsi="Arial" w:cs="Arial"/>
        </w:rPr>
      </w:pPr>
      <w:bookmarkStart w:id="30" w:name="_Toc414277112"/>
      <w:bookmarkStart w:id="31" w:name="_Toc531614616"/>
      <w:bookmarkStart w:id="32" w:name="_Toc534812994"/>
      <w:r>
        <w:rPr>
          <w:rFonts w:ascii="Arial" w:hAnsi="Arial" w:cs="Arial"/>
        </w:rPr>
        <w:t>第</w:t>
      </w:r>
      <w:r>
        <w:rPr>
          <w:rFonts w:hint="eastAsia" w:ascii="Arial" w:hAnsi="Arial" w:cs="Arial"/>
        </w:rPr>
        <w:t>二章  投标人</w:t>
      </w:r>
      <w:r>
        <w:rPr>
          <w:rFonts w:ascii="Arial" w:hAnsi="Arial" w:cs="Arial"/>
        </w:rPr>
        <w:t>须知</w:t>
      </w:r>
      <w:bookmarkEnd w:id="30"/>
      <w:bookmarkEnd w:id="31"/>
      <w:bookmarkEnd w:id="32"/>
    </w:p>
    <w:p>
      <w:pPr>
        <w:jc w:val="center"/>
        <w:rPr>
          <w:rFonts w:ascii="Arial" w:hAnsi="Arial" w:eastAsia="黑体" w:cs="Arial"/>
          <w:sz w:val="72"/>
          <w:szCs w:val="72"/>
        </w:rPr>
        <w:sectPr>
          <w:footerReference r:id="rId5" w:type="default"/>
          <w:type w:val="nextColumn"/>
          <w:pgSz w:w="11850" w:h="16783"/>
          <w:pgMar w:top="1440" w:right="1797" w:bottom="1440" w:left="1797" w:header="0" w:footer="999" w:gutter="0"/>
          <w:cols w:space="720" w:num="1"/>
        </w:sectPr>
      </w:pPr>
    </w:p>
    <w:bookmarkEnd w:id="2"/>
    <w:bookmarkEnd w:id="3"/>
    <w:bookmarkEnd w:id="4"/>
    <w:bookmarkEnd w:id="5"/>
    <w:bookmarkEnd w:id="6"/>
    <w:bookmarkEnd w:id="7"/>
    <w:bookmarkEnd w:id="8"/>
    <w:p>
      <w:pPr>
        <w:pStyle w:val="9"/>
        <w:spacing w:before="0" w:after="0" w:line="480" w:lineRule="auto"/>
        <w:jc w:val="center"/>
        <w:rPr>
          <w:rFonts w:cs="Arial"/>
          <w:sz w:val="28"/>
          <w:szCs w:val="28"/>
        </w:rPr>
      </w:pPr>
      <w:bookmarkStart w:id="33" w:name="_Toc531614617"/>
      <w:bookmarkStart w:id="34" w:name="_Toc534812995"/>
      <w:bookmarkStart w:id="35" w:name="_Toc414112606"/>
      <w:bookmarkStart w:id="36" w:name="_Toc414277114"/>
      <w:r>
        <w:rPr>
          <w:rFonts w:hint="eastAsia" w:cs="Arial"/>
          <w:sz w:val="28"/>
          <w:szCs w:val="28"/>
        </w:rPr>
        <w:t>投标人</w:t>
      </w:r>
      <w:r>
        <w:rPr>
          <w:rFonts w:cs="Arial"/>
          <w:sz w:val="28"/>
          <w:szCs w:val="28"/>
        </w:rPr>
        <w:t>须知</w:t>
      </w:r>
      <w:r>
        <w:rPr>
          <w:rFonts w:hint="eastAsia" w:cs="Arial"/>
          <w:sz w:val="28"/>
          <w:szCs w:val="28"/>
        </w:rPr>
        <w:t>前附</w:t>
      </w:r>
      <w:r>
        <w:rPr>
          <w:rFonts w:cs="Arial"/>
          <w:sz w:val="28"/>
          <w:szCs w:val="28"/>
        </w:rPr>
        <w:t>表</w:t>
      </w:r>
      <w:bookmarkEnd w:id="33"/>
      <w:bookmarkEnd w:id="34"/>
    </w:p>
    <w:tbl>
      <w:tblPr>
        <w:tblStyle w:val="52"/>
        <w:tblpPr w:leftFromText="180" w:rightFromText="180" w:vertAnchor="text" w:tblpY="1"/>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361"/>
        <w:gridCol w:w="137"/>
        <w:gridCol w:w="5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b/>
                <w:szCs w:val="21"/>
              </w:rPr>
            </w:pPr>
            <w:r>
              <w:rPr>
                <w:rFonts w:hint="eastAsia" w:ascii="宋体" w:hAnsi="宋体" w:cs="宋体"/>
                <w:b/>
                <w:szCs w:val="21"/>
              </w:rPr>
              <w:t>条款号</w:t>
            </w:r>
          </w:p>
        </w:tc>
        <w:tc>
          <w:tcPr>
            <w:tcW w:w="2361" w:type="dxa"/>
            <w:vAlign w:val="center"/>
          </w:tcPr>
          <w:p>
            <w:pPr>
              <w:adjustRightInd w:val="0"/>
              <w:spacing w:line="360" w:lineRule="auto"/>
              <w:ind w:left="105" w:leftChars="50"/>
              <w:jc w:val="center"/>
              <w:textAlignment w:val="baseline"/>
              <w:rPr>
                <w:rFonts w:ascii="宋体" w:hAnsi="宋体" w:cs="宋体"/>
                <w:b/>
                <w:szCs w:val="21"/>
              </w:rPr>
            </w:pPr>
            <w:r>
              <w:rPr>
                <w:rFonts w:hint="eastAsia" w:ascii="宋体" w:hAnsi="宋体" w:cs="宋体"/>
                <w:b/>
                <w:szCs w:val="21"/>
              </w:rPr>
              <w:t>条  款  名  称</w:t>
            </w:r>
          </w:p>
        </w:tc>
        <w:tc>
          <w:tcPr>
            <w:tcW w:w="5244" w:type="dxa"/>
            <w:gridSpan w:val="2"/>
            <w:vAlign w:val="center"/>
          </w:tcPr>
          <w:p>
            <w:pPr>
              <w:adjustRightInd w:val="0"/>
              <w:spacing w:line="360" w:lineRule="auto"/>
              <w:ind w:left="105" w:leftChars="50"/>
              <w:jc w:val="center"/>
              <w:textAlignment w:val="baseline"/>
              <w:rPr>
                <w:rFonts w:ascii="宋体" w:hAnsi="宋体" w:cs="宋体"/>
                <w:b/>
                <w:szCs w:val="21"/>
              </w:rPr>
            </w:pPr>
            <w:r>
              <w:rPr>
                <w:rFonts w:hint="eastAsia" w:ascii="宋体" w:hAnsi="宋体" w:cs="宋体"/>
                <w:b/>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1.3</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 xml:space="preserve">    采购人</w:t>
            </w:r>
          </w:p>
        </w:tc>
        <w:tc>
          <w:tcPr>
            <w:tcW w:w="5244" w:type="dxa"/>
            <w:gridSpan w:val="2"/>
            <w:vAlign w:val="center"/>
          </w:tcPr>
          <w:p>
            <w:pPr>
              <w:adjustRightInd w:val="0"/>
              <w:spacing w:line="276" w:lineRule="auto"/>
              <w:ind w:left="105" w:leftChars="50"/>
              <w:textAlignment w:val="baseline"/>
              <w:rPr>
                <w:rFonts w:ascii="宋体" w:hAnsi="宋体" w:cs="宋体"/>
                <w:bCs/>
                <w:szCs w:val="21"/>
              </w:rPr>
            </w:pPr>
            <w:r>
              <w:rPr>
                <w:rFonts w:hint="eastAsia" w:ascii="宋体" w:hAnsi="宋体" w:cs="宋体"/>
                <w:bCs/>
                <w:szCs w:val="21"/>
              </w:rPr>
              <w:t>采购人</w:t>
            </w:r>
            <w:r>
              <w:rPr>
                <w:rFonts w:hint="eastAsia" w:ascii="宋体" w:hAnsi="宋体" w:cs="宋体"/>
                <w:szCs w:val="21"/>
              </w:rPr>
              <w:t>名称：</w:t>
            </w:r>
            <w:r>
              <w:rPr>
                <w:rFonts w:hint="eastAsia"/>
                <w:szCs w:val="21"/>
              </w:rPr>
              <w:t>禹州市住房和城乡规划建设局</w:t>
            </w:r>
          </w:p>
          <w:p>
            <w:pPr>
              <w:adjustRightInd w:val="0"/>
              <w:spacing w:line="276" w:lineRule="auto"/>
              <w:ind w:left="105" w:leftChars="50"/>
              <w:textAlignment w:val="baseline"/>
              <w:rPr>
                <w:rFonts w:ascii="宋体" w:hAnsi="宋体" w:cs="宋体"/>
                <w:szCs w:val="21"/>
              </w:rPr>
            </w:pPr>
            <w:r>
              <w:rPr>
                <w:rFonts w:hint="eastAsia" w:ascii="宋体" w:hAnsi="宋体" w:cs="宋体"/>
                <w:szCs w:val="21"/>
              </w:rPr>
              <w:t xml:space="preserve">联 系 人：李先生 </w:t>
            </w:r>
          </w:p>
          <w:p>
            <w:pPr>
              <w:adjustRightInd w:val="0"/>
              <w:spacing w:line="276" w:lineRule="auto"/>
              <w:ind w:left="105" w:leftChars="50"/>
              <w:textAlignment w:val="baseline"/>
              <w:rPr>
                <w:rFonts w:ascii="宋体" w:hAnsi="宋体" w:cs="宋体"/>
                <w:szCs w:val="21"/>
              </w:rPr>
            </w:pPr>
            <w:r>
              <w:rPr>
                <w:rFonts w:hint="eastAsia" w:ascii="宋体" w:hAnsi="宋体" w:cs="宋体"/>
                <w:szCs w:val="21"/>
              </w:rPr>
              <w:t>联系电话：15937406969</w:t>
            </w:r>
          </w:p>
          <w:p>
            <w:pPr>
              <w:adjustRightInd w:val="0"/>
              <w:spacing w:line="276" w:lineRule="auto"/>
              <w:ind w:left="105" w:leftChars="50"/>
              <w:textAlignment w:val="baseline"/>
              <w:rPr>
                <w:rFonts w:ascii="宋体" w:hAnsi="宋体" w:cs="宋体"/>
                <w:bCs/>
                <w:szCs w:val="21"/>
              </w:rPr>
            </w:pPr>
            <w:r>
              <w:rPr>
                <w:rFonts w:hint="eastAsia" w:ascii="宋体" w:hAnsi="宋体" w:cs="宋体"/>
                <w:bCs/>
                <w:szCs w:val="21"/>
              </w:rPr>
              <w:t>采购代理机构:</w:t>
            </w:r>
            <w:r>
              <w:rPr>
                <w:rFonts w:hint="eastAsia" w:ascii="宋体" w:hAnsi="宋体" w:cs="宋体"/>
                <w:szCs w:val="21"/>
              </w:rPr>
              <w:t>名称：北京江河润泽工程管理咨询有限公司</w:t>
            </w:r>
          </w:p>
          <w:p>
            <w:pPr>
              <w:spacing w:line="276" w:lineRule="auto"/>
              <w:ind w:left="105" w:leftChars="50"/>
              <w:rPr>
                <w:rFonts w:ascii="宋体" w:hAnsi="宋体" w:cs="宋体"/>
                <w:szCs w:val="21"/>
              </w:rPr>
            </w:pPr>
            <w:r>
              <w:rPr>
                <w:rFonts w:hint="eastAsia" w:ascii="宋体" w:hAnsi="宋体" w:cs="宋体"/>
                <w:szCs w:val="21"/>
              </w:rPr>
              <w:t>地址：郑州市金水东路80号绿地新都会2号楼A811室</w:t>
            </w:r>
          </w:p>
          <w:p>
            <w:pPr>
              <w:spacing w:line="276" w:lineRule="auto"/>
              <w:ind w:left="105" w:leftChars="50"/>
              <w:rPr>
                <w:rFonts w:ascii="宋体" w:hAnsi="宋体" w:cs="宋体"/>
                <w:szCs w:val="21"/>
              </w:rPr>
            </w:pPr>
            <w:r>
              <w:rPr>
                <w:rFonts w:hint="eastAsia" w:ascii="宋体" w:hAnsi="宋体" w:cs="宋体"/>
                <w:szCs w:val="21"/>
              </w:rPr>
              <w:t>联系人：江女士</w:t>
            </w:r>
          </w:p>
          <w:p>
            <w:pPr>
              <w:spacing w:line="276" w:lineRule="auto"/>
              <w:ind w:left="105" w:leftChars="50"/>
              <w:rPr>
                <w:rFonts w:ascii="宋体" w:hAnsi="宋体" w:cs="宋体"/>
                <w:szCs w:val="21"/>
              </w:rPr>
            </w:pPr>
            <w:r>
              <w:rPr>
                <w:rFonts w:hint="eastAsia" w:ascii="宋体" w:hAnsi="宋体" w:cs="宋体"/>
                <w:szCs w:val="21"/>
              </w:rPr>
              <w:t>联系电话：15516973596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1.4.1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 xml:space="preserve"> 投标人资格条件</w:t>
            </w:r>
          </w:p>
        </w:tc>
        <w:tc>
          <w:tcPr>
            <w:tcW w:w="5244" w:type="dxa"/>
            <w:gridSpan w:val="2"/>
            <w:vAlign w:val="center"/>
          </w:tcPr>
          <w:p>
            <w:pPr>
              <w:spacing w:line="276" w:lineRule="auto"/>
              <w:rPr>
                <w:rFonts w:ascii="宋体" w:hAnsi="宋体" w:cs="宋体"/>
                <w:kern w:val="0"/>
                <w:szCs w:val="21"/>
              </w:rPr>
            </w:pPr>
            <w:r>
              <w:rPr>
                <w:rFonts w:ascii="宋体" w:hAnsi="宋体" w:cs="宋体"/>
                <w:kern w:val="0"/>
                <w:szCs w:val="21"/>
              </w:rPr>
              <w:t xml:space="preserve">1 </w:t>
            </w:r>
            <w:r>
              <w:rPr>
                <w:rFonts w:hint="eastAsia" w:ascii="宋体" w:hAnsi="宋体" w:cs="宋体"/>
                <w:kern w:val="0"/>
                <w:szCs w:val="21"/>
              </w:rPr>
              <w:t>.申请人须符合《中华人民共和国政府采购法》第二十二条规定的条件，并满足适用的中国法律、法规、规章、地方法规和政府部门颁布的其他适用强制性要求。</w:t>
            </w:r>
          </w:p>
          <w:p>
            <w:pPr>
              <w:spacing w:line="276" w:lineRule="auto"/>
              <w:rPr>
                <w:rFonts w:ascii="宋体" w:hAnsi="宋体" w:cs="宋体"/>
                <w:kern w:val="0"/>
                <w:szCs w:val="21"/>
              </w:rPr>
            </w:pPr>
            <w:r>
              <w:rPr>
                <w:rFonts w:hint="eastAsia" w:ascii="宋体" w:hAnsi="宋体" w:cs="宋体"/>
                <w:kern w:val="0"/>
                <w:szCs w:val="21"/>
              </w:rPr>
              <w:t xml:space="preserve">（1）具有独立承担民事责任的能力； </w:t>
            </w:r>
            <w:r>
              <w:rPr>
                <w:rFonts w:hint="eastAsia" w:ascii="宋体" w:hAnsi="宋体" w:cs="宋体"/>
                <w:kern w:val="0"/>
                <w:szCs w:val="21"/>
              </w:rPr>
              <w:br w:type="textWrapping"/>
            </w:r>
            <w:r>
              <w:rPr>
                <w:rFonts w:hint="eastAsia" w:ascii="宋体" w:hAnsi="宋体" w:cs="宋体"/>
                <w:kern w:val="0"/>
                <w:szCs w:val="21"/>
              </w:rPr>
              <w:t>（2）具有良好的商业信誉和健全的财务会计制度;</w:t>
            </w:r>
            <w:r>
              <w:rPr>
                <w:rFonts w:hint="eastAsia" w:ascii="宋体" w:hAnsi="宋体" w:cs="宋体"/>
                <w:kern w:val="0"/>
                <w:szCs w:val="21"/>
              </w:rPr>
              <w:br w:type="textWrapping"/>
            </w:r>
            <w:r>
              <w:rPr>
                <w:rFonts w:hint="eastAsia" w:ascii="宋体" w:hAnsi="宋体" w:cs="宋体"/>
                <w:kern w:val="0"/>
                <w:szCs w:val="21"/>
              </w:rPr>
              <w:t xml:space="preserve">（3）具有履行合同所必需的设备和专业技术能力； </w:t>
            </w:r>
            <w:r>
              <w:rPr>
                <w:rFonts w:hint="eastAsia" w:ascii="宋体" w:hAnsi="宋体" w:cs="宋体"/>
                <w:kern w:val="0"/>
                <w:szCs w:val="21"/>
              </w:rPr>
              <w:br w:type="textWrapping"/>
            </w:r>
            <w:r>
              <w:rPr>
                <w:rFonts w:hint="eastAsia" w:ascii="宋体" w:hAnsi="宋体" w:cs="宋体"/>
                <w:kern w:val="0"/>
                <w:szCs w:val="21"/>
              </w:rPr>
              <w:t>（4）有依法缴纳税收和社会保障资金的良好记录;</w:t>
            </w:r>
            <w:r>
              <w:rPr>
                <w:rFonts w:hint="eastAsia" w:ascii="宋体" w:hAnsi="宋体" w:cs="宋体"/>
                <w:kern w:val="0"/>
                <w:szCs w:val="21"/>
              </w:rPr>
              <w:br w:type="textWrapping"/>
            </w:r>
            <w:r>
              <w:rPr>
                <w:rFonts w:hint="eastAsia" w:ascii="宋体" w:hAnsi="宋体" w:cs="宋体"/>
                <w:kern w:val="0"/>
                <w:szCs w:val="21"/>
              </w:rPr>
              <w:t xml:space="preserve">（5）参加政府采购活动前三年内，在经营活动中没有重大违法记录； </w:t>
            </w:r>
            <w:r>
              <w:rPr>
                <w:rFonts w:hint="eastAsia" w:ascii="宋体" w:hAnsi="宋体" w:cs="宋体"/>
                <w:kern w:val="0"/>
                <w:szCs w:val="21"/>
              </w:rPr>
              <w:br w:type="textWrapping"/>
            </w:r>
            <w:r>
              <w:rPr>
                <w:rFonts w:hint="eastAsia" w:ascii="宋体" w:hAnsi="宋体" w:cs="宋体"/>
                <w:kern w:val="0"/>
                <w:szCs w:val="21"/>
              </w:rPr>
              <w:t>（6）法律、行政法规规定的其他条件。</w:t>
            </w:r>
          </w:p>
          <w:p>
            <w:pPr>
              <w:spacing w:line="276" w:lineRule="auto"/>
              <w:rPr>
                <w:rFonts w:ascii="宋体" w:hAnsi="宋体" w:cs="宋体"/>
                <w:kern w:val="0"/>
                <w:szCs w:val="21"/>
              </w:rPr>
            </w:pPr>
            <w:r>
              <w:rPr>
                <w:rFonts w:ascii="宋体" w:hAnsi="宋体" w:cs="宋体"/>
                <w:kern w:val="0"/>
                <w:szCs w:val="21"/>
              </w:rPr>
              <w:t xml:space="preserve">2 </w:t>
            </w:r>
            <w:r>
              <w:rPr>
                <w:rFonts w:hint="eastAsia" w:ascii="宋体" w:hAnsi="宋体" w:cs="宋体"/>
                <w:kern w:val="0"/>
                <w:szCs w:val="21"/>
              </w:rPr>
              <w:t>.本级政府所属融资平台公司及其他控股国有企业（符合《国务院办公厅转发财政部、国家发展改革委、中国人民银行关于在公共服务领域推广政府和社会资本合作模式的指导意见的通知》国办发</w:t>
            </w:r>
            <w:r>
              <w:rPr>
                <w:rFonts w:ascii="宋体" w:hAnsi="宋体" w:cs="宋体"/>
                <w:kern w:val="0"/>
                <w:szCs w:val="21"/>
              </w:rPr>
              <w:t>[2014] 42</w:t>
            </w:r>
            <w:r>
              <w:rPr>
                <w:rFonts w:hint="eastAsia" w:ascii="宋体" w:hAnsi="宋体" w:cs="宋体"/>
                <w:kern w:val="0"/>
                <w:szCs w:val="21"/>
              </w:rPr>
              <w:t>号文件规定的除外）不得作为申请人。</w:t>
            </w:r>
          </w:p>
          <w:p>
            <w:pPr>
              <w:spacing w:line="276" w:lineRule="auto"/>
              <w:rPr>
                <w:rFonts w:ascii="宋体" w:hAnsi="宋体" w:cs="宋体"/>
                <w:kern w:val="0"/>
                <w:szCs w:val="21"/>
              </w:rPr>
            </w:pPr>
            <w:r>
              <w:rPr>
                <w:rFonts w:hint="eastAsia" w:ascii="宋体" w:hAnsi="宋体" w:cs="宋体"/>
                <w:kern w:val="0"/>
                <w:szCs w:val="21"/>
              </w:rPr>
              <w:t>3.本次资格预审要求申请人应同时具备以下条件：</w:t>
            </w:r>
          </w:p>
          <w:p>
            <w:pPr>
              <w:spacing w:line="276"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 xml:space="preserve">.1 </w:t>
            </w:r>
            <w:r>
              <w:rPr>
                <w:rFonts w:hint="eastAsia" w:ascii="宋体" w:hAnsi="宋体" w:cs="宋体"/>
                <w:kern w:val="0"/>
                <w:szCs w:val="21"/>
              </w:rPr>
              <w:t>主体要求：</w:t>
            </w:r>
          </w:p>
          <w:p>
            <w:pPr>
              <w:spacing w:line="276" w:lineRule="auto"/>
              <w:rPr>
                <w:rFonts w:ascii="宋体" w:hAnsi="宋体" w:cs="宋体"/>
                <w:kern w:val="0"/>
                <w:szCs w:val="21"/>
              </w:rPr>
            </w:pPr>
            <w:r>
              <w:rPr>
                <w:rFonts w:ascii="宋体" w:hAnsi="宋体" w:cs="宋体"/>
                <w:kern w:val="0"/>
                <w:szCs w:val="21"/>
              </w:rPr>
              <w:t>申请人可以是独立申请人或联合体（若为联合体，则联合体牵头人</w:t>
            </w:r>
            <w:r>
              <w:rPr>
                <w:rFonts w:hint="eastAsia" w:ascii="宋体" w:hAnsi="宋体" w:cs="宋体"/>
                <w:kern w:val="0"/>
                <w:szCs w:val="21"/>
              </w:rPr>
              <w:t>必须</w:t>
            </w:r>
            <w:r>
              <w:rPr>
                <w:rFonts w:ascii="宋体" w:hAnsi="宋体" w:cs="宋体"/>
                <w:kern w:val="0"/>
                <w:szCs w:val="21"/>
              </w:rPr>
              <w:t>为运营单位，且联合体成员不超过</w:t>
            </w:r>
            <w:r>
              <w:rPr>
                <w:rFonts w:hint="eastAsia" w:ascii="宋体" w:hAnsi="宋体" w:cs="宋体"/>
                <w:kern w:val="0"/>
                <w:szCs w:val="21"/>
              </w:rPr>
              <w:t>三</w:t>
            </w:r>
            <w:r>
              <w:rPr>
                <w:rFonts w:ascii="宋体" w:hAnsi="宋体" w:cs="宋体"/>
                <w:kern w:val="0"/>
                <w:szCs w:val="21"/>
              </w:rPr>
              <w:t>家），参加投标的独立申请人或联合体</w:t>
            </w:r>
            <w:r>
              <w:rPr>
                <w:rFonts w:hint="eastAsia" w:ascii="宋体" w:hAnsi="宋体" w:cs="宋体"/>
                <w:kern w:val="0"/>
                <w:szCs w:val="21"/>
              </w:rPr>
              <w:t>成员</w:t>
            </w:r>
            <w:r>
              <w:rPr>
                <w:rFonts w:ascii="宋体" w:hAnsi="宋体" w:cs="宋体"/>
                <w:kern w:val="0"/>
                <w:szCs w:val="21"/>
              </w:rPr>
              <w:t>必须是中华人民共和国境内外依法注册的企业法人</w:t>
            </w:r>
            <w:r>
              <w:rPr>
                <w:rFonts w:hint="eastAsia" w:ascii="宋体" w:hAnsi="宋体" w:cs="宋体"/>
                <w:kern w:val="0"/>
                <w:szCs w:val="21"/>
              </w:rPr>
              <w:t>，且</w:t>
            </w:r>
            <w:r>
              <w:rPr>
                <w:rFonts w:ascii="宋体" w:hAnsi="宋体" w:cs="宋体"/>
                <w:kern w:val="0"/>
                <w:szCs w:val="21"/>
              </w:rPr>
              <w:t>独立申请人或联合体</w:t>
            </w:r>
            <w:r>
              <w:rPr>
                <w:rFonts w:hint="eastAsia" w:ascii="宋体" w:hAnsi="宋体" w:cs="宋体"/>
                <w:kern w:val="0"/>
                <w:szCs w:val="21"/>
              </w:rPr>
              <w:t>牵头人须</w:t>
            </w:r>
            <w:r>
              <w:rPr>
                <w:rFonts w:ascii="宋体" w:hAnsi="宋体" w:cs="宋体"/>
                <w:kern w:val="0"/>
                <w:szCs w:val="21"/>
              </w:rPr>
              <w:t>具有污水处理厂运营经验</w:t>
            </w:r>
            <w:r>
              <w:rPr>
                <w:rFonts w:hint="eastAsia" w:ascii="宋体" w:hAnsi="宋体" w:cs="宋体"/>
                <w:kern w:val="0"/>
                <w:szCs w:val="21"/>
              </w:rPr>
              <w:t>并承担污水处理厂的运营工作，</w:t>
            </w:r>
            <w:r>
              <w:rPr>
                <w:rFonts w:ascii="宋体" w:hAnsi="宋体" w:cs="宋体"/>
                <w:kern w:val="0"/>
                <w:szCs w:val="21"/>
              </w:rPr>
              <w:t>联合体</w:t>
            </w:r>
            <w:r>
              <w:rPr>
                <w:rFonts w:hint="eastAsia" w:ascii="宋体" w:hAnsi="宋体" w:cs="宋体"/>
                <w:kern w:val="0"/>
                <w:szCs w:val="21"/>
              </w:rPr>
              <w:t>中其他</w:t>
            </w:r>
            <w:r>
              <w:rPr>
                <w:rFonts w:ascii="宋体" w:hAnsi="宋体" w:cs="宋体"/>
                <w:kern w:val="0"/>
                <w:szCs w:val="21"/>
              </w:rPr>
              <w:t>成员单位须是</w:t>
            </w:r>
            <w:r>
              <w:rPr>
                <w:rFonts w:hint="eastAsia" w:ascii="宋体" w:hAnsi="宋体" w:cs="宋体"/>
                <w:kern w:val="0"/>
                <w:szCs w:val="21"/>
              </w:rPr>
              <w:t>财务投资单位</w:t>
            </w:r>
            <w:r>
              <w:rPr>
                <w:rFonts w:ascii="宋体" w:hAnsi="宋体" w:cs="宋体"/>
                <w:kern w:val="0"/>
                <w:szCs w:val="21"/>
              </w:rPr>
              <w:t>或从事市政行业的设计或施工单位；</w:t>
            </w:r>
            <w:r>
              <w:rPr>
                <w:rFonts w:ascii="宋体" w:hAnsi="宋体" w:cs="宋体"/>
                <w:b/>
                <w:kern w:val="0"/>
                <w:szCs w:val="21"/>
              </w:rPr>
              <w:t>若为联合体投标，则联合体各成员均需在项目公司中占股。</w:t>
            </w:r>
          </w:p>
          <w:p>
            <w:pPr>
              <w:spacing w:line="276"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 xml:space="preserve">.2 </w:t>
            </w:r>
            <w:r>
              <w:rPr>
                <w:rFonts w:hint="eastAsia" w:ascii="宋体" w:hAnsi="宋体" w:cs="宋体"/>
                <w:kern w:val="0"/>
                <w:szCs w:val="21"/>
              </w:rPr>
              <w:t>资质要求：</w:t>
            </w:r>
          </w:p>
          <w:p>
            <w:pPr>
              <w:spacing w:line="276" w:lineRule="auto"/>
              <w:rPr>
                <w:rFonts w:ascii="宋体" w:hAnsi="宋体" w:cs="宋体"/>
                <w:kern w:val="0"/>
                <w:szCs w:val="21"/>
              </w:rPr>
            </w:pPr>
            <w:r>
              <w:rPr>
                <w:rFonts w:ascii="宋体" w:hAnsi="宋体" w:cs="宋体"/>
                <w:kern w:val="0"/>
                <w:szCs w:val="21"/>
              </w:rPr>
              <w:t>申请人或联合体中的施工单位必须具有相关行业主管部门颁发的有效的安全生产许可证、建设行政主管部门颁发的市政公用工程施工总承包叁级及以上资质；申请人或联合体中的设计单位须具有市政公用工程专业乙级或工程设计综合乙级以上的设计资质</w:t>
            </w:r>
            <w:r>
              <w:rPr>
                <w:rFonts w:hint="eastAsia" w:ascii="宋体" w:hAnsi="宋体" w:cs="宋体"/>
                <w:kern w:val="0"/>
                <w:szCs w:val="21"/>
              </w:rPr>
              <w:t>。</w:t>
            </w:r>
          </w:p>
          <w:p>
            <w:pPr>
              <w:spacing w:line="276"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 xml:space="preserve">.3 </w:t>
            </w:r>
            <w:r>
              <w:rPr>
                <w:rFonts w:hint="eastAsia" w:ascii="宋体" w:hAnsi="宋体" w:cs="宋体"/>
                <w:kern w:val="0"/>
                <w:szCs w:val="21"/>
              </w:rPr>
              <w:t>业绩要求：2013年9月1日以来</w:t>
            </w:r>
            <w:r>
              <w:rPr>
                <w:rFonts w:ascii="宋体" w:hAnsi="宋体" w:cs="宋体"/>
                <w:kern w:val="0"/>
                <w:szCs w:val="21"/>
              </w:rPr>
              <w:t>，</w:t>
            </w:r>
            <w:r>
              <w:rPr>
                <w:rFonts w:hint="eastAsia" w:ascii="宋体" w:hAnsi="宋体" w:cs="宋体"/>
                <w:kern w:val="0"/>
                <w:szCs w:val="21"/>
              </w:rPr>
              <w:t>独立</w:t>
            </w:r>
            <w:r>
              <w:rPr>
                <w:rFonts w:ascii="宋体" w:hAnsi="宋体" w:cs="宋体"/>
                <w:kern w:val="0"/>
                <w:szCs w:val="21"/>
              </w:rPr>
              <w:t>申请人或联合体牵头人在中国大陆（不含港、澳、台地区）正在运行维护（正式投产运行的，不含试运行和已经期满移交的）的污水处理厂日处理规模合计不小于10万吨/日；</w:t>
            </w:r>
            <w:r>
              <w:rPr>
                <w:rFonts w:hint="eastAsia" w:ascii="宋体" w:hAnsi="宋体" w:cs="宋体"/>
                <w:kern w:val="0"/>
                <w:szCs w:val="21"/>
              </w:rPr>
              <w:t>独立</w:t>
            </w:r>
            <w:r>
              <w:rPr>
                <w:rFonts w:ascii="宋体" w:hAnsi="宋体" w:cs="宋体"/>
                <w:kern w:val="0"/>
                <w:szCs w:val="21"/>
              </w:rPr>
              <w:t>申请人或联合体中的设计单位具备设计规模</w:t>
            </w:r>
            <w:r>
              <w:rPr>
                <w:rFonts w:hint="eastAsia" w:ascii="宋体" w:hAnsi="宋体" w:cs="宋体"/>
                <w:kern w:val="0"/>
                <w:szCs w:val="21"/>
              </w:rPr>
              <w:t>2</w:t>
            </w:r>
            <w:r>
              <w:rPr>
                <w:rFonts w:ascii="宋体" w:hAnsi="宋体" w:cs="宋体"/>
                <w:kern w:val="0"/>
                <w:szCs w:val="21"/>
              </w:rPr>
              <w:t>万立方米/日（含）以上的污水处理厂设计业绩，</w:t>
            </w:r>
            <w:r>
              <w:rPr>
                <w:rFonts w:hint="eastAsia" w:ascii="宋体" w:hAnsi="宋体" w:cs="宋体"/>
                <w:kern w:val="0"/>
                <w:szCs w:val="21"/>
              </w:rPr>
              <w:t>独立</w:t>
            </w:r>
            <w:r>
              <w:rPr>
                <w:rFonts w:ascii="宋体" w:hAnsi="宋体" w:cs="宋体"/>
                <w:kern w:val="0"/>
                <w:szCs w:val="21"/>
              </w:rPr>
              <w:t>申请人或联合体中的施工单位具备设计规模</w:t>
            </w:r>
            <w:r>
              <w:rPr>
                <w:rFonts w:hint="eastAsia" w:ascii="宋体" w:hAnsi="宋体" w:cs="宋体"/>
                <w:kern w:val="0"/>
                <w:szCs w:val="21"/>
              </w:rPr>
              <w:t>2</w:t>
            </w:r>
            <w:r>
              <w:rPr>
                <w:rFonts w:ascii="宋体" w:hAnsi="宋体" w:cs="宋体"/>
                <w:kern w:val="0"/>
                <w:szCs w:val="21"/>
              </w:rPr>
              <w:t>万立方米/日（含）的施工业绩。以上业绩包括独立申请人及其控股子公司的业绩或联合体相应成员及其控股子公司的业绩</w:t>
            </w:r>
            <w:r>
              <w:rPr>
                <w:rFonts w:hint="eastAsia" w:ascii="宋体" w:hAnsi="宋体" w:cs="宋体"/>
                <w:kern w:val="0"/>
                <w:szCs w:val="21"/>
              </w:rPr>
              <w:t>(联合体成员业绩以联合体协议职责进行认定)</w:t>
            </w:r>
          </w:p>
          <w:p>
            <w:pPr>
              <w:spacing w:line="276"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.4</w:t>
            </w:r>
            <w:r>
              <w:rPr>
                <w:rFonts w:hint="eastAsia" w:ascii="宋体" w:hAnsi="宋体" w:cs="宋体"/>
                <w:kern w:val="0"/>
                <w:szCs w:val="21"/>
              </w:rPr>
              <w:t>项目负责人要求：独立申请人或联合体中的施工单位须具有实施同类项目所需的技术和管理能力，拟派总承包项目负责人应具有一级注册建造师资格,并提供项目负责人2018年4月以来社保缴纳证明。</w:t>
            </w:r>
          </w:p>
          <w:p>
            <w:pPr>
              <w:spacing w:line="276" w:lineRule="auto"/>
              <w:rPr>
                <w:rFonts w:ascii="宋体" w:hAnsi="宋体" w:cs="宋体"/>
                <w:kern w:val="0"/>
                <w:szCs w:val="21"/>
              </w:rPr>
            </w:pPr>
            <w:r>
              <w:rPr>
                <w:rFonts w:hint="eastAsia" w:ascii="宋体" w:hAnsi="宋体" w:cs="宋体"/>
                <w:kern w:val="0"/>
                <w:szCs w:val="21"/>
              </w:rPr>
              <w:t>3.5财务要求：独立申请人或联合体中的财务投资单位需提供不少于伍千万元人民币的银行授信额度。</w:t>
            </w:r>
          </w:p>
          <w:p>
            <w:pPr>
              <w:spacing w:line="276" w:lineRule="auto"/>
              <w:rPr>
                <w:rFonts w:ascii="宋体" w:hAnsi="宋体" w:cs="宋体"/>
                <w:kern w:val="0"/>
                <w:szCs w:val="21"/>
              </w:rPr>
            </w:pPr>
            <w:r>
              <w:rPr>
                <w:rFonts w:hint="eastAsia" w:ascii="宋体" w:hAnsi="宋体" w:cs="宋体"/>
                <w:kern w:val="0"/>
                <w:szCs w:val="21"/>
              </w:rPr>
              <w:t>4.按照《财政部关于在政府采购活动中查询及使用信用记录有关问题的通知》（财库〔2016〕125号）的要求，对列入失信被执行人、重大税收违法案件当事人名单、政府采购严重违法失信行为记录名单的申请人，拒绝参与政府采购活动,申请人应提供信用记录查询结果 “信用中国”（www.creditchina.gov.cn）或中国政府采购网（www.ccgp.gov.cn）（网页截图）</w:t>
            </w:r>
          </w:p>
          <w:p>
            <w:pPr>
              <w:spacing w:line="276" w:lineRule="auto"/>
              <w:rPr>
                <w:rFonts w:ascii="宋体" w:hAnsi="宋体" w:cs="宋体"/>
                <w:kern w:val="0"/>
                <w:szCs w:val="21"/>
              </w:rPr>
            </w:pPr>
            <w:r>
              <w:rPr>
                <w:rFonts w:hint="eastAsia" w:ascii="宋体" w:hAnsi="宋体" w:cs="宋体"/>
                <w:kern w:val="0"/>
                <w:szCs w:val="21"/>
              </w:rPr>
              <w:t>5.</w:t>
            </w:r>
            <w:r>
              <w:rPr>
                <w:rFonts w:ascii="宋体" w:hAnsi="宋体" w:cs="宋体"/>
                <w:kern w:val="0"/>
                <w:szCs w:val="21"/>
              </w:rPr>
              <w:t>本次资格预审</w:t>
            </w:r>
            <w:r>
              <w:rPr>
                <w:rFonts w:hint="eastAsia" w:ascii="宋体" w:hAnsi="宋体" w:cs="宋体"/>
                <w:kern w:val="0"/>
                <w:szCs w:val="21"/>
                <w:u w:val="single"/>
              </w:rPr>
              <w:t xml:space="preserve"> 接受 </w:t>
            </w:r>
            <w:r>
              <w:rPr>
                <w:rFonts w:hint="eastAsia" w:ascii="宋体" w:hAnsi="宋体" w:cs="宋体"/>
                <w:kern w:val="0"/>
                <w:szCs w:val="21"/>
              </w:rPr>
              <w:t>联合体提出资格预审申请，联合体成员不得超过三家。</w:t>
            </w:r>
          </w:p>
          <w:p>
            <w:pPr>
              <w:spacing w:line="276" w:lineRule="auto"/>
              <w:rPr>
                <w:rFonts w:ascii="宋体" w:hAnsi="宋体" w:cs="宋体"/>
                <w:kern w:val="0"/>
                <w:szCs w:val="21"/>
              </w:rPr>
            </w:pPr>
            <w:r>
              <w:rPr>
                <w:rFonts w:hint="eastAsia" w:ascii="宋体" w:hAnsi="宋体" w:cs="宋体"/>
                <w:kern w:val="0"/>
                <w:szCs w:val="21"/>
              </w:rPr>
              <w:t>6.以联合体形式申请资格预审的，应同时满足下列要求：</w:t>
            </w:r>
          </w:p>
          <w:p>
            <w:pPr>
              <w:spacing w:line="276" w:lineRule="auto"/>
              <w:rPr>
                <w:rFonts w:ascii="宋体" w:hAnsi="宋体" w:cs="宋体"/>
                <w:kern w:val="0"/>
                <w:szCs w:val="21"/>
              </w:rPr>
            </w:pPr>
            <w:r>
              <w:rPr>
                <w:rFonts w:hint="eastAsia" w:ascii="宋体" w:hAnsi="宋体" w:cs="宋体"/>
                <w:kern w:val="0"/>
                <w:szCs w:val="21"/>
              </w:rPr>
              <w:t>6</w:t>
            </w:r>
            <w:r>
              <w:rPr>
                <w:rFonts w:ascii="宋体" w:hAnsi="宋体" w:cs="宋体"/>
                <w:kern w:val="0"/>
                <w:szCs w:val="21"/>
              </w:rPr>
              <w:t>.1 以联合体参加的</w:t>
            </w:r>
            <w:r>
              <w:rPr>
                <w:rFonts w:hint="eastAsia" w:ascii="宋体" w:hAnsi="宋体" w:cs="宋体"/>
                <w:kern w:val="0"/>
                <w:szCs w:val="21"/>
              </w:rPr>
              <w:t>，应提交联合体协议并注明牵头人及各方拟承担的工作和责任，并承诺一旦成交联合体各方将向采购人承担连带责任；</w:t>
            </w:r>
          </w:p>
          <w:p>
            <w:pPr>
              <w:spacing w:line="276" w:lineRule="auto"/>
              <w:rPr>
                <w:rFonts w:ascii="宋体" w:hAnsi="宋体" w:cs="宋体"/>
                <w:kern w:val="0"/>
                <w:szCs w:val="21"/>
              </w:rPr>
            </w:pPr>
            <w:r>
              <w:rPr>
                <w:rFonts w:hint="eastAsia" w:ascii="宋体" w:hAnsi="宋体" w:cs="宋体"/>
                <w:kern w:val="0"/>
                <w:szCs w:val="21"/>
              </w:rPr>
              <w:t>6</w:t>
            </w:r>
            <w:r>
              <w:rPr>
                <w:rFonts w:ascii="宋体" w:hAnsi="宋体" w:cs="宋体"/>
                <w:kern w:val="0"/>
                <w:szCs w:val="21"/>
              </w:rPr>
              <w:t xml:space="preserve">.2 </w:t>
            </w:r>
            <w:r>
              <w:rPr>
                <w:rFonts w:hint="eastAsia" w:ascii="宋体" w:hAnsi="宋体" w:cs="宋体"/>
                <w:kern w:val="0"/>
                <w:szCs w:val="21"/>
              </w:rPr>
              <w:t>联合体中有同类资质的成员单位按照联合体分工承担相同工作的，应当按照资质等级较低成员单位确定资质等级（如有），业绩按照同类资质中的资质较低的单位确定，不累加计算（如有）；</w:t>
            </w:r>
          </w:p>
          <w:p>
            <w:pPr>
              <w:spacing w:line="276" w:lineRule="auto"/>
              <w:rPr>
                <w:rFonts w:ascii="宋体" w:hAnsi="宋体" w:cs="宋体"/>
                <w:kern w:val="0"/>
                <w:szCs w:val="21"/>
              </w:rPr>
            </w:pPr>
            <w:r>
              <w:rPr>
                <w:rFonts w:hint="eastAsia" w:ascii="宋体" w:hAnsi="宋体" w:cs="宋体"/>
                <w:kern w:val="0"/>
                <w:szCs w:val="21"/>
              </w:rPr>
              <w:t>6</w:t>
            </w:r>
            <w:r>
              <w:rPr>
                <w:rFonts w:ascii="宋体" w:hAnsi="宋体" w:cs="宋体"/>
                <w:kern w:val="0"/>
                <w:szCs w:val="21"/>
              </w:rPr>
              <w:t>.3</w:t>
            </w:r>
            <w:r>
              <w:rPr>
                <w:rFonts w:hint="eastAsia" w:ascii="宋体" w:hAnsi="宋体" w:cs="宋体"/>
                <w:kern w:val="0"/>
                <w:szCs w:val="21"/>
              </w:rPr>
              <w:t xml:space="preserve"> 以联合体形式参与的，联合体各方不得再单独参加或者与其他单位另外组成联合体参加本次政府采购活动；</w:t>
            </w:r>
          </w:p>
          <w:p>
            <w:pPr>
              <w:spacing w:line="276" w:lineRule="auto"/>
              <w:rPr>
                <w:rFonts w:ascii="宋体" w:hAnsi="宋体" w:cs="宋体"/>
                <w:kern w:val="0"/>
                <w:szCs w:val="21"/>
              </w:rPr>
            </w:pPr>
            <w:r>
              <w:rPr>
                <w:rFonts w:hint="eastAsia" w:ascii="宋体" w:hAnsi="宋体" w:cs="宋体"/>
                <w:kern w:val="0"/>
                <w:szCs w:val="21"/>
              </w:rPr>
              <w:t>6</w:t>
            </w:r>
            <w:r>
              <w:rPr>
                <w:rFonts w:ascii="宋体" w:hAnsi="宋体" w:cs="宋体"/>
                <w:kern w:val="0"/>
                <w:szCs w:val="21"/>
              </w:rPr>
              <w:t>.4</w:t>
            </w:r>
            <w:r>
              <w:rPr>
                <w:rFonts w:hint="eastAsia" w:ascii="宋体" w:hAnsi="宋体" w:cs="宋体"/>
                <w:kern w:val="0"/>
                <w:szCs w:val="21"/>
              </w:rPr>
              <w:t>牵头人法定代表人或其授权的委托代理人负责签署本次资格预审申请相关资料，其他联合体各方必须在联合体协议中对此予以认可；</w:t>
            </w:r>
          </w:p>
          <w:p>
            <w:pPr>
              <w:spacing w:line="276" w:lineRule="auto"/>
              <w:rPr>
                <w:rFonts w:ascii="宋体" w:hAnsi="宋体" w:cs="宋体"/>
                <w:kern w:val="0"/>
                <w:szCs w:val="21"/>
              </w:rPr>
            </w:pPr>
            <w:r>
              <w:rPr>
                <w:rFonts w:hint="eastAsia" w:ascii="宋体" w:hAnsi="宋体" w:cs="宋体"/>
                <w:kern w:val="0"/>
                <w:szCs w:val="21"/>
              </w:rPr>
              <w:t>6</w:t>
            </w:r>
            <w:r>
              <w:rPr>
                <w:rFonts w:ascii="宋体" w:hAnsi="宋体" w:cs="宋体"/>
                <w:kern w:val="0"/>
                <w:szCs w:val="21"/>
              </w:rPr>
              <w:t xml:space="preserve">.5 </w:t>
            </w:r>
            <w:r>
              <w:rPr>
                <w:rFonts w:hint="eastAsia" w:ascii="宋体" w:hAnsi="宋体" w:cs="宋体"/>
                <w:kern w:val="0"/>
                <w:szCs w:val="21"/>
              </w:rPr>
              <w:t>通过资格预审的联合体，不得再变更其组织形式及成员构成。联合体中选的，联合体成员各方均应当出资作为项目公司股东，共同承担连带责任。</w:t>
            </w:r>
          </w:p>
          <w:p>
            <w:pPr>
              <w:pStyle w:val="2"/>
              <w:spacing w:line="276" w:lineRule="auto"/>
              <w:ind w:firstLine="210"/>
            </w:pPr>
            <w:r>
              <w:rPr>
                <w:rFonts w:hint="eastAsia" w:ascii="宋体" w:hAnsi="宋体" w:cs="宋体"/>
                <w:kern w:val="0"/>
              </w:rPr>
              <w:t>备注: 营业执照、企业资质证书、安全生产许可证开标时无须提供原件,但申请人或联合体各成员开标时须携带加盖公章的复印件。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9"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1.4.4</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是否接受联合体投标</w:t>
            </w:r>
          </w:p>
        </w:tc>
        <w:tc>
          <w:tcPr>
            <w:tcW w:w="5244" w:type="dxa"/>
            <w:gridSpan w:val="2"/>
            <w:vAlign w:val="center"/>
          </w:tcPr>
          <w:p>
            <w:pPr>
              <w:spacing w:line="276" w:lineRule="auto"/>
              <w:rPr>
                <w:rFonts w:ascii="宋体" w:hAnsi="宋体" w:cs="宋体"/>
                <w:szCs w:val="21"/>
              </w:rPr>
            </w:pPr>
            <w:bookmarkStart w:id="37" w:name="_Hlk496954717"/>
            <w:r>
              <w:rPr>
                <w:rFonts w:hint="eastAsia" w:ascii="宋体" w:hAnsi="宋体" w:cs="宋体"/>
                <w:szCs w:val="21"/>
              </w:rPr>
              <w:t>1.</w:t>
            </w:r>
            <w:r>
              <w:rPr>
                <w:rFonts w:ascii="宋体" w:hAnsi="宋体" w:cs="宋体"/>
                <w:szCs w:val="21"/>
              </w:rPr>
              <w:t>本次资格预审</w:t>
            </w:r>
            <w:r>
              <w:rPr>
                <w:rFonts w:hint="eastAsia" w:ascii="宋体" w:hAnsi="宋体" w:cs="宋体"/>
                <w:szCs w:val="21"/>
                <w:u w:val="single"/>
              </w:rPr>
              <w:t xml:space="preserve"> 接受 </w:t>
            </w:r>
            <w:r>
              <w:rPr>
                <w:rFonts w:hint="eastAsia" w:ascii="宋体" w:hAnsi="宋体" w:cs="宋体"/>
                <w:szCs w:val="21"/>
              </w:rPr>
              <w:t>联合体提出资格预审申请，联合体成员不得超过三家；</w:t>
            </w:r>
          </w:p>
          <w:p>
            <w:pPr>
              <w:spacing w:line="276" w:lineRule="auto"/>
              <w:rPr>
                <w:rFonts w:ascii="宋体" w:hAnsi="宋体" w:cs="宋体"/>
                <w:szCs w:val="21"/>
              </w:rPr>
            </w:pPr>
            <w:r>
              <w:rPr>
                <w:rFonts w:ascii="宋体" w:hAnsi="宋体" w:cs="宋体"/>
                <w:szCs w:val="21"/>
              </w:rPr>
              <w:t>2</w:t>
            </w:r>
            <w:r>
              <w:rPr>
                <w:rFonts w:hint="eastAsia" w:ascii="宋体" w:hAnsi="宋体" w:cs="宋体"/>
                <w:szCs w:val="21"/>
              </w:rPr>
              <w:t>.以联合体形式申请资格预审的，应满足下列要求：</w:t>
            </w:r>
          </w:p>
          <w:p>
            <w:pPr>
              <w:spacing w:line="276" w:lineRule="auto"/>
              <w:rPr>
                <w:rFonts w:ascii="宋体" w:hAnsi="宋体" w:cs="宋体"/>
                <w:szCs w:val="21"/>
              </w:rPr>
            </w:pPr>
            <w:r>
              <w:rPr>
                <w:rFonts w:hint="eastAsia" w:ascii="宋体" w:hAnsi="宋体" w:cs="宋体"/>
                <w:szCs w:val="21"/>
              </w:rPr>
              <w:t>（1）</w:t>
            </w:r>
            <w:r>
              <w:rPr>
                <w:rFonts w:ascii="宋体" w:hAnsi="宋体" w:cs="宋体"/>
                <w:szCs w:val="21"/>
              </w:rPr>
              <w:t>以联合体参加的</w:t>
            </w:r>
            <w:r>
              <w:rPr>
                <w:rFonts w:hint="eastAsia" w:ascii="宋体" w:hAnsi="宋体" w:cs="宋体"/>
                <w:szCs w:val="21"/>
              </w:rPr>
              <w:t>，应提交联合体协议并注明牵头人及各方拟承担的工作和责任，并承诺一旦成交联合体各方将向采购人承担连带责任；</w:t>
            </w:r>
          </w:p>
          <w:p>
            <w:pPr>
              <w:spacing w:line="276" w:lineRule="auto"/>
              <w:rPr>
                <w:rFonts w:ascii="宋体" w:hAnsi="宋体" w:cs="宋体"/>
                <w:szCs w:val="21"/>
              </w:rPr>
            </w:pPr>
            <w:r>
              <w:rPr>
                <w:rFonts w:hint="eastAsia" w:ascii="宋体" w:hAnsi="宋体" w:cs="宋体"/>
                <w:szCs w:val="21"/>
              </w:rPr>
              <w:t>（2）联合体中有同类资质的成员单位按照联合体分工承担相同工作的，应当按照资质等级较低成员单位确定资质等级（如有），业绩按照同类资质中的资质较低的单位确定，不累加计算（如有）；</w:t>
            </w:r>
          </w:p>
          <w:p>
            <w:pPr>
              <w:spacing w:line="276" w:lineRule="auto"/>
              <w:rPr>
                <w:rFonts w:ascii="宋体" w:hAnsi="宋体" w:cs="宋体"/>
                <w:szCs w:val="21"/>
              </w:rPr>
            </w:pPr>
            <w:r>
              <w:rPr>
                <w:rFonts w:hint="eastAsia" w:ascii="宋体" w:hAnsi="宋体" w:cs="宋体"/>
                <w:szCs w:val="21"/>
              </w:rPr>
              <w:t>（3）以联合体形式参与的，联合体各方不得再单独参加或者与其他单位另外组成联合体参加本次政府采购活动；</w:t>
            </w:r>
          </w:p>
          <w:p>
            <w:pPr>
              <w:spacing w:line="276" w:lineRule="auto"/>
              <w:rPr>
                <w:rFonts w:ascii="宋体" w:hAnsi="宋体" w:cs="宋体"/>
                <w:szCs w:val="21"/>
              </w:rPr>
            </w:pPr>
            <w:r>
              <w:rPr>
                <w:rFonts w:hint="eastAsia" w:ascii="宋体" w:hAnsi="宋体" w:cs="宋体"/>
                <w:szCs w:val="21"/>
              </w:rPr>
              <w:t>（4）牵头人法定代表人或其授权的委托代理人负责签署本次资格预审申请相关资料，其他联合体各方必须在联合体协议中对此予以认可；</w:t>
            </w:r>
          </w:p>
          <w:p>
            <w:pPr>
              <w:spacing w:line="276" w:lineRule="auto"/>
              <w:rPr>
                <w:rFonts w:ascii="宋体" w:hAnsi="宋体" w:cs="宋体"/>
                <w:szCs w:val="21"/>
              </w:rPr>
            </w:pPr>
            <w:r>
              <w:rPr>
                <w:rFonts w:hint="eastAsia" w:ascii="宋体" w:hAnsi="宋体" w:cs="宋体"/>
              </w:rPr>
              <w:t>（5）本项目投标人须是通过本项目资格预审的独立申请人或联合体，通过资格预审的联合体，不得再变更其组织形式及成员构成。联合体中选的，联合体成员各方均应当出资作为项目公司股东，共同承担连带责任。</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1.4.5</w:t>
            </w:r>
          </w:p>
        </w:tc>
        <w:tc>
          <w:tcPr>
            <w:tcW w:w="2361" w:type="dxa"/>
            <w:vAlign w:val="center"/>
          </w:tcPr>
          <w:p>
            <w:pPr>
              <w:spacing w:line="360" w:lineRule="auto"/>
              <w:ind w:left="105" w:leftChars="50"/>
              <w:rPr>
                <w:rFonts w:ascii="宋体" w:hAnsi="宋体" w:cs="宋体"/>
                <w:szCs w:val="21"/>
              </w:rPr>
            </w:pPr>
            <w:r>
              <w:rPr>
                <w:rFonts w:hint="eastAsia" w:ascii="宋体" w:hAnsi="宋体" w:cs="宋体"/>
                <w:szCs w:val="21"/>
              </w:rPr>
              <w:t>是否允许未参加资格预审的投标人参与竞争并进行资格后审</w:t>
            </w:r>
          </w:p>
        </w:tc>
        <w:tc>
          <w:tcPr>
            <w:tcW w:w="5244" w:type="dxa"/>
            <w:gridSpan w:val="2"/>
            <w:vAlign w:val="center"/>
          </w:tcPr>
          <w:p>
            <w:pPr>
              <w:spacing w:line="276" w:lineRule="auto"/>
              <w:ind w:left="105" w:leftChars="50"/>
              <w:rPr>
                <w:rFonts w:ascii="宋体" w:hAnsi="宋体" w:cs="宋体"/>
                <w:szCs w:val="21"/>
              </w:rPr>
            </w:pPr>
            <w:r>
              <w:rPr>
                <w:rFonts w:hint="eastAsia" w:ascii="宋体" w:hAnsi="宋体" w:cs="宋体"/>
                <w:szCs w:val="21"/>
              </w:rPr>
              <w:t>□否</w:t>
            </w:r>
          </w:p>
          <w:p>
            <w:pPr>
              <w:spacing w:line="276" w:lineRule="auto"/>
              <w:ind w:left="105" w:leftChars="50"/>
              <w:rPr>
                <w:rFonts w:ascii="宋体" w:hAnsi="宋体" w:cs="宋体"/>
                <w:szCs w:val="21"/>
              </w:rPr>
            </w:pPr>
            <w:r>
              <w:rPr>
                <w:rFonts w:hint="eastAsia" w:ascii="MS Mincho" w:hAnsi="MS Mincho" w:eastAsia="MS Mincho" w:cs="MS Mincho"/>
                <w:szCs w:val="21"/>
              </w:rPr>
              <w:t>☑</w:t>
            </w:r>
            <w:r>
              <w:rPr>
                <w:rFonts w:hint="eastAsia" w:ascii="宋体" w:hAnsi="宋体" w:cs="宋体"/>
                <w:szCs w:val="21"/>
              </w:rPr>
              <w:t>是，按资格预审要求进行资格后审。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Merge w:val="restart"/>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1.5</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项目概况</w:t>
            </w:r>
          </w:p>
        </w:tc>
        <w:tc>
          <w:tcPr>
            <w:tcW w:w="5244" w:type="dxa"/>
            <w:gridSpan w:val="2"/>
            <w:vAlign w:val="center"/>
          </w:tcPr>
          <w:p>
            <w:pPr>
              <w:adjustRightInd w:val="0"/>
              <w:spacing w:line="276" w:lineRule="auto"/>
              <w:ind w:left="105" w:leftChars="50"/>
              <w:textAlignment w:val="baseline"/>
              <w:rPr>
                <w:rFonts w:ascii="宋体" w:hAnsi="宋体" w:cs="宋体"/>
                <w:szCs w:val="21"/>
              </w:rPr>
            </w:pPr>
            <w:r>
              <w:rPr>
                <w:rFonts w:hint="eastAsia" w:ascii="宋体" w:hAnsi="宋体" w:cs="宋体"/>
                <w:szCs w:val="21"/>
              </w:rPr>
              <w:t>根据《河南禹州绿色铸造示范产业园总体发展规划》（2016-2025）和《禹州市陶瓷专业园总体发展规划》（2016-2025）的相关产业发展规划，未来将有多家企业陆续进驻工业园区，预计2025年产生工业废水及生活污水约1.5万吨，环保要求园区内工业废水和生活污水不经处理不能直接排放。因此，禹州市住房和城乡规划建设局特发起本项目，将园区内工业废水和生活污水引入新建的禹州市绿色铸造园区与陶瓷园区污水处理厂，经达标处理后排放。</w:t>
            </w:r>
          </w:p>
          <w:p>
            <w:pPr>
              <w:adjustRightInd w:val="0"/>
              <w:spacing w:line="276" w:lineRule="auto"/>
              <w:ind w:left="105" w:leftChars="50"/>
              <w:textAlignment w:val="baseline"/>
              <w:rPr>
                <w:rFonts w:ascii="宋体" w:hAnsi="宋体" w:cs="宋体"/>
                <w:szCs w:val="21"/>
              </w:rPr>
            </w:pPr>
            <w:r>
              <w:rPr>
                <w:rFonts w:hint="eastAsia" w:ascii="宋体" w:hAnsi="宋体" w:cs="宋体"/>
                <w:szCs w:val="21"/>
              </w:rPr>
              <w:t>根据项目可行性研究报告，本项目静态投资估算为6464.44万元万元(不含土地费用)，规划占地</w:t>
            </w:r>
            <w:r>
              <w:rPr>
                <w:rFonts w:ascii="宋体" w:hAnsi="宋体" w:cs="宋体"/>
                <w:szCs w:val="21"/>
              </w:rPr>
              <w:t>约55.07亩（最终以政府批复文件为准）</w:t>
            </w:r>
            <w:r>
              <w:rPr>
                <w:rFonts w:hint="eastAsia" w:ascii="宋体" w:hAnsi="宋体" w:cs="宋体"/>
                <w:szCs w:val="21"/>
              </w:rPr>
              <w:t>。主要建设内容包括</w:t>
            </w:r>
            <w:r>
              <w:rPr>
                <w:rFonts w:ascii="宋体" w:hAnsi="宋体" w:cs="宋体"/>
                <w:szCs w:val="21"/>
              </w:rPr>
              <w:t>粗格栅及进水泵房、细格栅及旋流沉砂池、水解酸化池、生物池2座、污泥泵站、二沉池2座、中间提升泵房、反应沉淀池、纤维转盘滤池、贮泥池、紫外线消毒渠及巴氏计量槽、加药间及碳源投加间、污泥浓缩脱水机房、中心配电室及鼓风机房、综合办公楼、维修间及仓库、车棚以及厂区工艺、厂区相关设备和其他配套设施</w:t>
            </w:r>
            <w:r>
              <w:rPr>
                <w:rFonts w:hint="eastAsia" w:ascii="宋体" w:hAnsi="宋体" w:cs="宋体"/>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Merge w:val="continue"/>
            <w:vAlign w:val="center"/>
          </w:tcPr>
          <w:p>
            <w:pPr>
              <w:adjustRightInd w:val="0"/>
              <w:spacing w:line="360" w:lineRule="auto"/>
              <w:ind w:left="105" w:leftChars="50"/>
              <w:jc w:val="center"/>
              <w:textAlignment w:val="baseline"/>
              <w:rPr>
                <w:rFonts w:ascii="宋体" w:hAnsi="宋体" w:cs="宋体"/>
                <w:szCs w:val="21"/>
              </w:rPr>
            </w:pP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项目进展</w:t>
            </w:r>
          </w:p>
        </w:tc>
        <w:tc>
          <w:tcPr>
            <w:tcW w:w="5244" w:type="dxa"/>
            <w:gridSpan w:val="2"/>
            <w:vAlign w:val="center"/>
          </w:tcPr>
          <w:p>
            <w:pPr>
              <w:adjustRightInd w:val="0"/>
              <w:spacing w:line="276" w:lineRule="auto"/>
              <w:ind w:left="105" w:leftChars="50"/>
              <w:textAlignment w:val="baseline"/>
              <w:rPr>
                <w:rFonts w:ascii="宋体" w:hAnsi="宋体" w:cs="宋体"/>
                <w:szCs w:val="21"/>
              </w:rPr>
            </w:pPr>
            <w:r>
              <w:rPr>
                <w:rFonts w:hint="eastAsia" w:ascii="宋体" w:hAnsi="宋体" w:cs="宋体"/>
                <w:szCs w:val="21"/>
              </w:rPr>
              <w:t>本项目已成功通过河南省财政厅2018年9月份PPP项目储备清单入库评审，申请入PPP项目管理库资料已经提交，正在等待河南省财政厅审批。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1.6</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采购需求</w:t>
            </w:r>
          </w:p>
        </w:tc>
        <w:tc>
          <w:tcPr>
            <w:tcW w:w="5244" w:type="dxa"/>
            <w:gridSpan w:val="2"/>
            <w:vAlign w:val="center"/>
          </w:tcPr>
          <w:p>
            <w:pPr>
              <w:pStyle w:val="2"/>
              <w:spacing w:line="276" w:lineRule="auto"/>
              <w:ind w:firstLine="210"/>
            </w:pPr>
            <w:r>
              <w:rPr>
                <w:rFonts w:hint="eastAsia"/>
              </w:rPr>
              <w:t>1.项目合作期限</w:t>
            </w:r>
          </w:p>
          <w:p>
            <w:pPr>
              <w:pStyle w:val="2"/>
              <w:spacing w:line="276" w:lineRule="auto"/>
              <w:ind w:firstLine="210"/>
            </w:pPr>
            <w:r>
              <w:rPr>
                <w:rFonts w:hint="eastAsia"/>
              </w:rPr>
              <w:t>本项目合作期限为30年，其中暂定建设期（含设计、试运行期）2年，项目全部竣工验收合格后进入运营期，运营期28年。</w:t>
            </w:r>
          </w:p>
          <w:p>
            <w:pPr>
              <w:pStyle w:val="2"/>
              <w:spacing w:line="276" w:lineRule="auto"/>
              <w:ind w:firstLine="210"/>
            </w:pPr>
            <w:r>
              <w:rPr>
                <w:rFonts w:hint="eastAsia"/>
              </w:rPr>
              <w:t>2.项目选址</w:t>
            </w:r>
          </w:p>
          <w:p>
            <w:pPr>
              <w:pStyle w:val="2"/>
              <w:spacing w:line="276" w:lineRule="auto"/>
              <w:ind w:firstLine="210"/>
            </w:pPr>
            <w:r>
              <w:rPr>
                <w:rFonts w:hint="eastAsia"/>
              </w:rPr>
              <w:t>本项目选址位于</w:t>
            </w:r>
            <w:r>
              <w:t>禹州市火龙镇火山赵村（陶瓷园内）十四号路以东，冠盛陶瓷厂区以北，白沙干渠以西，禹州市绿色铸造园区与陶瓷园区东北角</w:t>
            </w:r>
            <w:r>
              <w:rPr>
                <w:rFonts w:hint="eastAsia"/>
              </w:rPr>
              <w:t>。</w:t>
            </w:r>
          </w:p>
          <w:p>
            <w:pPr>
              <w:pStyle w:val="2"/>
              <w:spacing w:line="276" w:lineRule="auto"/>
              <w:ind w:firstLine="210"/>
            </w:pPr>
            <w:r>
              <w:rPr>
                <w:rFonts w:hint="eastAsia"/>
              </w:rPr>
              <w:t>3.项目建设内容</w:t>
            </w:r>
          </w:p>
          <w:p>
            <w:pPr>
              <w:pStyle w:val="2"/>
              <w:spacing w:line="276" w:lineRule="auto"/>
              <w:ind w:firstLine="210"/>
            </w:pPr>
            <w:r>
              <w:rPr>
                <w:rFonts w:hint="eastAsia"/>
              </w:rPr>
              <w:t>本项目规划占地</w:t>
            </w:r>
            <w:r>
              <w:t>55.07亩（最终以政府批复文件为准）</w:t>
            </w:r>
            <w:r>
              <w:rPr>
                <w:rFonts w:hint="eastAsia"/>
              </w:rPr>
              <w:t>。主要建设内容包括</w:t>
            </w:r>
            <w:r>
              <w:t>粗格栅及进水泵房、细格栅及旋流沉砂池、水解酸化池、生物池2座、污泥泵站、二沉池2座、中间提升泵房、反应沉淀池、纤维转盘滤池、贮泥池、紫外线消毒渠及巴氏计量槽、加药间及碳源投加间、污泥浓缩脱水机房、中心配电室及鼓风机房、综合办公楼、维修间及仓库、车棚以及厂区工艺、厂区相关设备和其他配套设施</w:t>
            </w:r>
            <w:r>
              <w:rPr>
                <w:rFonts w:hint="eastAsia"/>
              </w:rPr>
              <w:t>等。</w:t>
            </w:r>
          </w:p>
          <w:p>
            <w:pPr>
              <w:pStyle w:val="2"/>
              <w:spacing w:line="276" w:lineRule="auto"/>
              <w:ind w:firstLine="210"/>
            </w:pPr>
            <w:r>
              <w:rPr>
                <w:rFonts w:hint="eastAsia"/>
              </w:rPr>
              <w:t>4.项目投资估算</w:t>
            </w:r>
          </w:p>
          <w:p>
            <w:pPr>
              <w:pStyle w:val="2"/>
              <w:spacing w:line="276" w:lineRule="auto"/>
              <w:ind w:firstLine="210"/>
              <w:rPr>
                <w:bCs/>
              </w:rPr>
            </w:pPr>
            <w:r>
              <w:rPr>
                <w:bCs/>
              </w:rPr>
              <w:t>本项目静态总投资6464.44万元，其中</w:t>
            </w:r>
            <w:r>
              <w:rPr>
                <w:rFonts w:hint="eastAsia"/>
                <w:bCs/>
              </w:rPr>
              <w:t>第一部分费用 5095.85万元，其他费用 780.91 万元(不含土地费用)，工程预备费 587.68 万元。</w:t>
            </w:r>
          </w:p>
          <w:p>
            <w:pPr>
              <w:pStyle w:val="2"/>
              <w:spacing w:line="276" w:lineRule="auto"/>
              <w:ind w:firstLine="210"/>
            </w:pPr>
            <w:r>
              <w:rPr>
                <w:rFonts w:hint="eastAsia"/>
              </w:rPr>
              <w:t>项目建设资金来源包括项目资本金和项目融资：项目资本金为项目总投资的20%，融资比例为项目总投资的80%。</w:t>
            </w:r>
          </w:p>
          <w:p>
            <w:pPr>
              <w:pStyle w:val="2"/>
              <w:spacing w:line="276" w:lineRule="auto"/>
              <w:ind w:firstLine="210"/>
            </w:pPr>
            <w:r>
              <w:rPr>
                <w:rFonts w:hint="eastAsia"/>
              </w:rPr>
              <w:t>5.项目运作模式</w:t>
            </w:r>
          </w:p>
          <w:p>
            <w:pPr>
              <w:pStyle w:val="2"/>
              <w:spacing w:line="276" w:lineRule="auto"/>
              <w:ind w:firstLine="210"/>
            </w:pPr>
            <w:r>
              <w:rPr>
                <w:rFonts w:hint="eastAsia"/>
              </w:rPr>
              <w:t>本项目属于新建项目，</w:t>
            </w:r>
            <w:r>
              <w:t>为保障本项目顺利实施，综合考虑本项目特点、建设规模、回报机制、项目投资收益水平、风险分配基本框架以及融资需求等因素，本项目拟采取建设-运营-移交（BOT）的运作方式。合作期限内，由项目公司负责本项目的设计、投融资、建设和运营工作，并获得污水处理服务费。合作期满后，项目公司将项目设施按照移交标准无偿移交给项目实施机构或政府指定的其他机构</w:t>
            </w:r>
            <w:r>
              <w:rPr>
                <w:rFonts w:hint="eastAsia"/>
              </w:rPr>
              <w:t>。</w:t>
            </w:r>
          </w:p>
          <w:p>
            <w:pPr>
              <w:pStyle w:val="2"/>
              <w:spacing w:line="276" w:lineRule="auto"/>
              <w:ind w:firstLine="210"/>
            </w:pPr>
            <w:r>
              <w:rPr>
                <w:rFonts w:hint="eastAsia"/>
              </w:rPr>
              <w:t>6.股权结构</w:t>
            </w:r>
          </w:p>
          <w:p>
            <w:pPr>
              <w:pStyle w:val="2"/>
              <w:spacing w:line="276" w:lineRule="auto"/>
              <w:ind w:firstLine="210"/>
            </w:pPr>
            <w:r>
              <w:t>本项目拟由中标社会资本单独出资成立项目公司，社会资本持有项目公司100%股权（若为联合体中标，则联合体各成员均需在项目公司中占股）</w:t>
            </w:r>
          </w:p>
          <w:p>
            <w:pPr>
              <w:pStyle w:val="2"/>
              <w:spacing w:line="276" w:lineRule="auto"/>
              <w:ind w:firstLine="210"/>
            </w:pPr>
            <w:r>
              <w:rPr>
                <w:rFonts w:hint="eastAsia"/>
              </w:rPr>
              <w:t>7.回报机制</w:t>
            </w:r>
          </w:p>
          <w:p>
            <w:pPr>
              <w:pStyle w:val="2"/>
              <w:spacing w:line="276" w:lineRule="auto"/>
              <w:ind w:firstLine="210"/>
              <w:rPr>
                <w:bCs/>
              </w:rPr>
            </w:pPr>
            <w:r>
              <w:rPr>
                <w:bCs/>
              </w:rPr>
              <w:t>项目回报机制</w:t>
            </w:r>
            <w:r>
              <w:rPr>
                <w:rFonts w:hint="eastAsia"/>
                <w:bCs/>
              </w:rPr>
              <w:t>为可行性缺口补助</w:t>
            </w:r>
            <w:r>
              <w:rPr>
                <w:bCs/>
              </w:rPr>
              <w:t>。即在本项目竣工验收合格后，由乙方为</w:t>
            </w:r>
            <w:r>
              <w:rPr>
                <w:rFonts w:hint="eastAsia"/>
                <w:bCs/>
              </w:rPr>
              <w:t>禹州市绿色铸造园区和陶瓷园区</w:t>
            </w:r>
            <w:r>
              <w:rPr>
                <w:bCs/>
              </w:rPr>
              <w:t>提供</w:t>
            </w:r>
            <w:r>
              <w:rPr>
                <w:rFonts w:hint="eastAsia"/>
                <w:bCs/>
              </w:rPr>
              <w:t>污水处理</w:t>
            </w:r>
            <w:r>
              <w:rPr>
                <w:bCs/>
              </w:rPr>
              <w:t>服务。运营期内，</w:t>
            </w:r>
            <w:r>
              <w:rPr>
                <w:rFonts w:hint="eastAsia"/>
                <w:bCs/>
              </w:rPr>
              <w:t>乙方根据达标污水处理情况及绩效考核结果获得污水处理服务费。项目公司获得的污水处理服务费主要由两部分构成：一是从污水排放企业获得污水处理费，二是由政府对污水处理费与项目公司应获得污水处理服务费之间的差额部分进行补贴，</w:t>
            </w:r>
            <w:r>
              <w:rPr>
                <w:bCs/>
              </w:rPr>
              <w:t>以使项目公司收回投资并获得合理回报。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1.9.1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现场考察及答疑会</w:t>
            </w:r>
          </w:p>
        </w:tc>
        <w:tc>
          <w:tcPr>
            <w:tcW w:w="5244" w:type="dxa"/>
            <w:gridSpan w:val="2"/>
            <w:vAlign w:val="center"/>
          </w:tcPr>
          <w:p>
            <w:pPr>
              <w:spacing w:line="276" w:lineRule="auto"/>
              <w:ind w:left="105" w:leftChars="50"/>
              <w:rPr>
                <w:rFonts w:ascii="宋体" w:hAnsi="宋体" w:cs="宋体"/>
                <w:szCs w:val="21"/>
              </w:rPr>
            </w:pPr>
            <w:r>
              <w:rPr>
                <w:rFonts w:hint="eastAsia" w:ascii="宋体" w:hAnsi="宋体" w:cs="宋体"/>
                <w:kern w:val="0"/>
                <w:szCs w:val="21"/>
              </w:rPr>
              <w:sym w:font="Wingdings" w:char="F0FE"/>
            </w:r>
            <w:r>
              <w:rPr>
                <w:rFonts w:hint="eastAsia" w:ascii="宋体" w:hAnsi="宋体" w:cs="宋体"/>
                <w:szCs w:val="21"/>
              </w:rPr>
              <w:t>不组织</w:t>
            </w:r>
          </w:p>
          <w:p>
            <w:pPr>
              <w:spacing w:line="276" w:lineRule="auto"/>
              <w:ind w:left="105" w:leftChars="50"/>
              <w:rPr>
                <w:rFonts w:ascii="宋体" w:hAnsi="宋体" w:cs="宋体"/>
                <w:szCs w:val="21"/>
              </w:rPr>
            </w:pPr>
            <w:r>
              <w:rPr>
                <w:rFonts w:hint="eastAsia" w:ascii="宋体" w:hAnsi="宋体" w:cs="宋体"/>
                <w:kern w:val="0"/>
                <w:szCs w:val="21"/>
              </w:rPr>
              <w:sym w:font="Wingdings" w:char="F0FE"/>
            </w:r>
            <w:r>
              <w:rPr>
                <w:rFonts w:hint="eastAsia" w:ascii="宋体" w:hAnsi="宋体" w:cs="宋体"/>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2.2.1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投标截止时间</w:t>
            </w:r>
          </w:p>
        </w:tc>
        <w:tc>
          <w:tcPr>
            <w:tcW w:w="5244" w:type="dxa"/>
            <w:gridSpan w:val="2"/>
            <w:vAlign w:val="center"/>
          </w:tcPr>
          <w:p>
            <w:pPr>
              <w:adjustRightInd w:val="0"/>
              <w:spacing w:line="276" w:lineRule="auto"/>
              <w:ind w:left="105" w:leftChars="50"/>
              <w:textAlignment w:val="baseline"/>
              <w:rPr>
                <w:rFonts w:ascii="宋体" w:hAnsi="宋体" w:cs="宋体"/>
                <w:color w:val="FF0000"/>
                <w:szCs w:val="21"/>
              </w:rPr>
            </w:pPr>
            <w:r>
              <w:rPr>
                <w:rFonts w:hint="eastAsia" w:ascii="宋体" w:hAnsi="宋体" w:cs="宋体"/>
                <w:sz w:val="24"/>
                <w:szCs w:val="24"/>
              </w:rPr>
              <w:t>2019年</w:t>
            </w:r>
            <w:r>
              <w:rPr>
                <w:rFonts w:hint="eastAsia" w:ascii="宋体" w:hAnsi="宋体" w:cs="宋体"/>
                <w:sz w:val="24"/>
                <w:szCs w:val="24"/>
                <w:lang w:val="en-US" w:eastAsia="zh-CN"/>
              </w:rPr>
              <w:t>2</w:t>
            </w:r>
            <w:r>
              <w:rPr>
                <w:rFonts w:hint="eastAsia" w:ascii="宋体" w:hAnsi="宋体" w:cs="宋体"/>
                <w:sz w:val="24"/>
                <w:szCs w:val="24"/>
              </w:rPr>
              <w:t>月</w:t>
            </w:r>
            <w:r>
              <w:rPr>
                <w:rFonts w:hint="eastAsia" w:ascii="宋体" w:hAnsi="宋体" w:cs="宋体"/>
                <w:sz w:val="24"/>
                <w:szCs w:val="24"/>
                <w:lang w:val="en-US" w:eastAsia="zh-CN"/>
              </w:rPr>
              <w:t>25</w:t>
            </w:r>
            <w:r>
              <w:rPr>
                <w:rFonts w:hint="eastAsia" w:ascii="宋体" w:hAnsi="宋体" w:cs="宋体"/>
                <w:sz w:val="24"/>
                <w:szCs w:val="24"/>
              </w:rPr>
              <w:t xml:space="preserve"> 日</w:t>
            </w:r>
            <w:r>
              <w:rPr>
                <w:rFonts w:hint="eastAsia" w:ascii="宋体" w:hAnsi="宋体" w:cs="宋体"/>
                <w:sz w:val="24"/>
                <w:szCs w:val="24"/>
                <w:lang w:val="en-US" w:eastAsia="zh-CN"/>
              </w:rPr>
              <w:t>10</w:t>
            </w:r>
            <w:r>
              <w:rPr>
                <w:rFonts w:hint="eastAsia" w:ascii="宋体" w:hAnsi="宋体" w:cs="宋体"/>
                <w:sz w:val="24"/>
                <w:szCs w:val="24"/>
              </w:rPr>
              <w:t>时00分</w:t>
            </w:r>
            <w:r>
              <w:rPr>
                <w:rFonts w:hint="eastAsia" w:ascii="宋体" w:hAnsi="宋体" w:cs="宋体"/>
                <w:color w:val="000000" w:themeColor="text1"/>
                <w:szCs w:val="21"/>
                <w14:textFill>
                  <w14:solidFill>
                    <w14:schemeClr w14:val="tx1"/>
                  </w14:solidFill>
                </w14:textFill>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2.2.2</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投标人提出异议的截止时间</w:t>
            </w:r>
          </w:p>
        </w:tc>
        <w:tc>
          <w:tcPr>
            <w:tcW w:w="5244" w:type="dxa"/>
            <w:gridSpan w:val="2"/>
            <w:vAlign w:val="center"/>
          </w:tcPr>
          <w:p>
            <w:pPr>
              <w:adjustRightInd w:val="0"/>
              <w:spacing w:line="276" w:lineRule="auto"/>
              <w:ind w:left="105" w:leftChars="50"/>
              <w:textAlignment w:val="baseline"/>
              <w:rPr>
                <w:rFonts w:ascii="宋体" w:hAnsi="宋体" w:cs="宋体"/>
                <w:szCs w:val="21"/>
              </w:rPr>
            </w:pPr>
            <w:r>
              <w:rPr>
                <w:rFonts w:hint="eastAsia" w:ascii="宋体" w:hAnsi="宋体" w:cs="宋体"/>
                <w:szCs w:val="21"/>
              </w:rPr>
              <w:t>递交投标文件截止之日前10日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3.3.2</w:t>
            </w:r>
          </w:p>
        </w:tc>
        <w:tc>
          <w:tcPr>
            <w:tcW w:w="2361" w:type="dxa"/>
            <w:vAlign w:val="center"/>
          </w:tcPr>
          <w:p>
            <w:pPr>
              <w:spacing w:line="360" w:lineRule="auto"/>
              <w:ind w:left="105" w:leftChars="50"/>
              <w:rPr>
                <w:rFonts w:ascii="宋体" w:hAnsi="宋体" w:cs="宋体"/>
                <w:szCs w:val="21"/>
              </w:rPr>
            </w:pPr>
            <w:r>
              <w:rPr>
                <w:rFonts w:ascii="宋体" w:hAnsi="宋体" w:cs="宋体"/>
                <w:szCs w:val="21"/>
              </w:rPr>
              <w:t>报价方式及</w:t>
            </w:r>
            <w:r>
              <w:rPr>
                <w:rFonts w:hint="eastAsia" w:ascii="宋体" w:hAnsi="宋体" w:cs="宋体"/>
                <w:szCs w:val="21"/>
              </w:rPr>
              <w:t>招标</w:t>
            </w:r>
            <w:r>
              <w:rPr>
                <w:rFonts w:ascii="宋体" w:hAnsi="宋体" w:cs="宋体"/>
                <w:szCs w:val="21"/>
              </w:rPr>
              <w:t>控制价</w:t>
            </w:r>
          </w:p>
        </w:tc>
        <w:tc>
          <w:tcPr>
            <w:tcW w:w="5244" w:type="dxa"/>
            <w:gridSpan w:val="2"/>
            <w:vAlign w:val="center"/>
          </w:tcPr>
          <w:p>
            <w:pPr>
              <w:spacing w:line="360" w:lineRule="auto"/>
              <w:ind w:left="105" w:leftChars="50"/>
              <w:rPr>
                <w:rFonts w:ascii="宋体" w:hAnsi="宋体" w:cs="宋体"/>
                <w:b/>
                <w:bCs/>
                <w:szCs w:val="21"/>
              </w:rPr>
            </w:pPr>
            <w:r>
              <w:rPr>
                <w:rFonts w:ascii="宋体" w:hAnsi="宋体" w:cs="宋体"/>
                <w:b/>
                <w:bCs/>
                <w:szCs w:val="21"/>
              </w:rPr>
              <w:t>报价方式</w:t>
            </w:r>
            <w:r>
              <w:rPr>
                <w:rFonts w:hint="eastAsia" w:ascii="宋体" w:hAnsi="宋体" w:cs="宋体"/>
                <w:b/>
                <w:bCs/>
                <w:szCs w:val="21"/>
              </w:rPr>
              <w:t>：</w:t>
            </w:r>
            <w:r>
              <w:rPr>
                <w:rFonts w:ascii="宋体" w:hAnsi="宋体" w:cs="宋体"/>
                <w:b/>
                <w:bCs/>
                <w:szCs w:val="21"/>
              </w:rPr>
              <w:t>本项目</w:t>
            </w:r>
            <w:r>
              <w:rPr>
                <w:rFonts w:hint="eastAsia" w:ascii="宋体" w:hAnsi="宋体" w:cs="宋体"/>
                <w:b/>
                <w:bCs/>
                <w:szCs w:val="21"/>
              </w:rPr>
              <w:t>投标人</w:t>
            </w:r>
            <w:r>
              <w:rPr>
                <w:rFonts w:ascii="宋体" w:hAnsi="宋体" w:cs="宋体"/>
                <w:b/>
                <w:bCs/>
                <w:szCs w:val="21"/>
              </w:rPr>
              <w:t>以</w:t>
            </w:r>
            <w:r>
              <w:rPr>
                <w:rFonts w:hint="eastAsia" w:ascii="宋体" w:hAnsi="宋体" w:cs="宋体"/>
                <w:b/>
                <w:bCs/>
                <w:szCs w:val="21"/>
              </w:rPr>
              <w:t>每立方米污水处理服务费单价进行保报价；</w:t>
            </w:r>
          </w:p>
          <w:p>
            <w:pPr>
              <w:spacing w:line="360" w:lineRule="auto"/>
              <w:ind w:left="105" w:leftChars="50"/>
              <w:rPr>
                <w:rFonts w:ascii="宋体" w:hAnsi="宋体" w:cs="宋体"/>
                <w:b/>
                <w:bCs/>
                <w:szCs w:val="21"/>
              </w:rPr>
            </w:pPr>
            <w:r>
              <w:rPr>
                <w:rFonts w:hint="eastAsia" w:ascii="宋体" w:hAnsi="宋体" w:cs="宋体"/>
                <w:b/>
                <w:bCs/>
                <w:szCs w:val="21"/>
              </w:rPr>
              <w:t>每立方米污水处理服务费单价招标控制价</w:t>
            </w:r>
            <w:r>
              <w:rPr>
                <w:rFonts w:ascii="宋体" w:hAnsi="宋体" w:cs="宋体"/>
                <w:b/>
                <w:bCs/>
                <w:szCs w:val="21"/>
              </w:rPr>
              <w:t>为</w:t>
            </w:r>
            <w:r>
              <w:rPr>
                <w:rFonts w:hint="eastAsia" w:ascii="宋体" w:hAnsi="宋体" w:cs="宋体"/>
                <w:b/>
                <w:bCs/>
                <w:szCs w:val="21"/>
              </w:rPr>
              <w:t>：</w:t>
            </w:r>
          </w:p>
          <w:p>
            <w:pPr>
              <w:spacing w:line="360" w:lineRule="auto"/>
              <w:ind w:left="105" w:leftChars="50"/>
              <w:rPr>
                <w:rFonts w:ascii="宋体" w:hAnsi="宋体" w:cs="宋体"/>
                <w:b/>
                <w:bCs/>
                <w:szCs w:val="21"/>
              </w:rPr>
            </w:pPr>
            <w:r>
              <w:rPr>
                <w:rFonts w:ascii="宋体" w:hAnsi="宋体" w:cs="宋体"/>
                <w:b/>
                <w:bCs/>
                <w:szCs w:val="21"/>
              </w:rPr>
              <w:t>人民币</w:t>
            </w:r>
            <w:r>
              <w:rPr>
                <w:rFonts w:hint="eastAsia" w:ascii="宋体" w:hAnsi="宋体" w:cs="宋体"/>
                <w:b/>
                <w:bCs/>
                <w:szCs w:val="21"/>
              </w:rPr>
              <w:t>壹元肆角伍分/（</w:t>
            </w:r>
            <w:r>
              <w:rPr>
                <w:rFonts w:ascii="宋体" w:hAnsi="宋体" w:cs="宋体"/>
                <w:b/>
                <w:bCs/>
                <w:szCs w:val="21"/>
              </w:rPr>
              <w:t>￥</w:t>
            </w:r>
            <w:r>
              <w:rPr>
                <w:rFonts w:hint="eastAsia" w:ascii="宋体" w:hAnsi="宋体" w:cs="宋体"/>
                <w:b/>
                <w:bCs/>
                <w:szCs w:val="21"/>
              </w:rPr>
              <w:t>1.45元）</w:t>
            </w:r>
            <w:r>
              <w:rPr>
                <w:rFonts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3.5.5</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采购人特殊要求</w:t>
            </w:r>
          </w:p>
        </w:tc>
        <w:tc>
          <w:tcPr>
            <w:tcW w:w="5244" w:type="dxa"/>
            <w:gridSpan w:val="2"/>
            <w:vAlign w:val="center"/>
          </w:tcPr>
          <w:p>
            <w:pPr>
              <w:adjustRightInd w:val="0"/>
              <w:spacing w:line="276" w:lineRule="auto"/>
              <w:ind w:left="105" w:leftChars="50"/>
              <w:textAlignment w:val="baseline"/>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3.6.1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投标有效期</w:t>
            </w:r>
          </w:p>
        </w:tc>
        <w:tc>
          <w:tcPr>
            <w:tcW w:w="5244" w:type="dxa"/>
            <w:gridSpan w:val="2"/>
            <w:vAlign w:val="center"/>
          </w:tcPr>
          <w:p>
            <w:pPr>
              <w:adjustRightInd w:val="0"/>
              <w:spacing w:line="276" w:lineRule="auto"/>
              <w:ind w:left="105" w:leftChars="50"/>
              <w:textAlignment w:val="baseline"/>
              <w:rPr>
                <w:rFonts w:ascii="宋体" w:hAnsi="宋体" w:cs="宋体"/>
                <w:szCs w:val="21"/>
              </w:rPr>
            </w:pPr>
            <w:r>
              <w:rPr>
                <w:rFonts w:hint="eastAsia" w:ascii="宋体" w:hAnsi="宋体" w:cs="宋体"/>
                <w:szCs w:val="21"/>
              </w:rPr>
              <w:t>投标截止时间起180日历天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3.7.1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投标保证金</w:t>
            </w:r>
          </w:p>
        </w:tc>
        <w:tc>
          <w:tcPr>
            <w:tcW w:w="5244" w:type="dxa"/>
            <w:gridSpan w:val="2"/>
            <w:vAlign w:val="center"/>
          </w:tcPr>
          <w:p>
            <w:pPr>
              <w:pStyle w:val="2"/>
              <w:spacing w:after="0" w:line="276" w:lineRule="auto"/>
              <w:ind w:left="105" w:leftChars="50" w:firstLine="0" w:firstLineChars="0"/>
              <w:rPr>
                <w:rFonts w:hint="eastAsia" w:ascii="宋体" w:hAnsi="宋体" w:cs="宋体"/>
                <w:b/>
              </w:rPr>
            </w:pPr>
            <w:bookmarkStart w:id="38" w:name="_Toc256690670"/>
            <w:bookmarkStart w:id="39" w:name="_Toc256694546"/>
            <w:r>
              <w:rPr>
                <w:rFonts w:hint="eastAsia" w:ascii="宋体" w:hAnsi="宋体" w:cs="宋体"/>
                <w:b/>
              </w:rPr>
              <w:t>投标保证金的形式：</w:t>
            </w:r>
            <w:r>
              <w:rPr>
                <w:rFonts w:ascii="宋体" w:hAnsi="宋体" w:cs="宋体"/>
                <w:b/>
              </w:rPr>
              <w:t>投标保证金应当</w:t>
            </w:r>
            <w:r>
              <w:rPr>
                <w:rFonts w:hint="eastAsia" w:ascii="宋体" w:hAnsi="宋体" w:cs="宋体"/>
                <w:b/>
              </w:rPr>
              <w:t>采用银行转帐、银行电汇</w:t>
            </w:r>
            <w:r>
              <w:rPr>
                <w:rFonts w:ascii="宋体" w:hAnsi="宋体" w:cs="宋体"/>
                <w:b/>
              </w:rPr>
              <w:t>形式提交</w:t>
            </w:r>
            <w:r>
              <w:rPr>
                <w:rFonts w:hint="eastAsia" w:ascii="宋体" w:hAnsi="宋体" w:cs="宋体"/>
                <w:b/>
              </w:rPr>
              <w:t>;</w:t>
            </w:r>
          </w:p>
          <w:p>
            <w:pPr>
              <w:pStyle w:val="5"/>
              <w:ind w:left="0" w:leftChars="0" w:firstLine="210" w:firstLineChars="100"/>
              <w:rPr>
                <w:rFonts w:hint="eastAsia" w:eastAsia="宋体"/>
                <w:lang w:eastAsia="zh-CN"/>
              </w:rPr>
            </w:pPr>
            <w:r>
              <w:rPr>
                <w:rFonts w:hint="eastAsia"/>
              </w:rPr>
              <w:t>投标保证金</w:t>
            </w:r>
            <w:r>
              <w:rPr>
                <w:rFonts w:hint="eastAsia"/>
                <w:lang w:val="en-US" w:eastAsia="zh-CN"/>
              </w:rPr>
              <w:t>递交截止时</w:t>
            </w:r>
            <w:r>
              <w:rPr>
                <w:rFonts w:hint="eastAsia" w:ascii="Times New Roman" w:hAnsi="Times New Roman" w:eastAsia="宋体" w:cs="Times New Roman"/>
                <w:kern w:val="2"/>
                <w:sz w:val="21"/>
                <w:szCs w:val="21"/>
                <w:lang w:val="en-US" w:eastAsia="zh-CN" w:bidi="ar-SA"/>
              </w:rPr>
              <w:t>间：</w:t>
            </w:r>
            <w:r>
              <w:rPr>
                <w:rFonts w:hint="eastAsia" w:ascii="Times New Roman" w:hAnsi="Times New Roman" w:eastAsia="宋体" w:cs="Times New Roman"/>
                <w:kern w:val="2"/>
                <w:sz w:val="21"/>
                <w:szCs w:val="21"/>
                <w:lang w:val="zh-CN" w:eastAsia="zh-CN" w:bidi="ar-SA"/>
              </w:rPr>
              <w:t>2019年</w:t>
            </w:r>
            <w:r>
              <w:rPr>
                <w:rFonts w:hint="eastAsia" w:ascii="Times New Roman" w:hAnsi="Times New Roman" w:eastAsia="宋体" w:cs="Times New Roman"/>
                <w:kern w:val="2"/>
                <w:sz w:val="21"/>
                <w:szCs w:val="21"/>
                <w:lang w:val="en-US" w:eastAsia="zh-CN" w:bidi="ar-SA"/>
              </w:rPr>
              <w:t>2</w:t>
            </w:r>
            <w:r>
              <w:rPr>
                <w:rFonts w:hint="eastAsia" w:ascii="Times New Roman" w:hAnsi="Times New Roman" w:eastAsia="宋体" w:cs="Times New Roman"/>
                <w:kern w:val="2"/>
                <w:sz w:val="21"/>
                <w:szCs w:val="21"/>
                <w:lang w:val="zh-CN" w:eastAsia="zh-CN" w:bidi="ar-SA"/>
              </w:rPr>
              <w:t>月</w:t>
            </w:r>
            <w:r>
              <w:rPr>
                <w:rFonts w:hint="eastAsia" w:ascii="Times New Roman" w:hAnsi="Times New Roman" w:eastAsia="宋体" w:cs="Times New Roman"/>
                <w:kern w:val="2"/>
                <w:sz w:val="21"/>
                <w:szCs w:val="21"/>
                <w:lang w:val="en-US" w:eastAsia="zh-CN" w:bidi="ar-SA"/>
              </w:rPr>
              <w:t>25</w:t>
            </w:r>
            <w:r>
              <w:rPr>
                <w:rFonts w:hint="eastAsia" w:ascii="Times New Roman" w:hAnsi="Times New Roman" w:eastAsia="宋体" w:cs="Times New Roman"/>
                <w:kern w:val="2"/>
                <w:sz w:val="21"/>
                <w:szCs w:val="21"/>
                <w:lang w:val="zh-CN" w:eastAsia="zh-CN" w:bidi="ar-SA"/>
              </w:rPr>
              <w:t xml:space="preserve"> 日</w:t>
            </w:r>
            <w:r>
              <w:rPr>
                <w:rFonts w:hint="eastAsia"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lang w:val="zh-CN" w:eastAsia="zh-CN" w:bidi="ar-SA"/>
              </w:rPr>
              <w:t>时00分（北京时间）</w:t>
            </w:r>
          </w:p>
          <w:p>
            <w:pPr>
              <w:pStyle w:val="2"/>
              <w:spacing w:after="0" w:line="276" w:lineRule="auto"/>
              <w:ind w:left="105" w:leftChars="50" w:firstLine="0" w:firstLineChars="0"/>
              <w:rPr>
                <w:rFonts w:ascii="宋体" w:hAnsi="宋体" w:cs="宋体"/>
              </w:rPr>
            </w:pPr>
            <w:r>
              <w:rPr>
                <w:rFonts w:hint="eastAsia"/>
              </w:rPr>
              <w:t>投标保证金有效期：投标截止时间起180日历天</w:t>
            </w:r>
          </w:p>
          <w:p>
            <w:pPr>
              <w:pStyle w:val="2"/>
              <w:spacing w:after="0" w:line="276" w:lineRule="auto"/>
              <w:ind w:left="105" w:leftChars="50" w:firstLine="0" w:firstLineChars="0"/>
              <w:rPr>
                <w:rFonts w:ascii="宋体" w:hAnsi="宋体" w:cs="宋体"/>
              </w:rPr>
            </w:pPr>
            <w:r>
              <w:rPr>
                <w:rFonts w:hint="eastAsia" w:ascii="宋体" w:hAnsi="宋体" w:cs="宋体"/>
              </w:rPr>
              <w:t>投标保证金的金额大写：捌拾万整（￥800000元）;</w:t>
            </w:r>
          </w:p>
          <w:p>
            <w:pPr>
              <w:adjustRightInd w:val="0"/>
              <w:spacing w:line="276" w:lineRule="auto"/>
              <w:ind w:left="105" w:leftChars="50"/>
              <w:textAlignment w:val="baseline"/>
              <w:rPr>
                <w:rFonts w:ascii="宋体" w:hAnsi="宋体" w:cs="宋体"/>
                <w:kern w:val="0"/>
                <w:szCs w:val="21"/>
              </w:rPr>
            </w:pPr>
            <w:r>
              <w:rPr>
                <w:rFonts w:hint="eastAsia" w:ascii="宋体" w:hAnsi="宋体" w:cs="宋体"/>
                <w:kern w:val="0"/>
                <w:szCs w:val="21"/>
              </w:rPr>
              <w:t>采用转账方式交纳投标保证金,</w:t>
            </w:r>
            <w:r>
              <w:rPr>
                <w:rFonts w:hint="eastAsia" w:ascii="宋体" w:hAnsi="宋体" w:cs="宋体"/>
                <w:szCs w:val="21"/>
              </w:rPr>
              <w:t>请转入以下账户,</w:t>
            </w:r>
            <w:r>
              <w:rPr>
                <w:rFonts w:hint="eastAsia" w:ascii="宋体" w:hAnsi="宋体" w:cs="宋体"/>
                <w:kern w:val="0"/>
                <w:szCs w:val="21"/>
              </w:rPr>
              <w:t>具体如下:</w:t>
            </w:r>
          </w:p>
          <w:p>
            <w:pPr>
              <w:pStyle w:val="2"/>
              <w:spacing w:line="276" w:lineRule="auto"/>
              <w:ind w:firstLine="210"/>
              <w:rPr>
                <w:lang w:val="zh-CN"/>
              </w:rPr>
            </w:pPr>
            <w:r>
              <w:rPr>
                <w:rFonts w:hint="eastAsia"/>
                <w:lang w:val="zh-CN"/>
              </w:rPr>
              <w:t>1、投标保证金的递交方式：银行转帐、银行电汇（均需从投标人的基本账户汇出），不接受以现金方式缴纳的投标保证金。凡以现金方式缴纳投标保证金而影响其投标结果的，由投标人自行负责。</w:t>
            </w:r>
          </w:p>
          <w:p>
            <w:pPr>
              <w:pStyle w:val="2"/>
              <w:spacing w:line="276" w:lineRule="auto"/>
              <w:ind w:firstLine="210"/>
              <w:rPr>
                <w:lang w:val="zh-CN"/>
              </w:rPr>
            </w:pPr>
            <w:r>
              <w:rPr>
                <w:rFonts w:hint="eastAsia"/>
                <w:lang w:val="zh-CN"/>
              </w:rPr>
              <w:t>使用银行转帐方式的，于截止时间前通过投标人基本账户将款项一次足额递交、成功绑定，以收款人到账时间为准，在途资金无效，视为未按时交纳。同时投标人应承担节假日银行系统不能支付的风险。</w:t>
            </w:r>
          </w:p>
          <w:p>
            <w:pPr>
              <w:pStyle w:val="2"/>
              <w:spacing w:line="276" w:lineRule="auto"/>
              <w:ind w:firstLine="210"/>
              <w:rPr>
                <w:lang w:val="zh-CN"/>
              </w:rPr>
            </w:pPr>
            <w:r>
              <w:rPr>
                <w:rFonts w:hint="eastAsia"/>
                <w:lang w:val="zh-CN"/>
              </w:rPr>
              <w:t>2、投标保证金缴纳方式：</w:t>
            </w:r>
          </w:p>
          <w:p>
            <w:pPr>
              <w:pStyle w:val="2"/>
              <w:spacing w:line="276" w:lineRule="auto"/>
              <w:ind w:firstLine="210"/>
            </w:pPr>
            <w:r>
              <w:rPr>
                <w:rFonts w:hint="eastAsia"/>
                <w:lang w:val="zh-CN"/>
              </w:rPr>
              <w:t>2.</w:t>
            </w:r>
            <w:r>
              <w:rPr>
                <w:rFonts w:hint="eastAsia"/>
              </w:rPr>
              <w:t>1</w:t>
            </w:r>
            <w:r>
              <w:rPr>
                <w:rFonts w:hint="eastAsia"/>
                <w:lang w:val="zh-CN"/>
              </w:rPr>
              <w:t>投标人网上报名后</w:t>
            </w:r>
            <w:r>
              <w:rPr>
                <w:rFonts w:hint="eastAsia"/>
              </w:rPr>
              <w:t>，</w:t>
            </w:r>
            <w:r>
              <w:rPr>
                <w:rFonts w:hint="eastAsia"/>
                <w:lang w:val="zh-CN"/>
              </w:rPr>
              <w:t>登录</w:t>
            </w:r>
            <w:r>
              <w:fldChar w:fldCharType="begin"/>
            </w:r>
            <w:r>
              <w:instrText xml:space="preserve"> HYPERLINK "http://221.14.6.70:8088/ggzy" </w:instrText>
            </w:r>
            <w:r>
              <w:fldChar w:fldCharType="separate"/>
            </w:r>
            <w:r>
              <w:rPr>
                <w:rStyle w:val="49"/>
                <w:rFonts w:hint="eastAsia"/>
                <w:color w:val="auto"/>
              </w:rPr>
              <w:t>http://221.14.6.70:8088/ggzy</w:t>
            </w:r>
            <w:r>
              <w:rPr>
                <w:rStyle w:val="49"/>
                <w:rFonts w:hint="eastAsia"/>
                <w:color w:val="auto"/>
              </w:rPr>
              <w:fldChar w:fldCharType="end"/>
            </w:r>
            <w:r>
              <w:rPr>
                <w:rFonts w:hint="eastAsia"/>
                <w:lang w:val="zh-CN"/>
              </w:rPr>
              <w:t>系统</w:t>
            </w:r>
            <w:r>
              <w:rPr>
                <w:rFonts w:hint="eastAsia"/>
              </w:rPr>
              <w:t>，</w:t>
            </w:r>
            <w:r>
              <w:rPr>
                <w:rFonts w:hint="eastAsia"/>
                <w:lang w:val="zh-CN"/>
              </w:rPr>
              <w:t>依次点击</w:t>
            </w:r>
            <w:r>
              <w:rPr>
                <w:rFonts w:hint="eastAsia"/>
              </w:rPr>
              <w:t>“</w:t>
            </w:r>
            <w:r>
              <w:rPr>
                <w:rFonts w:hint="eastAsia"/>
                <w:lang w:val="zh-CN"/>
              </w:rPr>
              <w:t>会员向导</w:t>
            </w:r>
            <w:r>
              <w:rPr>
                <w:rFonts w:hint="eastAsia"/>
              </w:rPr>
              <w:t>”→“</w:t>
            </w:r>
            <w:r>
              <w:rPr>
                <w:rFonts w:hint="eastAsia"/>
                <w:lang w:val="zh-CN"/>
              </w:rPr>
              <w:t>参与投标</w:t>
            </w:r>
            <w:r>
              <w:rPr>
                <w:rFonts w:hint="eastAsia"/>
              </w:rPr>
              <w:t>”→“</w:t>
            </w:r>
            <w:r>
              <w:rPr>
                <w:rFonts w:hint="eastAsia"/>
                <w:lang w:val="zh-CN"/>
              </w:rPr>
              <w:t>费用缴纳说明</w:t>
            </w:r>
            <w:r>
              <w:rPr>
                <w:rFonts w:hint="eastAsia"/>
              </w:rPr>
              <w:t>”→“</w:t>
            </w:r>
            <w:r>
              <w:rPr>
                <w:rFonts w:hint="eastAsia"/>
                <w:lang w:val="zh-CN"/>
              </w:rPr>
              <w:t>保证金缴纳说明单</w:t>
            </w:r>
            <w:r>
              <w:rPr>
                <w:rFonts w:hint="eastAsia"/>
              </w:rPr>
              <w:t>”，</w:t>
            </w:r>
            <w:r>
              <w:rPr>
                <w:rFonts w:hint="eastAsia"/>
                <w:lang w:val="zh-CN"/>
              </w:rPr>
              <w:t>获取缴费说明单</w:t>
            </w:r>
            <w:r>
              <w:rPr>
                <w:rFonts w:hint="eastAsia"/>
              </w:rPr>
              <w:t>，</w:t>
            </w:r>
            <w:r>
              <w:rPr>
                <w:rFonts w:hint="eastAsia"/>
                <w:lang w:val="zh-CN"/>
              </w:rPr>
              <w:t>根据每个标段的缴纳说明单在缴纳截止时间前缴纳</w:t>
            </w:r>
            <w:r>
              <w:rPr>
                <w:rFonts w:hint="eastAsia"/>
              </w:rPr>
              <w:t>；</w:t>
            </w:r>
          </w:p>
          <w:p>
            <w:pPr>
              <w:pStyle w:val="2"/>
              <w:spacing w:line="276" w:lineRule="auto"/>
              <w:ind w:firstLine="210"/>
              <w:rPr>
                <w:lang w:val="zh-CN"/>
              </w:rPr>
            </w:pPr>
            <w:r>
              <w:rPr>
                <w:rFonts w:hint="eastAsia"/>
              </w:rPr>
              <w:t>2.2</w:t>
            </w:r>
            <w:r>
              <w:rPr>
                <w:rFonts w:hint="eastAsia"/>
                <w:lang w:val="zh-CN"/>
              </w:rPr>
              <w:t>成功缴纳后重新登录前述系统</w:t>
            </w:r>
            <w:r>
              <w:rPr>
                <w:rFonts w:hint="eastAsia"/>
              </w:rPr>
              <w:t>，</w:t>
            </w:r>
            <w:r>
              <w:rPr>
                <w:rFonts w:hint="eastAsia"/>
                <w:lang w:val="zh-CN"/>
              </w:rPr>
              <w:t>依次点击</w:t>
            </w:r>
            <w:r>
              <w:rPr>
                <w:rFonts w:hint="eastAsia"/>
              </w:rPr>
              <w:t>“</w:t>
            </w:r>
            <w:r>
              <w:rPr>
                <w:rFonts w:hint="eastAsia"/>
                <w:lang w:val="zh-CN"/>
              </w:rPr>
              <w:t>会员向导</w:t>
            </w:r>
            <w:r>
              <w:rPr>
                <w:rFonts w:hint="eastAsia"/>
              </w:rPr>
              <w:t>”→“</w:t>
            </w:r>
            <w:r>
              <w:rPr>
                <w:rFonts w:hint="eastAsia"/>
                <w:lang w:val="zh-CN"/>
              </w:rPr>
              <w:t>参与投标</w:t>
            </w:r>
            <w:r>
              <w:rPr>
                <w:rFonts w:hint="eastAsia"/>
              </w:rPr>
              <w:t>”→“</w:t>
            </w:r>
            <w:r>
              <w:rPr>
                <w:rFonts w:hint="eastAsia"/>
                <w:lang w:val="zh-CN"/>
              </w:rPr>
              <w:t>保证金绑定</w:t>
            </w:r>
            <w:r>
              <w:rPr>
                <w:rFonts w:hint="eastAsia"/>
              </w:rPr>
              <w:t>”→“</w:t>
            </w:r>
            <w:r>
              <w:rPr>
                <w:rFonts w:hint="eastAsia"/>
                <w:lang w:val="zh-CN"/>
              </w:rPr>
              <w:t>绑定</w:t>
            </w:r>
            <w:r>
              <w:rPr>
                <w:rFonts w:hint="eastAsia"/>
              </w:rPr>
              <w:t>”</w:t>
            </w:r>
            <w:r>
              <w:rPr>
                <w:rFonts w:hint="eastAsia"/>
                <w:lang w:val="zh-CN"/>
              </w:rPr>
              <w:t>进行投标保证金绑定。</w:t>
            </w:r>
          </w:p>
          <w:p>
            <w:pPr>
              <w:pStyle w:val="2"/>
              <w:spacing w:line="276" w:lineRule="auto"/>
              <w:ind w:firstLine="210"/>
              <w:rPr>
                <w:lang w:val="zh-CN"/>
              </w:rPr>
            </w:pPr>
            <w:r>
              <w:rPr>
                <w:rFonts w:hint="eastAsia"/>
                <w:lang w:val="zh-CN"/>
              </w:rPr>
              <w:t>2.3投标人要严格按照“保证金缴纳说明单”内容缴纳、成功绑定投标保证金，未绑定标段的投标保证金，视为未按时交纳。并将缴纳凭证“许昌公共资源交易中心保证金缴纳回执”附于投标文件中，同时在开标现场提供一份，以备查询。</w:t>
            </w:r>
          </w:p>
          <w:p>
            <w:pPr>
              <w:pStyle w:val="2"/>
              <w:spacing w:line="276" w:lineRule="auto"/>
              <w:ind w:firstLine="210"/>
            </w:pPr>
            <w:r>
              <w:rPr>
                <w:rFonts w:hint="eastAsia"/>
                <w:lang w:val="zh-CN"/>
              </w:rPr>
              <w:t>2.4每个投标人每个项目每个标段只有唯一缴纳账号，</w:t>
            </w:r>
            <w:r>
              <w:rPr>
                <w:rFonts w:hint="eastAsia"/>
              </w:rPr>
              <w:t>切勿重复缴纳或错误缴纳。</w:t>
            </w:r>
          </w:p>
          <w:p>
            <w:pPr>
              <w:pStyle w:val="2"/>
              <w:spacing w:line="276" w:lineRule="auto"/>
              <w:ind w:firstLine="210"/>
              <w:rPr>
                <w:lang w:val="zh-CN"/>
              </w:rPr>
            </w:pPr>
            <w:r>
              <w:rPr>
                <w:rFonts w:hint="eastAsia"/>
              </w:rPr>
              <w:t>保证金缴纳绑定问题咨询电话:0374-2961598。</w:t>
            </w:r>
          </w:p>
          <w:p>
            <w:pPr>
              <w:pStyle w:val="2"/>
              <w:spacing w:line="276" w:lineRule="auto"/>
              <w:ind w:firstLine="210"/>
            </w:pPr>
            <w:r>
              <w:rPr>
                <w:rFonts w:hint="eastAsia"/>
              </w:rPr>
              <w:t>3、未按上述规定操作引起的无效投标，由投标人自行负责。</w:t>
            </w:r>
          </w:p>
          <w:p>
            <w:pPr>
              <w:pStyle w:val="2"/>
              <w:spacing w:line="276" w:lineRule="auto"/>
              <w:ind w:firstLine="210"/>
              <w:rPr>
                <w:lang w:val="zh-CN"/>
              </w:rPr>
            </w:pPr>
            <w:r>
              <w:rPr>
                <w:rFonts w:hint="eastAsia"/>
                <w:lang w:val="zh-CN"/>
              </w:rPr>
              <w:t>4、汇款凭证无须备注项目编号和项目名称。</w:t>
            </w:r>
          </w:p>
          <w:p>
            <w:pPr>
              <w:pStyle w:val="2"/>
              <w:spacing w:line="276" w:lineRule="auto"/>
              <w:ind w:firstLine="210"/>
            </w:pPr>
            <w:r>
              <w:rPr>
                <w:rFonts w:hint="eastAsia"/>
              </w:rPr>
              <w:t>5、出现以下情形造成的投标保证金无效，由投标人自行负责。</w:t>
            </w:r>
          </w:p>
          <w:p>
            <w:pPr>
              <w:pStyle w:val="2"/>
              <w:spacing w:line="276" w:lineRule="auto"/>
              <w:ind w:firstLine="210"/>
            </w:pPr>
            <w:r>
              <w:rPr>
                <w:rFonts w:hint="eastAsia"/>
              </w:rPr>
              <w:t>(1)投标保证金未从投标人的基本账户转出；</w:t>
            </w:r>
          </w:p>
          <w:p>
            <w:pPr>
              <w:pStyle w:val="2"/>
              <w:spacing w:line="276" w:lineRule="auto"/>
              <w:ind w:firstLine="210"/>
            </w:pPr>
            <w:r>
              <w:rPr>
                <w:rFonts w:hint="eastAsia"/>
              </w:rPr>
              <w:t>(2)投标保证金未按照招标文件划分的标段转账。</w:t>
            </w:r>
          </w:p>
          <w:p>
            <w:pPr>
              <w:pStyle w:val="2"/>
              <w:spacing w:line="276" w:lineRule="auto"/>
              <w:ind w:firstLine="210"/>
              <w:rPr>
                <w:lang w:val="zh-CN"/>
              </w:rPr>
            </w:pPr>
            <w:r>
              <w:rPr>
                <w:rFonts w:hint="eastAsia"/>
                <w:lang w:val="zh-CN"/>
              </w:rPr>
              <w:t>6、《保证金缴纳绑定操作指南》获取方法：</w:t>
            </w:r>
          </w:p>
          <w:p>
            <w:pPr>
              <w:pStyle w:val="2"/>
              <w:spacing w:line="276" w:lineRule="auto"/>
              <w:ind w:firstLine="210"/>
              <w:rPr>
                <w:lang w:val="zh-CN"/>
              </w:rPr>
            </w:pPr>
            <w:r>
              <w:rPr>
                <w:rFonts w:hint="eastAsia"/>
                <w:lang w:val="zh-CN"/>
              </w:rPr>
              <w:t>登录许昌公共资源交易系统-组件下载-《保证金缴纳绑定操作指南》。</w:t>
            </w:r>
          </w:p>
          <w:p>
            <w:pPr>
              <w:pStyle w:val="2"/>
              <w:spacing w:line="276" w:lineRule="auto"/>
              <w:ind w:firstLine="210"/>
            </w:pPr>
            <w:r>
              <w:rPr>
                <w:rFonts w:hint="eastAsia"/>
              </w:rPr>
              <w:t>7、</w:t>
            </w:r>
            <w:r>
              <w:rPr>
                <w:rFonts w:hint="eastAsia"/>
                <w:lang w:val="zh-CN"/>
              </w:rPr>
              <w:t>凡投标人投标保证金交纳至同一标段相同子账号的，保证金暂不予退还，并依照《许昌市公共资源交易当事人不良行为管理暂行办法》（许公管委〔2017〕1号）规定，进行调查、认定、记录、公示、公告。对涉嫌串通投标等违规行为的，经调查核实后，记录不良行为，移交有关部门进行查处。不予退还的保证金上缴国库。</w:t>
            </w:r>
            <w:bookmarkEnd w:id="38"/>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3.7.2</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w:t>
            </w:r>
            <w:r>
              <w:rPr>
                <w:rFonts w:ascii="宋体" w:hAnsi="宋体" w:cs="宋体"/>
                <w:szCs w:val="21"/>
              </w:rPr>
              <w:t>保证金有效期</w:t>
            </w:r>
          </w:p>
        </w:tc>
        <w:tc>
          <w:tcPr>
            <w:tcW w:w="5244" w:type="dxa"/>
            <w:gridSpan w:val="2"/>
            <w:vAlign w:val="center"/>
          </w:tcPr>
          <w:p>
            <w:pPr>
              <w:pStyle w:val="2"/>
              <w:spacing w:after="0"/>
              <w:ind w:left="105" w:leftChars="50" w:firstLine="0" w:firstLineChars="0"/>
              <w:rPr>
                <w:rFonts w:ascii="宋体" w:hAnsi="宋体" w:cs="宋体"/>
              </w:rPr>
            </w:pPr>
            <w:r>
              <w:rPr>
                <w:rFonts w:hint="eastAsia" w:ascii="宋体" w:hAnsi="宋体" w:cs="宋体"/>
              </w:rPr>
              <w:t>投标截止时间起180日历天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3.8.5</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投标文件份数</w:t>
            </w:r>
          </w:p>
        </w:tc>
        <w:tc>
          <w:tcPr>
            <w:tcW w:w="5244" w:type="dxa"/>
            <w:gridSpan w:val="2"/>
            <w:vAlign w:val="center"/>
          </w:tcPr>
          <w:p>
            <w:pPr>
              <w:pStyle w:val="2"/>
              <w:ind w:firstLine="210"/>
            </w:pPr>
            <w:r>
              <w:rPr>
                <w:rFonts w:hint="eastAsia" w:ascii="宋体" w:hAnsi="宋体" w:cs="宋体"/>
              </w:rPr>
              <w:t>正本壹份，副本陆份，电子版壹份（用U盘拷贝）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3.8.6</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装订要求</w:t>
            </w:r>
          </w:p>
        </w:tc>
        <w:tc>
          <w:tcPr>
            <w:tcW w:w="5244" w:type="dxa"/>
            <w:gridSpan w:val="2"/>
            <w:vAlign w:val="center"/>
          </w:tcPr>
          <w:p>
            <w:pPr>
              <w:adjustRightInd w:val="0"/>
              <w:spacing w:line="360" w:lineRule="auto"/>
              <w:ind w:left="105" w:leftChars="50"/>
              <w:textAlignment w:val="baseline"/>
              <w:rPr>
                <w:rFonts w:ascii="宋体" w:hAnsi="宋体" w:cs="宋体"/>
                <w:szCs w:val="21"/>
              </w:rPr>
            </w:pPr>
            <w:r>
              <w:rPr>
                <w:rFonts w:hint="eastAsia" w:ascii="宋体" w:hAnsi="宋体" w:cs="宋体"/>
                <w:szCs w:val="21"/>
              </w:rPr>
              <w:t>投标文件的正本与副本均应采用胶装方式装订，不得采用活页夹等可随时拆换的方式装订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4.1.2</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封套上写明</w:t>
            </w:r>
          </w:p>
        </w:tc>
        <w:tc>
          <w:tcPr>
            <w:tcW w:w="5244" w:type="dxa"/>
            <w:gridSpan w:val="2"/>
            <w:vAlign w:val="center"/>
          </w:tcPr>
          <w:p>
            <w:pPr>
              <w:adjustRightInd w:val="0"/>
              <w:spacing w:line="360" w:lineRule="auto"/>
              <w:ind w:left="105" w:leftChars="50"/>
              <w:textAlignment w:val="baseline"/>
              <w:rPr>
                <w:rFonts w:ascii="宋体" w:hAnsi="宋体" w:cs="宋体"/>
                <w:szCs w:val="21"/>
              </w:rPr>
            </w:pPr>
            <w:r>
              <w:rPr>
                <w:rFonts w:hint="eastAsia" w:ascii="宋体" w:hAnsi="宋体" w:cs="宋体"/>
                <w:szCs w:val="21"/>
              </w:rPr>
              <w:t>（项目名称）投标文件</w:t>
            </w:r>
          </w:p>
          <w:p>
            <w:pPr>
              <w:adjustRightInd w:val="0"/>
              <w:spacing w:line="360" w:lineRule="auto"/>
              <w:ind w:left="105" w:leftChars="50"/>
              <w:textAlignment w:val="baseline"/>
              <w:rPr>
                <w:rFonts w:ascii="宋体" w:hAnsi="宋体" w:cs="宋体"/>
                <w:szCs w:val="21"/>
              </w:rPr>
            </w:pPr>
            <w:r>
              <w:rPr>
                <w:rFonts w:hint="eastAsia" w:ascii="宋体" w:hAnsi="宋体" w:cs="宋体"/>
                <w:szCs w:val="21"/>
              </w:rPr>
              <w:t>投标人名称：</w:t>
            </w:r>
          </w:p>
          <w:p>
            <w:pPr>
              <w:adjustRightInd w:val="0"/>
              <w:spacing w:line="360" w:lineRule="auto"/>
              <w:ind w:left="105" w:leftChars="50"/>
              <w:textAlignment w:val="baseline"/>
              <w:rPr>
                <w:rFonts w:ascii="宋体" w:hAnsi="宋体" w:cs="宋体"/>
                <w:szCs w:val="21"/>
              </w:rPr>
            </w:pPr>
            <w:r>
              <w:rPr>
                <w:rFonts w:hint="eastAsia" w:ascii="宋体" w:hAnsi="宋体" w:cs="宋体"/>
                <w:szCs w:val="21"/>
              </w:rPr>
              <w:t>投标人地址：</w:t>
            </w:r>
          </w:p>
          <w:p>
            <w:pPr>
              <w:adjustRightInd w:val="0"/>
              <w:spacing w:line="360" w:lineRule="auto"/>
              <w:ind w:left="105" w:leftChars="50"/>
              <w:textAlignment w:val="baseline"/>
              <w:rPr>
                <w:rFonts w:ascii="宋体" w:hAnsi="宋体" w:cs="宋体"/>
                <w:szCs w:val="21"/>
              </w:rPr>
            </w:pPr>
            <w:r>
              <w:rPr>
                <w:rFonts w:hint="eastAsia" w:ascii="宋体" w:hAnsi="宋体" w:cs="宋体"/>
                <w:szCs w:val="21"/>
              </w:rPr>
              <w:t>法定代表人或授权委托人签字：</w:t>
            </w:r>
          </w:p>
          <w:p>
            <w:pPr>
              <w:adjustRightInd w:val="0"/>
              <w:spacing w:line="360" w:lineRule="auto"/>
              <w:ind w:left="105" w:leftChars="50"/>
              <w:textAlignment w:val="baseline"/>
              <w:rPr>
                <w:rFonts w:ascii="宋体" w:hAnsi="宋体" w:cs="宋体"/>
                <w:szCs w:val="21"/>
              </w:rPr>
            </w:pPr>
            <w:r>
              <w:rPr>
                <w:rFonts w:hint="eastAsia" w:ascii="宋体" w:hAnsi="宋体" w:cs="宋体"/>
                <w:szCs w:val="21"/>
              </w:rPr>
              <w:t>在年月日时分前不得开启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4.2.2</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提交投标文件地点</w:t>
            </w:r>
          </w:p>
        </w:tc>
        <w:tc>
          <w:tcPr>
            <w:tcW w:w="5244" w:type="dxa"/>
            <w:gridSpan w:val="2"/>
            <w:vAlign w:val="center"/>
          </w:tcPr>
          <w:p>
            <w:pPr>
              <w:adjustRightInd w:val="0"/>
              <w:spacing w:line="360" w:lineRule="auto"/>
              <w:ind w:left="105" w:leftChars="50"/>
              <w:textAlignment w:val="baseline"/>
              <w:rPr>
                <w:rFonts w:ascii="宋体" w:hAnsi="宋体" w:cs="宋体"/>
                <w:szCs w:val="21"/>
              </w:rPr>
            </w:pPr>
            <w:r>
              <w:rPr>
                <w:rFonts w:hint="eastAsia" w:ascii="宋体" w:hAnsi="宋体" w:cs="宋体"/>
                <w:kern w:val="0"/>
                <w:szCs w:val="21"/>
              </w:rPr>
              <w:t>禹州市公共资源交易中心第一开标室（禹州市行政服务中心楼9楼）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5.1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开标时间和地点</w:t>
            </w:r>
          </w:p>
        </w:tc>
        <w:tc>
          <w:tcPr>
            <w:tcW w:w="5244" w:type="dxa"/>
            <w:gridSpan w:val="2"/>
            <w:vAlign w:val="center"/>
          </w:tcPr>
          <w:p>
            <w:pPr>
              <w:spacing w:line="360" w:lineRule="auto"/>
              <w:ind w:left="105" w:leftChars="50"/>
              <w:rPr>
                <w:rFonts w:ascii="宋体" w:hAnsi="宋体" w:cs="宋体"/>
                <w:color w:val="000000" w:themeColor="text1"/>
                <w:szCs w:val="21"/>
                <w14:textFill>
                  <w14:solidFill>
                    <w14:schemeClr w14:val="tx1"/>
                  </w14:solidFill>
                </w14:textFill>
              </w:rPr>
            </w:pPr>
            <w:r>
              <w:rPr>
                <w:rFonts w:hint="eastAsia" w:ascii="宋体" w:hAnsi="宋体" w:cs="宋体"/>
                <w:szCs w:val="21"/>
              </w:rPr>
              <w:t>开标时间：2019年</w:t>
            </w:r>
            <w:r>
              <w:rPr>
                <w:rFonts w:hint="eastAsia" w:ascii="宋体" w:hAnsi="宋体" w:cs="宋体"/>
                <w:szCs w:val="21"/>
                <w:lang w:val="en-US" w:eastAsia="zh-CN"/>
              </w:rPr>
              <w:t>2</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 xml:space="preserve"> 日</w:t>
            </w:r>
            <w:r>
              <w:rPr>
                <w:rFonts w:hint="eastAsia" w:ascii="宋体" w:hAnsi="宋体" w:cs="宋体"/>
                <w:szCs w:val="21"/>
                <w:lang w:val="en-US" w:eastAsia="zh-CN"/>
              </w:rPr>
              <w:t>10</w:t>
            </w:r>
            <w:r>
              <w:rPr>
                <w:rFonts w:hint="eastAsia" w:ascii="宋体" w:hAnsi="宋体" w:cs="宋体"/>
                <w:szCs w:val="21"/>
              </w:rPr>
              <w:t>时00分（北京时间）</w:t>
            </w:r>
          </w:p>
          <w:p>
            <w:pPr>
              <w:adjustRightInd w:val="0"/>
              <w:spacing w:line="360" w:lineRule="auto"/>
              <w:ind w:left="105" w:leftChars="50"/>
              <w:textAlignment w:val="baseline"/>
              <w:rPr>
                <w:rFonts w:ascii="宋体" w:hAnsi="宋体" w:cs="宋体"/>
                <w:szCs w:val="21"/>
              </w:rPr>
            </w:pPr>
            <w:r>
              <w:rPr>
                <w:rFonts w:hint="eastAsia" w:ascii="宋体" w:hAnsi="宋体" w:cs="宋体"/>
                <w:szCs w:val="21"/>
              </w:rPr>
              <w:t>开标地点：禹州市公共资源交易中心第一开标室（禹州市行政服务中心楼9楼）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0"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6.1.1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评审小组的构成</w:t>
            </w:r>
          </w:p>
        </w:tc>
        <w:tc>
          <w:tcPr>
            <w:tcW w:w="5244" w:type="dxa"/>
            <w:gridSpan w:val="2"/>
            <w:vAlign w:val="center"/>
          </w:tcPr>
          <w:p>
            <w:pPr>
              <w:spacing w:line="360" w:lineRule="auto"/>
              <w:ind w:left="105" w:leftChars="50"/>
              <w:rPr>
                <w:rFonts w:ascii="宋体" w:hAnsi="宋体" w:cs="宋体"/>
                <w:szCs w:val="21"/>
              </w:rPr>
            </w:pPr>
            <w:r>
              <w:rPr>
                <w:rFonts w:hint="eastAsia" w:ascii="宋体" w:hAnsi="宋体" w:cs="宋体"/>
                <w:szCs w:val="21"/>
              </w:rPr>
              <w:t>评审小组组成：</w:t>
            </w:r>
            <w:r>
              <w:rPr>
                <w:rFonts w:ascii="宋体" w:hAnsi="宋体" w:cs="宋体"/>
                <w:szCs w:val="21"/>
              </w:rPr>
              <w:t>由</w:t>
            </w:r>
            <w:r>
              <w:rPr>
                <w:rFonts w:hint="eastAsia" w:ascii="宋体" w:hAnsi="宋体" w:cs="宋体"/>
                <w:szCs w:val="21"/>
              </w:rPr>
              <w:t>项目实施机构代表和评审专家共7人</w:t>
            </w:r>
            <w:r>
              <w:rPr>
                <w:rFonts w:ascii="宋体" w:hAnsi="宋体" w:cs="宋体"/>
                <w:szCs w:val="21"/>
              </w:rPr>
              <w:t>组成，</w:t>
            </w:r>
            <w:r>
              <w:rPr>
                <w:rFonts w:hint="eastAsia" w:ascii="宋体" w:hAnsi="宋体" w:cs="宋体"/>
                <w:szCs w:val="21"/>
              </w:rPr>
              <w:t>其中评审专家</w:t>
            </w:r>
            <w:r>
              <w:rPr>
                <w:rFonts w:ascii="宋体" w:hAnsi="宋体" w:cs="宋体"/>
                <w:szCs w:val="21"/>
              </w:rPr>
              <w:t>人数为</w:t>
            </w:r>
            <w:r>
              <w:rPr>
                <w:rFonts w:hint="eastAsia" w:ascii="宋体" w:hAnsi="宋体" w:cs="宋体"/>
                <w:szCs w:val="21"/>
              </w:rPr>
              <w:t>5</w:t>
            </w:r>
            <w:r>
              <w:rPr>
                <w:rFonts w:ascii="宋体" w:hAnsi="宋体" w:cs="宋体"/>
                <w:szCs w:val="21"/>
              </w:rPr>
              <w:t>人</w:t>
            </w:r>
            <w:r>
              <w:rPr>
                <w:rFonts w:hint="eastAsia" w:ascii="宋体" w:hAnsi="宋体" w:cs="宋体"/>
                <w:szCs w:val="21"/>
              </w:rPr>
              <w:t>，实施机构代表2人；</w:t>
            </w:r>
          </w:p>
          <w:p>
            <w:pPr>
              <w:spacing w:line="360" w:lineRule="auto"/>
              <w:ind w:left="105" w:leftChars="50"/>
              <w:rPr>
                <w:rFonts w:ascii="宋体" w:hAnsi="宋体" w:cs="宋体"/>
                <w:szCs w:val="21"/>
              </w:rPr>
            </w:pPr>
            <w:r>
              <w:rPr>
                <w:rFonts w:hint="eastAsia" w:ascii="宋体" w:hAnsi="宋体" w:cs="宋体"/>
                <w:szCs w:val="21"/>
              </w:rPr>
              <w:t>评审小组确定方式：从相关专家库中随机抽取5人 （必须包含财务专家1名、法律专家1名。）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6.3.3</w:t>
            </w:r>
          </w:p>
        </w:tc>
        <w:tc>
          <w:tcPr>
            <w:tcW w:w="2361" w:type="dxa"/>
            <w:vAlign w:val="center"/>
          </w:tcPr>
          <w:p>
            <w:pPr>
              <w:spacing w:line="360" w:lineRule="auto"/>
              <w:ind w:left="105" w:leftChars="50"/>
              <w:rPr>
                <w:rFonts w:ascii="宋体" w:hAnsi="宋体" w:cs="宋体"/>
                <w:szCs w:val="21"/>
              </w:rPr>
            </w:pPr>
            <w:r>
              <w:rPr>
                <w:rFonts w:hint="eastAsia" w:ascii="宋体" w:hAnsi="宋体" w:cs="宋体"/>
                <w:szCs w:val="21"/>
              </w:rPr>
              <w:t>评审小组推荐候选投标人排名的人数</w:t>
            </w:r>
          </w:p>
        </w:tc>
        <w:tc>
          <w:tcPr>
            <w:tcW w:w="5244" w:type="dxa"/>
            <w:gridSpan w:val="2"/>
            <w:vAlign w:val="center"/>
          </w:tcPr>
          <w:p>
            <w:pPr>
              <w:adjustRightInd w:val="0"/>
              <w:spacing w:line="360" w:lineRule="auto"/>
              <w:ind w:left="105" w:leftChars="50"/>
              <w:textAlignment w:val="baseline"/>
              <w:rPr>
                <w:rFonts w:ascii="宋体" w:hAnsi="宋体" w:cs="宋体"/>
                <w:szCs w:val="21"/>
              </w:rPr>
            </w:pPr>
            <w:r>
              <w:rPr>
                <w:rFonts w:hint="eastAsia" w:ascii="宋体" w:hAnsi="宋体" w:cs="宋体"/>
                <w:szCs w:val="21"/>
              </w:rPr>
              <w:t>推荐候选投标人排名的人数：3人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7" w:hRule="atLeast"/>
        </w:trPr>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7.1.3</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项目合同可变的细节</w:t>
            </w:r>
          </w:p>
        </w:tc>
        <w:tc>
          <w:tcPr>
            <w:tcW w:w="5244" w:type="dxa"/>
            <w:gridSpan w:val="2"/>
            <w:vAlign w:val="center"/>
          </w:tcPr>
          <w:p>
            <w:pPr>
              <w:adjustRightInd w:val="0"/>
              <w:spacing w:line="360" w:lineRule="auto"/>
              <w:ind w:left="105" w:leftChars="50"/>
              <w:textAlignment w:val="baseline"/>
              <w:rPr>
                <w:rFonts w:ascii="宋体" w:hAnsi="宋体" w:cs="宋体"/>
                <w:b/>
                <w:szCs w:val="21"/>
              </w:rPr>
            </w:pPr>
            <w:r>
              <w:rPr>
                <w:rFonts w:ascii="宋体" w:hAnsi="宋体" w:cs="宋体"/>
                <w:b/>
                <w:szCs w:val="21"/>
              </w:rPr>
              <w:t>除对</w:t>
            </w:r>
            <w:r>
              <w:rPr>
                <w:rFonts w:hint="eastAsia" w:ascii="宋体" w:hAnsi="宋体" w:cs="宋体"/>
                <w:b/>
                <w:szCs w:val="21"/>
              </w:rPr>
              <w:t>乙方的声明、运作模式、项目投融资结构、回报机制、项目公司管理、甲方的权利、收益权、合作期、前期工作、土地使用权、土地使用的限制、工程设计、监理、审计、工程施工、材料、设备与服务的采购、建设期监督检查、工程变更和设计优化、建设的放弃、大中修及设备更新、污水厂水质质量标准和检测机制、水量、水价和污水处理服务费、履约保函、提前终止补偿、争议解决、绩效考核细则</w:t>
            </w:r>
            <w:r>
              <w:rPr>
                <w:rFonts w:ascii="宋体" w:hAnsi="宋体" w:cs="宋体"/>
                <w:b/>
                <w:szCs w:val="21"/>
              </w:rPr>
              <w:t>等标注</w:t>
            </w:r>
            <w:r>
              <w:rPr>
                <w:rFonts w:hint="eastAsia" w:ascii="宋体" w:hAnsi="宋体" w:cs="宋体"/>
                <w:b/>
                <w:szCs w:val="21"/>
              </w:rPr>
              <w:t>★</w:t>
            </w:r>
            <w:r>
              <w:rPr>
                <w:rFonts w:ascii="宋体" w:hAnsi="宋体" w:cs="宋体"/>
                <w:b/>
                <w:szCs w:val="21"/>
              </w:rPr>
              <w:t>的不可谈判的核心条款以外的其他条款。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szCs w:val="21"/>
              </w:rPr>
            </w:pPr>
            <w:r>
              <w:rPr>
                <w:rFonts w:hint="eastAsia" w:ascii="宋体" w:hAnsi="宋体" w:cs="宋体"/>
                <w:szCs w:val="21"/>
              </w:rPr>
              <w:t>7.3.1</w:t>
            </w:r>
          </w:p>
        </w:tc>
        <w:tc>
          <w:tcPr>
            <w:tcW w:w="2361" w:type="dxa"/>
            <w:vAlign w:val="center"/>
          </w:tcPr>
          <w:p>
            <w:pPr>
              <w:adjustRightInd w:val="0"/>
              <w:spacing w:line="360" w:lineRule="auto"/>
              <w:ind w:left="105" w:leftChars="50"/>
              <w:jc w:val="left"/>
              <w:textAlignment w:val="baseline"/>
              <w:rPr>
                <w:rFonts w:ascii="宋体" w:hAnsi="宋体" w:cs="宋体"/>
                <w:szCs w:val="21"/>
              </w:rPr>
            </w:pPr>
            <w:r>
              <w:rPr>
                <w:rFonts w:hint="eastAsia" w:ascii="宋体" w:hAnsi="宋体" w:cs="宋体"/>
                <w:szCs w:val="21"/>
              </w:rPr>
              <w:t>履约担保</w:t>
            </w:r>
          </w:p>
        </w:tc>
        <w:tc>
          <w:tcPr>
            <w:tcW w:w="5244" w:type="dxa"/>
            <w:gridSpan w:val="2"/>
            <w:vAlign w:val="center"/>
          </w:tcPr>
          <w:p>
            <w:pPr>
              <w:pStyle w:val="2"/>
              <w:ind w:left="105" w:leftChars="50" w:firstLine="211"/>
              <w:rPr>
                <w:rFonts w:ascii="宋体" w:hAnsi="宋体" w:cs="宋体"/>
                <w:b/>
              </w:rPr>
            </w:pPr>
            <w:r>
              <w:rPr>
                <w:rFonts w:ascii="宋体" w:hAnsi="宋体" w:cs="宋体"/>
                <w:b/>
              </w:rPr>
              <w:t>履约保证金的形式及要求：保函。分为建设期履约保函、运营维护保函和移交维修保函</w:t>
            </w:r>
          </w:p>
          <w:p>
            <w:pPr>
              <w:pStyle w:val="2"/>
              <w:ind w:left="105" w:leftChars="50" w:firstLine="211"/>
              <w:rPr>
                <w:rFonts w:ascii="宋体" w:hAnsi="宋体" w:cs="宋体"/>
                <w:b/>
              </w:rPr>
            </w:pPr>
            <w:r>
              <w:rPr>
                <w:rFonts w:ascii="宋体" w:hAnsi="宋体" w:cs="宋体"/>
                <w:b/>
              </w:rPr>
              <w:t>履约保证金的金额：</w:t>
            </w:r>
          </w:p>
          <w:p>
            <w:pPr>
              <w:pStyle w:val="2"/>
              <w:ind w:left="105" w:leftChars="50" w:firstLine="211"/>
              <w:rPr>
                <w:rFonts w:ascii="宋体" w:hAnsi="宋体" w:cs="宋体"/>
                <w:b/>
              </w:rPr>
            </w:pPr>
            <w:r>
              <w:rPr>
                <w:rFonts w:ascii="宋体" w:hAnsi="宋体" w:cs="宋体"/>
                <w:b/>
              </w:rPr>
              <w:t>建设期履约保函：人民币</w:t>
            </w:r>
            <w:r>
              <w:rPr>
                <w:rFonts w:hint="eastAsia" w:ascii="宋体" w:hAnsi="宋体" w:cs="宋体"/>
                <w:b/>
              </w:rPr>
              <w:t>伍佰</w:t>
            </w:r>
            <w:r>
              <w:rPr>
                <w:rFonts w:ascii="宋体" w:hAnsi="宋体" w:cs="宋体"/>
                <w:b/>
              </w:rPr>
              <w:t>万元（¥</w:t>
            </w:r>
            <w:r>
              <w:rPr>
                <w:rFonts w:hint="eastAsia" w:ascii="宋体" w:hAnsi="宋体" w:cs="宋体"/>
                <w:b/>
              </w:rPr>
              <w:t>5</w:t>
            </w:r>
            <w:r>
              <w:rPr>
                <w:rFonts w:ascii="宋体" w:hAnsi="宋体" w:cs="宋体"/>
                <w:b/>
              </w:rPr>
              <w:t>,000,000）</w:t>
            </w:r>
          </w:p>
          <w:p>
            <w:pPr>
              <w:pStyle w:val="2"/>
              <w:ind w:left="105" w:leftChars="50" w:firstLine="211"/>
              <w:rPr>
                <w:rFonts w:ascii="宋体" w:hAnsi="宋体" w:cs="宋体"/>
                <w:b/>
              </w:rPr>
            </w:pPr>
            <w:r>
              <w:rPr>
                <w:rFonts w:ascii="宋体" w:hAnsi="宋体" w:cs="宋体"/>
                <w:b/>
              </w:rPr>
              <w:t>运营维护保函：人民币</w:t>
            </w:r>
            <w:r>
              <w:rPr>
                <w:rFonts w:hint="eastAsia" w:ascii="宋体" w:hAnsi="宋体" w:cs="宋体"/>
                <w:b/>
              </w:rPr>
              <w:t>肆佰</w:t>
            </w:r>
            <w:r>
              <w:rPr>
                <w:rFonts w:ascii="宋体" w:hAnsi="宋体" w:cs="宋体"/>
                <w:b/>
              </w:rPr>
              <w:t>万元（¥</w:t>
            </w:r>
            <w:r>
              <w:rPr>
                <w:rFonts w:hint="eastAsia" w:ascii="宋体" w:hAnsi="宋体" w:cs="宋体"/>
                <w:b/>
              </w:rPr>
              <w:t>4</w:t>
            </w:r>
            <w:r>
              <w:rPr>
                <w:rFonts w:ascii="宋体" w:hAnsi="宋体" w:cs="宋体"/>
                <w:b/>
              </w:rPr>
              <w:t>,000,000）</w:t>
            </w:r>
          </w:p>
          <w:p>
            <w:pPr>
              <w:pStyle w:val="2"/>
              <w:spacing w:after="0"/>
              <w:ind w:left="105" w:leftChars="50" w:firstLine="0" w:firstLineChars="0"/>
              <w:rPr>
                <w:rFonts w:ascii="宋体" w:hAnsi="宋体" w:cs="宋体"/>
              </w:rPr>
            </w:pPr>
            <w:r>
              <w:rPr>
                <w:rFonts w:hint="eastAsia" w:ascii="宋体" w:hAnsi="宋体" w:cs="宋体"/>
                <w:b/>
              </w:rPr>
              <w:t xml:space="preserve">  </w:t>
            </w:r>
            <w:r>
              <w:rPr>
                <w:rFonts w:ascii="宋体" w:hAnsi="宋体" w:cs="宋体"/>
                <w:b/>
              </w:rPr>
              <w:t>移交维修保函：人民币</w:t>
            </w:r>
            <w:r>
              <w:rPr>
                <w:rFonts w:hint="eastAsia" w:ascii="宋体" w:hAnsi="宋体" w:cs="宋体"/>
                <w:b/>
              </w:rPr>
              <w:t>捌佰</w:t>
            </w:r>
            <w:r>
              <w:rPr>
                <w:rFonts w:ascii="宋体" w:hAnsi="宋体" w:cs="宋体"/>
                <w:b/>
              </w:rPr>
              <w:t>万元（¥</w:t>
            </w:r>
            <w:r>
              <w:rPr>
                <w:rFonts w:hint="eastAsia" w:ascii="宋体" w:hAnsi="宋体" w:cs="宋体"/>
                <w:b/>
              </w:rPr>
              <w:t>8</w:t>
            </w:r>
            <w:r>
              <w:rPr>
                <w:rFonts w:ascii="宋体" w:hAnsi="宋体" w:cs="宋体"/>
                <w:b/>
              </w:rPr>
              <w: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b/>
                <w:szCs w:val="21"/>
              </w:rPr>
            </w:pPr>
            <w:r>
              <w:rPr>
                <w:rFonts w:hint="eastAsia" w:ascii="宋体" w:hAnsi="宋体" w:cs="宋体"/>
                <w:b/>
                <w:szCs w:val="21"/>
              </w:rPr>
              <w:t>11</w:t>
            </w:r>
          </w:p>
        </w:tc>
        <w:tc>
          <w:tcPr>
            <w:tcW w:w="7605" w:type="dxa"/>
            <w:gridSpan w:val="3"/>
            <w:vAlign w:val="center"/>
          </w:tcPr>
          <w:p>
            <w:pPr>
              <w:adjustRightInd w:val="0"/>
              <w:spacing w:line="360" w:lineRule="auto"/>
              <w:ind w:left="105" w:leftChars="50"/>
              <w:jc w:val="left"/>
              <w:textAlignment w:val="baseline"/>
              <w:rPr>
                <w:rFonts w:ascii="宋体" w:hAnsi="宋体" w:cs="宋体"/>
                <w:b/>
                <w:szCs w:val="21"/>
              </w:rPr>
            </w:pPr>
            <w:r>
              <w:rPr>
                <w:rFonts w:hint="eastAsia" w:ascii="宋体" w:hAnsi="宋体" w:cs="宋体"/>
                <w:b/>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adjustRightInd w:val="0"/>
              <w:spacing w:line="360" w:lineRule="auto"/>
              <w:ind w:left="105" w:leftChars="50"/>
              <w:jc w:val="center"/>
              <w:textAlignment w:val="baseline"/>
              <w:rPr>
                <w:rFonts w:ascii="宋体" w:hAnsi="宋体" w:cs="宋体"/>
                <w:kern w:val="0"/>
                <w:szCs w:val="21"/>
              </w:rPr>
            </w:pPr>
            <w:r>
              <w:rPr>
                <w:rFonts w:hint="eastAsia" w:ascii="宋体" w:hAnsi="宋体" w:cs="宋体"/>
                <w:kern w:val="0"/>
                <w:szCs w:val="21"/>
              </w:rPr>
              <w:t>11.1</w:t>
            </w:r>
          </w:p>
        </w:tc>
        <w:tc>
          <w:tcPr>
            <w:tcW w:w="2498" w:type="dxa"/>
            <w:gridSpan w:val="2"/>
            <w:vAlign w:val="center"/>
          </w:tcPr>
          <w:p>
            <w:pPr>
              <w:spacing w:line="360" w:lineRule="auto"/>
              <w:ind w:left="105" w:leftChars="50"/>
              <w:jc w:val="left"/>
              <w:rPr>
                <w:rFonts w:ascii="宋体" w:hAnsi="宋体" w:cs="宋体"/>
                <w:szCs w:val="21"/>
              </w:rPr>
            </w:pPr>
            <w:r>
              <w:rPr>
                <w:rFonts w:hint="eastAsia" w:ascii="宋体" w:hAnsi="宋体" w:cs="宋体"/>
                <w:kern w:val="0"/>
                <w:szCs w:val="21"/>
              </w:rPr>
              <w:t>招标代理费</w:t>
            </w:r>
          </w:p>
        </w:tc>
        <w:tc>
          <w:tcPr>
            <w:tcW w:w="5107" w:type="dxa"/>
            <w:vAlign w:val="center"/>
          </w:tcPr>
          <w:p>
            <w:pPr>
              <w:spacing w:line="360" w:lineRule="auto"/>
              <w:ind w:left="105" w:leftChars="50"/>
              <w:jc w:val="left"/>
              <w:rPr>
                <w:rFonts w:ascii="宋体" w:hAnsi="宋体" w:cs="宋体"/>
                <w:szCs w:val="21"/>
              </w:rPr>
            </w:pPr>
            <w:r>
              <w:rPr>
                <w:rFonts w:ascii="宋体" w:hAnsi="宋体" w:cs="宋体"/>
                <w:szCs w:val="21"/>
              </w:rPr>
              <w:t>参照原国家计委《招标代理服务收费管理暂行办法》（计价格【2002】1980号）的有关规定，以中标额为计算基础按照下述给定费率，采用差额定率累进法计算招标代理服务费，招标代理服务费由中标人支付。</w:t>
            </w:r>
          </w:p>
          <w:p>
            <w:pPr>
              <w:spacing w:line="360" w:lineRule="auto"/>
              <w:ind w:left="105" w:leftChars="50"/>
              <w:jc w:val="left"/>
              <w:rPr>
                <w:rFonts w:ascii="宋体" w:hAnsi="宋体" w:cs="宋体"/>
                <w:kern w:val="0"/>
                <w:szCs w:val="21"/>
              </w:rPr>
            </w:pPr>
            <w:r>
              <w:rPr>
                <w:rFonts w:hint="eastAsia" w:ascii="宋体" w:hAnsi="宋体" w:cs="宋体"/>
                <w:szCs w:val="21"/>
              </w:rPr>
              <w:t>中标单位须在领取中标通知书前向本项目招标代理机构支付招标代理费用。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360" w:lineRule="auto"/>
              <w:ind w:left="105" w:leftChars="50"/>
              <w:jc w:val="center"/>
              <w:rPr>
                <w:rFonts w:ascii="宋体" w:hAnsi="宋体" w:cs="宋体"/>
                <w:kern w:val="0"/>
                <w:szCs w:val="21"/>
              </w:rPr>
            </w:pPr>
            <w:r>
              <w:rPr>
                <w:rFonts w:hint="eastAsia" w:ascii="宋体" w:hAnsi="宋体" w:cs="宋体"/>
                <w:szCs w:val="21"/>
              </w:rPr>
              <w:t>11.2</w:t>
            </w:r>
          </w:p>
        </w:tc>
        <w:tc>
          <w:tcPr>
            <w:tcW w:w="2498" w:type="dxa"/>
            <w:gridSpan w:val="2"/>
            <w:vAlign w:val="center"/>
          </w:tcPr>
          <w:p>
            <w:pPr>
              <w:spacing w:line="360" w:lineRule="auto"/>
              <w:ind w:left="105" w:leftChars="50"/>
              <w:rPr>
                <w:rFonts w:ascii="宋体" w:hAnsi="宋体" w:cs="宋体"/>
                <w:szCs w:val="21"/>
              </w:rPr>
            </w:pPr>
            <w:r>
              <w:rPr>
                <w:rFonts w:hint="eastAsia" w:ascii="宋体" w:hAnsi="宋体" w:cs="宋体"/>
                <w:szCs w:val="21"/>
              </w:rPr>
              <w:t>开标注意事项</w:t>
            </w:r>
          </w:p>
        </w:tc>
        <w:tc>
          <w:tcPr>
            <w:tcW w:w="5107" w:type="dxa"/>
            <w:vAlign w:val="center"/>
          </w:tcPr>
          <w:p>
            <w:pPr>
              <w:spacing w:line="360" w:lineRule="auto"/>
              <w:ind w:left="105" w:leftChars="50"/>
              <w:rPr>
                <w:rFonts w:ascii="宋体" w:hAnsi="宋体" w:cs="宋体"/>
                <w:b/>
                <w:szCs w:val="21"/>
              </w:rPr>
            </w:pPr>
            <w:r>
              <w:rPr>
                <w:rFonts w:ascii="宋体" w:hAnsi="宋体" w:cs="宋体"/>
                <w:kern w:val="0"/>
                <w:szCs w:val="21"/>
              </w:rPr>
              <w:t>采购人邀请所有投标人的法定代表人或其委托代理人参加开标会。投标人的法定代表人或其委托代理人应当按时参加开标会，提交法定代表人身份证明文件或法定代表人授权委托书，出示本人身份证，并签名报到以证明其出席。如不出席</w:t>
            </w:r>
            <w:r>
              <w:rPr>
                <w:rFonts w:hint="eastAsia" w:ascii="宋体" w:hAnsi="宋体" w:cs="宋体"/>
                <w:kern w:val="0"/>
                <w:szCs w:val="21"/>
              </w:rPr>
              <w:t>后期不得对</w:t>
            </w:r>
            <w:r>
              <w:rPr>
                <w:rFonts w:ascii="宋体" w:hAnsi="宋体" w:cs="宋体"/>
                <w:kern w:val="0"/>
                <w:szCs w:val="21"/>
              </w:rPr>
              <w:t>对开标</w:t>
            </w:r>
            <w:r>
              <w:rPr>
                <w:rFonts w:hint="eastAsia" w:ascii="宋体" w:hAnsi="宋体" w:cs="宋体"/>
                <w:kern w:val="0"/>
                <w:szCs w:val="21"/>
              </w:rPr>
              <w:t>过程</w:t>
            </w:r>
            <w:r>
              <w:rPr>
                <w:rFonts w:ascii="宋体" w:hAnsi="宋体" w:cs="宋体"/>
                <w:kern w:val="0"/>
                <w:szCs w:val="21"/>
              </w:rPr>
              <w:t>提出任何异议。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trPr>
        <w:tc>
          <w:tcPr>
            <w:tcW w:w="1008" w:type="dxa"/>
            <w:vAlign w:val="center"/>
          </w:tcPr>
          <w:p>
            <w:pPr>
              <w:spacing w:line="420" w:lineRule="exact"/>
              <w:jc w:val="center"/>
              <w:rPr>
                <w:rFonts w:eastAsia="Arial Unicode MS"/>
                <w:szCs w:val="21"/>
              </w:rPr>
            </w:pPr>
            <w:r>
              <w:rPr>
                <w:szCs w:val="21"/>
              </w:rPr>
              <w:t>11.3</w:t>
            </w:r>
          </w:p>
        </w:tc>
        <w:tc>
          <w:tcPr>
            <w:tcW w:w="2498" w:type="dxa"/>
            <w:gridSpan w:val="2"/>
            <w:vAlign w:val="center"/>
          </w:tcPr>
          <w:p>
            <w:pPr>
              <w:spacing w:line="420" w:lineRule="exact"/>
              <w:jc w:val="center"/>
              <w:rPr>
                <w:rFonts w:eastAsia="新宋体"/>
                <w:b/>
                <w:szCs w:val="21"/>
              </w:rPr>
            </w:pPr>
            <w:r>
              <w:rPr>
                <w:szCs w:val="21"/>
              </w:rPr>
              <w:t>知识产权</w:t>
            </w:r>
          </w:p>
        </w:tc>
        <w:tc>
          <w:tcPr>
            <w:tcW w:w="5107" w:type="dxa"/>
            <w:vAlign w:val="center"/>
          </w:tcPr>
          <w:p>
            <w:pPr>
              <w:ind w:right="55" w:rightChars="26"/>
              <w:rPr>
                <w:rFonts w:eastAsia="新宋体"/>
                <w:b/>
                <w:szCs w:val="21"/>
              </w:rPr>
            </w:pPr>
            <w:r>
              <w:rPr>
                <w:kern w:val="0"/>
                <w:szCs w:val="21"/>
              </w:rPr>
              <w:t>构成本采购文件各个组成部分的文件，未经采购人书面同意，投标人不得擅自复印和用于非本招标项目所需的其他目的。采购人全部或者部分使用未中标人投标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360" w:lineRule="auto"/>
              <w:ind w:left="105" w:leftChars="50"/>
              <w:jc w:val="center"/>
              <w:rPr>
                <w:rFonts w:ascii="宋体" w:hAnsi="宋体" w:cs="宋体"/>
                <w:szCs w:val="21"/>
              </w:rPr>
            </w:pPr>
            <w:r>
              <w:rPr>
                <w:rFonts w:hint="eastAsia" w:ascii="宋体" w:hAnsi="宋体" w:cs="宋体"/>
                <w:szCs w:val="21"/>
              </w:rPr>
              <w:t>11.4</w:t>
            </w:r>
          </w:p>
        </w:tc>
        <w:tc>
          <w:tcPr>
            <w:tcW w:w="2498" w:type="dxa"/>
            <w:gridSpan w:val="2"/>
            <w:vAlign w:val="center"/>
          </w:tcPr>
          <w:p>
            <w:pPr>
              <w:spacing w:line="360" w:lineRule="auto"/>
              <w:ind w:left="105" w:leftChars="50"/>
              <w:jc w:val="center"/>
              <w:rPr>
                <w:rFonts w:ascii="宋体" w:hAnsi="宋体" w:cs="宋体"/>
                <w:szCs w:val="21"/>
              </w:rPr>
            </w:pPr>
            <w:r>
              <w:rPr>
                <w:rFonts w:hint="eastAsia" w:ascii="宋体" w:hAnsi="宋体" w:cs="宋体"/>
                <w:szCs w:val="21"/>
              </w:rPr>
              <w:t>其它</w:t>
            </w:r>
          </w:p>
        </w:tc>
        <w:tc>
          <w:tcPr>
            <w:tcW w:w="5107" w:type="dxa"/>
            <w:vAlign w:val="center"/>
          </w:tcPr>
          <w:p>
            <w:pPr>
              <w:spacing w:line="360" w:lineRule="auto"/>
              <w:ind w:left="105" w:leftChars="50"/>
              <w:rPr>
                <w:rFonts w:ascii="宋体" w:hAnsi="宋体" w:cs="宋体"/>
                <w:b/>
                <w:kern w:val="0"/>
                <w:szCs w:val="21"/>
              </w:rPr>
            </w:pPr>
            <w:r>
              <w:rPr>
                <w:rFonts w:hint="eastAsia" w:ascii="宋体" w:hAnsi="宋体" w:cs="宋体"/>
                <w:bCs/>
                <w:kern w:val="0"/>
                <w:szCs w:val="21"/>
              </w:rPr>
              <w:t>项目如有需要，本项目中标社会资本方需配合采购人完善项目前期工作。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420" w:lineRule="exact"/>
              <w:jc w:val="center"/>
              <w:rPr>
                <w:rFonts w:eastAsia="Arial Unicode MS"/>
                <w:szCs w:val="21"/>
              </w:rPr>
            </w:pPr>
            <w:r>
              <w:rPr>
                <w:szCs w:val="21"/>
              </w:rPr>
              <w:t>11.</w:t>
            </w:r>
            <w:r>
              <w:rPr>
                <w:rFonts w:hint="eastAsia"/>
                <w:szCs w:val="21"/>
              </w:rPr>
              <w:t>5</w:t>
            </w:r>
          </w:p>
        </w:tc>
        <w:tc>
          <w:tcPr>
            <w:tcW w:w="2498" w:type="dxa"/>
            <w:gridSpan w:val="2"/>
            <w:vAlign w:val="center"/>
          </w:tcPr>
          <w:p>
            <w:pPr>
              <w:spacing w:line="420" w:lineRule="exact"/>
              <w:jc w:val="center"/>
              <w:rPr>
                <w:rFonts w:eastAsia="新宋体"/>
                <w:b/>
                <w:szCs w:val="21"/>
              </w:rPr>
            </w:pPr>
            <w:r>
              <w:rPr>
                <w:szCs w:val="21"/>
              </w:rPr>
              <w:t>监督</w:t>
            </w:r>
          </w:p>
        </w:tc>
        <w:tc>
          <w:tcPr>
            <w:tcW w:w="5107" w:type="dxa"/>
            <w:vAlign w:val="center"/>
          </w:tcPr>
          <w:p>
            <w:pPr>
              <w:spacing w:line="400" w:lineRule="exact"/>
              <w:ind w:right="53" w:rightChars="25"/>
              <w:rPr>
                <w:rFonts w:eastAsia="新宋体"/>
                <w:b/>
                <w:szCs w:val="21"/>
              </w:rPr>
            </w:pPr>
            <w:r>
              <w:rPr>
                <w:kern w:val="0"/>
                <w:szCs w:val="21"/>
              </w:rPr>
              <w:t>本项目的招标投标活动及其相关当事人应当接受相关行政监督部门依法实施的监督。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pacing w:line="420" w:lineRule="exact"/>
              <w:jc w:val="center"/>
              <w:rPr>
                <w:szCs w:val="21"/>
              </w:rPr>
            </w:pPr>
            <w:r>
              <w:rPr>
                <w:rFonts w:hint="eastAsia"/>
                <w:szCs w:val="21"/>
              </w:rPr>
              <w:t>其他</w:t>
            </w:r>
          </w:p>
        </w:tc>
        <w:tc>
          <w:tcPr>
            <w:tcW w:w="7605" w:type="dxa"/>
            <w:gridSpan w:val="3"/>
            <w:vAlign w:val="center"/>
          </w:tcPr>
          <w:p>
            <w:pPr>
              <w:spacing w:line="400" w:lineRule="exact"/>
              <w:ind w:right="53" w:rightChars="25"/>
              <w:rPr>
                <w:kern w:val="0"/>
                <w:szCs w:val="21"/>
              </w:rPr>
            </w:pPr>
            <w:r>
              <w:rPr>
                <w:rFonts w:hint="eastAsia"/>
                <w:kern w:val="0"/>
                <w:szCs w:val="21"/>
              </w:rPr>
              <w:t>因重大变故（包括但不限于PPP项目入库、相关政策调整等相关因素）导致采购任务取消、终止招标的，采购人或者采购代理机构应当及时在原公告发布媒体上发布终止公告，并将项目实施情况和采购任务取消原因报告本级财政部门。已经收取投标保证金的，采购人或者采购代理机构应当在终止采购活动后5个工作日内，退还所收取的所收取的投标保证金。</w:t>
            </w:r>
          </w:p>
        </w:tc>
      </w:tr>
    </w:tbl>
    <w:p>
      <w:pPr>
        <w:pStyle w:val="9"/>
        <w:rPr>
          <w:rFonts w:cs="Arial"/>
          <w:sz w:val="24"/>
          <w:szCs w:val="24"/>
        </w:rPr>
      </w:pPr>
      <w:r>
        <w:rPr>
          <w:rFonts w:hint="eastAsia" w:cs="Arial"/>
          <w:sz w:val="28"/>
          <w:szCs w:val="28"/>
        </w:rPr>
        <w:br w:type="page"/>
      </w:r>
      <w:bookmarkStart w:id="40" w:name="_Toc534812996"/>
      <w:bookmarkStart w:id="41" w:name="_Toc531614618"/>
      <w:r>
        <w:rPr>
          <w:rFonts w:hint="eastAsia" w:cs="Arial"/>
          <w:sz w:val="24"/>
          <w:szCs w:val="24"/>
        </w:rPr>
        <w:t xml:space="preserve">1. </w:t>
      </w:r>
      <w:r>
        <w:rPr>
          <w:rFonts w:cs="Arial"/>
          <w:sz w:val="24"/>
          <w:szCs w:val="24"/>
        </w:rPr>
        <w:t>说明</w:t>
      </w:r>
      <w:bookmarkEnd w:id="35"/>
      <w:bookmarkEnd w:id="36"/>
      <w:bookmarkEnd w:id="40"/>
      <w:bookmarkEnd w:id="41"/>
    </w:p>
    <w:p>
      <w:pPr>
        <w:pStyle w:val="10"/>
        <w:rPr>
          <w:rFonts w:ascii="Arial" w:hAnsi="Arial" w:eastAsia="黑体" w:cs="Arial"/>
          <w:sz w:val="21"/>
          <w:szCs w:val="21"/>
        </w:rPr>
      </w:pPr>
      <w:bookmarkStart w:id="42" w:name="_Toc103539102"/>
      <w:bookmarkStart w:id="43" w:name="_Toc88230387"/>
      <w:bookmarkStart w:id="44" w:name="_Toc192241080"/>
      <w:bookmarkStart w:id="45" w:name="_Toc358029655"/>
      <w:bookmarkStart w:id="46" w:name="_Toc103539887"/>
      <w:bookmarkStart w:id="47" w:name="_Toc414277115"/>
      <w:bookmarkStart w:id="48" w:name="_Toc192240681"/>
      <w:r>
        <w:rPr>
          <w:rFonts w:ascii="Arial" w:hAnsi="Arial" w:eastAsia="黑体" w:cs="Arial"/>
          <w:sz w:val="21"/>
          <w:szCs w:val="21"/>
        </w:rPr>
        <w:t>1</w:t>
      </w:r>
      <w:r>
        <w:rPr>
          <w:rFonts w:hint="eastAsia" w:ascii="Arial" w:hAnsi="Arial" w:eastAsia="黑体" w:cs="Arial"/>
          <w:sz w:val="21"/>
          <w:szCs w:val="21"/>
        </w:rPr>
        <w:t>.1</w:t>
      </w:r>
      <w:r>
        <w:rPr>
          <w:rFonts w:ascii="Arial" w:hAnsi="Arial" w:eastAsia="黑体" w:cs="Arial"/>
          <w:sz w:val="21"/>
          <w:szCs w:val="21"/>
        </w:rPr>
        <w:t xml:space="preserve"> 定义</w:t>
      </w:r>
      <w:bookmarkEnd w:id="42"/>
      <w:bookmarkEnd w:id="43"/>
      <w:bookmarkEnd w:id="44"/>
      <w:bookmarkEnd w:id="45"/>
      <w:bookmarkEnd w:id="46"/>
      <w:bookmarkEnd w:id="47"/>
      <w:bookmarkEnd w:id="48"/>
    </w:p>
    <w:p>
      <w:pPr>
        <w:spacing w:line="360" w:lineRule="auto"/>
        <w:ind w:firstLine="420" w:firstLineChars="200"/>
        <w:rPr>
          <w:rFonts w:ascii="宋体" w:hAnsi="宋体" w:cs="Arial"/>
          <w:szCs w:val="21"/>
        </w:rPr>
      </w:pPr>
      <w:r>
        <w:rPr>
          <w:rFonts w:hint="eastAsia" w:ascii="宋体" w:hAnsi="宋体" w:cs="Arial"/>
          <w:szCs w:val="21"/>
        </w:rPr>
        <w:t xml:space="preserve">1.1.1 PPP项目采购是指政府为达成权利义务平衡、物有所值的PPP项目合同，遵循公开、公平、公正和诚实信用原则，按照相关法规要求完成PPP项目识别和准备等前期工作后，依法选择社会资本合作者的过程。 </w:t>
      </w:r>
    </w:p>
    <w:p>
      <w:pPr>
        <w:spacing w:line="360" w:lineRule="auto"/>
        <w:ind w:firstLine="420" w:firstLineChars="200"/>
        <w:rPr>
          <w:rFonts w:ascii="宋体" w:hAnsi="宋体" w:cs="Arial"/>
          <w:szCs w:val="21"/>
        </w:rPr>
      </w:pPr>
      <w:r>
        <w:rPr>
          <w:rFonts w:hint="eastAsia" w:ascii="宋体" w:hAnsi="宋体" w:cs="Arial"/>
          <w:szCs w:val="21"/>
        </w:rPr>
        <w:t>1.1.2社会资本方是指已建立现代企业制度的境内外企业法人，但不包括本级政府所属融资平台公司及其他控股国有企业（</w:t>
      </w:r>
      <w:r>
        <w:rPr>
          <w:rFonts w:ascii="宋体" w:hAnsi="宋体" w:cs="Arial"/>
          <w:szCs w:val="21"/>
        </w:rPr>
        <w:t>符合《国务院办公厅转发财政部、国家发展改革委、中国人民银行关于在公共服务领域推广政府和社会资本合作模式的指导意见的通知》国办发[2015]42号文件规定的除外</w:t>
      </w:r>
      <w:r>
        <w:rPr>
          <w:rFonts w:hint="eastAsia" w:ascii="宋体" w:hAnsi="宋体" w:cs="Arial"/>
          <w:szCs w:val="21"/>
        </w:rPr>
        <w:t>）。</w:t>
      </w:r>
    </w:p>
    <w:p>
      <w:pPr>
        <w:spacing w:line="360" w:lineRule="auto"/>
        <w:ind w:firstLine="420" w:firstLineChars="200"/>
        <w:rPr>
          <w:rFonts w:ascii="宋体" w:hAnsi="宋体" w:cs="Arial"/>
          <w:szCs w:val="21"/>
        </w:rPr>
      </w:pPr>
      <w:r>
        <w:rPr>
          <w:rFonts w:hint="eastAsia" w:ascii="宋体" w:hAnsi="宋体" w:cs="Arial"/>
          <w:szCs w:val="21"/>
        </w:rPr>
        <w:t>1.1.3项目实施机构，政府或其指定的有关职能部门或事业单位可作为项目实施机构，负责项目准备、采购监管和移交等工作。</w:t>
      </w:r>
    </w:p>
    <w:p>
      <w:pPr>
        <w:spacing w:line="360" w:lineRule="auto"/>
        <w:ind w:firstLine="420" w:firstLineChars="200"/>
        <w:rPr>
          <w:rFonts w:ascii="宋体" w:hAnsi="宋体" w:cs="Arial"/>
          <w:szCs w:val="21"/>
        </w:rPr>
      </w:pPr>
      <w:r>
        <w:rPr>
          <w:rFonts w:hint="eastAsia" w:ascii="宋体" w:hAnsi="宋体" w:cs="Arial"/>
          <w:szCs w:val="21"/>
        </w:rPr>
        <w:t>1.1.4全生命周期（Whole Life Cycle）是指项目从设计、融资、建造、运营、维护至终止移交的完整周期。</w:t>
      </w:r>
    </w:p>
    <w:p>
      <w:pPr>
        <w:spacing w:line="360" w:lineRule="auto"/>
        <w:ind w:firstLine="420" w:firstLineChars="200"/>
        <w:rPr>
          <w:rFonts w:ascii="宋体" w:hAnsi="宋体" w:cs="Arial"/>
          <w:szCs w:val="21"/>
        </w:rPr>
      </w:pPr>
      <w:r>
        <w:rPr>
          <w:rFonts w:hint="eastAsia" w:ascii="宋体" w:hAnsi="宋体" w:cs="Arial"/>
          <w:szCs w:val="21"/>
        </w:rPr>
        <w:t>1.1.5</w:t>
      </w:r>
      <w:r>
        <w:rPr>
          <w:rFonts w:ascii="宋体" w:hAnsi="宋体" w:cs="Arial"/>
          <w:szCs w:val="21"/>
        </w:rPr>
        <w:t>产出说明（Output Specification），是指项目建成后项目资产所应达到的经济、技术标准，以及公共产品和服务的交付范围、标准和绩效水平等。</w:t>
      </w:r>
    </w:p>
    <w:p>
      <w:pPr>
        <w:spacing w:line="360" w:lineRule="auto"/>
        <w:ind w:firstLine="420" w:firstLineChars="200"/>
        <w:rPr>
          <w:rFonts w:ascii="宋体" w:hAnsi="宋体" w:cs="Arial"/>
          <w:szCs w:val="21"/>
        </w:rPr>
      </w:pPr>
      <w:r>
        <w:rPr>
          <w:rFonts w:hint="eastAsia" w:ascii="宋体" w:hAnsi="宋体" w:cs="Arial"/>
          <w:szCs w:val="21"/>
        </w:rPr>
        <w:t>1.1.6物有所值（Value For Money）是指一个组织（多指政府）运用其可利用资源所能获得的长期最大利益。</w:t>
      </w:r>
    </w:p>
    <w:p>
      <w:pPr>
        <w:spacing w:line="360" w:lineRule="auto"/>
        <w:ind w:firstLine="420" w:firstLineChars="200"/>
        <w:rPr>
          <w:rFonts w:ascii="宋体" w:hAnsi="宋体" w:cs="Arial"/>
          <w:szCs w:val="21"/>
        </w:rPr>
      </w:pPr>
      <w:r>
        <w:rPr>
          <w:rFonts w:hint="eastAsia" w:ascii="宋体" w:hAnsi="宋体" w:cs="Arial"/>
          <w:szCs w:val="21"/>
        </w:rPr>
        <w:t>1.1.7</w:t>
      </w:r>
      <w:r>
        <w:rPr>
          <w:rFonts w:ascii="宋体" w:hAnsi="宋体" w:cs="Arial"/>
          <w:szCs w:val="21"/>
        </w:rPr>
        <w:t>公共部门比较值（Public Sector Comparator, PSC），是指在全生命周期内，政府采用传统采购模式提供公共产品和服务的全部成本的现值，主要包括建设运营净成本、可转移风险承担成本、自留风险承担成本和竞争性中立调整成本等。</w:t>
      </w:r>
    </w:p>
    <w:p>
      <w:pPr>
        <w:spacing w:line="360" w:lineRule="auto"/>
        <w:ind w:firstLine="420" w:firstLineChars="200"/>
        <w:rPr>
          <w:rFonts w:ascii="宋体" w:hAnsi="宋体" w:cs="Arial"/>
          <w:szCs w:val="21"/>
        </w:rPr>
      </w:pPr>
      <w:r>
        <w:rPr>
          <w:rFonts w:hint="eastAsia" w:ascii="宋体" w:hAnsi="宋体" w:cs="Arial"/>
          <w:szCs w:val="21"/>
        </w:rPr>
        <w:t>1.1.8</w:t>
      </w:r>
      <w:r>
        <w:rPr>
          <w:rFonts w:ascii="宋体" w:hAnsi="宋体" w:cs="Arial"/>
          <w:szCs w:val="21"/>
        </w:rPr>
        <w:t>使用者付费（User Charge），是指由最终消费用户直接付费购买公共产品和服务。</w:t>
      </w:r>
    </w:p>
    <w:p>
      <w:pPr>
        <w:spacing w:line="360" w:lineRule="auto"/>
        <w:ind w:firstLine="420" w:firstLineChars="200"/>
        <w:rPr>
          <w:rFonts w:ascii="宋体" w:hAnsi="宋体" w:cs="Arial"/>
          <w:szCs w:val="21"/>
        </w:rPr>
      </w:pPr>
      <w:r>
        <w:rPr>
          <w:rFonts w:hint="eastAsia" w:ascii="宋体" w:hAnsi="宋体" w:cs="Arial"/>
          <w:szCs w:val="21"/>
        </w:rPr>
        <w:t>1.1.9</w:t>
      </w:r>
      <w:r>
        <w:rPr>
          <w:rFonts w:ascii="宋体" w:hAnsi="宋体" w:cs="Arial"/>
          <w:szCs w:val="21"/>
        </w:rPr>
        <w:t>可行性缺口补助（Viability Gap Funding），是指使用者付费不足以满足社会资本或项目公司成本回收和合理回报，而由政府以财政补贴、股本投入、优惠贷款和其他优惠政策的形式，给予社会资本或项目公司的经济补助。</w:t>
      </w:r>
    </w:p>
    <w:p>
      <w:pPr>
        <w:spacing w:line="360" w:lineRule="auto"/>
        <w:ind w:firstLine="420" w:firstLineChars="200"/>
        <w:rPr>
          <w:rFonts w:ascii="宋体" w:hAnsi="宋体" w:cs="Arial"/>
          <w:szCs w:val="21"/>
        </w:rPr>
      </w:pPr>
      <w:r>
        <w:rPr>
          <w:rFonts w:hint="eastAsia" w:ascii="宋体" w:hAnsi="宋体" w:cs="Arial"/>
          <w:szCs w:val="21"/>
        </w:rPr>
        <w:t>1.1.10</w:t>
      </w:r>
      <w:r>
        <w:rPr>
          <w:rFonts w:ascii="宋体" w:hAnsi="宋体" w:cs="Arial"/>
          <w:szCs w:val="21"/>
        </w:rPr>
        <w:t>政府付费（Government Payment），是指政府直接付费购买公共产品和服务，主要包括可用性付费 （Availability Payment） 、使用量付费 （Usage Payment） 和绩效付费（Performance Payment）。政府付费的依据主要是设施可用性、产品和服务使用量和质量等要素。</w:t>
      </w:r>
    </w:p>
    <w:p>
      <w:pPr>
        <w:spacing w:line="360" w:lineRule="auto"/>
        <w:ind w:firstLine="420" w:firstLineChars="200"/>
        <w:rPr>
          <w:rFonts w:ascii="宋体" w:hAnsi="宋体" w:cs="Arial"/>
          <w:szCs w:val="21"/>
        </w:rPr>
      </w:pPr>
      <w:r>
        <w:rPr>
          <w:rFonts w:hint="eastAsia" w:ascii="宋体" w:hAnsi="宋体" w:cs="Arial"/>
          <w:szCs w:val="21"/>
        </w:rPr>
        <w:t>1.1.11 PPP运作方式主要包括</w:t>
      </w:r>
      <w:r>
        <w:rPr>
          <w:rFonts w:ascii="宋体" w:hAnsi="宋体" w:cs="Arial"/>
          <w:szCs w:val="21"/>
        </w:rPr>
        <w:t>委托运营（Operations &amp; Maintenance，O&amp;M）</w:t>
      </w:r>
      <w:r>
        <w:rPr>
          <w:rFonts w:hint="eastAsia" w:ascii="宋体" w:hAnsi="宋体" w:cs="Arial"/>
          <w:szCs w:val="21"/>
        </w:rPr>
        <w:t>、</w:t>
      </w:r>
      <w:r>
        <w:rPr>
          <w:rFonts w:ascii="宋体" w:hAnsi="宋体" w:cs="Arial"/>
          <w:szCs w:val="21"/>
        </w:rPr>
        <w:t>管理合同（Management Contract，MC）</w:t>
      </w:r>
      <w:r>
        <w:rPr>
          <w:rFonts w:hint="eastAsia" w:ascii="宋体" w:hAnsi="宋体" w:cs="Arial"/>
          <w:szCs w:val="21"/>
        </w:rPr>
        <w:t>、</w:t>
      </w:r>
      <w:r>
        <w:rPr>
          <w:rFonts w:ascii="宋体" w:hAnsi="宋体" w:cs="Arial"/>
          <w:szCs w:val="21"/>
        </w:rPr>
        <w:t>建设-运营-移交（Build-Operate-Transfer，BOT）</w:t>
      </w:r>
      <w:r>
        <w:rPr>
          <w:rFonts w:hint="eastAsia" w:ascii="宋体" w:hAnsi="宋体" w:cs="Arial"/>
          <w:szCs w:val="21"/>
        </w:rPr>
        <w:t>、</w:t>
      </w:r>
      <w:r>
        <w:rPr>
          <w:rFonts w:ascii="宋体" w:hAnsi="宋体" w:cs="Arial"/>
          <w:szCs w:val="21"/>
        </w:rPr>
        <w:t>建设-拥有-运营（Build-Own-Operate，BOO）</w:t>
      </w:r>
      <w:r>
        <w:rPr>
          <w:rFonts w:hint="eastAsia" w:ascii="宋体" w:hAnsi="宋体" w:cs="Arial"/>
          <w:szCs w:val="21"/>
        </w:rPr>
        <w:t>、</w:t>
      </w:r>
      <w:r>
        <w:rPr>
          <w:rFonts w:ascii="宋体" w:hAnsi="宋体" w:cs="Arial"/>
          <w:szCs w:val="21"/>
        </w:rPr>
        <w:t>转让-运营-移交（Transfer-Operate-Transfer，TOT）</w:t>
      </w:r>
      <w:r>
        <w:rPr>
          <w:rFonts w:hint="eastAsia" w:ascii="宋体" w:hAnsi="宋体" w:cs="Arial"/>
          <w:szCs w:val="21"/>
        </w:rPr>
        <w:t>、</w:t>
      </w:r>
      <w:r>
        <w:rPr>
          <w:rFonts w:ascii="宋体" w:hAnsi="宋体" w:cs="Arial"/>
          <w:szCs w:val="21"/>
        </w:rPr>
        <w:t>改建-运营-移交（Rehabilitate-Operate-Transfer，ROT）</w:t>
      </w:r>
      <w:r>
        <w:rPr>
          <w:rFonts w:hint="eastAsia" w:ascii="宋体" w:hAnsi="宋体" w:cs="Arial"/>
          <w:szCs w:val="21"/>
        </w:rPr>
        <w:t>等。</w:t>
      </w:r>
    </w:p>
    <w:p>
      <w:pPr>
        <w:pStyle w:val="10"/>
        <w:rPr>
          <w:rFonts w:ascii="Arial" w:hAnsi="Arial" w:eastAsia="黑体" w:cs="Arial"/>
          <w:sz w:val="21"/>
          <w:szCs w:val="21"/>
        </w:rPr>
      </w:pPr>
      <w:bookmarkStart w:id="49" w:name="_Toc319573812"/>
      <w:r>
        <w:rPr>
          <w:rFonts w:hint="eastAsia" w:ascii="Arial" w:hAnsi="Arial" w:eastAsia="黑体" w:cs="Arial"/>
          <w:sz w:val="21"/>
          <w:szCs w:val="21"/>
        </w:rPr>
        <w:t>1.2 PPP项目采购须具备条件</w:t>
      </w:r>
    </w:p>
    <w:p>
      <w:pPr>
        <w:spacing w:line="360" w:lineRule="auto"/>
        <w:ind w:firstLine="420" w:firstLineChars="200"/>
        <w:rPr>
          <w:rFonts w:ascii="宋体" w:hAnsi="宋体" w:cs="Arial"/>
          <w:szCs w:val="21"/>
        </w:rPr>
      </w:pPr>
      <w:r>
        <w:rPr>
          <w:rFonts w:hint="eastAsia" w:ascii="宋体" w:hAnsi="宋体" w:cs="Arial"/>
          <w:szCs w:val="21"/>
        </w:rPr>
        <w:t>1.2.1物有所值评价报告及财政部门意见。</w:t>
      </w:r>
    </w:p>
    <w:p>
      <w:pPr>
        <w:spacing w:line="360" w:lineRule="auto"/>
        <w:ind w:firstLine="420" w:firstLineChars="200"/>
        <w:rPr>
          <w:rFonts w:ascii="宋体" w:hAnsi="宋体" w:cs="Arial"/>
          <w:szCs w:val="21"/>
        </w:rPr>
      </w:pPr>
      <w:r>
        <w:rPr>
          <w:rFonts w:hint="eastAsia" w:ascii="宋体" w:hAnsi="宋体" w:cs="Arial"/>
          <w:szCs w:val="21"/>
        </w:rPr>
        <w:t>1.2.2财政承受能力论证报告及财政部门意见。</w:t>
      </w:r>
    </w:p>
    <w:p>
      <w:pPr>
        <w:spacing w:line="360" w:lineRule="auto"/>
        <w:ind w:firstLine="420" w:firstLineChars="200"/>
        <w:rPr>
          <w:rFonts w:ascii="宋体" w:hAnsi="宋体" w:cs="Arial"/>
          <w:szCs w:val="21"/>
        </w:rPr>
      </w:pPr>
      <w:r>
        <w:rPr>
          <w:rFonts w:hint="eastAsia" w:ascii="宋体" w:hAnsi="宋体" w:cs="Arial"/>
          <w:szCs w:val="21"/>
        </w:rPr>
        <w:t>1.2.3项目正式实施方案及政府审核意见。</w:t>
      </w:r>
    </w:p>
    <w:p>
      <w:pPr>
        <w:spacing w:line="360" w:lineRule="auto"/>
        <w:ind w:firstLine="420" w:firstLineChars="200"/>
        <w:rPr>
          <w:rFonts w:ascii="宋体" w:hAnsi="宋体" w:cs="Arial"/>
          <w:szCs w:val="21"/>
        </w:rPr>
      </w:pPr>
      <w:r>
        <w:rPr>
          <w:rFonts w:hint="eastAsia" w:ascii="宋体" w:hAnsi="宋体" w:cs="Arial"/>
          <w:szCs w:val="21"/>
        </w:rPr>
        <w:t>1.2.</w:t>
      </w:r>
      <w:r>
        <w:rPr>
          <w:rFonts w:ascii="宋体" w:hAnsi="宋体" w:cs="Arial"/>
          <w:szCs w:val="21"/>
        </w:rPr>
        <w:t>4</w:t>
      </w:r>
      <w:r>
        <w:rPr>
          <w:rFonts w:hint="eastAsia" w:ascii="宋体" w:hAnsi="宋体" w:cs="Arial"/>
          <w:szCs w:val="21"/>
        </w:rPr>
        <w:t>其它相关审批文件。</w:t>
      </w:r>
    </w:p>
    <w:p>
      <w:pPr>
        <w:pStyle w:val="10"/>
        <w:rPr>
          <w:rFonts w:ascii="Arial" w:hAnsi="Arial" w:eastAsia="黑体" w:cs="Arial"/>
          <w:sz w:val="21"/>
          <w:szCs w:val="21"/>
        </w:rPr>
      </w:pPr>
      <w:r>
        <w:rPr>
          <w:rFonts w:hint="eastAsia" w:ascii="Arial" w:hAnsi="Arial" w:eastAsia="黑体" w:cs="Arial"/>
          <w:sz w:val="21"/>
          <w:szCs w:val="21"/>
        </w:rPr>
        <w:t xml:space="preserve">1.3 </w:t>
      </w:r>
      <w:r>
        <w:rPr>
          <w:rFonts w:ascii="Arial" w:hAnsi="Arial" w:eastAsia="黑体" w:cs="Arial"/>
          <w:sz w:val="21"/>
          <w:szCs w:val="21"/>
        </w:rPr>
        <w:t>采购当事人</w:t>
      </w:r>
    </w:p>
    <w:p>
      <w:pPr>
        <w:spacing w:line="360" w:lineRule="auto"/>
        <w:ind w:firstLine="420" w:firstLineChars="200"/>
        <w:rPr>
          <w:rFonts w:ascii="宋体" w:hAnsi="宋体" w:cs="Arial"/>
          <w:szCs w:val="21"/>
        </w:rPr>
      </w:pPr>
      <w:r>
        <w:rPr>
          <w:rFonts w:hint="eastAsia" w:ascii="宋体" w:hAnsi="宋体" w:cs="Arial"/>
          <w:szCs w:val="21"/>
        </w:rPr>
        <w:t>1.3.</w:t>
      </w:r>
      <w:r>
        <w:rPr>
          <w:rFonts w:ascii="宋体" w:hAnsi="宋体" w:cs="Arial"/>
          <w:szCs w:val="21"/>
        </w:rPr>
        <w:t xml:space="preserve">1 </w:t>
      </w:r>
      <w:r>
        <w:rPr>
          <w:rFonts w:hint="eastAsia" w:ascii="宋体" w:hAnsi="宋体" w:cs="Arial"/>
          <w:szCs w:val="21"/>
        </w:rPr>
        <w:t>采购人是指政府、政府职能部门或者政府指定的</w:t>
      </w:r>
      <w:r>
        <w:rPr>
          <w:rFonts w:ascii="宋体" w:hAnsi="宋体" w:cs="Arial"/>
          <w:szCs w:val="21"/>
        </w:rPr>
        <w:t>PPP</w:t>
      </w:r>
      <w:r>
        <w:rPr>
          <w:rFonts w:hint="eastAsia" w:ascii="宋体" w:hAnsi="宋体" w:cs="Arial"/>
          <w:szCs w:val="21"/>
        </w:rPr>
        <w:t>项目实施机构。本项目采购人见投标人须知前附表。</w:t>
      </w:r>
    </w:p>
    <w:p>
      <w:pPr>
        <w:spacing w:line="360" w:lineRule="auto"/>
        <w:ind w:firstLine="420" w:firstLineChars="200"/>
        <w:rPr>
          <w:rFonts w:ascii="宋体" w:hAnsi="宋体" w:cs="Arial"/>
          <w:szCs w:val="21"/>
        </w:rPr>
      </w:pPr>
      <w:r>
        <w:rPr>
          <w:rFonts w:hint="eastAsia" w:ascii="宋体" w:hAnsi="宋体" w:cs="Arial"/>
          <w:szCs w:val="21"/>
        </w:rPr>
        <w:t>1.3.2 投标人是指响应招标并按要求参加投标竞争的社会资本方。</w:t>
      </w:r>
    </w:p>
    <w:p>
      <w:pPr>
        <w:spacing w:line="360" w:lineRule="auto"/>
        <w:ind w:firstLine="420" w:firstLineChars="200"/>
        <w:rPr>
          <w:rFonts w:ascii="宋体" w:hAnsi="宋体" w:cs="Arial"/>
          <w:szCs w:val="21"/>
        </w:rPr>
      </w:pPr>
      <w:r>
        <w:rPr>
          <w:rFonts w:hint="eastAsia" w:ascii="宋体" w:hAnsi="宋体" w:cs="Arial"/>
          <w:szCs w:val="21"/>
        </w:rPr>
        <w:t>1.3.3 采购代理机构是受PPP项目实施机构委托办理PPP项目采购事宜的集中采购机构及社会中介机构。本项目采购代理机构见投标人须知前附表。</w:t>
      </w:r>
    </w:p>
    <w:p>
      <w:pPr>
        <w:pStyle w:val="10"/>
        <w:rPr>
          <w:rFonts w:ascii="Arial" w:hAnsi="Arial" w:eastAsia="黑体" w:cs="Arial"/>
          <w:sz w:val="21"/>
          <w:szCs w:val="21"/>
        </w:rPr>
      </w:pPr>
      <w:r>
        <w:rPr>
          <w:rFonts w:hint="eastAsia" w:ascii="Arial" w:hAnsi="Arial" w:eastAsia="黑体" w:cs="Arial"/>
          <w:sz w:val="21"/>
          <w:szCs w:val="21"/>
        </w:rPr>
        <w:t>1.4 合格的投标人</w:t>
      </w:r>
    </w:p>
    <w:p>
      <w:pPr>
        <w:spacing w:line="360" w:lineRule="auto"/>
        <w:ind w:firstLine="420" w:firstLineChars="200"/>
        <w:rPr>
          <w:rFonts w:ascii="Arial" w:hAnsi="Arial" w:cs="Arial"/>
          <w:szCs w:val="21"/>
        </w:rPr>
      </w:pPr>
      <w:r>
        <w:rPr>
          <w:rFonts w:hint="eastAsia" w:ascii="Arial" w:hAnsi="Arial" w:cs="Arial"/>
          <w:szCs w:val="21"/>
        </w:rPr>
        <w:t>1.4.1合格的投标人应满足条件详见供应商须知前附表；</w:t>
      </w:r>
    </w:p>
    <w:p>
      <w:pPr>
        <w:spacing w:line="360" w:lineRule="auto"/>
        <w:ind w:firstLine="420" w:firstLineChars="200"/>
        <w:rPr>
          <w:rFonts w:ascii="Arial" w:hAnsi="Arial" w:cs="Arial"/>
          <w:szCs w:val="21"/>
        </w:rPr>
      </w:pPr>
      <w:r>
        <w:rPr>
          <w:rFonts w:hint="eastAsia" w:ascii="Arial" w:hAnsi="Arial" w:cs="Arial"/>
          <w:szCs w:val="21"/>
        </w:rPr>
        <w:t>1.4.2</w:t>
      </w:r>
      <w:r>
        <w:rPr>
          <w:rFonts w:hint="eastAsia" w:ascii="宋体" w:hAnsi="宋体" w:cs="宋体"/>
          <w:szCs w:val="21"/>
        </w:rPr>
        <w:t>除投标人须知前附表要求的以外，</w:t>
      </w:r>
      <w:r>
        <w:rPr>
          <w:rFonts w:hint="eastAsia" w:ascii="Arial" w:hAnsi="Arial" w:cs="Arial"/>
          <w:szCs w:val="21"/>
        </w:rPr>
        <w:t>投标人还应满足下列要求：</w:t>
      </w:r>
    </w:p>
    <w:p>
      <w:pPr>
        <w:spacing w:line="360" w:lineRule="auto"/>
        <w:ind w:firstLine="420" w:firstLineChars="200"/>
        <w:rPr>
          <w:rFonts w:ascii="Arial" w:hAnsi="Arial" w:cs="Arial"/>
          <w:szCs w:val="21"/>
        </w:rPr>
      </w:pPr>
      <w:r>
        <w:rPr>
          <w:rFonts w:hint="eastAsia" w:ascii="Arial" w:hAnsi="Arial" w:cs="Arial"/>
          <w:szCs w:val="21"/>
        </w:rPr>
        <w:t>（</w:t>
      </w:r>
      <w:r>
        <w:rPr>
          <w:rFonts w:ascii="Arial" w:hAnsi="Arial" w:cs="Arial"/>
          <w:szCs w:val="21"/>
        </w:rPr>
        <w:t>1</w:t>
      </w:r>
      <w:r>
        <w:rPr>
          <w:rFonts w:hint="eastAsia" w:ascii="Arial" w:hAnsi="Arial" w:cs="Arial"/>
          <w:szCs w:val="21"/>
        </w:rPr>
        <w:t>）</w:t>
      </w:r>
      <w:r>
        <w:rPr>
          <w:rFonts w:ascii="Arial" w:hAnsi="Arial" w:cs="Arial"/>
          <w:szCs w:val="21"/>
        </w:rPr>
        <w:t>单位负责人为同一人或者存在控股、管理关系的不同单位，不得参加同一项目的</w:t>
      </w:r>
      <w:r>
        <w:rPr>
          <w:rFonts w:hint="eastAsia" w:ascii="Arial" w:hAnsi="Arial" w:cs="Arial"/>
          <w:szCs w:val="21"/>
        </w:rPr>
        <w:t>投标</w:t>
      </w:r>
      <w:r>
        <w:rPr>
          <w:rFonts w:ascii="Arial" w:hAnsi="Arial" w:cs="Arial"/>
          <w:szCs w:val="21"/>
        </w:rPr>
        <w:t>。</w:t>
      </w:r>
    </w:p>
    <w:p>
      <w:pPr>
        <w:spacing w:line="360" w:lineRule="auto"/>
        <w:ind w:firstLine="420" w:firstLineChars="200"/>
        <w:rPr>
          <w:rFonts w:ascii="Arial" w:hAnsi="Arial" w:cs="Arial"/>
          <w:szCs w:val="21"/>
        </w:rPr>
      </w:pPr>
      <w:r>
        <w:rPr>
          <w:rFonts w:hint="eastAsia" w:ascii="Arial" w:hAnsi="Arial" w:cs="Arial"/>
          <w:szCs w:val="21"/>
        </w:rPr>
        <w:t>（</w:t>
      </w:r>
      <w:r>
        <w:rPr>
          <w:rFonts w:ascii="Arial" w:hAnsi="Arial" w:cs="Arial"/>
          <w:szCs w:val="21"/>
        </w:rPr>
        <w:t>2</w:t>
      </w:r>
      <w:r>
        <w:rPr>
          <w:rFonts w:hint="eastAsia" w:ascii="Arial" w:hAnsi="Arial" w:cs="Arial"/>
          <w:szCs w:val="21"/>
        </w:rPr>
        <w:t>）法律、行政法规规定的其他条件。</w:t>
      </w:r>
    </w:p>
    <w:p>
      <w:pPr>
        <w:spacing w:line="360" w:lineRule="auto"/>
        <w:ind w:firstLine="420" w:firstLineChars="200"/>
        <w:rPr>
          <w:rFonts w:ascii="宋体" w:hAnsi="宋体" w:cs="Arial"/>
          <w:szCs w:val="21"/>
        </w:rPr>
      </w:pPr>
      <w:r>
        <w:rPr>
          <w:rFonts w:hint="eastAsia" w:ascii="宋体" w:hAnsi="宋体" w:cs="Arial"/>
          <w:szCs w:val="21"/>
        </w:rPr>
        <w:t>1.4.3投标人不得存在下列情形之一：</w:t>
      </w:r>
    </w:p>
    <w:p>
      <w:pPr>
        <w:spacing w:line="360" w:lineRule="auto"/>
        <w:ind w:firstLine="420" w:firstLineChars="200"/>
        <w:rPr>
          <w:rFonts w:ascii="宋体" w:hAnsi="宋体" w:cs="Arial"/>
          <w:szCs w:val="21"/>
        </w:rPr>
      </w:pPr>
      <w:r>
        <w:rPr>
          <w:rFonts w:hint="eastAsia" w:ascii="宋体" w:hAnsi="宋体" w:cs="Arial"/>
          <w:szCs w:val="21"/>
        </w:rPr>
        <w:t>（1）为本级政府所属融资平台公司及其他控股国有企业（符合《国务院办公厅转发财政部、国家发展改革委、中国人民银行关于在公共服务领域推广政府和社会资本合作模式的指导意见的通知》国办发[2015]42号文件规定的除外）；</w:t>
      </w:r>
    </w:p>
    <w:p>
      <w:pPr>
        <w:spacing w:line="360" w:lineRule="auto"/>
        <w:ind w:firstLine="420" w:firstLineChars="200"/>
        <w:rPr>
          <w:rFonts w:ascii="宋体" w:hAnsi="宋体" w:cs="Arial"/>
          <w:szCs w:val="21"/>
        </w:rPr>
      </w:pPr>
      <w:r>
        <w:rPr>
          <w:rFonts w:hint="eastAsia" w:ascii="宋体" w:hAnsi="宋体" w:cs="Arial"/>
          <w:szCs w:val="21"/>
        </w:rPr>
        <w:t xml:space="preserve">（2）为本项目提供咨询服务的； </w:t>
      </w:r>
    </w:p>
    <w:p>
      <w:pPr>
        <w:spacing w:line="360" w:lineRule="auto"/>
        <w:ind w:firstLine="420" w:firstLineChars="200"/>
        <w:rPr>
          <w:rFonts w:ascii="宋体" w:hAnsi="宋体" w:cs="Arial"/>
          <w:szCs w:val="21"/>
        </w:rPr>
      </w:pPr>
      <w:r>
        <w:rPr>
          <w:rFonts w:hint="eastAsia" w:ascii="宋体" w:hAnsi="宋体" w:cs="Arial"/>
          <w:szCs w:val="21"/>
        </w:rPr>
        <w:t xml:space="preserve">（3）为本项目提供采购代理服务的； </w:t>
      </w:r>
    </w:p>
    <w:p>
      <w:pPr>
        <w:spacing w:line="360" w:lineRule="auto"/>
        <w:ind w:firstLine="420" w:firstLineChars="200"/>
        <w:rPr>
          <w:rFonts w:ascii="宋体" w:hAnsi="宋体" w:cs="Arial"/>
          <w:szCs w:val="21"/>
        </w:rPr>
      </w:pPr>
      <w:r>
        <w:rPr>
          <w:rFonts w:hint="eastAsia" w:ascii="宋体" w:hAnsi="宋体" w:cs="Arial"/>
          <w:szCs w:val="21"/>
        </w:rPr>
        <w:t xml:space="preserve">（4）被责令停业的； </w:t>
      </w:r>
    </w:p>
    <w:p>
      <w:pPr>
        <w:spacing w:line="360" w:lineRule="auto"/>
        <w:ind w:firstLine="420" w:firstLineChars="200"/>
        <w:rPr>
          <w:rFonts w:ascii="宋体" w:hAnsi="宋体" w:cs="Arial"/>
          <w:szCs w:val="21"/>
        </w:rPr>
      </w:pPr>
      <w:r>
        <w:rPr>
          <w:rFonts w:hint="eastAsia" w:ascii="宋体" w:hAnsi="宋体" w:cs="Arial"/>
          <w:szCs w:val="21"/>
        </w:rPr>
        <w:t xml:space="preserve">（5）被暂停或取消投标资格的； </w:t>
      </w:r>
    </w:p>
    <w:p>
      <w:pPr>
        <w:spacing w:line="360" w:lineRule="auto"/>
        <w:ind w:firstLine="420" w:firstLineChars="200"/>
        <w:rPr>
          <w:rFonts w:ascii="宋体" w:hAnsi="宋体" w:cs="Arial"/>
          <w:szCs w:val="21"/>
        </w:rPr>
      </w:pPr>
      <w:r>
        <w:rPr>
          <w:rFonts w:hint="eastAsia" w:ascii="宋体" w:hAnsi="宋体" w:cs="Arial"/>
          <w:szCs w:val="21"/>
        </w:rPr>
        <w:t>（6）财产被接管或冻结的；</w:t>
      </w:r>
    </w:p>
    <w:p>
      <w:pPr>
        <w:spacing w:line="360" w:lineRule="auto"/>
        <w:ind w:firstLine="420" w:firstLineChars="200"/>
        <w:rPr>
          <w:rFonts w:ascii="宋体" w:hAnsi="宋体" w:cs="Arial"/>
          <w:szCs w:val="21"/>
        </w:rPr>
      </w:pPr>
      <w:r>
        <w:rPr>
          <w:rFonts w:hint="eastAsia" w:ascii="宋体" w:hAnsi="宋体" w:cs="Arial"/>
          <w:szCs w:val="21"/>
        </w:rPr>
        <w:t>（7）其他有关法律、行政法规及部门规章禁止的。</w:t>
      </w:r>
    </w:p>
    <w:p>
      <w:pPr>
        <w:spacing w:line="360" w:lineRule="auto"/>
        <w:ind w:firstLine="420" w:firstLineChars="200"/>
        <w:rPr>
          <w:rFonts w:ascii="宋体" w:hAnsi="宋体" w:cs="Arial"/>
          <w:szCs w:val="21"/>
        </w:rPr>
      </w:pPr>
      <w:r>
        <w:rPr>
          <w:rFonts w:hint="eastAsia" w:ascii="宋体" w:hAnsi="宋体" w:cs="Arial"/>
          <w:szCs w:val="21"/>
        </w:rPr>
        <w:t>1.4.4联合体投标人</w:t>
      </w:r>
    </w:p>
    <w:p>
      <w:pPr>
        <w:spacing w:line="360" w:lineRule="auto"/>
        <w:ind w:firstLine="420" w:firstLineChars="200"/>
        <w:rPr>
          <w:rFonts w:ascii="宋体" w:hAnsi="宋体" w:cs="Arial"/>
          <w:szCs w:val="21"/>
        </w:rPr>
      </w:pPr>
      <w:r>
        <w:rPr>
          <w:rFonts w:hint="eastAsia" w:ascii="宋体" w:hAnsi="宋体" w:cs="Arial"/>
          <w:szCs w:val="21"/>
        </w:rPr>
        <w:t>投标人须知前附表</w:t>
      </w:r>
      <w:r>
        <w:rPr>
          <w:rFonts w:ascii="宋体" w:hAnsi="宋体" w:cs="Arial"/>
          <w:szCs w:val="21"/>
        </w:rPr>
        <w:t>规定接受联合体投标的，除应符合本章第1.</w:t>
      </w:r>
      <w:r>
        <w:rPr>
          <w:rFonts w:hint="eastAsia" w:ascii="宋体" w:hAnsi="宋体" w:cs="Arial"/>
          <w:szCs w:val="21"/>
        </w:rPr>
        <w:t>4</w:t>
      </w:r>
      <w:r>
        <w:rPr>
          <w:rFonts w:ascii="宋体" w:hAnsi="宋体" w:cs="Arial"/>
          <w:szCs w:val="21"/>
        </w:rPr>
        <w:t>.1项和</w:t>
      </w:r>
      <w:r>
        <w:rPr>
          <w:rFonts w:hint="eastAsia" w:ascii="宋体" w:hAnsi="宋体" w:cs="Arial"/>
          <w:szCs w:val="21"/>
        </w:rPr>
        <w:t>第1.4.2项</w:t>
      </w:r>
      <w:r>
        <w:rPr>
          <w:rFonts w:ascii="宋体" w:hAnsi="宋体" w:cs="Arial"/>
          <w:szCs w:val="21"/>
        </w:rPr>
        <w:t xml:space="preserve">的要求外，还应遵守以下规定： </w:t>
      </w:r>
    </w:p>
    <w:p>
      <w:pPr>
        <w:spacing w:line="360" w:lineRule="auto"/>
        <w:ind w:firstLine="420" w:firstLineChars="200"/>
        <w:rPr>
          <w:rFonts w:ascii="宋体" w:hAnsi="宋体" w:cs="Arial"/>
          <w:szCs w:val="21"/>
        </w:rPr>
      </w:pPr>
      <w:r>
        <w:rPr>
          <w:rFonts w:hint="eastAsia" w:ascii="宋体" w:hAnsi="宋体" w:cs="Arial"/>
          <w:szCs w:val="21"/>
        </w:rPr>
        <w:t>（1）</w:t>
      </w:r>
      <w:r>
        <w:rPr>
          <w:rFonts w:ascii="宋体" w:hAnsi="宋体" w:cs="Arial"/>
          <w:szCs w:val="21"/>
        </w:rPr>
        <w:t>以联合体参加</w:t>
      </w:r>
      <w:r>
        <w:rPr>
          <w:rFonts w:hint="eastAsia" w:ascii="宋体" w:hAnsi="宋体" w:cs="Arial"/>
          <w:szCs w:val="21"/>
        </w:rPr>
        <w:t>投标</w:t>
      </w:r>
      <w:r>
        <w:rPr>
          <w:rFonts w:ascii="宋体" w:hAnsi="宋体" w:cs="Arial"/>
          <w:szCs w:val="21"/>
        </w:rPr>
        <w:t>的，应提交联合体协议并注明牵头人及各方拟承担的工作和责任，并承诺一旦成交联合体各方将向采购人承担连带责任。</w:t>
      </w:r>
      <w:r>
        <w:rPr>
          <w:rFonts w:ascii="宋体" w:hAnsi="宋体"/>
          <w:szCs w:val="21"/>
        </w:rPr>
        <w:t>联合体各方应当共同与采购人签订采购合同，就采购合同约定的事项对采购人</w:t>
      </w:r>
      <w:r>
        <w:fldChar w:fldCharType="begin"/>
      </w:r>
      <w:r>
        <w:instrText xml:space="preserve"> HYPERLINK "http://baike.baidu.com/view/278880.htm" \t "_blank" </w:instrText>
      </w:r>
      <w:r>
        <w:fldChar w:fldCharType="separate"/>
      </w:r>
      <w:r>
        <w:rPr>
          <w:rFonts w:ascii="宋体" w:hAnsi="宋体"/>
          <w:szCs w:val="21"/>
        </w:rPr>
        <w:t>承担连带责任</w:t>
      </w:r>
      <w:r>
        <w:rPr>
          <w:rFonts w:ascii="宋体" w:hAnsi="宋体"/>
          <w:szCs w:val="21"/>
        </w:rPr>
        <w:fldChar w:fldCharType="end"/>
      </w:r>
      <w:r>
        <w:rPr>
          <w:rFonts w:hint="eastAsia" w:ascii="宋体" w:hAnsi="宋体"/>
          <w:szCs w:val="21"/>
        </w:rPr>
        <w:t>；</w:t>
      </w:r>
    </w:p>
    <w:p>
      <w:pPr>
        <w:spacing w:line="360" w:lineRule="auto"/>
        <w:ind w:firstLine="420" w:firstLineChars="200"/>
        <w:rPr>
          <w:rFonts w:ascii="宋体" w:hAnsi="宋体" w:cs="Arial"/>
          <w:szCs w:val="21"/>
        </w:rPr>
      </w:pPr>
      <w:r>
        <w:rPr>
          <w:rFonts w:hint="eastAsia" w:ascii="宋体" w:hAnsi="宋体" w:cs="Arial"/>
          <w:szCs w:val="21"/>
        </w:rPr>
        <w:t>（2）联合体中有同类资质的投标人按照联合体分工承担相同工作的，应当按照资质等级较低的投标人确定资质等级；</w:t>
      </w:r>
    </w:p>
    <w:p>
      <w:pPr>
        <w:spacing w:line="360" w:lineRule="auto"/>
        <w:ind w:firstLine="420" w:firstLineChars="200"/>
        <w:rPr>
          <w:rFonts w:ascii="宋体" w:hAnsi="宋体" w:cs="Arial"/>
          <w:szCs w:val="21"/>
        </w:rPr>
      </w:pPr>
      <w:r>
        <w:rPr>
          <w:rFonts w:hint="eastAsia" w:ascii="宋体" w:hAnsi="宋体" w:cs="Arial"/>
          <w:szCs w:val="21"/>
        </w:rPr>
        <w:t>（3）以联合体形式参加</w:t>
      </w:r>
      <w:r>
        <w:rPr>
          <w:rFonts w:hint="eastAsia" w:ascii="宋体" w:hAnsi="宋体" w:cs="宋体"/>
          <w:szCs w:val="21"/>
        </w:rPr>
        <w:t>本招标活动的</w:t>
      </w:r>
      <w:r>
        <w:rPr>
          <w:rFonts w:hint="eastAsia" w:ascii="宋体" w:hAnsi="宋体" w:cs="Arial"/>
          <w:szCs w:val="21"/>
        </w:rPr>
        <w:t>，联合体各方不得再单独参加或者与其他投标人另外组成联合体参加同一合同项下的招标活动；</w:t>
      </w:r>
    </w:p>
    <w:p>
      <w:pPr>
        <w:spacing w:line="360" w:lineRule="auto"/>
        <w:ind w:firstLine="420" w:firstLineChars="200"/>
        <w:rPr>
          <w:rFonts w:ascii="宋体" w:hAnsi="宋体" w:cs="Arial"/>
          <w:szCs w:val="21"/>
        </w:rPr>
      </w:pPr>
      <w:r>
        <w:rPr>
          <w:rFonts w:hint="eastAsia" w:ascii="宋体" w:hAnsi="宋体" w:cs="Arial"/>
          <w:szCs w:val="21"/>
        </w:rPr>
        <w:t>（4）</w:t>
      </w:r>
      <w:r>
        <w:rPr>
          <w:rFonts w:hint="eastAsia" w:ascii="宋体" w:hAnsi="宋体" w:cs="宋体"/>
          <w:szCs w:val="21"/>
        </w:rPr>
        <w:t>联合体协议中应约定其中一方具有施工资质的单位负责签署本次招标活动中的相关资料、报名、保证金的缴纳等事宜，其他联合体各方必须出具承诺函对此予以认可。</w:t>
      </w:r>
      <w:r>
        <w:rPr>
          <w:rFonts w:hint="eastAsia" w:ascii="宋体" w:hAnsi="宋体"/>
          <w:szCs w:val="21"/>
        </w:rPr>
        <w:t>联合体成员原则上不得超过投标人须知前附表规定的家数，应体现融资、建设、运营优势；</w:t>
      </w:r>
    </w:p>
    <w:p>
      <w:pPr>
        <w:spacing w:line="360" w:lineRule="auto"/>
        <w:ind w:firstLine="420" w:firstLineChars="200"/>
        <w:rPr>
          <w:rFonts w:ascii="宋体" w:hAnsi="宋体" w:cs="Arial"/>
          <w:szCs w:val="21"/>
        </w:rPr>
      </w:pPr>
      <w:r>
        <w:rPr>
          <w:rFonts w:hint="eastAsia" w:ascii="宋体" w:hAnsi="宋体" w:cs="Arial"/>
          <w:szCs w:val="21"/>
        </w:rPr>
        <w:t>（5）通过资格预审的联合体，不得再变更其组织形式及成员构成。</w:t>
      </w:r>
    </w:p>
    <w:p>
      <w:pPr>
        <w:spacing w:line="360" w:lineRule="auto"/>
        <w:ind w:firstLine="420" w:firstLineChars="200"/>
        <w:rPr>
          <w:rFonts w:ascii="宋体" w:hAnsi="宋体" w:cs="Arial"/>
          <w:szCs w:val="21"/>
        </w:rPr>
      </w:pPr>
      <w:r>
        <w:rPr>
          <w:rFonts w:hint="eastAsia" w:ascii="宋体" w:hAnsi="宋体" w:cs="Arial"/>
          <w:szCs w:val="21"/>
        </w:rPr>
        <w:t>1.4.5</w:t>
      </w:r>
      <w:r>
        <w:rPr>
          <w:rFonts w:ascii="宋体" w:hAnsi="宋体" w:cs="Arial"/>
          <w:szCs w:val="21"/>
        </w:rPr>
        <w:t xml:space="preserve"> 是否允许未参加资格预审的投标人参与竞争并进行资格后审见投标人须知前附表。</w:t>
      </w:r>
    </w:p>
    <w:p>
      <w:pPr>
        <w:pStyle w:val="10"/>
        <w:rPr>
          <w:rFonts w:ascii="Arial" w:hAnsi="Arial" w:eastAsia="黑体" w:cs="Arial"/>
          <w:sz w:val="21"/>
          <w:szCs w:val="21"/>
        </w:rPr>
      </w:pPr>
      <w:r>
        <w:rPr>
          <w:rFonts w:hint="eastAsia" w:ascii="Arial" w:hAnsi="Arial" w:eastAsia="黑体" w:cs="Arial"/>
          <w:sz w:val="21"/>
          <w:szCs w:val="21"/>
        </w:rPr>
        <w:t>1.5 项目概况</w:t>
      </w:r>
      <w:bookmarkEnd w:id="49"/>
    </w:p>
    <w:p>
      <w:pPr>
        <w:spacing w:line="360" w:lineRule="auto"/>
        <w:ind w:firstLine="420" w:firstLineChars="200"/>
        <w:rPr>
          <w:rFonts w:ascii="宋体" w:hAnsi="宋体" w:cs="Arial"/>
          <w:szCs w:val="21"/>
        </w:rPr>
      </w:pPr>
      <w:bookmarkStart w:id="50" w:name="_Toc319573813"/>
      <w:r>
        <w:rPr>
          <w:rFonts w:hint="eastAsia" w:ascii="宋体" w:hAnsi="宋体" w:cs="Arial"/>
          <w:szCs w:val="21"/>
        </w:rPr>
        <w:t>1.5.1项目名称：见投标人须知前附表。</w:t>
      </w:r>
    </w:p>
    <w:p>
      <w:pPr>
        <w:spacing w:line="360" w:lineRule="auto"/>
        <w:ind w:firstLine="420" w:firstLineChars="200"/>
        <w:rPr>
          <w:rFonts w:ascii="宋体" w:hAnsi="宋体" w:cs="Arial"/>
          <w:szCs w:val="21"/>
        </w:rPr>
      </w:pPr>
      <w:r>
        <w:rPr>
          <w:rFonts w:hint="eastAsia" w:ascii="宋体" w:hAnsi="宋体" w:cs="Arial"/>
          <w:szCs w:val="21"/>
        </w:rPr>
        <w:t>1.5.2采购方式：见投标人须知前附表。</w:t>
      </w:r>
    </w:p>
    <w:p>
      <w:pPr>
        <w:spacing w:line="360" w:lineRule="auto"/>
        <w:ind w:firstLine="420" w:firstLineChars="200"/>
        <w:rPr>
          <w:rFonts w:ascii="宋体" w:hAnsi="宋体" w:cs="Arial"/>
          <w:szCs w:val="21"/>
        </w:rPr>
      </w:pPr>
      <w:r>
        <w:rPr>
          <w:rFonts w:hint="eastAsia" w:ascii="宋体" w:hAnsi="宋体" w:cs="Arial"/>
          <w:szCs w:val="21"/>
        </w:rPr>
        <w:t>1.5.3 项目概况：见第四章“项目采购需求”。</w:t>
      </w:r>
    </w:p>
    <w:bookmarkEnd w:id="50"/>
    <w:p>
      <w:pPr>
        <w:pStyle w:val="10"/>
        <w:rPr>
          <w:rFonts w:ascii="Arial" w:hAnsi="Arial" w:eastAsia="黑体" w:cs="Arial"/>
          <w:sz w:val="21"/>
          <w:szCs w:val="21"/>
        </w:rPr>
      </w:pPr>
      <w:bookmarkStart w:id="51" w:name="_Toc319573814"/>
      <w:r>
        <w:rPr>
          <w:rFonts w:ascii="Arial" w:hAnsi="Arial" w:eastAsia="黑体" w:cs="Arial"/>
          <w:sz w:val="21"/>
          <w:szCs w:val="21"/>
        </w:rPr>
        <w:t>1.</w:t>
      </w:r>
      <w:r>
        <w:rPr>
          <w:rFonts w:hint="eastAsia" w:ascii="Arial" w:hAnsi="Arial" w:eastAsia="黑体" w:cs="Arial"/>
          <w:sz w:val="21"/>
          <w:szCs w:val="21"/>
        </w:rPr>
        <w:t>6</w:t>
      </w:r>
      <w:bookmarkEnd w:id="51"/>
      <w:r>
        <w:rPr>
          <w:rFonts w:hint="eastAsia" w:ascii="Arial" w:hAnsi="Arial" w:eastAsia="黑体" w:cs="Arial"/>
          <w:sz w:val="21"/>
          <w:szCs w:val="21"/>
        </w:rPr>
        <w:t>采购需求</w:t>
      </w:r>
    </w:p>
    <w:p>
      <w:pPr>
        <w:spacing w:line="400" w:lineRule="exact"/>
        <w:ind w:firstLine="420" w:firstLineChars="200"/>
        <w:rPr>
          <w:rFonts w:ascii="Arial" w:hAnsi="Arial" w:cs="Arial"/>
          <w:szCs w:val="21"/>
        </w:rPr>
      </w:pPr>
      <w:r>
        <w:rPr>
          <w:rFonts w:hint="eastAsia" w:ascii="Arial" w:hAnsi="Arial" w:cs="Arial"/>
          <w:szCs w:val="21"/>
        </w:rPr>
        <w:t>见投标人须知前附表及第四章“项目采购需求”</w:t>
      </w:r>
    </w:p>
    <w:p>
      <w:pPr>
        <w:pStyle w:val="10"/>
        <w:rPr>
          <w:rFonts w:ascii="Arial" w:hAnsi="Arial" w:eastAsia="黑体" w:cs="Arial"/>
          <w:sz w:val="21"/>
          <w:szCs w:val="21"/>
        </w:rPr>
      </w:pPr>
      <w:bookmarkStart w:id="52" w:name="_Toc414277118"/>
      <w:r>
        <w:rPr>
          <w:rFonts w:ascii="Arial" w:hAnsi="Arial" w:eastAsia="黑体" w:cs="Arial"/>
          <w:sz w:val="21"/>
          <w:szCs w:val="21"/>
        </w:rPr>
        <w:t>1.</w:t>
      </w:r>
      <w:r>
        <w:rPr>
          <w:rFonts w:hint="eastAsia" w:ascii="Arial" w:hAnsi="Arial" w:eastAsia="黑体" w:cs="Arial"/>
          <w:sz w:val="21"/>
          <w:szCs w:val="21"/>
        </w:rPr>
        <w:t>7</w:t>
      </w:r>
      <w:r>
        <w:rPr>
          <w:rFonts w:ascii="Arial" w:hAnsi="Arial" w:eastAsia="黑体" w:cs="Arial"/>
          <w:sz w:val="21"/>
          <w:szCs w:val="21"/>
        </w:rPr>
        <w:t xml:space="preserve"> 费用承担</w:t>
      </w:r>
      <w:bookmarkEnd w:id="52"/>
    </w:p>
    <w:p>
      <w:pPr>
        <w:spacing w:line="400" w:lineRule="exact"/>
        <w:ind w:firstLine="420" w:firstLineChars="200"/>
        <w:rPr>
          <w:rFonts w:ascii="Arial" w:hAnsi="Arial" w:cs="Arial"/>
          <w:szCs w:val="21"/>
        </w:rPr>
      </w:pPr>
      <w:r>
        <w:rPr>
          <w:rFonts w:hint="eastAsia" w:ascii="Arial" w:hAnsi="Arial" w:cs="Arial"/>
          <w:szCs w:val="21"/>
        </w:rPr>
        <w:t>投标人</w:t>
      </w:r>
      <w:r>
        <w:rPr>
          <w:rFonts w:ascii="Arial" w:hAnsi="Arial" w:cs="Arial"/>
          <w:szCs w:val="21"/>
        </w:rPr>
        <w:t>应</w:t>
      </w:r>
      <w:r>
        <w:rPr>
          <w:rFonts w:hint="eastAsia" w:ascii="Arial" w:hAnsi="Arial" w:cs="Arial"/>
          <w:szCs w:val="21"/>
        </w:rPr>
        <w:t>自行</w:t>
      </w:r>
      <w:r>
        <w:rPr>
          <w:rFonts w:ascii="Arial" w:hAnsi="Arial" w:cs="Arial"/>
          <w:szCs w:val="21"/>
        </w:rPr>
        <w:t>承担</w:t>
      </w:r>
      <w:r>
        <w:rPr>
          <w:rFonts w:hint="eastAsia" w:ascii="Arial" w:hAnsi="Arial" w:cs="Arial"/>
          <w:szCs w:val="21"/>
        </w:rPr>
        <w:t>准备和参加本项目</w:t>
      </w:r>
      <w:r>
        <w:rPr>
          <w:rFonts w:ascii="Arial" w:hAnsi="Arial" w:cs="Arial"/>
          <w:szCs w:val="21"/>
        </w:rPr>
        <w:t>投标活动有关的</w:t>
      </w:r>
      <w:r>
        <w:rPr>
          <w:rFonts w:hint="eastAsia" w:ascii="Arial" w:hAnsi="Arial" w:cs="Arial"/>
          <w:szCs w:val="21"/>
        </w:rPr>
        <w:t>全部</w:t>
      </w:r>
      <w:r>
        <w:rPr>
          <w:rFonts w:ascii="Arial" w:hAnsi="Arial" w:cs="Arial"/>
          <w:szCs w:val="21"/>
        </w:rPr>
        <w:t>费用。</w:t>
      </w:r>
    </w:p>
    <w:p>
      <w:pPr>
        <w:pStyle w:val="10"/>
        <w:rPr>
          <w:rFonts w:ascii="Arial" w:hAnsi="Arial" w:eastAsia="黑体" w:cs="Arial"/>
          <w:sz w:val="21"/>
          <w:szCs w:val="21"/>
        </w:rPr>
      </w:pPr>
      <w:bookmarkStart w:id="53" w:name="_Toc414277119"/>
      <w:r>
        <w:rPr>
          <w:rFonts w:ascii="Arial" w:hAnsi="Arial" w:eastAsia="黑体" w:cs="Arial"/>
          <w:sz w:val="21"/>
          <w:szCs w:val="21"/>
        </w:rPr>
        <w:t>1.</w:t>
      </w:r>
      <w:r>
        <w:rPr>
          <w:rFonts w:hint="eastAsia" w:ascii="Arial" w:hAnsi="Arial" w:eastAsia="黑体" w:cs="Arial"/>
          <w:sz w:val="21"/>
          <w:szCs w:val="21"/>
        </w:rPr>
        <w:t>8</w:t>
      </w:r>
      <w:r>
        <w:rPr>
          <w:rFonts w:ascii="Arial" w:hAnsi="Arial" w:eastAsia="黑体" w:cs="Arial"/>
          <w:sz w:val="21"/>
          <w:szCs w:val="21"/>
        </w:rPr>
        <w:t xml:space="preserve"> 保密</w:t>
      </w:r>
      <w:bookmarkEnd w:id="53"/>
    </w:p>
    <w:p>
      <w:pPr>
        <w:spacing w:line="360" w:lineRule="auto"/>
        <w:ind w:firstLine="420" w:firstLineChars="200"/>
        <w:rPr>
          <w:rFonts w:ascii="Arial" w:hAnsi="Arial" w:cs="Arial"/>
          <w:szCs w:val="21"/>
        </w:rPr>
      </w:pPr>
      <w:r>
        <w:rPr>
          <w:rFonts w:ascii="Arial" w:hAnsi="Arial" w:cs="Arial"/>
          <w:szCs w:val="21"/>
        </w:rPr>
        <w:t xml:space="preserve">参与招标投标活动的各方应对采购文件和投标文件中的国家、商业和技术等秘密保密，违者应对由此造成的后果承担法律责任。 </w:t>
      </w:r>
    </w:p>
    <w:p>
      <w:pPr>
        <w:pStyle w:val="10"/>
        <w:rPr>
          <w:rFonts w:ascii="Arial" w:hAnsi="Arial" w:eastAsia="黑体" w:cs="Arial"/>
          <w:sz w:val="21"/>
          <w:szCs w:val="21"/>
        </w:rPr>
      </w:pPr>
      <w:bookmarkStart w:id="54" w:name="_Toc414277120"/>
      <w:r>
        <w:rPr>
          <w:rFonts w:ascii="Arial" w:hAnsi="Arial" w:eastAsia="黑体" w:cs="Arial"/>
          <w:sz w:val="21"/>
          <w:szCs w:val="21"/>
        </w:rPr>
        <w:t>1.</w:t>
      </w:r>
      <w:r>
        <w:rPr>
          <w:rFonts w:hint="eastAsia" w:ascii="Arial" w:hAnsi="Arial" w:eastAsia="黑体" w:cs="Arial"/>
          <w:sz w:val="21"/>
          <w:szCs w:val="21"/>
        </w:rPr>
        <w:t>9</w:t>
      </w:r>
      <w:r>
        <w:rPr>
          <w:rFonts w:ascii="Arial" w:hAnsi="Arial" w:eastAsia="黑体" w:cs="Arial"/>
          <w:sz w:val="21"/>
          <w:szCs w:val="21"/>
        </w:rPr>
        <w:t xml:space="preserve"> 现场考察</w:t>
      </w:r>
      <w:bookmarkEnd w:id="54"/>
      <w:r>
        <w:rPr>
          <w:rFonts w:hint="eastAsia" w:ascii="Arial" w:hAnsi="Arial" w:eastAsia="黑体" w:cs="Arial"/>
          <w:sz w:val="21"/>
          <w:szCs w:val="21"/>
        </w:rPr>
        <w:t>及答疑会（不组织）</w:t>
      </w:r>
    </w:p>
    <w:p>
      <w:pPr>
        <w:spacing w:line="360" w:lineRule="auto"/>
        <w:ind w:firstLine="420" w:firstLineChars="200"/>
        <w:rPr>
          <w:rFonts w:ascii="宋体" w:hAnsi="宋体" w:cs="Arial"/>
          <w:szCs w:val="21"/>
        </w:rPr>
      </w:pPr>
      <w:r>
        <w:rPr>
          <w:rFonts w:ascii="宋体" w:hAnsi="宋体" w:cs="Arial"/>
          <w:szCs w:val="21"/>
        </w:rPr>
        <w:t>1.</w:t>
      </w:r>
      <w:r>
        <w:rPr>
          <w:rFonts w:hint="eastAsia" w:ascii="宋体" w:hAnsi="宋体" w:cs="Arial"/>
          <w:szCs w:val="21"/>
        </w:rPr>
        <w:t>9</w:t>
      </w:r>
      <w:r>
        <w:rPr>
          <w:rFonts w:ascii="宋体" w:hAnsi="宋体" w:cs="Arial"/>
          <w:szCs w:val="21"/>
        </w:rPr>
        <w:t xml:space="preserve">.1 </w:t>
      </w:r>
      <w:r>
        <w:rPr>
          <w:rFonts w:hint="eastAsia" w:ascii="宋体" w:hAnsi="宋体" w:cs="Arial"/>
          <w:szCs w:val="21"/>
        </w:rPr>
        <w:t>采购人应当组织社会资本进行现场考察或者召开采购前答疑会。但不得单独或者分别组织只有一个投标人参加的现场考察和答疑会。组织时间见投标人须知前附表</w:t>
      </w:r>
      <w:r>
        <w:rPr>
          <w:rFonts w:ascii="宋体" w:hAnsi="宋体" w:cs="Arial"/>
          <w:szCs w:val="21"/>
        </w:rPr>
        <w:t>。</w:t>
      </w:r>
    </w:p>
    <w:p>
      <w:pPr>
        <w:spacing w:line="360" w:lineRule="auto"/>
        <w:ind w:firstLine="420" w:firstLineChars="200"/>
        <w:rPr>
          <w:rFonts w:ascii="宋体" w:hAnsi="宋体" w:cs="Arial"/>
          <w:szCs w:val="21"/>
        </w:rPr>
      </w:pPr>
      <w:r>
        <w:rPr>
          <w:rFonts w:ascii="宋体" w:hAnsi="宋体" w:cs="Arial"/>
          <w:szCs w:val="21"/>
        </w:rPr>
        <w:t>1.</w:t>
      </w:r>
      <w:r>
        <w:rPr>
          <w:rFonts w:hint="eastAsia" w:ascii="宋体" w:hAnsi="宋体" w:cs="Arial"/>
          <w:szCs w:val="21"/>
        </w:rPr>
        <w:t>9</w:t>
      </w:r>
      <w:r>
        <w:rPr>
          <w:rFonts w:ascii="宋体" w:hAnsi="宋体" w:cs="Arial"/>
          <w:szCs w:val="21"/>
        </w:rPr>
        <w:t xml:space="preserve">.2 </w:t>
      </w:r>
      <w:r>
        <w:rPr>
          <w:rFonts w:hint="eastAsia" w:ascii="宋体" w:hAnsi="宋体" w:cs="Arial"/>
          <w:szCs w:val="21"/>
        </w:rPr>
        <w:t>投标人参加</w:t>
      </w:r>
      <w:r>
        <w:rPr>
          <w:rFonts w:ascii="宋体" w:hAnsi="宋体" w:cs="Arial"/>
          <w:szCs w:val="21"/>
        </w:rPr>
        <w:t>现场考察</w:t>
      </w:r>
      <w:r>
        <w:rPr>
          <w:rFonts w:hint="eastAsia" w:ascii="宋体" w:hAnsi="宋体" w:cs="Arial"/>
          <w:szCs w:val="21"/>
        </w:rPr>
        <w:t>和答疑会所</w:t>
      </w:r>
      <w:r>
        <w:rPr>
          <w:rFonts w:ascii="宋体" w:hAnsi="宋体" w:cs="Arial"/>
          <w:szCs w:val="21"/>
        </w:rPr>
        <w:t>发生的费用自理。投标人自行负责在现场考察中所发生的人员伤亡和财产损失。</w:t>
      </w:r>
    </w:p>
    <w:p>
      <w:pPr>
        <w:pStyle w:val="9"/>
        <w:rPr>
          <w:rFonts w:cs="Arial"/>
          <w:sz w:val="24"/>
          <w:szCs w:val="24"/>
        </w:rPr>
      </w:pPr>
      <w:bookmarkStart w:id="55" w:name="_Toc414112613"/>
      <w:bookmarkStart w:id="56" w:name="_Toc534812997"/>
      <w:bookmarkStart w:id="57" w:name="_Toc531614619"/>
      <w:bookmarkStart w:id="58" w:name="_Toc414277122"/>
      <w:r>
        <w:rPr>
          <w:rFonts w:cs="Arial"/>
          <w:sz w:val="24"/>
          <w:szCs w:val="24"/>
        </w:rPr>
        <w:t>2. 采购文件</w:t>
      </w:r>
      <w:bookmarkEnd w:id="55"/>
      <w:bookmarkEnd w:id="56"/>
      <w:bookmarkEnd w:id="57"/>
      <w:bookmarkEnd w:id="58"/>
    </w:p>
    <w:p>
      <w:pPr>
        <w:pStyle w:val="10"/>
        <w:rPr>
          <w:rFonts w:ascii="Arial" w:hAnsi="Arial" w:eastAsia="黑体" w:cs="Arial"/>
          <w:sz w:val="21"/>
          <w:szCs w:val="21"/>
        </w:rPr>
      </w:pPr>
      <w:bookmarkStart w:id="59" w:name="_Toc414277123"/>
      <w:r>
        <w:rPr>
          <w:rFonts w:ascii="Arial" w:hAnsi="Arial" w:eastAsia="黑体" w:cs="Arial"/>
          <w:sz w:val="21"/>
          <w:szCs w:val="21"/>
        </w:rPr>
        <w:t>2.1 采购文件的</w:t>
      </w:r>
      <w:r>
        <w:rPr>
          <w:rFonts w:hint="eastAsia" w:ascii="Arial" w:hAnsi="Arial" w:eastAsia="黑体" w:cs="Arial"/>
          <w:sz w:val="21"/>
          <w:szCs w:val="21"/>
        </w:rPr>
        <w:t>编制依据及</w:t>
      </w:r>
      <w:r>
        <w:rPr>
          <w:rFonts w:ascii="Arial" w:hAnsi="Arial" w:eastAsia="黑体" w:cs="Arial"/>
          <w:sz w:val="21"/>
          <w:szCs w:val="21"/>
        </w:rPr>
        <w:t>组成</w:t>
      </w:r>
      <w:bookmarkEnd w:id="59"/>
    </w:p>
    <w:p>
      <w:pPr>
        <w:spacing w:line="360" w:lineRule="auto"/>
        <w:ind w:firstLine="420" w:firstLineChars="200"/>
        <w:rPr>
          <w:rFonts w:ascii="宋体" w:hAnsi="宋体"/>
          <w:szCs w:val="21"/>
        </w:rPr>
      </w:pPr>
      <w:r>
        <w:rPr>
          <w:rFonts w:hint="eastAsia" w:ascii="宋体" w:hAnsi="宋体" w:cs="Arial"/>
          <w:szCs w:val="21"/>
        </w:rPr>
        <w:t>2.1.1采购文件</w:t>
      </w:r>
      <w:r>
        <w:rPr>
          <w:rFonts w:ascii="宋体" w:hAnsi="宋体"/>
          <w:szCs w:val="21"/>
        </w:rPr>
        <w:t>的编制依据</w:t>
      </w:r>
    </w:p>
    <w:p>
      <w:pPr>
        <w:spacing w:line="360" w:lineRule="auto"/>
        <w:ind w:firstLine="359" w:firstLineChars="171"/>
        <w:rPr>
          <w:rFonts w:ascii="宋体" w:hAnsi="宋体" w:cs="Arial"/>
          <w:szCs w:val="21"/>
        </w:rPr>
      </w:pPr>
      <w:r>
        <w:rPr>
          <w:rFonts w:ascii="宋体" w:hAnsi="宋体" w:cs="Arial"/>
          <w:szCs w:val="21"/>
        </w:rPr>
        <w:t>（1）中华人民共和国政府采购法</w:t>
      </w:r>
      <w:r>
        <w:rPr>
          <w:rFonts w:hint="eastAsia" w:ascii="宋体" w:hAnsi="宋体" w:cs="Arial"/>
          <w:szCs w:val="21"/>
        </w:rPr>
        <w:t>；</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2</w:t>
      </w:r>
      <w:r>
        <w:rPr>
          <w:rFonts w:ascii="宋体" w:hAnsi="宋体" w:cs="Arial"/>
          <w:szCs w:val="21"/>
        </w:rPr>
        <w:t>）中华人民共和国政府采购法实施条例</w:t>
      </w:r>
      <w:r>
        <w:rPr>
          <w:rFonts w:hint="eastAsia" w:ascii="宋体" w:hAnsi="宋体" w:cs="Arial"/>
          <w:szCs w:val="21"/>
        </w:rPr>
        <w:t>；</w:t>
      </w:r>
    </w:p>
    <w:p>
      <w:pPr>
        <w:spacing w:line="360" w:lineRule="auto"/>
        <w:ind w:firstLine="359" w:firstLineChars="171"/>
        <w:rPr>
          <w:rFonts w:ascii="宋体" w:hAnsi="宋体" w:cs="Arial"/>
          <w:szCs w:val="21"/>
        </w:rPr>
      </w:pPr>
      <w:r>
        <w:rPr>
          <w:rFonts w:hint="eastAsia" w:ascii="宋体" w:hAnsi="宋体" w:cs="Arial"/>
          <w:szCs w:val="21"/>
        </w:rPr>
        <w:t>（3）</w:t>
      </w:r>
      <w:r>
        <w:rPr>
          <w:rFonts w:ascii="宋体" w:hAnsi="宋体" w:cs="Arial"/>
          <w:szCs w:val="21"/>
        </w:rPr>
        <w:t>中华人民共和国招标投标法</w:t>
      </w:r>
      <w:r>
        <w:rPr>
          <w:rFonts w:hint="eastAsia" w:ascii="宋体" w:hAnsi="宋体" w:cs="Arial"/>
          <w:szCs w:val="21"/>
        </w:rPr>
        <w:t>；</w:t>
      </w:r>
    </w:p>
    <w:p>
      <w:pPr>
        <w:spacing w:line="360" w:lineRule="auto"/>
        <w:ind w:firstLine="359" w:firstLineChars="171"/>
        <w:rPr>
          <w:rFonts w:ascii="宋体" w:hAnsi="宋体" w:cs="Arial"/>
          <w:szCs w:val="21"/>
        </w:rPr>
      </w:pPr>
      <w:r>
        <w:rPr>
          <w:rFonts w:hint="eastAsia" w:ascii="宋体" w:hAnsi="宋体" w:cs="Arial"/>
          <w:szCs w:val="21"/>
        </w:rPr>
        <w:t>（4）</w:t>
      </w:r>
      <w:r>
        <w:rPr>
          <w:rFonts w:ascii="宋体" w:hAnsi="宋体" w:cs="Arial"/>
          <w:szCs w:val="21"/>
        </w:rPr>
        <w:t>中华人民共和国招标投标法实施条例</w:t>
      </w:r>
      <w:r>
        <w:rPr>
          <w:rFonts w:hint="eastAsia" w:ascii="宋体" w:hAnsi="宋体" w:cs="Arial"/>
          <w:szCs w:val="21"/>
        </w:rPr>
        <w:t>；</w:t>
      </w:r>
    </w:p>
    <w:p>
      <w:pPr>
        <w:spacing w:line="360" w:lineRule="auto"/>
        <w:ind w:firstLine="359" w:firstLineChars="171"/>
        <w:rPr>
          <w:rFonts w:ascii="宋体" w:hAnsi="宋体" w:cs="Arial"/>
          <w:szCs w:val="21"/>
        </w:rPr>
      </w:pPr>
      <w:r>
        <w:rPr>
          <w:rFonts w:hint="eastAsia" w:ascii="宋体" w:hAnsi="宋体" w:cs="Arial"/>
          <w:szCs w:val="21"/>
        </w:rPr>
        <w:t>（5）</w:t>
      </w:r>
      <w:r>
        <w:rPr>
          <w:rFonts w:hint="eastAsia" w:ascii="宋体" w:hAnsi="宋体"/>
          <w:szCs w:val="21"/>
        </w:rPr>
        <w:t>基础设施和公用事业特许经营管理办法；</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6</w:t>
      </w:r>
      <w:r>
        <w:rPr>
          <w:rFonts w:ascii="宋体" w:hAnsi="宋体" w:cs="Arial"/>
          <w:szCs w:val="21"/>
        </w:rPr>
        <w:t>）</w:t>
      </w:r>
      <w:r>
        <w:rPr>
          <w:rFonts w:hint="eastAsia" w:ascii="宋体" w:hAnsi="宋体" w:cs="Arial"/>
          <w:szCs w:val="21"/>
        </w:rPr>
        <w:t>关于在公共服务领域推广政府和社会资本合作模式的指导意见(国办发[2015]42号文)；</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7</w:t>
      </w:r>
      <w:r>
        <w:rPr>
          <w:rFonts w:ascii="宋体" w:hAnsi="宋体" w:cs="Arial"/>
          <w:szCs w:val="21"/>
        </w:rPr>
        <w:t>）</w:t>
      </w:r>
      <w:r>
        <w:rPr>
          <w:rFonts w:hint="eastAsia" w:ascii="宋体" w:hAnsi="宋体" w:cs="Arial"/>
          <w:szCs w:val="21"/>
        </w:rPr>
        <w:t>关于推广运用政府和社会资本合作模式有关问题的通知（财金[2014]76号）；</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8</w:t>
      </w:r>
      <w:r>
        <w:rPr>
          <w:rFonts w:ascii="宋体" w:hAnsi="宋体" w:cs="Arial"/>
          <w:szCs w:val="21"/>
        </w:rPr>
        <w:t>）</w:t>
      </w:r>
      <w:r>
        <w:rPr>
          <w:rFonts w:hint="eastAsia" w:ascii="宋体" w:hAnsi="宋体" w:cs="Arial"/>
          <w:szCs w:val="21"/>
        </w:rPr>
        <w:t>关于印发政府和社会资本合作模式操作指南（试行）的通知（财金[2014]113号）；</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9</w:t>
      </w:r>
      <w:r>
        <w:rPr>
          <w:rFonts w:ascii="宋体" w:hAnsi="宋体" w:cs="Arial"/>
          <w:szCs w:val="21"/>
        </w:rPr>
        <w:t>）</w:t>
      </w:r>
      <w:r>
        <w:rPr>
          <w:rFonts w:hint="eastAsia" w:ascii="宋体" w:hAnsi="宋体" w:cs="Arial"/>
          <w:szCs w:val="21"/>
        </w:rPr>
        <w:t>关于规范政府和社会资本合作合同管理工作的通知（财金[2014]156号）；</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10</w:t>
      </w:r>
      <w:r>
        <w:rPr>
          <w:rFonts w:ascii="宋体" w:hAnsi="宋体" w:cs="Arial"/>
          <w:szCs w:val="21"/>
        </w:rPr>
        <w:t>）</w:t>
      </w:r>
      <w:r>
        <w:rPr>
          <w:rFonts w:hint="eastAsia" w:ascii="宋体" w:hAnsi="宋体" w:cs="Arial"/>
          <w:szCs w:val="21"/>
        </w:rPr>
        <w:t>财政部关于印发</w:t>
      </w:r>
      <w:r>
        <w:rPr>
          <w:rFonts w:ascii="宋体" w:hAnsi="宋体" w:cs="Arial"/>
          <w:szCs w:val="21"/>
        </w:rPr>
        <w:t>《政府和社会资本合作项目政府采购管理办法》</w:t>
      </w:r>
      <w:r>
        <w:rPr>
          <w:rFonts w:hint="eastAsia" w:ascii="宋体" w:hAnsi="宋体" w:cs="Arial"/>
          <w:szCs w:val="21"/>
        </w:rPr>
        <w:t>的通知（财库[2014]215号）；</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11</w:t>
      </w:r>
      <w:r>
        <w:rPr>
          <w:rFonts w:ascii="宋体" w:hAnsi="宋体" w:cs="Arial"/>
          <w:szCs w:val="21"/>
        </w:rPr>
        <w:t>）</w:t>
      </w:r>
      <w:r>
        <w:rPr>
          <w:rFonts w:hint="eastAsia" w:ascii="宋体" w:hAnsi="宋体" w:cs="Arial"/>
          <w:szCs w:val="21"/>
        </w:rPr>
        <w:t>关于印发《政府购买服务管理办法（暂行）》的通知（财综[2014]96号）；</w:t>
      </w:r>
    </w:p>
    <w:p>
      <w:pPr>
        <w:spacing w:line="360" w:lineRule="auto"/>
        <w:ind w:firstLine="359" w:firstLineChars="171"/>
        <w:rPr>
          <w:rFonts w:ascii="宋体" w:hAnsi="宋体" w:cs="Arial"/>
          <w:szCs w:val="21"/>
        </w:rPr>
      </w:pPr>
      <w:r>
        <w:rPr>
          <w:rFonts w:hint="eastAsia" w:ascii="宋体" w:hAnsi="宋体" w:cs="Arial"/>
          <w:szCs w:val="21"/>
        </w:rPr>
        <w:t>（12）关于做好政府采购信息公开工作的通知（财库（2015）135号）；</w:t>
      </w:r>
    </w:p>
    <w:p>
      <w:pPr>
        <w:spacing w:line="360" w:lineRule="auto"/>
        <w:ind w:firstLine="359" w:firstLineChars="171"/>
        <w:rPr>
          <w:rFonts w:ascii="宋体" w:hAnsi="宋体" w:cs="Arial"/>
          <w:szCs w:val="21"/>
        </w:rPr>
      </w:pPr>
      <w:r>
        <w:rPr>
          <w:rFonts w:hint="eastAsia" w:ascii="宋体" w:hAnsi="宋体" w:cs="Arial"/>
          <w:szCs w:val="21"/>
        </w:rPr>
        <w:t>（13）外商投资产业指导目录(2015年修改)。</w:t>
      </w:r>
    </w:p>
    <w:p>
      <w:pPr>
        <w:spacing w:line="360" w:lineRule="auto"/>
        <w:ind w:firstLine="359" w:firstLineChars="171"/>
        <w:rPr>
          <w:rFonts w:ascii="宋体" w:hAnsi="宋体" w:cs="Arial"/>
          <w:szCs w:val="21"/>
        </w:rPr>
      </w:pPr>
      <w:r>
        <w:rPr>
          <w:rFonts w:hint="eastAsia" w:ascii="宋体" w:hAnsi="宋体" w:cs="Arial"/>
          <w:szCs w:val="21"/>
        </w:rPr>
        <w:t>采购文件的编制依据包含但不限于上述文件，上述文件如有更新的以最新版本为准。</w:t>
      </w:r>
    </w:p>
    <w:p>
      <w:pPr>
        <w:spacing w:line="360" w:lineRule="auto"/>
        <w:ind w:firstLine="420" w:firstLineChars="200"/>
        <w:rPr>
          <w:rFonts w:ascii="宋体" w:hAnsi="宋体" w:cs="Arial"/>
          <w:szCs w:val="21"/>
        </w:rPr>
      </w:pPr>
      <w:r>
        <w:rPr>
          <w:rFonts w:ascii="宋体" w:hAnsi="宋体" w:cs="Arial"/>
          <w:szCs w:val="21"/>
        </w:rPr>
        <w:t>2.1.</w:t>
      </w:r>
      <w:r>
        <w:rPr>
          <w:rFonts w:hint="eastAsia" w:ascii="宋体" w:hAnsi="宋体" w:cs="Arial"/>
          <w:szCs w:val="21"/>
        </w:rPr>
        <w:t>2</w:t>
      </w:r>
      <w:r>
        <w:rPr>
          <w:rFonts w:ascii="宋体" w:hAnsi="宋体" w:cs="Arial"/>
          <w:szCs w:val="21"/>
        </w:rPr>
        <w:t xml:space="preserve"> 本采购文件包括：</w:t>
      </w:r>
    </w:p>
    <w:p>
      <w:pPr>
        <w:spacing w:line="360" w:lineRule="auto"/>
        <w:ind w:firstLine="359" w:firstLineChars="171"/>
        <w:rPr>
          <w:rFonts w:ascii="宋体" w:hAnsi="宋体" w:cs="Arial"/>
          <w:szCs w:val="21"/>
        </w:rPr>
      </w:pPr>
      <w:r>
        <w:rPr>
          <w:rFonts w:ascii="宋体" w:hAnsi="宋体" w:cs="Arial"/>
          <w:szCs w:val="21"/>
        </w:rPr>
        <w:t xml:space="preserve">      第</w:t>
      </w:r>
      <w:r>
        <w:rPr>
          <w:rFonts w:hint="eastAsia" w:ascii="宋体" w:hAnsi="宋体" w:cs="Arial"/>
          <w:szCs w:val="21"/>
        </w:rPr>
        <w:t>一章采购邀请</w:t>
      </w:r>
    </w:p>
    <w:p>
      <w:pPr>
        <w:spacing w:line="360" w:lineRule="auto"/>
        <w:ind w:firstLine="359" w:firstLineChars="171"/>
        <w:rPr>
          <w:rFonts w:ascii="宋体" w:hAnsi="宋体" w:cs="Arial"/>
          <w:szCs w:val="21"/>
        </w:rPr>
      </w:pPr>
      <w:r>
        <w:rPr>
          <w:rFonts w:ascii="宋体" w:hAnsi="宋体" w:cs="Arial"/>
          <w:szCs w:val="21"/>
        </w:rPr>
        <w:t xml:space="preserve">      第</w:t>
      </w:r>
      <w:r>
        <w:rPr>
          <w:rFonts w:hint="eastAsia" w:ascii="宋体" w:hAnsi="宋体" w:cs="Arial"/>
          <w:szCs w:val="21"/>
        </w:rPr>
        <w:t>二章投标人</w:t>
      </w:r>
      <w:r>
        <w:rPr>
          <w:rFonts w:ascii="宋体" w:hAnsi="宋体" w:cs="Arial"/>
          <w:szCs w:val="21"/>
        </w:rPr>
        <w:t>须知</w:t>
      </w:r>
    </w:p>
    <w:p>
      <w:pPr>
        <w:spacing w:line="360" w:lineRule="auto"/>
        <w:ind w:firstLine="359" w:firstLineChars="171"/>
        <w:rPr>
          <w:rFonts w:ascii="宋体" w:hAnsi="宋体" w:cs="Arial"/>
          <w:szCs w:val="21"/>
        </w:rPr>
      </w:pPr>
      <w:r>
        <w:rPr>
          <w:rFonts w:ascii="宋体" w:hAnsi="宋体" w:cs="Arial"/>
          <w:szCs w:val="21"/>
        </w:rPr>
        <w:t xml:space="preserve">      第</w:t>
      </w:r>
      <w:r>
        <w:rPr>
          <w:rFonts w:hint="eastAsia" w:ascii="宋体" w:hAnsi="宋体" w:cs="Arial"/>
          <w:szCs w:val="21"/>
        </w:rPr>
        <w:t>三章  PPP项目</w:t>
      </w:r>
      <w:r>
        <w:rPr>
          <w:rFonts w:ascii="宋体" w:hAnsi="宋体" w:cs="Arial"/>
          <w:szCs w:val="21"/>
        </w:rPr>
        <w:t>合同</w:t>
      </w:r>
      <w:r>
        <w:rPr>
          <w:rFonts w:hint="eastAsia" w:ascii="宋体" w:hAnsi="宋体" w:cs="Arial"/>
          <w:szCs w:val="21"/>
        </w:rPr>
        <w:t>（草案）</w:t>
      </w:r>
    </w:p>
    <w:p>
      <w:pPr>
        <w:spacing w:line="360" w:lineRule="auto"/>
        <w:ind w:firstLine="359" w:firstLineChars="171"/>
        <w:rPr>
          <w:rFonts w:ascii="宋体" w:hAnsi="宋体" w:cs="Arial"/>
          <w:szCs w:val="21"/>
        </w:rPr>
      </w:pPr>
      <w:r>
        <w:rPr>
          <w:rFonts w:ascii="宋体" w:hAnsi="宋体" w:cs="Arial"/>
          <w:szCs w:val="21"/>
        </w:rPr>
        <w:t xml:space="preserve">      第</w:t>
      </w:r>
      <w:r>
        <w:rPr>
          <w:rFonts w:hint="eastAsia" w:ascii="宋体" w:hAnsi="宋体" w:cs="Arial"/>
          <w:szCs w:val="21"/>
        </w:rPr>
        <w:t>四章项目采购需求</w:t>
      </w:r>
    </w:p>
    <w:p>
      <w:pPr>
        <w:spacing w:line="360" w:lineRule="auto"/>
        <w:ind w:firstLine="359" w:firstLineChars="171"/>
        <w:rPr>
          <w:rFonts w:ascii="宋体" w:hAnsi="宋体" w:cs="Arial"/>
          <w:szCs w:val="21"/>
        </w:rPr>
      </w:pPr>
      <w:r>
        <w:rPr>
          <w:rFonts w:ascii="宋体" w:hAnsi="宋体" w:cs="Arial"/>
          <w:szCs w:val="21"/>
        </w:rPr>
        <w:t xml:space="preserve">      第</w:t>
      </w:r>
      <w:r>
        <w:rPr>
          <w:rFonts w:hint="eastAsia" w:ascii="宋体" w:hAnsi="宋体" w:cs="Arial"/>
          <w:szCs w:val="21"/>
        </w:rPr>
        <w:t>五章  评审办法</w:t>
      </w:r>
    </w:p>
    <w:p>
      <w:pPr>
        <w:spacing w:line="360" w:lineRule="auto"/>
        <w:ind w:firstLine="359" w:firstLineChars="171"/>
        <w:rPr>
          <w:rFonts w:ascii="宋体" w:hAnsi="宋体" w:cs="Arial"/>
          <w:szCs w:val="21"/>
        </w:rPr>
      </w:pPr>
      <w:r>
        <w:rPr>
          <w:rFonts w:hint="eastAsia" w:ascii="宋体" w:hAnsi="宋体" w:cs="Arial"/>
          <w:szCs w:val="21"/>
        </w:rPr>
        <w:t xml:space="preserve">      第六章  投标</w:t>
      </w:r>
      <w:r>
        <w:rPr>
          <w:rFonts w:ascii="宋体" w:hAnsi="宋体" w:cs="Arial"/>
          <w:szCs w:val="21"/>
        </w:rPr>
        <w:t>文件格式</w:t>
      </w:r>
    </w:p>
    <w:p>
      <w:pPr>
        <w:spacing w:line="360" w:lineRule="auto"/>
        <w:ind w:firstLine="359" w:firstLineChars="171"/>
        <w:rPr>
          <w:rFonts w:ascii="宋体" w:hAnsi="宋体" w:cs="Arial"/>
          <w:szCs w:val="21"/>
        </w:rPr>
      </w:pPr>
      <w:r>
        <w:rPr>
          <w:rFonts w:hint="eastAsia" w:ascii="宋体" w:hAnsi="宋体" w:cs="Arial"/>
          <w:szCs w:val="21"/>
        </w:rPr>
        <w:t>所有</w:t>
      </w:r>
      <w:r>
        <w:rPr>
          <w:rFonts w:ascii="宋体" w:hAnsi="宋体" w:cs="Arial"/>
          <w:szCs w:val="21"/>
        </w:rPr>
        <w:t>对采购文件所作的澄清、修改，</w:t>
      </w:r>
      <w:r>
        <w:rPr>
          <w:rFonts w:hint="eastAsia" w:ascii="宋体" w:hAnsi="宋体" w:cs="Arial"/>
          <w:szCs w:val="21"/>
        </w:rPr>
        <w:t>均为</w:t>
      </w:r>
      <w:r>
        <w:rPr>
          <w:rFonts w:ascii="宋体" w:hAnsi="宋体" w:cs="Arial"/>
          <w:szCs w:val="21"/>
        </w:rPr>
        <w:t>构成采购文件的组成部分。</w:t>
      </w:r>
    </w:p>
    <w:p>
      <w:pPr>
        <w:pStyle w:val="10"/>
        <w:rPr>
          <w:rFonts w:ascii="Arial" w:hAnsi="Arial" w:eastAsia="黑体" w:cs="Arial"/>
          <w:sz w:val="21"/>
          <w:szCs w:val="21"/>
        </w:rPr>
      </w:pPr>
      <w:bookmarkStart w:id="60" w:name="_Toc414277124"/>
      <w:r>
        <w:rPr>
          <w:rFonts w:ascii="Arial" w:hAnsi="Arial" w:eastAsia="黑体" w:cs="Arial"/>
          <w:sz w:val="21"/>
          <w:szCs w:val="21"/>
        </w:rPr>
        <w:t>2.2 采购文件的澄清</w:t>
      </w:r>
      <w:bookmarkEnd w:id="60"/>
      <w:r>
        <w:rPr>
          <w:rFonts w:hint="eastAsia" w:ascii="Arial" w:hAnsi="Arial" w:eastAsia="黑体" w:cs="Arial"/>
          <w:sz w:val="21"/>
          <w:szCs w:val="21"/>
        </w:rPr>
        <w:t>和修改</w:t>
      </w:r>
    </w:p>
    <w:p>
      <w:pPr>
        <w:spacing w:line="360" w:lineRule="auto"/>
        <w:ind w:firstLine="420"/>
        <w:rPr>
          <w:rFonts w:ascii="宋体" w:hAnsi="宋体" w:cs="Arial"/>
          <w:szCs w:val="21"/>
        </w:rPr>
      </w:pPr>
      <w:r>
        <w:rPr>
          <w:rFonts w:hint="eastAsia" w:ascii="宋体" w:hAnsi="宋体" w:cs="Arial"/>
          <w:szCs w:val="21"/>
        </w:rPr>
        <w:t xml:space="preserve">2.2.1 </w:t>
      </w:r>
      <w:r>
        <w:rPr>
          <w:rFonts w:ascii="宋体" w:hAnsi="宋体" w:cs="Arial"/>
          <w:szCs w:val="21"/>
        </w:rPr>
        <w:t>采购人或者采购代理机构可以对已发出的采购文件进行必要的澄清或者修改。澄清或者修改的内容可能影响投标文件编制的，采购人或者采购代理机构应当在</w:t>
      </w:r>
      <w:r>
        <w:rPr>
          <w:rFonts w:hint="eastAsia" w:ascii="宋体" w:hAnsi="宋体" w:cs="Arial"/>
          <w:szCs w:val="21"/>
        </w:rPr>
        <w:t>投标人须知前附表规定的</w:t>
      </w:r>
      <w:r>
        <w:rPr>
          <w:rFonts w:ascii="宋体" w:hAnsi="宋体" w:cs="Arial"/>
          <w:szCs w:val="21"/>
        </w:rPr>
        <w:t>投标截止时间</w:t>
      </w:r>
      <w:r>
        <w:rPr>
          <w:rFonts w:hint="eastAsia" w:ascii="宋体" w:hAnsi="宋体" w:cs="Arial"/>
          <w:szCs w:val="21"/>
        </w:rPr>
        <w:t>至少15</w:t>
      </w:r>
      <w:r>
        <w:rPr>
          <w:rFonts w:ascii="宋体" w:hAnsi="宋体" w:cs="Arial"/>
          <w:szCs w:val="21"/>
        </w:rPr>
        <w:t>日前</w:t>
      </w:r>
      <w:r>
        <w:rPr>
          <w:rFonts w:hint="eastAsia" w:ascii="宋体" w:hAnsi="宋体" w:cs="Arial"/>
          <w:szCs w:val="21"/>
        </w:rPr>
        <w:t>通过公共资源交易系统电子平台发出</w:t>
      </w:r>
      <w:r>
        <w:rPr>
          <w:rFonts w:ascii="宋体" w:hAnsi="宋体" w:cs="Arial"/>
          <w:szCs w:val="21"/>
        </w:rPr>
        <w:t>；不足15日的，采购人或者采购代理机构应当顺延提交投标文件的截止时间。</w:t>
      </w:r>
    </w:p>
    <w:p>
      <w:pPr>
        <w:spacing w:line="360" w:lineRule="auto"/>
        <w:ind w:firstLine="420"/>
        <w:rPr>
          <w:rFonts w:ascii="宋体" w:hAnsi="宋体" w:cs="Arial"/>
          <w:szCs w:val="21"/>
        </w:rPr>
      </w:pPr>
      <w:bookmarkStart w:id="61" w:name="_Toc414277125"/>
      <w:r>
        <w:rPr>
          <w:rFonts w:hint="eastAsia" w:ascii="宋体" w:hAnsi="宋体" w:cs="Arial"/>
          <w:szCs w:val="21"/>
        </w:rPr>
        <w:t>2.2</w:t>
      </w:r>
      <w:r>
        <w:rPr>
          <w:rFonts w:ascii="宋体" w:hAnsi="宋体" w:cs="Arial"/>
          <w:szCs w:val="21"/>
        </w:rPr>
        <w:t>.2如</w:t>
      </w:r>
      <w:r>
        <w:rPr>
          <w:rFonts w:hint="eastAsia" w:ascii="宋体" w:hAnsi="宋体" w:cs="Arial"/>
          <w:szCs w:val="21"/>
        </w:rPr>
        <w:t>潜在投标人</w:t>
      </w:r>
      <w:r>
        <w:rPr>
          <w:rFonts w:ascii="宋体" w:hAnsi="宋体" w:cs="Arial"/>
          <w:szCs w:val="21"/>
        </w:rPr>
        <w:t>对</w:t>
      </w:r>
      <w:r>
        <w:rPr>
          <w:rFonts w:hint="eastAsia" w:ascii="宋体" w:hAnsi="宋体" w:cs="Arial"/>
          <w:szCs w:val="21"/>
        </w:rPr>
        <w:t>采购文件</w:t>
      </w:r>
      <w:r>
        <w:rPr>
          <w:rFonts w:ascii="宋体" w:hAnsi="宋体" w:cs="Arial"/>
          <w:szCs w:val="21"/>
        </w:rPr>
        <w:t>内容有疑义，</w:t>
      </w:r>
      <w:r>
        <w:rPr>
          <w:rFonts w:hint="eastAsia" w:ascii="宋体" w:hAnsi="宋体" w:cs="Arial"/>
          <w:szCs w:val="21"/>
        </w:rPr>
        <w:t>需在投标人须知资料表中规定的时间前通过公共资源交易系统电子平台向采购人或采购代理机构提出。如答复内容需要对采购文件进行澄清和修改的将按照第2.2.1条执行。</w:t>
      </w:r>
      <w:r>
        <w:rPr>
          <w:rFonts w:hint="eastAsia" w:ascii="宋体" w:hAnsi="宋体" w:cs="Arial"/>
          <w:b/>
          <w:szCs w:val="21"/>
        </w:rPr>
        <w:t>如未提出异议，视为全面接受</w:t>
      </w:r>
      <w:r>
        <w:rPr>
          <w:rFonts w:ascii="宋体" w:hAnsi="宋体" w:cs="Arial"/>
          <w:szCs w:val="21"/>
        </w:rPr>
        <w:t>。</w:t>
      </w:r>
    </w:p>
    <w:bookmarkEnd w:id="61"/>
    <w:p>
      <w:pPr>
        <w:pStyle w:val="9"/>
        <w:rPr>
          <w:rFonts w:cs="Arial"/>
          <w:sz w:val="24"/>
          <w:szCs w:val="24"/>
        </w:rPr>
      </w:pPr>
      <w:bookmarkStart w:id="62" w:name="_Toc414277126"/>
      <w:bookmarkStart w:id="63" w:name="_Toc414112614"/>
      <w:bookmarkStart w:id="64" w:name="_Toc534812998"/>
      <w:bookmarkStart w:id="65" w:name="_Toc531614620"/>
      <w:r>
        <w:rPr>
          <w:rFonts w:cs="Arial"/>
          <w:sz w:val="24"/>
          <w:szCs w:val="24"/>
        </w:rPr>
        <w:t>3. 投标文件</w:t>
      </w:r>
      <w:bookmarkEnd w:id="62"/>
      <w:bookmarkEnd w:id="63"/>
      <w:bookmarkEnd w:id="64"/>
      <w:bookmarkEnd w:id="65"/>
    </w:p>
    <w:p>
      <w:pPr>
        <w:pStyle w:val="10"/>
        <w:rPr>
          <w:rFonts w:ascii="Arial" w:hAnsi="Arial" w:eastAsia="黑体" w:cs="Arial"/>
          <w:sz w:val="21"/>
          <w:szCs w:val="21"/>
        </w:rPr>
      </w:pPr>
      <w:bookmarkStart w:id="66" w:name="_Toc414277127"/>
      <w:bookmarkStart w:id="67" w:name="_Toc414112615"/>
      <w:r>
        <w:rPr>
          <w:rFonts w:hint="eastAsia" w:ascii="Arial" w:hAnsi="Arial" w:eastAsia="黑体" w:cs="Arial"/>
          <w:sz w:val="21"/>
          <w:szCs w:val="21"/>
        </w:rPr>
        <w:t>3.1</w:t>
      </w:r>
      <w:r>
        <w:rPr>
          <w:rFonts w:ascii="Arial" w:hAnsi="Arial" w:eastAsia="黑体" w:cs="Arial"/>
          <w:sz w:val="21"/>
          <w:szCs w:val="21"/>
        </w:rPr>
        <w:t xml:space="preserve"> 投标的语言</w:t>
      </w:r>
      <w:bookmarkEnd w:id="66"/>
      <w:bookmarkEnd w:id="67"/>
      <w:r>
        <w:rPr>
          <w:rFonts w:hint="eastAsia" w:ascii="Arial" w:hAnsi="Arial" w:eastAsia="黑体" w:cs="Arial"/>
          <w:sz w:val="21"/>
          <w:szCs w:val="21"/>
        </w:rPr>
        <w:t>与计量</w:t>
      </w:r>
    </w:p>
    <w:p>
      <w:pPr>
        <w:spacing w:line="360" w:lineRule="auto"/>
        <w:ind w:firstLine="420"/>
        <w:rPr>
          <w:rFonts w:ascii="宋体" w:hAnsi="宋体" w:cs="Arial"/>
          <w:szCs w:val="21"/>
        </w:rPr>
      </w:pPr>
      <w:r>
        <w:rPr>
          <w:rFonts w:hint="eastAsia" w:ascii="宋体" w:hAnsi="宋体" w:cs="Arial"/>
          <w:szCs w:val="21"/>
        </w:rPr>
        <w:t>3.1</w:t>
      </w:r>
      <w:r>
        <w:rPr>
          <w:rFonts w:ascii="宋体" w:hAnsi="宋体" w:cs="Arial"/>
          <w:szCs w:val="21"/>
        </w:rPr>
        <w:t xml:space="preserve">.1 </w:t>
      </w:r>
      <w:r>
        <w:rPr>
          <w:rFonts w:hint="eastAsia" w:ascii="宋体" w:hAnsi="宋体" w:cs="Arial"/>
          <w:szCs w:val="21"/>
        </w:rPr>
        <w:t>投标人</w:t>
      </w:r>
      <w:r>
        <w:rPr>
          <w:rFonts w:ascii="宋体" w:hAnsi="宋体" w:cs="Arial"/>
          <w:szCs w:val="21"/>
        </w:rPr>
        <w:t>提交的</w:t>
      </w:r>
      <w:r>
        <w:rPr>
          <w:rFonts w:hint="eastAsia" w:ascii="宋体" w:hAnsi="宋体" w:cs="Arial"/>
          <w:szCs w:val="21"/>
        </w:rPr>
        <w:t>投标</w:t>
      </w:r>
      <w:r>
        <w:rPr>
          <w:rFonts w:ascii="宋体" w:hAnsi="宋体" w:cs="Arial"/>
          <w:szCs w:val="21"/>
        </w:rPr>
        <w:t>文件以及</w:t>
      </w:r>
      <w:r>
        <w:rPr>
          <w:rFonts w:hint="eastAsia" w:ascii="宋体" w:hAnsi="宋体" w:cs="Arial"/>
          <w:szCs w:val="21"/>
        </w:rPr>
        <w:t>投标人</w:t>
      </w:r>
      <w:r>
        <w:rPr>
          <w:rFonts w:ascii="宋体" w:hAnsi="宋体" w:cs="Arial"/>
          <w:szCs w:val="21"/>
        </w:rPr>
        <w:t>与采购人和采购代理机构就有关</w:t>
      </w:r>
      <w:r>
        <w:rPr>
          <w:rFonts w:hint="eastAsia" w:ascii="宋体" w:hAnsi="宋体" w:cs="Arial"/>
          <w:szCs w:val="21"/>
        </w:rPr>
        <w:t>招投标活动</w:t>
      </w:r>
      <w:r>
        <w:rPr>
          <w:rFonts w:ascii="宋体" w:hAnsi="宋体" w:cs="Arial"/>
          <w:szCs w:val="21"/>
        </w:rPr>
        <w:t>的所有来往函电均以中文文字书写。</w:t>
      </w:r>
      <w:r>
        <w:rPr>
          <w:rFonts w:hint="eastAsia" w:ascii="宋体" w:hAnsi="宋体" w:cs="Arial"/>
          <w:szCs w:val="21"/>
        </w:rPr>
        <w:t>投标人</w:t>
      </w:r>
      <w:r>
        <w:rPr>
          <w:rFonts w:ascii="宋体" w:hAnsi="宋体" w:cs="Arial"/>
          <w:szCs w:val="21"/>
        </w:rPr>
        <w:t>提交的支持资料和已印刷的证件或资料可以用另一种语言，但相应内容应附有中文的翻译本，在解释</w:t>
      </w:r>
      <w:r>
        <w:rPr>
          <w:rFonts w:hint="eastAsia" w:ascii="宋体" w:hAnsi="宋体" w:cs="Arial"/>
          <w:szCs w:val="21"/>
        </w:rPr>
        <w:t>投标</w:t>
      </w:r>
      <w:r>
        <w:rPr>
          <w:rFonts w:ascii="宋体" w:hAnsi="宋体" w:cs="Arial"/>
          <w:szCs w:val="21"/>
        </w:rPr>
        <w:t>文件时以翻译文本为准。</w:t>
      </w:r>
    </w:p>
    <w:p>
      <w:pPr>
        <w:spacing w:line="360" w:lineRule="auto"/>
        <w:ind w:firstLine="420"/>
        <w:rPr>
          <w:rFonts w:ascii="宋体" w:hAnsi="宋体" w:cs="Arial"/>
          <w:szCs w:val="21"/>
        </w:rPr>
      </w:pPr>
      <w:r>
        <w:rPr>
          <w:rFonts w:hint="eastAsia" w:ascii="宋体" w:hAnsi="宋体" w:cs="Arial"/>
          <w:szCs w:val="21"/>
        </w:rPr>
        <w:t>3.1</w:t>
      </w:r>
      <w:r>
        <w:rPr>
          <w:rFonts w:ascii="宋体" w:hAnsi="宋体" w:cs="Arial"/>
          <w:szCs w:val="21"/>
        </w:rPr>
        <w:t>.2 除在</w:t>
      </w:r>
      <w:r>
        <w:rPr>
          <w:rFonts w:hint="eastAsia" w:ascii="宋体" w:hAnsi="宋体" w:cs="Arial"/>
          <w:szCs w:val="21"/>
        </w:rPr>
        <w:t>采购文件</w:t>
      </w:r>
      <w:r>
        <w:rPr>
          <w:rFonts w:ascii="宋体" w:hAnsi="宋体" w:cs="Arial"/>
          <w:szCs w:val="21"/>
        </w:rPr>
        <w:t>的技术规格中另有规定外，计量单位应使用中华人民共和国法定计量单位</w:t>
      </w:r>
      <w:r>
        <w:rPr>
          <w:rFonts w:hint="eastAsia" w:ascii="宋体" w:hAnsi="宋体" w:cs="Arial"/>
          <w:szCs w:val="21"/>
        </w:rPr>
        <w:t>。</w:t>
      </w:r>
    </w:p>
    <w:p>
      <w:pPr>
        <w:pStyle w:val="10"/>
        <w:rPr>
          <w:rFonts w:ascii="Arial" w:hAnsi="Arial" w:eastAsia="黑体" w:cs="Arial"/>
          <w:sz w:val="21"/>
          <w:szCs w:val="21"/>
        </w:rPr>
      </w:pPr>
      <w:bookmarkStart w:id="68" w:name="_Toc414112616"/>
      <w:bookmarkStart w:id="69" w:name="_Toc414277128"/>
      <w:r>
        <w:rPr>
          <w:rFonts w:ascii="Arial" w:hAnsi="Arial" w:eastAsia="黑体" w:cs="Arial"/>
          <w:sz w:val="21"/>
          <w:szCs w:val="21"/>
        </w:rPr>
        <w:t>3.</w:t>
      </w:r>
      <w:r>
        <w:rPr>
          <w:rFonts w:hint="eastAsia" w:ascii="Arial" w:hAnsi="Arial" w:eastAsia="黑体" w:cs="Arial"/>
          <w:sz w:val="21"/>
          <w:szCs w:val="21"/>
        </w:rPr>
        <w:t>2</w:t>
      </w:r>
      <w:r>
        <w:rPr>
          <w:rFonts w:ascii="Arial" w:hAnsi="Arial" w:eastAsia="黑体" w:cs="Arial"/>
          <w:sz w:val="21"/>
          <w:szCs w:val="21"/>
        </w:rPr>
        <w:t xml:space="preserve"> 投标文件的组成</w:t>
      </w:r>
      <w:bookmarkEnd w:id="68"/>
      <w:bookmarkEnd w:id="69"/>
    </w:p>
    <w:p>
      <w:pPr>
        <w:spacing w:line="360" w:lineRule="auto"/>
        <w:ind w:firstLine="420"/>
        <w:rPr>
          <w:rFonts w:ascii="宋体" w:hAnsi="宋体" w:cs="Arial"/>
          <w:szCs w:val="21"/>
        </w:rPr>
      </w:pPr>
      <w:r>
        <w:rPr>
          <w:rFonts w:hint="eastAsia" w:ascii="宋体" w:hAnsi="宋体" w:cs="Arial"/>
          <w:szCs w:val="21"/>
        </w:rPr>
        <w:t>3.2.1投标人</w:t>
      </w:r>
      <w:r>
        <w:rPr>
          <w:rFonts w:ascii="宋体" w:hAnsi="宋体" w:cs="Arial"/>
          <w:szCs w:val="21"/>
        </w:rPr>
        <w:t>应按照第</w:t>
      </w:r>
      <w:r>
        <w:rPr>
          <w:rFonts w:hint="eastAsia" w:ascii="宋体" w:hAnsi="宋体" w:cs="Arial"/>
          <w:szCs w:val="21"/>
        </w:rPr>
        <w:t>六章投标</w:t>
      </w:r>
      <w:r>
        <w:rPr>
          <w:rFonts w:ascii="宋体" w:hAnsi="宋体" w:cs="Arial"/>
          <w:szCs w:val="21"/>
        </w:rPr>
        <w:t>文件格式完整地填写</w:t>
      </w:r>
      <w:r>
        <w:rPr>
          <w:rFonts w:hint="eastAsia" w:ascii="宋体" w:hAnsi="宋体" w:cs="Arial"/>
          <w:szCs w:val="21"/>
        </w:rPr>
        <w:t>投标</w:t>
      </w:r>
      <w:r>
        <w:rPr>
          <w:rFonts w:ascii="宋体" w:hAnsi="宋体" w:cs="Arial"/>
          <w:szCs w:val="21"/>
        </w:rPr>
        <w:t>文件，并</w:t>
      </w:r>
      <w:bookmarkStart w:id="70" w:name="我"/>
      <w:bookmarkEnd w:id="70"/>
      <w:r>
        <w:rPr>
          <w:rFonts w:ascii="宋体" w:hAnsi="宋体" w:cs="Arial"/>
          <w:szCs w:val="21"/>
        </w:rPr>
        <w:t>对其提交的</w:t>
      </w:r>
      <w:r>
        <w:rPr>
          <w:rFonts w:hint="eastAsia" w:ascii="宋体" w:hAnsi="宋体" w:cs="Arial"/>
          <w:szCs w:val="21"/>
        </w:rPr>
        <w:t>投标</w:t>
      </w:r>
      <w:r>
        <w:rPr>
          <w:rFonts w:ascii="宋体" w:hAnsi="宋体" w:cs="Arial"/>
          <w:szCs w:val="21"/>
        </w:rPr>
        <w:t>文件的真实性、合法性承担法律责任。</w:t>
      </w:r>
    </w:p>
    <w:p>
      <w:pPr>
        <w:spacing w:line="360" w:lineRule="auto"/>
        <w:ind w:firstLine="420"/>
        <w:rPr>
          <w:rFonts w:ascii="宋体" w:hAnsi="宋体" w:cs="Arial"/>
          <w:szCs w:val="21"/>
        </w:rPr>
      </w:pPr>
      <w:r>
        <w:rPr>
          <w:rFonts w:hint="eastAsia" w:ascii="宋体" w:hAnsi="宋体" w:cs="Arial"/>
          <w:szCs w:val="21"/>
        </w:rPr>
        <w:t>3.2.2投标人</w:t>
      </w:r>
      <w:r>
        <w:rPr>
          <w:rFonts w:ascii="宋体" w:hAnsi="宋体" w:cs="Arial"/>
          <w:szCs w:val="21"/>
        </w:rPr>
        <w:t>应将任何不同于</w:t>
      </w:r>
      <w:r>
        <w:rPr>
          <w:rFonts w:hint="eastAsia" w:ascii="宋体" w:hAnsi="宋体" w:cs="Arial"/>
          <w:szCs w:val="21"/>
        </w:rPr>
        <w:t>采购文件</w:t>
      </w:r>
      <w:r>
        <w:rPr>
          <w:rFonts w:ascii="宋体" w:hAnsi="宋体" w:cs="Arial"/>
          <w:szCs w:val="21"/>
        </w:rPr>
        <w:t>的</w:t>
      </w:r>
      <w:r>
        <w:rPr>
          <w:rFonts w:hint="eastAsia" w:ascii="宋体" w:hAnsi="宋体" w:cs="Arial"/>
          <w:szCs w:val="21"/>
        </w:rPr>
        <w:t>招标</w:t>
      </w:r>
      <w:r>
        <w:rPr>
          <w:rFonts w:ascii="宋体" w:hAnsi="宋体" w:cs="Arial"/>
          <w:szCs w:val="21"/>
        </w:rPr>
        <w:t>内容、要求和商务条款列于“偏离表”中，同时在“偏离表”中注明其他条款无偏离；若所有条款均无偏离也应在“偏离表”中注明所有条款均无偏离。未在“偏离表”中列明的偏离不予认可，在后期合同谈判过程中以</w:t>
      </w:r>
      <w:r>
        <w:rPr>
          <w:rFonts w:hint="eastAsia" w:ascii="宋体" w:hAnsi="宋体" w:cs="Arial"/>
          <w:szCs w:val="21"/>
        </w:rPr>
        <w:t>采购文件</w:t>
      </w:r>
      <w:r>
        <w:rPr>
          <w:rFonts w:ascii="宋体" w:hAnsi="宋体" w:cs="Arial"/>
          <w:szCs w:val="21"/>
        </w:rPr>
        <w:t>为准。</w:t>
      </w:r>
    </w:p>
    <w:p>
      <w:pPr>
        <w:pStyle w:val="10"/>
        <w:rPr>
          <w:rFonts w:ascii="Arial" w:hAnsi="Arial" w:eastAsia="黑体" w:cs="Arial"/>
          <w:sz w:val="21"/>
          <w:szCs w:val="21"/>
        </w:rPr>
      </w:pPr>
      <w:bookmarkStart w:id="71" w:name="_Toc414277129"/>
      <w:bookmarkStart w:id="72" w:name="_Toc414112617"/>
      <w:r>
        <w:rPr>
          <w:rFonts w:ascii="Arial" w:hAnsi="Arial" w:eastAsia="黑体" w:cs="Arial"/>
          <w:sz w:val="21"/>
          <w:szCs w:val="21"/>
        </w:rPr>
        <w:t>3.</w:t>
      </w:r>
      <w:r>
        <w:rPr>
          <w:rFonts w:hint="eastAsia" w:ascii="Arial" w:hAnsi="Arial" w:eastAsia="黑体" w:cs="Arial"/>
          <w:sz w:val="21"/>
          <w:szCs w:val="21"/>
        </w:rPr>
        <w:t>3</w:t>
      </w:r>
      <w:r>
        <w:rPr>
          <w:rFonts w:ascii="Arial" w:hAnsi="Arial" w:eastAsia="黑体" w:cs="Arial"/>
          <w:sz w:val="21"/>
          <w:szCs w:val="21"/>
        </w:rPr>
        <w:t xml:space="preserve"> 投标</w:t>
      </w:r>
      <w:bookmarkEnd w:id="71"/>
      <w:bookmarkEnd w:id="72"/>
      <w:r>
        <w:rPr>
          <w:rFonts w:hint="eastAsia" w:ascii="Arial" w:hAnsi="Arial" w:eastAsia="黑体" w:cs="Arial"/>
          <w:sz w:val="21"/>
          <w:szCs w:val="21"/>
        </w:rPr>
        <w:t>价格</w:t>
      </w:r>
    </w:p>
    <w:p>
      <w:pPr>
        <w:spacing w:line="360" w:lineRule="auto"/>
        <w:ind w:firstLine="420" w:firstLineChars="200"/>
        <w:rPr>
          <w:rFonts w:ascii="宋体" w:hAnsi="宋体" w:cs="Arial"/>
          <w:szCs w:val="21"/>
        </w:rPr>
      </w:pPr>
      <w:r>
        <w:rPr>
          <w:rFonts w:hint="eastAsia" w:ascii="宋体" w:hAnsi="宋体" w:cs="Arial"/>
          <w:szCs w:val="21"/>
        </w:rPr>
        <w:t xml:space="preserve">3.3.1 </w:t>
      </w:r>
      <w:r>
        <w:rPr>
          <w:rFonts w:ascii="宋体" w:hAnsi="宋体" w:cs="Arial"/>
          <w:szCs w:val="21"/>
        </w:rPr>
        <w:t>投标人应按第</w:t>
      </w:r>
      <w:r>
        <w:rPr>
          <w:rFonts w:hint="eastAsia" w:ascii="宋体" w:hAnsi="宋体" w:cs="Arial"/>
          <w:szCs w:val="21"/>
        </w:rPr>
        <w:t>六章</w:t>
      </w:r>
      <w:r>
        <w:rPr>
          <w:rFonts w:ascii="宋体" w:hAnsi="宋体" w:cs="Arial"/>
          <w:szCs w:val="21"/>
        </w:rPr>
        <w:t>“投标文件格式”的要求填写。</w:t>
      </w:r>
    </w:p>
    <w:p>
      <w:pPr>
        <w:spacing w:line="360" w:lineRule="auto"/>
        <w:ind w:firstLine="420" w:firstLineChars="200"/>
        <w:rPr>
          <w:rFonts w:ascii="宋体" w:hAnsi="宋体" w:cs="Arial"/>
          <w:szCs w:val="21"/>
        </w:rPr>
      </w:pPr>
      <w:r>
        <w:rPr>
          <w:rFonts w:hint="eastAsia" w:ascii="宋体" w:hAnsi="宋体" w:cs="Arial"/>
          <w:szCs w:val="21"/>
        </w:rPr>
        <w:t>3.3.2</w:t>
      </w:r>
      <w:r>
        <w:rPr>
          <w:rFonts w:ascii="宋体" w:hAnsi="宋体" w:cs="Arial"/>
          <w:szCs w:val="21"/>
        </w:rPr>
        <w:t>投标价格应包含采购文件中列明的项目全生命周期内的所有投资、建设、运营及移交费用，除非有特别声明，未列明的将视为包含在投标价格中。报价方式及控制价（或其他控制条件）应在投标人须知前附表中明确</w:t>
      </w:r>
      <w:r>
        <w:rPr>
          <w:rFonts w:hint="eastAsia" w:ascii="宋体" w:hAnsi="宋体" w:cs="Arial"/>
          <w:szCs w:val="21"/>
        </w:rPr>
        <w:t>。</w:t>
      </w:r>
    </w:p>
    <w:p>
      <w:pPr>
        <w:spacing w:line="360" w:lineRule="auto"/>
        <w:ind w:firstLine="420" w:firstLineChars="200"/>
        <w:rPr>
          <w:rFonts w:ascii="宋体" w:hAnsi="宋体" w:cs="Arial"/>
          <w:szCs w:val="21"/>
        </w:rPr>
      </w:pPr>
      <w:r>
        <w:rPr>
          <w:rFonts w:hint="eastAsia" w:ascii="宋体" w:hAnsi="宋体" w:cs="Arial"/>
          <w:szCs w:val="21"/>
        </w:rPr>
        <w:t xml:space="preserve">3.3.3 </w:t>
      </w:r>
      <w:r>
        <w:rPr>
          <w:rFonts w:ascii="宋体" w:hAnsi="宋体" w:cs="Arial"/>
          <w:szCs w:val="21"/>
        </w:rPr>
        <w:t>本次</w:t>
      </w:r>
      <w:r>
        <w:rPr>
          <w:rFonts w:hint="eastAsia" w:ascii="宋体" w:hAnsi="宋体" w:cs="Arial"/>
          <w:szCs w:val="21"/>
        </w:rPr>
        <w:t>采购</w:t>
      </w:r>
      <w:r>
        <w:rPr>
          <w:rFonts w:ascii="宋体" w:hAnsi="宋体" w:cs="Arial"/>
          <w:szCs w:val="21"/>
        </w:rPr>
        <w:t>不接受选择性报价或者有附加条件的报价。</w:t>
      </w:r>
    </w:p>
    <w:p>
      <w:pPr>
        <w:pStyle w:val="10"/>
        <w:rPr>
          <w:rFonts w:ascii="Arial" w:hAnsi="Arial" w:eastAsia="黑体" w:cs="Arial"/>
          <w:sz w:val="21"/>
          <w:szCs w:val="21"/>
        </w:rPr>
      </w:pPr>
      <w:r>
        <w:rPr>
          <w:rFonts w:hint="eastAsia" w:ascii="Arial" w:hAnsi="Arial" w:eastAsia="黑体" w:cs="Arial"/>
          <w:sz w:val="21"/>
          <w:szCs w:val="21"/>
        </w:rPr>
        <w:t>3.4 投标人</w:t>
      </w:r>
      <w:r>
        <w:rPr>
          <w:rFonts w:ascii="Arial" w:hAnsi="Arial" w:eastAsia="黑体" w:cs="Arial"/>
          <w:sz w:val="21"/>
          <w:szCs w:val="21"/>
        </w:rPr>
        <w:t>资格</w:t>
      </w:r>
      <w:r>
        <w:rPr>
          <w:rFonts w:hint="eastAsia" w:ascii="Arial" w:hAnsi="Arial" w:eastAsia="黑体" w:cs="Arial"/>
          <w:sz w:val="21"/>
          <w:szCs w:val="21"/>
        </w:rPr>
        <w:t>证明</w:t>
      </w:r>
      <w:r>
        <w:rPr>
          <w:rFonts w:ascii="Arial" w:hAnsi="Arial" w:eastAsia="黑体" w:cs="Arial"/>
          <w:sz w:val="21"/>
          <w:szCs w:val="21"/>
        </w:rPr>
        <w:t>文件</w:t>
      </w:r>
    </w:p>
    <w:p>
      <w:pPr>
        <w:spacing w:line="360" w:lineRule="auto"/>
        <w:ind w:firstLine="420" w:firstLineChars="200"/>
        <w:rPr>
          <w:rFonts w:ascii="宋体" w:hAnsi="宋体" w:cs="Arial"/>
          <w:szCs w:val="21"/>
        </w:rPr>
      </w:pPr>
      <w:r>
        <w:rPr>
          <w:rFonts w:hint="eastAsia" w:ascii="宋体" w:hAnsi="宋体" w:cs="Arial"/>
          <w:szCs w:val="21"/>
        </w:rPr>
        <w:t>3.4.1 投标人须按采购文件第六章“投标文件格式”中规定的内容填写投标文件，并按采购文件具体要求提供相关证件及证明材料。尽管评审小组在评标阶段不再对投标人（</w:t>
      </w:r>
      <w:r>
        <w:rPr>
          <w:rFonts w:hint="eastAsia" w:ascii="宋体" w:hAnsi="宋体" w:cs="宋体"/>
          <w:szCs w:val="21"/>
        </w:rPr>
        <w:t>资格条件没有发生重大变化的</w:t>
      </w:r>
      <w:r>
        <w:rPr>
          <w:rFonts w:hint="eastAsia" w:ascii="宋体" w:hAnsi="宋体" w:cs="Arial"/>
          <w:szCs w:val="21"/>
        </w:rPr>
        <w:t>）在资格预审阶段已通过审查的各项资格条件进行再次审查，但投标人在投标文件中填写的内容必须是真实有效的。</w:t>
      </w:r>
    </w:p>
    <w:p>
      <w:pPr>
        <w:spacing w:line="360" w:lineRule="auto"/>
        <w:ind w:firstLine="420" w:firstLineChars="200"/>
        <w:rPr>
          <w:rFonts w:ascii="宋体" w:hAnsi="宋体" w:cs="Arial"/>
          <w:szCs w:val="21"/>
        </w:rPr>
      </w:pPr>
      <w:r>
        <w:rPr>
          <w:rFonts w:hint="eastAsia" w:ascii="宋体" w:hAnsi="宋体" w:cs="Arial"/>
          <w:szCs w:val="21"/>
        </w:rPr>
        <w:t>3.4.2 如果投标人在送交投标文件时，其财务状况发生变化，或发生法定代表人合法变更或重组，或由于其他任何情况，导致投标人不能满足资格预审的各项条件时，投标人必须在其投标文件中对上述情况进行如实说明。</w:t>
      </w:r>
    </w:p>
    <w:p>
      <w:pPr>
        <w:spacing w:line="360" w:lineRule="auto"/>
        <w:ind w:firstLine="420" w:firstLineChars="200"/>
        <w:rPr>
          <w:rFonts w:ascii="宋体" w:hAnsi="宋体" w:cs="Arial"/>
          <w:szCs w:val="21"/>
        </w:rPr>
      </w:pPr>
      <w:r>
        <w:rPr>
          <w:rFonts w:hint="eastAsia" w:ascii="宋体" w:hAnsi="宋体" w:cs="Arial"/>
          <w:szCs w:val="21"/>
        </w:rPr>
        <w:t>3.4.3 资格预审合格的投标人在投标前、签订PPP项目合同前资格发生重大变化的，应当通知采购人并提供书面证明文件。</w:t>
      </w:r>
    </w:p>
    <w:p>
      <w:pPr>
        <w:pStyle w:val="10"/>
        <w:rPr>
          <w:rFonts w:ascii="Arial" w:hAnsi="Arial" w:eastAsia="黑体" w:cs="Arial"/>
          <w:sz w:val="21"/>
          <w:szCs w:val="21"/>
        </w:rPr>
      </w:pPr>
      <w:r>
        <w:rPr>
          <w:rFonts w:hint="eastAsia" w:ascii="Arial" w:hAnsi="Arial" w:eastAsia="黑体" w:cs="Arial"/>
          <w:sz w:val="21"/>
          <w:szCs w:val="21"/>
        </w:rPr>
        <w:t>3.5 投标人提供服务项目中涉及的产品、工程</w:t>
      </w:r>
      <w:r>
        <w:rPr>
          <w:rFonts w:ascii="Arial" w:hAnsi="Arial" w:eastAsia="黑体" w:cs="Arial"/>
          <w:sz w:val="21"/>
          <w:szCs w:val="21"/>
        </w:rPr>
        <w:t>和服务的合格性的文件</w:t>
      </w:r>
    </w:p>
    <w:p>
      <w:pPr>
        <w:spacing w:line="360" w:lineRule="auto"/>
        <w:ind w:firstLine="420" w:firstLineChars="200"/>
        <w:rPr>
          <w:rFonts w:ascii="宋体" w:hAnsi="宋体" w:cs="Arial"/>
          <w:szCs w:val="21"/>
        </w:rPr>
      </w:pPr>
      <w:r>
        <w:rPr>
          <w:rFonts w:hint="eastAsia" w:ascii="宋体" w:hAnsi="宋体" w:cs="Arial"/>
          <w:szCs w:val="21"/>
        </w:rPr>
        <w:t>3.5.1符合国家强制性标准及政府采购政策的证明材料。</w:t>
      </w:r>
    </w:p>
    <w:p>
      <w:pPr>
        <w:spacing w:line="360" w:lineRule="auto"/>
        <w:ind w:firstLine="420" w:firstLineChars="200"/>
        <w:rPr>
          <w:rFonts w:ascii="宋体" w:hAnsi="宋体" w:cs="Arial"/>
          <w:szCs w:val="21"/>
        </w:rPr>
      </w:pPr>
      <w:r>
        <w:rPr>
          <w:rFonts w:hint="eastAsia" w:ascii="宋体" w:hAnsi="宋体" w:cs="Arial"/>
          <w:szCs w:val="21"/>
        </w:rPr>
        <w:t>3.5</w:t>
      </w:r>
      <w:r>
        <w:rPr>
          <w:rFonts w:ascii="宋体" w:hAnsi="宋体" w:cs="Arial"/>
          <w:szCs w:val="21"/>
        </w:rPr>
        <w:t>.</w:t>
      </w:r>
      <w:r>
        <w:rPr>
          <w:rFonts w:hint="eastAsia" w:ascii="宋体" w:hAnsi="宋体" w:cs="Arial"/>
          <w:szCs w:val="21"/>
        </w:rPr>
        <w:t>2投标人</w:t>
      </w:r>
      <w:r>
        <w:rPr>
          <w:rFonts w:ascii="宋体" w:hAnsi="宋体" w:cs="Arial"/>
          <w:szCs w:val="21"/>
        </w:rPr>
        <w:t>应提交证明文件，证明其拟</w:t>
      </w:r>
      <w:r>
        <w:rPr>
          <w:rFonts w:hint="eastAsia" w:ascii="宋体" w:hAnsi="宋体" w:cs="Arial"/>
          <w:szCs w:val="21"/>
        </w:rPr>
        <w:t>提</w:t>
      </w:r>
      <w:r>
        <w:rPr>
          <w:rFonts w:ascii="宋体" w:hAnsi="宋体" w:cs="Arial"/>
          <w:szCs w:val="21"/>
        </w:rPr>
        <w:t>供的产品和服务的合格性符合</w:t>
      </w:r>
      <w:r>
        <w:rPr>
          <w:rFonts w:hint="eastAsia" w:ascii="宋体" w:hAnsi="宋体" w:cs="Arial"/>
          <w:szCs w:val="21"/>
        </w:rPr>
        <w:t>采购</w:t>
      </w:r>
      <w:r>
        <w:rPr>
          <w:rFonts w:ascii="宋体" w:hAnsi="宋体" w:cs="Arial"/>
          <w:szCs w:val="21"/>
        </w:rPr>
        <w:t>文件规定。该证明文件作为</w:t>
      </w:r>
      <w:r>
        <w:rPr>
          <w:rFonts w:hint="eastAsia" w:ascii="宋体" w:hAnsi="宋体" w:cs="Arial"/>
          <w:szCs w:val="21"/>
        </w:rPr>
        <w:t>投标</w:t>
      </w:r>
      <w:r>
        <w:rPr>
          <w:rFonts w:ascii="宋体" w:hAnsi="宋体" w:cs="Arial"/>
          <w:szCs w:val="21"/>
        </w:rPr>
        <w:t>文件的一部分。</w:t>
      </w:r>
    </w:p>
    <w:p>
      <w:pPr>
        <w:spacing w:line="360" w:lineRule="auto"/>
        <w:ind w:firstLine="420" w:firstLineChars="200"/>
        <w:rPr>
          <w:rFonts w:ascii="宋体" w:hAnsi="宋体" w:cs="Arial"/>
          <w:szCs w:val="21"/>
        </w:rPr>
      </w:pPr>
      <w:r>
        <w:rPr>
          <w:rFonts w:hint="eastAsia" w:ascii="宋体" w:hAnsi="宋体" w:cs="Arial"/>
          <w:szCs w:val="21"/>
        </w:rPr>
        <w:t>3.5</w:t>
      </w:r>
      <w:r>
        <w:rPr>
          <w:rFonts w:ascii="宋体" w:hAnsi="宋体" w:cs="Arial"/>
          <w:szCs w:val="21"/>
        </w:rPr>
        <w:t>.</w:t>
      </w:r>
      <w:r>
        <w:rPr>
          <w:rFonts w:hint="eastAsia" w:ascii="宋体" w:hAnsi="宋体" w:cs="Arial"/>
          <w:szCs w:val="21"/>
        </w:rPr>
        <w:t>3</w:t>
      </w:r>
      <w:r>
        <w:rPr>
          <w:rFonts w:ascii="宋体" w:hAnsi="宋体" w:cs="Arial"/>
          <w:szCs w:val="21"/>
        </w:rPr>
        <w:t>产品和服务合格性的证明文件应包括产品的制作工艺（建造实施）方案，拟投入的组织管理人员</w:t>
      </w:r>
      <w:r>
        <w:rPr>
          <w:rFonts w:hint="eastAsia" w:ascii="宋体" w:hAnsi="宋体" w:cs="Arial"/>
          <w:szCs w:val="21"/>
        </w:rPr>
        <w:t>、</w:t>
      </w:r>
      <w:r>
        <w:rPr>
          <w:rFonts w:ascii="宋体" w:hAnsi="宋体" w:cs="Arial"/>
          <w:szCs w:val="21"/>
        </w:rPr>
        <w:t>技术力量以及管理者和技术人员的经验。</w:t>
      </w:r>
    </w:p>
    <w:p>
      <w:pPr>
        <w:spacing w:line="360" w:lineRule="auto"/>
        <w:ind w:firstLine="420" w:firstLineChars="200"/>
        <w:rPr>
          <w:rFonts w:ascii="宋体" w:hAnsi="宋体" w:cs="Arial"/>
          <w:szCs w:val="21"/>
        </w:rPr>
      </w:pPr>
      <w:r>
        <w:rPr>
          <w:rFonts w:hint="eastAsia" w:ascii="宋体" w:hAnsi="宋体" w:cs="Arial"/>
          <w:szCs w:val="21"/>
        </w:rPr>
        <w:t>3.5</w:t>
      </w:r>
      <w:r>
        <w:rPr>
          <w:rFonts w:ascii="宋体" w:hAnsi="宋体" w:cs="Arial"/>
          <w:szCs w:val="21"/>
        </w:rPr>
        <w:t>.</w:t>
      </w:r>
      <w:r>
        <w:rPr>
          <w:rFonts w:hint="eastAsia" w:ascii="宋体" w:hAnsi="宋体" w:cs="Arial"/>
          <w:szCs w:val="21"/>
        </w:rPr>
        <w:t>4</w:t>
      </w:r>
      <w:r>
        <w:rPr>
          <w:rFonts w:ascii="宋体" w:hAnsi="宋体" w:cs="Arial"/>
          <w:szCs w:val="21"/>
        </w:rPr>
        <w:t xml:space="preserve"> 证明产品和服务符合</w:t>
      </w:r>
      <w:r>
        <w:rPr>
          <w:rFonts w:hint="eastAsia" w:ascii="宋体" w:hAnsi="宋体" w:cs="Arial"/>
          <w:szCs w:val="21"/>
        </w:rPr>
        <w:t>采购</w:t>
      </w:r>
      <w:r>
        <w:rPr>
          <w:rFonts w:ascii="宋体" w:hAnsi="宋体" w:cs="Arial"/>
          <w:szCs w:val="21"/>
        </w:rPr>
        <w:t>文件要求的文件可以是产品的制造工艺，建筑物的施工组织设计，管理方的组织机构及人员的经验，技术团队人员的履历和相关证件。</w:t>
      </w:r>
    </w:p>
    <w:p>
      <w:pPr>
        <w:spacing w:line="360" w:lineRule="auto"/>
        <w:ind w:firstLine="420" w:firstLineChars="200"/>
        <w:rPr>
          <w:rFonts w:ascii="宋体" w:hAnsi="宋体" w:cs="Arial"/>
          <w:szCs w:val="21"/>
        </w:rPr>
      </w:pPr>
      <w:r>
        <w:rPr>
          <w:rFonts w:hint="eastAsia" w:ascii="宋体" w:hAnsi="宋体" w:cs="Arial"/>
          <w:szCs w:val="21"/>
        </w:rPr>
        <w:t>3.5.5采购人根据项目特色有其他特殊要求的，投标人应按</w:t>
      </w:r>
      <w:r>
        <w:rPr>
          <w:rFonts w:ascii="宋体" w:hAnsi="宋体" w:cs="Arial"/>
          <w:szCs w:val="21"/>
        </w:rPr>
        <w:t>投标人须知前附表</w:t>
      </w:r>
      <w:r>
        <w:rPr>
          <w:rFonts w:hint="eastAsia" w:ascii="宋体" w:hAnsi="宋体" w:cs="Arial"/>
          <w:szCs w:val="21"/>
        </w:rPr>
        <w:t>的要求提供证明材料。</w:t>
      </w:r>
    </w:p>
    <w:p>
      <w:pPr>
        <w:pStyle w:val="2"/>
        <w:ind w:firstLine="211"/>
      </w:pPr>
      <w:r>
        <w:rPr>
          <w:rFonts w:hint="eastAsia"/>
          <w:b/>
        </w:rPr>
        <w:t>注：本项3.5条款内容中第3.5.5有特殊要求的，需按投标人须知前附表要求提供证明材料；无特殊要求的，投标人未提供证明材料的，其产品、工程和服务也视为满足相应要求。</w:t>
      </w:r>
    </w:p>
    <w:p>
      <w:pPr>
        <w:pStyle w:val="10"/>
        <w:rPr>
          <w:rFonts w:ascii="Arial" w:hAnsi="Arial" w:eastAsia="黑体" w:cs="Arial"/>
          <w:sz w:val="21"/>
          <w:szCs w:val="21"/>
        </w:rPr>
      </w:pPr>
      <w:bookmarkStart w:id="73" w:name="_Toc414277130"/>
      <w:bookmarkStart w:id="74" w:name="_Toc414112618"/>
      <w:r>
        <w:rPr>
          <w:rFonts w:ascii="Arial" w:hAnsi="Arial" w:eastAsia="黑体" w:cs="Arial"/>
          <w:sz w:val="21"/>
          <w:szCs w:val="21"/>
        </w:rPr>
        <w:t>3.</w:t>
      </w:r>
      <w:r>
        <w:rPr>
          <w:rFonts w:hint="eastAsia" w:ascii="Arial" w:hAnsi="Arial" w:eastAsia="黑体" w:cs="Arial"/>
          <w:sz w:val="21"/>
          <w:szCs w:val="21"/>
        </w:rPr>
        <w:t>6</w:t>
      </w:r>
      <w:r>
        <w:rPr>
          <w:rFonts w:ascii="Arial" w:hAnsi="Arial" w:eastAsia="黑体" w:cs="Arial"/>
          <w:sz w:val="21"/>
          <w:szCs w:val="21"/>
        </w:rPr>
        <w:t xml:space="preserve"> 投标文件有效期</w:t>
      </w:r>
      <w:bookmarkEnd w:id="73"/>
      <w:bookmarkEnd w:id="74"/>
    </w:p>
    <w:p>
      <w:pPr>
        <w:spacing w:line="360" w:lineRule="auto"/>
        <w:ind w:firstLine="420" w:firstLineChars="200"/>
        <w:rPr>
          <w:rFonts w:ascii="宋体" w:hAnsi="宋体" w:cs="Arial"/>
          <w:szCs w:val="21"/>
        </w:rPr>
      </w:pPr>
      <w:r>
        <w:rPr>
          <w:rFonts w:hint="eastAsia" w:ascii="宋体" w:hAnsi="宋体" w:cs="Arial"/>
          <w:szCs w:val="21"/>
        </w:rPr>
        <w:t>3.6.1</w:t>
      </w:r>
      <w:r>
        <w:rPr>
          <w:rFonts w:hint="eastAsia" w:ascii="宋体" w:hAnsi="宋体"/>
          <w:szCs w:val="21"/>
        </w:rPr>
        <w:t>投标</w:t>
      </w:r>
      <w:r>
        <w:rPr>
          <w:rFonts w:ascii="宋体" w:hAnsi="宋体"/>
          <w:szCs w:val="21"/>
        </w:rPr>
        <w:t>文件应自</w:t>
      </w:r>
      <w:r>
        <w:rPr>
          <w:rFonts w:hint="eastAsia" w:ascii="宋体" w:hAnsi="宋体"/>
          <w:szCs w:val="21"/>
        </w:rPr>
        <w:t>投标人</w:t>
      </w:r>
      <w:r>
        <w:rPr>
          <w:rFonts w:ascii="宋体" w:hAnsi="宋体"/>
          <w:szCs w:val="21"/>
        </w:rPr>
        <w:t>须知</w:t>
      </w:r>
      <w:r>
        <w:rPr>
          <w:rFonts w:hint="eastAsia" w:ascii="宋体" w:hAnsi="宋体"/>
          <w:szCs w:val="21"/>
        </w:rPr>
        <w:t>前附</w:t>
      </w:r>
      <w:r>
        <w:rPr>
          <w:rFonts w:ascii="宋体" w:hAnsi="宋体"/>
          <w:szCs w:val="21"/>
        </w:rPr>
        <w:t>表中规定的提交</w:t>
      </w:r>
      <w:r>
        <w:rPr>
          <w:rFonts w:hint="eastAsia" w:ascii="宋体" w:hAnsi="宋体"/>
          <w:szCs w:val="21"/>
        </w:rPr>
        <w:t>投标</w:t>
      </w:r>
      <w:r>
        <w:rPr>
          <w:rFonts w:ascii="宋体" w:hAnsi="宋体"/>
          <w:szCs w:val="21"/>
        </w:rPr>
        <w:t>文件的截止之日起，并在</w:t>
      </w:r>
      <w:r>
        <w:rPr>
          <w:rFonts w:hint="eastAsia" w:ascii="宋体" w:hAnsi="宋体"/>
          <w:szCs w:val="21"/>
        </w:rPr>
        <w:t>投标人</w:t>
      </w:r>
      <w:r>
        <w:rPr>
          <w:rFonts w:ascii="宋体" w:hAnsi="宋体"/>
          <w:szCs w:val="21"/>
        </w:rPr>
        <w:t>须知</w:t>
      </w:r>
      <w:r>
        <w:rPr>
          <w:rFonts w:hint="eastAsia" w:ascii="宋体" w:hAnsi="宋体"/>
          <w:szCs w:val="21"/>
        </w:rPr>
        <w:t>前附</w:t>
      </w:r>
      <w:r>
        <w:rPr>
          <w:rFonts w:ascii="宋体" w:hAnsi="宋体"/>
          <w:szCs w:val="21"/>
        </w:rPr>
        <w:t>表中所述期限内保持有效。</w:t>
      </w:r>
      <w:r>
        <w:rPr>
          <w:rFonts w:hint="eastAsia" w:ascii="宋体" w:hAnsi="宋体"/>
          <w:szCs w:val="21"/>
        </w:rPr>
        <w:t>投标文件</w:t>
      </w:r>
      <w:r>
        <w:rPr>
          <w:rFonts w:ascii="宋体" w:hAnsi="宋体"/>
          <w:szCs w:val="21"/>
        </w:rPr>
        <w:t>有效期不足的</w:t>
      </w:r>
      <w:r>
        <w:rPr>
          <w:rFonts w:hint="eastAsia" w:ascii="宋体" w:hAnsi="宋体"/>
          <w:szCs w:val="21"/>
        </w:rPr>
        <w:t>投标</w:t>
      </w:r>
      <w:r>
        <w:rPr>
          <w:rFonts w:ascii="宋体" w:hAnsi="宋体"/>
          <w:szCs w:val="21"/>
        </w:rPr>
        <w:t>文件将被视为非实质性响应，</w:t>
      </w:r>
      <w:r>
        <w:rPr>
          <w:rFonts w:hint="eastAsia" w:ascii="宋体" w:hAnsi="宋体"/>
          <w:szCs w:val="21"/>
        </w:rPr>
        <w:t>可以</w:t>
      </w:r>
      <w:r>
        <w:rPr>
          <w:rFonts w:ascii="宋体" w:hAnsi="宋体"/>
          <w:szCs w:val="21"/>
        </w:rPr>
        <w:t>予以否决。</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6</w:t>
      </w:r>
      <w:r>
        <w:rPr>
          <w:rFonts w:ascii="宋体" w:hAnsi="宋体" w:cs="Arial"/>
          <w:szCs w:val="21"/>
        </w:rPr>
        <w:t>.</w:t>
      </w:r>
      <w:r>
        <w:rPr>
          <w:rFonts w:hint="eastAsia" w:ascii="宋体" w:hAnsi="宋体" w:cs="Arial"/>
          <w:szCs w:val="21"/>
        </w:rPr>
        <w:t>2</w:t>
      </w:r>
      <w:r>
        <w:rPr>
          <w:rFonts w:ascii="宋体" w:hAnsi="宋体" w:cs="Arial"/>
          <w:szCs w:val="21"/>
        </w:rPr>
        <w:t xml:space="preserve"> 在投标人须知前附表规定的投标文件有效期内，投标人不得要求撤销或修改其投标文件。</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6</w:t>
      </w:r>
      <w:r>
        <w:rPr>
          <w:rFonts w:ascii="宋体" w:hAnsi="宋体" w:cs="Arial"/>
          <w:szCs w:val="21"/>
        </w:rPr>
        <w:t>.</w:t>
      </w:r>
      <w:r>
        <w:rPr>
          <w:rFonts w:hint="eastAsia" w:ascii="宋体" w:hAnsi="宋体" w:cs="Arial"/>
          <w:szCs w:val="21"/>
        </w:rPr>
        <w:t>3</w:t>
      </w:r>
      <w:r>
        <w:rPr>
          <w:rFonts w:ascii="宋体" w:hAnsi="宋体" w:cs="Arial"/>
          <w:szCs w:val="21"/>
        </w:rPr>
        <w:t xml:space="preserve">出现特殊情况需要延长投标文件有效期的，采购人以书面形式通知所有投标人延长投标文件有效期。投标人同意延长的，应相应延长其投标保证金的有效期，但不得要求或被允许修改或撤销其投标文件；投标人拒绝延长的，其响应失效，但投标人有权收回其投标保证金。 </w:t>
      </w:r>
    </w:p>
    <w:p>
      <w:pPr>
        <w:pStyle w:val="10"/>
        <w:rPr>
          <w:rFonts w:ascii="Arial" w:hAnsi="Arial" w:eastAsia="黑体" w:cs="Arial"/>
          <w:sz w:val="21"/>
          <w:szCs w:val="21"/>
        </w:rPr>
      </w:pPr>
      <w:bookmarkStart w:id="75" w:name="_Toc414112619"/>
      <w:bookmarkStart w:id="76" w:name="_Toc414277131"/>
      <w:r>
        <w:rPr>
          <w:rFonts w:ascii="Arial" w:hAnsi="Arial" w:eastAsia="黑体" w:cs="Arial"/>
          <w:sz w:val="21"/>
          <w:szCs w:val="21"/>
        </w:rPr>
        <w:t>3.</w:t>
      </w:r>
      <w:r>
        <w:rPr>
          <w:rFonts w:hint="eastAsia" w:ascii="Arial" w:hAnsi="Arial" w:eastAsia="黑体" w:cs="Arial"/>
          <w:sz w:val="21"/>
          <w:szCs w:val="21"/>
        </w:rPr>
        <w:t>7</w:t>
      </w:r>
      <w:r>
        <w:rPr>
          <w:rFonts w:ascii="Arial" w:hAnsi="Arial" w:eastAsia="黑体" w:cs="Arial"/>
          <w:sz w:val="21"/>
          <w:szCs w:val="21"/>
        </w:rPr>
        <w:t xml:space="preserve"> 投标保证金</w:t>
      </w:r>
      <w:bookmarkEnd w:id="75"/>
      <w:bookmarkEnd w:id="76"/>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7</w:t>
      </w:r>
      <w:r>
        <w:rPr>
          <w:rFonts w:ascii="宋体" w:hAnsi="宋体" w:cs="Arial"/>
          <w:szCs w:val="21"/>
        </w:rPr>
        <w:t>.1 投标人应按投标人须知前附表规定的金额、形式递交投标保证金，并作为其投标文件的一部分。</w:t>
      </w:r>
      <w:r>
        <w:rPr>
          <w:rFonts w:hint="eastAsia" w:ascii="宋体" w:hAnsi="宋体" w:cs="Arial"/>
          <w:szCs w:val="21"/>
        </w:rPr>
        <w:t>投标保证金不得超过采购项目预算金额的2%。投标</w:t>
      </w:r>
      <w:r>
        <w:rPr>
          <w:rFonts w:ascii="宋体" w:hAnsi="宋体" w:cs="Arial"/>
          <w:szCs w:val="21"/>
        </w:rPr>
        <w:t>保证金有效期应当与</w:t>
      </w:r>
      <w:r>
        <w:rPr>
          <w:rFonts w:hint="eastAsia" w:ascii="宋体" w:hAnsi="宋体" w:cs="Arial"/>
          <w:szCs w:val="21"/>
        </w:rPr>
        <w:t>投标</w:t>
      </w:r>
      <w:r>
        <w:rPr>
          <w:rFonts w:ascii="宋体" w:hAnsi="宋体" w:cs="Arial"/>
          <w:szCs w:val="21"/>
        </w:rPr>
        <w:t>有效期一致。</w:t>
      </w:r>
    </w:p>
    <w:p>
      <w:pPr>
        <w:spacing w:line="360" w:lineRule="auto"/>
        <w:ind w:firstLine="420" w:firstLineChars="200"/>
        <w:rPr>
          <w:rFonts w:ascii="宋体" w:hAnsi="宋体" w:cs="Arial"/>
          <w:szCs w:val="21"/>
        </w:rPr>
      </w:pPr>
      <w:r>
        <w:rPr>
          <w:rFonts w:hint="eastAsia" w:ascii="宋体" w:hAnsi="宋体" w:cs="Arial"/>
          <w:szCs w:val="21"/>
        </w:rPr>
        <w:t>3.7.2投标人为</w:t>
      </w:r>
      <w:r>
        <w:rPr>
          <w:rFonts w:ascii="宋体" w:hAnsi="宋体" w:cs="Arial"/>
          <w:szCs w:val="21"/>
        </w:rPr>
        <w:t>联合体的，</w:t>
      </w:r>
      <w:r>
        <w:rPr>
          <w:rFonts w:hint="eastAsia" w:ascii="宋体" w:hAnsi="宋体" w:cs="Arial"/>
          <w:szCs w:val="21"/>
        </w:rPr>
        <w:t>由联合体约定负责本项目报名的一方交纳投标保证金，其交纳的保证金对联合体各方均具有约束力。</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7</w:t>
      </w:r>
      <w:r>
        <w:rPr>
          <w:rFonts w:ascii="宋体" w:hAnsi="宋体" w:cs="Arial"/>
          <w:szCs w:val="21"/>
        </w:rPr>
        <w:t>.</w:t>
      </w:r>
      <w:r>
        <w:rPr>
          <w:rFonts w:hint="eastAsia" w:ascii="宋体" w:hAnsi="宋体" w:cs="Arial"/>
          <w:szCs w:val="21"/>
        </w:rPr>
        <w:t>3</w:t>
      </w:r>
      <w:r>
        <w:rPr>
          <w:rFonts w:ascii="宋体" w:hAnsi="宋体" w:cs="Arial"/>
          <w:szCs w:val="21"/>
        </w:rPr>
        <w:t xml:space="preserve"> 投标人</w:t>
      </w:r>
      <w:r>
        <w:rPr>
          <w:rFonts w:hint="eastAsia" w:ascii="宋体" w:hAnsi="宋体" w:cs="Arial"/>
          <w:szCs w:val="21"/>
        </w:rPr>
        <w:t>未按照采购文件</w:t>
      </w:r>
      <w:r>
        <w:rPr>
          <w:rFonts w:ascii="宋体" w:hAnsi="宋体" w:cs="Arial"/>
          <w:szCs w:val="21"/>
        </w:rPr>
        <w:t>要求提交投标保证金的，其投标</w:t>
      </w:r>
      <w:r>
        <w:rPr>
          <w:rFonts w:hint="eastAsia" w:ascii="宋体" w:hAnsi="宋体" w:cs="Arial"/>
          <w:szCs w:val="21"/>
        </w:rPr>
        <w:t>无效</w:t>
      </w:r>
      <w:r>
        <w:rPr>
          <w:rFonts w:ascii="宋体" w:hAnsi="宋体" w:cs="Arial"/>
          <w:szCs w:val="21"/>
        </w:rPr>
        <w:t>。</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7.4</w:t>
      </w:r>
      <w:r>
        <w:rPr>
          <w:rFonts w:ascii="宋体" w:hAnsi="宋体" w:cs="Arial"/>
          <w:szCs w:val="21"/>
        </w:rPr>
        <w:t xml:space="preserve"> 采购人在中标通知书发出</w:t>
      </w:r>
      <w:r>
        <w:rPr>
          <w:rFonts w:hint="eastAsia" w:ascii="宋体" w:hAnsi="宋体" w:cs="Arial"/>
          <w:szCs w:val="21"/>
        </w:rPr>
        <w:t>之日起</w:t>
      </w:r>
      <w:r>
        <w:rPr>
          <w:rFonts w:ascii="宋体" w:hAnsi="宋体" w:cs="Arial"/>
          <w:szCs w:val="21"/>
        </w:rPr>
        <w:t>5个工作日内，向未成交投标人退还投标保证金。采购人与中标人签订采购合同</w:t>
      </w:r>
      <w:r>
        <w:rPr>
          <w:rFonts w:hint="eastAsia" w:ascii="宋体" w:hAnsi="宋体" w:cs="Arial"/>
          <w:szCs w:val="21"/>
        </w:rPr>
        <w:t>且中标人（或项目公司）提交建设期履约保函</w:t>
      </w:r>
      <w:r>
        <w:rPr>
          <w:rFonts w:ascii="宋体" w:hAnsi="宋体" w:cs="Arial"/>
          <w:szCs w:val="21"/>
        </w:rPr>
        <w:t>后5个工作日内，向中标人退还投标保证金。</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7.5</w:t>
      </w:r>
      <w:r>
        <w:rPr>
          <w:rFonts w:ascii="宋体" w:hAnsi="宋体"/>
          <w:szCs w:val="21"/>
        </w:rPr>
        <w:t>下列任一情况发生时，</w:t>
      </w:r>
      <w:r>
        <w:rPr>
          <w:rFonts w:ascii="宋体" w:hAnsi="宋体" w:cs="Arial"/>
          <w:szCs w:val="21"/>
        </w:rPr>
        <w:t>投标保证金将不予退还</w:t>
      </w:r>
      <w:r>
        <w:rPr>
          <w:rFonts w:hint="eastAsia" w:ascii="宋体" w:hAnsi="宋体" w:cs="Arial"/>
          <w:szCs w:val="21"/>
        </w:rPr>
        <w:t>（不予退还的投标保证金将按照相关规定上缴财政）</w:t>
      </w:r>
      <w:r>
        <w:rPr>
          <w:rFonts w:ascii="宋体" w:hAnsi="宋体" w:cs="Arial"/>
          <w:szCs w:val="21"/>
        </w:rPr>
        <w:t xml:space="preserve">： </w:t>
      </w:r>
    </w:p>
    <w:p>
      <w:pPr>
        <w:spacing w:line="360" w:lineRule="auto"/>
        <w:ind w:firstLine="718" w:firstLineChars="342"/>
        <w:rPr>
          <w:rFonts w:ascii="宋体" w:hAnsi="宋体" w:cs="Arial"/>
          <w:szCs w:val="21"/>
        </w:rPr>
      </w:pPr>
      <w:r>
        <w:rPr>
          <w:rFonts w:ascii="宋体" w:hAnsi="宋体" w:cs="Arial"/>
          <w:szCs w:val="21"/>
        </w:rPr>
        <w:t>（1）投标人在提交投标文件截止时间后撤回投标文件的；</w:t>
      </w:r>
    </w:p>
    <w:p>
      <w:pPr>
        <w:spacing w:line="360" w:lineRule="auto"/>
        <w:ind w:firstLine="718" w:firstLineChars="342"/>
        <w:rPr>
          <w:rFonts w:ascii="宋体" w:hAnsi="宋体" w:cs="Arial"/>
          <w:szCs w:val="21"/>
        </w:rPr>
      </w:pPr>
      <w:r>
        <w:rPr>
          <w:rFonts w:ascii="宋体" w:hAnsi="宋体" w:cs="Arial"/>
          <w:szCs w:val="21"/>
        </w:rPr>
        <w:t>（2）投标人在投标文件中提供虚假材料的；</w:t>
      </w:r>
    </w:p>
    <w:p>
      <w:pPr>
        <w:spacing w:line="360" w:lineRule="auto"/>
        <w:ind w:firstLine="718" w:firstLineChars="342"/>
        <w:rPr>
          <w:rFonts w:ascii="宋体" w:hAnsi="宋体" w:cs="Arial"/>
          <w:szCs w:val="21"/>
        </w:rPr>
      </w:pPr>
      <w:r>
        <w:rPr>
          <w:rFonts w:ascii="宋体" w:hAnsi="宋体" w:cs="Arial"/>
          <w:szCs w:val="21"/>
        </w:rPr>
        <w:t>（3）除因不可抗力或采购文件认可的情形以外，中标人未按采购文件规定提交履约担保或不与采购人签订合同的；</w:t>
      </w:r>
    </w:p>
    <w:p>
      <w:pPr>
        <w:spacing w:line="360" w:lineRule="auto"/>
        <w:ind w:firstLine="718" w:firstLineChars="342"/>
        <w:rPr>
          <w:rFonts w:ascii="宋体" w:hAnsi="宋体" w:cs="Arial"/>
          <w:szCs w:val="21"/>
        </w:rPr>
      </w:pPr>
      <w:r>
        <w:rPr>
          <w:rFonts w:ascii="宋体" w:hAnsi="宋体" w:cs="Arial"/>
          <w:szCs w:val="21"/>
        </w:rPr>
        <w:t>（4）投标人与采购人、其他投标人或者采购代理机构恶意串通的</w:t>
      </w:r>
      <w:r>
        <w:rPr>
          <w:rFonts w:hint="eastAsia" w:ascii="宋体" w:hAnsi="宋体" w:cs="Arial"/>
          <w:szCs w:val="21"/>
        </w:rPr>
        <w:t>；</w:t>
      </w:r>
    </w:p>
    <w:p>
      <w:pPr>
        <w:spacing w:line="360" w:lineRule="auto"/>
        <w:ind w:firstLine="718" w:firstLineChars="342"/>
        <w:rPr>
          <w:rFonts w:ascii="宋体" w:hAnsi="宋体" w:cs="Arial"/>
          <w:szCs w:val="21"/>
        </w:rPr>
      </w:pPr>
      <w:r>
        <w:rPr>
          <w:rFonts w:hint="eastAsia" w:ascii="宋体" w:hAnsi="宋体" w:cs="Arial"/>
          <w:szCs w:val="21"/>
        </w:rPr>
        <w:t>（5）</w:t>
      </w:r>
      <w:r>
        <w:rPr>
          <w:rFonts w:ascii="宋体" w:hAnsi="宋体" w:cs="Arial"/>
          <w:szCs w:val="21"/>
        </w:rPr>
        <w:t>法律、</w:t>
      </w:r>
      <w:r>
        <w:rPr>
          <w:rFonts w:hint="eastAsia" w:ascii="宋体" w:hAnsi="宋体" w:cs="Arial"/>
          <w:szCs w:val="21"/>
        </w:rPr>
        <w:t>行政规章规定的其他情形。</w:t>
      </w:r>
    </w:p>
    <w:p>
      <w:pPr>
        <w:pStyle w:val="10"/>
        <w:rPr>
          <w:rFonts w:ascii="Arial" w:hAnsi="Arial" w:eastAsia="黑体" w:cs="Arial"/>
          <w:sz w:val="21"/>
          <w:szCs w:val="21"/>
        </w:rPr>
      </w:pPr>
      <w:bookmarkStart w:id="77" w:name="_Toc414112621"/>
      <w:bookmarkStart w:id="78" w:name="_Toc414277133"/>
      <w:r>
        <w:rPr>
          <w:rFonts w:ascii="Arial" w:hAnsi="Arial" w:eastAsia="黑体" w:cs="Arial"/>
          <w:sz w:val="21"/>
          <w:szCs w:val="21"/>
        </w:rPr>
        <w:t>3.</w:t>
      </w:r>
      <w:r>
        <w:rPr>
          <w:rFonts w:hint="eastAsia" w:ascii="Arial" w:hAnsi="Arial" w:eastAsia="黑体" w:cs="Arial"/>
          <w:sz w:val="21"/>
          <w:szCs w:val="21"/>
        </w:rPr>
        <w:t>8</w:t>
      </w:r>
      <w:r>
        <w:rPr>
          <w:rFonts w:ascii="Arial" w:hAnsi="Arial" w:eastAsia="黑体" w:cs="Arial"/>
          <w:sz w:val="21"/>
          <w:szCs w:val="21"/>
        </w:rPr>
        <w:t xml:space="preserve"> 投标文件的编制</w:t>
      </w:r>
      <w:bookmarkEnd w:id="77"/>
      <w:bookmarkEnd w:id="78"/>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8</w:t>
      </w:r>
      <w:r>
        <w:rPr>
          <w:rFonts w:ascii="宋体" w:hAnsi="宋体" w:cs="Arial"/>
          <w:szCs w:val="21"/>
        </w:rPr>
        <w:t>.1投标文件应按第</w:t>
      </w:r>
      <w:r>
        <w:rPr>
          <w:rFonts w:hint="eastAsia" w:ascii="宋体" w:hAnsi="宋体" w:cs="Arial"/>
          <w:szCs w:val="21"/>
        </w:rPr>
        <w:t>六章</w:t>
      </w:r>
      <w:r>
        <w:rPr>
          <w:rFonts w:ascii="宋体" w:hAnsi="宋体" w:cs="Arial"/>
          <w:szCs w:val="21"/>
        </w:rPr>
        <w:t>“投标文件格式”进行编写，如有必要，可以增加附页，作为投标文件的组成部分。</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8</w:t>
      </w:r>
      <w:r>
        <w:rPr>
          <w:rFonts w:ascii="宋体" w:hAnsi="宋体" w:cs="Arial"/>
          <w:szCs w:val="21"/>
        </w:rPr>
        <w:t>.2 投标文件应当对采购文件的实质性内容作出响应。</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8</w:t>
      </w:r>
      <w:r>
        <w:rPr>
          <w:rFonts w:ascii="宋体" w:hAnsi="宋体" w:cs="Arial"/>
          <w:szCs w:val="21"/>
        </w:rPr>
        <w:t>.3投标文件</w:t>
      </w:r>
      <w:r>
        <w:rPr>
          <w:rFonts w:hint="eastAsia" w:ascii="宋体" w:hAnsi="宋体" w:cs="Arial"/>
          <w:szCs w:val="21"/>
        </w:rPr>
        <w:t>的正本需</w:t>
      </w:r>
      <w:r>
        <w:rPr>
          <w:rFonts w:ascii="宋体" w:hAnsi="宋体" w:cs="Arial"/>
          <w:szCs w:val="21"/>
        </w:rPr>
        <w:t>打印</w:t>
      </w:r>
      <w:r>
        <w:rPr>
          <w:rFonts w:hint="eastAsia" w:ascii="宋体" w:hAnsi="宋体" w:cs="Arial"/>
          <w:szCs w:val="21"/>
        </w:rPr>
        <w:t>或</w:t>
      </w:r>
      <w:r>
        <w:rPr>
          <w:rFonts w:ascii="宋体" w:hAnsi="宋体" w:cs="Arial"/>
          <w:szCs w:val="21"/>
        </w:rPr>
        <w:t>用不褪色</w:t>
      </w:r>
      <w:r>
        <w:rPr>
          <w:rFonts w:hint="eastAsia" w:ascii="宋体" w:hAnsi="宋体" w:cs="Arial"/>
          <w:szCs w:val="21"/>
        </w:rPr>
        <w:t>墨水</w:t>
      </w:r>
      <w:r>
        <w:rPr>
          <w:rFonts w:ascii="宋体" w:hAnsi="宋体" w:cs="Arial"/>
          <w:szCs w:val="21"/>
        </w:rPr>
        <w:t>书写，并由法定代表人或经其正式授权的</w:t>
      </w:r>
      <w:r>
        <w:rPr>
          <w:rFonts w:hint="eastAsia" w:ascii="宋体" w:hAnsi="宋体" w:cs="Arial"/>
          <w:szCs w:val="21"/>
        </w:rPr>
        <w:t>委托代理人</w:t>
      </w:r>
      <w:r>
        <w:rPr>
          <w:rFonts w:ascii="宋体" w:hAnsi="宋体" w:cs="Arial"/>
          <w:szCs w:val="21"/>
        </w:rPr>
        <w:t>签字或盖单位章。</w:t>
      </w:r>
      <w:r>
        <w:rPr>
          <w:rFonts w:hint="eastAsia" w:ascii="宋体" w:hAnsi="宋体" w:cs="Arial"/>
          <w:szCs w:val="21"/>
        </w:rPr>
        <w:t>委托代理人签字的，</w:t>
      </w:r>
      <w:r>
        <w:rPr>
          <w:rFonts w:ascii="宋体" w:hAnsi="宋体" w:cs="Arial"/>
          <w:szCs w:val="21"/>
        </w:rPr>
        <w:t>须将以书面形式出具的“授权委托书”附在投标文件内。</w:t>
      </w:r>
    </w:p>
    <w:p>
      <w:pPr>
        <w:spacing w:line="360" w:lineRule="auto"/>
        <w:ind w:firstLine="420" w:firstLineChars="200"/>
        <w:rPr>
          <w:rFonts w:ascii="宋体" w:hAnsi="宋体" w:cs="Arial"/>
          <w:szCs w:val="21"/>
        </w:rPr>
      </w:pPr>
      <w:r>
        <w:rPr>
          <w:rFonts w:hint="eastAsia" w:ascii="宋体" w:hAnsi="宋体" w:cs="Arial"/>
          <w:szCs w:val="21"/>
        </w:rPr>
        <w:t>3.8.4投标文件必须用不可拆解的胶装装订，</w:t>
      </w:r>
      <w:r>
        <w:rPr>
          <w:rFonts w:ascii="宋体" w:hAnsi="宋体" w:cs="Arial"/>
          <w:szCs w:val="21"/>
        </w:rPr>
        <w:t>因</w:t>
      </w:r>
      <w:r>
        <w:rPr>
          <w:rFonts w:hint="eastAsia" w:ascii="宋体" w:hAnsi="宋体" w:cs="Arial"/>
          <w:szCs w:val="21"/>
        </w:rPr>
        <w:t>投标</w:t>
      </w:r>
      <w:r>
        <w:rPr>
          <w:rFonts w:ascii="宋体" w:hAnsi="宋体" w:cs="Arial"/>
          <w:szCs w:val="21"/>
        </w:rPr>
        <w:t>文件内容缺页或遗失对</w:t>
      </w:r>
      <w:r>
        <w:rPr>
          <w:rFonts w:hint="eastAsia" w:ascii="宋体" w:hAnsi="宋体" w:cs="Arial"/>
          <w:szCs w:val="21"/>
        </w:rPr>
        <w:t>投标人</w:t>
      </w:r>
      <w:r>
        <w:rPr>
          <w:rFonts w:ascii="宋体" w:hAnsi="宋体" w:cs="Arial"/>
          <w:szCs w:val="21"/>
        </w:rPr>
        <w:t>造成的影响</w:t>
      </w:r>
      <w:r>
        <w:rPr>
          <w:rFonts w:hint="eastAsia" w:ascii="宋体" w:hAnsi="宋体" w:cs="Arial"/>
          <w:szCs w:val="21"/>
        </w:rPr>
        <w:t>投标人</w:t>
      </w:r>
      <w:r>
        <w:rPr>
          <w:rFonts w:ascii="宋体" w:hAnsi="宋体" w:cs="Arial"/>
          <w:szCs w:val="21"/>
        </w:rPr>
        <w:t>自行承担。任何行间插字、涂改和增删，改动之处应加盖单位章或由法定代表人或</w:t>
      </w:r>
      <w:r>
        <w:rPr>
          <w:rFonts w:hint="eastAsia" w:ascii="宋体" w:hAnsi="宋体" w:cs="Arial"/>
          <w:szCs w:val="21"/>
        </w:rPr>
        <w:t>委托代理人</w:t>
      </w:r>
      <w:r>
        <w:rPr>
          <w:rFonts w:ascii="宋体" w:hAnsi="宋体" w:cs="Arial"/>
          <w:szCs w:val="21"/>
        </w:rPr>
        <w:t>签字确认。</w:t>
      </w:r>
    </w:p>
    <w:p>
      <w:pPr>
        <w:spacing w:line="360" w:lineRule="auto"/>
        <w:ind w:firstLine="420" w:firstLineChars="200"/>
        <w:rPr>
          <w:rFonts w:ascii="宋体" w:hAnsi="宋体" w:cs="Arial"/>
          <w:szCs w:val="21"/>
        </w:rPr>
      </w:pPr>
      <w:r>
        <w:rPr>
          <w:rFonts w:ascii="宋体" w:hAnsi="宋体" w:cs="Arial"/>
          <w:szCs w:val="21"/>
        </w:rPr>
        <w:t>3.</w:t>
      </w:r>
      <w:r>
        <w:rPr>
          <w:rFonts w:hint="eastAsia" w:ascii="宋体" w:hAnsi="宋体" w:cs="Arial"/>
          <w:szCs w:val="21"/>
        </w:rPr>
        <w:t>8</w:t>
      </w:r>
      <w:r>
        <w:rPr>
          <w:rFonts w:ascii="宋体" w:hAnsi="宋体" w:cs="Arial"/>
          <w:szCs w:val="21"/>
        </w:rPr>
        <w:t>.</w:t>
      </w:r>
      <w:r>
        <w:rPr>
          <w:rFonts w:hint="eastAsia" w:ascii="宋体" w:hAnsi="宋体" w:cs="Arial"/>
          <w:szCs w:val="21"/>
        </w:rPr>
        <w:t>5</w:t>
      </w:r>
      <w:r>
        <w:rPr>
          <w:rFonts w:ascii="宋体" w:hAnsi="宋体" w:cs="Arial"/>
          <w:szCs w:val="21"/>
        </w:rPr>
        <w:t xml:space="preserve"> 投标文件份数见投标人须知前附表。投标文件的正本与副本应分别装订成册，并编制目录</w:t>
      </w:r>
      <w:r>
        <w:rPr>
          <w:rFonts w:hint="eastAsia" w:ascii="宋体" w:hAnsi="宋体" w:cs="Arial"/>
          <w:szCs w:val="21"/>
        </w:rPr>
        <w:t>。</w:t>
      </w:r>
    </w:p>
    <w:p>
      <w:pPr>
        <w:spacing w:line="360" w:lineRule="auto"/>
        <w:ind w:firstLine="420" w:firstLineChars="200"/>
        <w:rPr>
          <w:rFonts w:ascii="宋体" w:hAnsi="宋体" w:cs="Arial"/>
          <w:szCs w:val="21"/>
        </w:rPr>
      </w:pPr>
      <w:r>
        <w:rPr>
          <w:rFonts w:hint="eastAsia" w:ascii="宋体" w:hAnsi="宋体" w:cs="Arial"/>
          <w:szCs w:val="21"/>
        </w:rPr>
        <w:t xml:space="preserve">3.8.6 </w:t>
      </w:r>
      <w:r>
        <w:rPr>
          <w:rFonts w:ascii="宋体" w:hAnsi="宋体" w:cs="Arial"/>
          <w:szCs w:val="21"/>
        </w:rPr>
        <w:t>具体装订要求见投标人须知前附表规定。正本和副本的封面上应清楚地标记“正本”或“副本”的字样。当副本和正本不一致时，以正本为准。</w:t>
      </w:r>
    </w:p>
    <w:p>
      <w:pPr>
        <w:pStyle w:val="9"/>
        <w:rPr>
          <w:rFonts w:cs="Arial"/>
          <w:sz w:val="24"/>
          <w:szCs w:val="24"/>
        </w:rPr>
      </w:pPr>
      <w:bookmarkStart w:id="79" w:name="_Toc414277134"/>
      <w:bookmarkStart w:id="80" w:name="_Toc414112622"/>
      <w:bookmarkStart w:id="81" w:name="_Toc531614621"/>
      <w:bookmarkStart w:id="82" w:name="_Toc534812999"/>
      <w:r>
        <w:rPr>
          <w:rFonts w:cs="Arial"/>
          <w:sz w:val="24"/>
          <w:szCs w:val="24"/>
        </w:rPr>
        <w:t>4. 投标文件的递交</w:t>
      </w:r>
      <w:bookmarkEnd w:id="79"/>
      <w:bookmarkEnd w:id="80"/>
      <w:bookmarkEnd w:id="81"/>
      <w:bookmarkEnd w:id="82"/>
    </w:p>
    <w:p>
      <w:pPr>
        <w:pStyle w:val="10"/>
        <w:rPr>
          <w:rFonts w:ascii="Arial" w:hAnsi="Arial" w:eastAsia="黑体" w:cs="Arial"/>
          <w:sz w:val="21"/>
          <w:szCs w:val="21"/>
        </w:rPr>
      </w:pPr>
      <w:bookmarkStart w:id="83" w:name="_Toc414112623"/>
      <w:bookmarkStart w:id="84" w:name="_Toc414277135"/>
      <w:r>
        <w:rPr>
          <w:rFonts w:ascii="Arial" w:hAnsi="Arial" w:eastAsia="黑体" w:cs="Arial"/>
          <w:sz w:val="21"/>
          <w:szCs w:val="21"/>
        </w:rPr>
        <w:t>4.1 投标文件的密封和标记</w:t>
      </w:r>
      <w:bookmarkEnd w:id="83"/>
      <w:bookmarkEnd w:id="84"/>
    </w:p>
    <w:p>
      <w:pPr>
        <w:spacing w:line="360" w:lineRule="auto"/>
        <w:ind w:firstLine="420" w:firstLineChars="200"/>
        <w:rPr>
          <w:rFonts w:ascii="宋体" w:hAnsi="宋体" w:cs="Arial"/>
          <w:szCs w:val="21"/>
        </w:rPr>
      </w:pPr>
      <w:r>
        <w:rPr>
          <w:rFonts w:ascii="宋体" w:hAnsi="宋体" w:cs="Arial"/>
          <w:szCs w:val="21"/>
        </w:rPr>
        <w:t>4.1.1投标文件的正本</w:t>
      </w:r>
      <w:r>
        <w:rPr>
          <w:rFonts w:hint="eastAsia" w:ascii="宋体" w:hAnsi="宋体" w:cs="Arial"/>
          <w:szCs w:val="21"/>
        </w:rPr>
        <w:t>、</w:t>
      </w:r>
      <w:r>
        <w:rPr>
          <w:rFonts w:ascii="宋体" w:hAnsi="宋体" w:cs="Arial"/>
          <w:szCs w:val="21"/>
        </w:rPr>
        <w:t>副本和电子版</w:t>
      </w:r>
      <w:r>
        <w:rPr>
          <w:rFonts w:hint="eastAsia" w:ascii="宋体" w:hAnsi="宋体"/>
          <w:szCs w:val="21"/>
        </w:rPr>
        <w:t>应分开</w:t>
      </w:r>
      <w:r>
        <w:rPr>
          <w:rFonts w:ascii="宋体" w:hAnsi="宋体" w:cs="Arial"/>
          <w:szCs w:val="21"/>
        </w:rPr>
        <w:t>包装，加贴封条，并在封套的封口处由法定代表人或其</w:t>
      </w:r>
      <w:r>
        <w:rPr>
          <w:rFonts w:hint="eastAsia" w:ascii="宋体" w:hAnsi="宋体" w:cs="Arial"/>
          <w:szCs w:val="21"/>
        </w:rPr>
        <w:t>委托代理人</w:t>
      </w:r>
      <w:r>
        <w:rPr>
          <w:rFonts w:ascii="宋体" w:hAnsi="宋体" w:cs="Arial"/>
          <w:szCs w:val="21"/>
        </w:rPr>
        <w:t>签字</w:t>
      </w:r>
      <w:r>
        <w:rPr>
          <w:rFonts w:hint="eastAsia" w:ascii="宋体" w:hAnsi="宋体" w:cs="Arial"/>
          <w:szCs w:val="21"/>
        </w:rPr>
        <w:t>和</w:t>
      </w:r>
      <w:r>
        <w:rPr>
          <w:rFonts w:ascii="宋体" w:hAnsi="宋体" w:cs="Arial"/>
          <w:szCs w:val="21"/>
        </w:rPr>
        <w:t>盖单位章。</w:t>
      </w:r>
    </w:p>
    <w:p>
      <w:pPr>
        <w:spacing w:line="360" w:lineRule="auto"/>
        <w:ind w:firstLine="420" w:firstLineChars="200"/>
        <w:rPr>
          <w:rFonts w:ascii="宋体" w:hAnsi="宋体" w:cs="Arial"/>
          <w:szCs w:val="21"/>
        </w:rPr>
      </w:pPr>
      <w:r>
        <w:rPr>
          <w:rFonts w:ascii="宋体" w:hAnsi="宋体" w:cs="Arial"/>
          <w:szCs w:val="21"/>
        </w:rPr>
        <w:t>4.1.2 投标文件的封</w:t>
      </w:r>
      <w:r>
        <w:rPr>
          <w:rFonts w:hint="eastAsia" w:ascii="宋体" w:hAnsi="宋体" w:cs="Arial"/>
          <w:szCs w:val="21"/>
        </w:rPr>
        <w:t>面</w:t>
      </w:r>
      <w:r>
        <w:rPr>
          <w:rFonts w:ascii="宋体" w:hAnsi="宋体" w:cs="Arial"/>
          <w:szCs w:val="21"/>
        </w:rPr>
        <w:t>上应清楚地标记“正本”或“副本”字样，封套上应写明的其他内容见投标人须知前附表。</w:t>
      </w:r>
    </w:p>
    <w:p>
      <w:pPr>
        <w:spacing w:line="360" w:lineRule="auto"/>
        <w:ind w:firstLine="420" w:firstLineChars="200"/>
        <w:rPr>
          <w:rFonts w:ascii="宋体" w:hAnsi="宋体" w:cs="Arial"/>
          <w:szCs w:val="21"/>
        </w:rPr>
      </w:pPr>
      <w:r>
        <w:rPr>
          <w:rFonts w:ascii="宋体" w:hAnsi="宋体" w:cs="Arial"/>
          <w:szCs w:val="21"/>
        </w:rPr>
        <w:t>4.1.3 未按本章第4.1.1项或第4.1.2项要求密封和加写标记的投标文件，采购人不予受理。</w:t>
      </w:r>
    </w:p>
    <w:p>
      <w:pPr>
        <w:pStyle w:val="10"/>
        <w:rPr>
          <w:rFonts w:ascii="Arial" w:hAnsi="Arial" w:eastAsia="黑体" w:cs="Arial"/>
          <w:sz w:val="21"/>
          <w:szCs w:val="21"/>
        </w:rPr>
      </w:pPr>
      <w:bookmarkStart w:id="85" w:name="_Toc414277136"/>
      <w:bookmarkStart w:id="86" w:name="_Toc414112624"/>
      <w:r>
        <w:rPr>
          <w:rFonts w:ascii="Arial" w:hAnsi="Arial" w:eastAsia="黑体" w:cs="Arial"/>
          <w:sz w:val="21"/>
          <w:szCs w:val="21"/>
        </w:rPr>
        <w:t>4.2 投标文件的提交</w:t>
      </w:r>
      <w:bookmarkEnd w:id="85"/>
      <w:bookmarkEnd w:id="86"/>
    </w:p>
    <w:p>
      <w:pPr>
        <w:spacing w:line="360" w:lineRule="auto"/>
        <w:ind w:firstLine="420" w:firstLineChars="200"/>
        <w:rPr>
          <w:rFonts w:ascii="宋体" w:hAnsi="宋体" w:cs="Arial"/>
          <w:szCs w:val="21"/>
        </w:rPr>
      </w:pPr>
      <w:r>
        <w:rPr>
          <w:rFonts w:ascii="宋体" w:hAnsi="宋体" w:cs="Arial"/>
          <w:szCs w:val="21"/>
        </w:rPr>
        <w:t>4.2.1 投标人应在规定的投标截止时间前提交投标文件。</w:t>
      </w:r>
    </w:p>
    <w:p>
      <w:pPr>
        <w:spacing w:line="360" w:lineRule="auto"/>
        <w:ind w:firstLine="420" w:firstLineChars="200"/>
        <w:rPr>
          <w:rFonts w:ascii="宋体" w:hAnsi="宋体" w:cs="Arial"/>
          <w:szCs w:val="21"/>
        </w:rPr>
      </w:pPr>
      <w:r>
        <w:rPr>
          <w:rFonts w:ascii="宋体" w:hAnsi="宋体" w:cs="Arial"/>
          <w:szCs w:val="21"/>
        </w:rPr>
        <w:t>4.2.2 投标人提交投标文件的地点：见投标人须知前附表。</w:t>
      </w:r>
    </w:p>
    <w:p>
      <w:pPr>
        <w:spacing w:line="360" w:lineRule="auto"/>
        <w:ind w:firstLine="420" w:firstLineChars="200"/>
        <w:rPr>
          <w:rFonts w:ascii="宋体" w:hAnsi="宋体" w:cs="Arial"/>
          <w:szCs w:val="21"/>
        </w:rPr>
      </w:pPr>
      <w:r>
        <w:rPr>
          <w:rFonts w:ascii="宋体" w:hAnsi="宋体" w:cs="Arial"/>
          <w:szCs w:val="21"/>
        </w:rPr>
        <w:t>4.2.3投标人所提交的投标文件不予退还。</w:t>
      </w:r>
    </w:p>
    <w:p>
      <w:pPr>
        <w:spacing w:line="360" w:lineRule="auto"/>
        <w:ind w:firstLine="420" w:firstLineChars="200"/>
        <w:rPr>
          <w:rFonts w:ascii="宋体" w:hAnsi="宋体" w:cs="Arial"/>
          <w:szCs w:val="21"/>
        </w:rPr>
      </w:pPr>
      <w:r>
        <w:rPr>
          <w:rFonts w:ascii="宋体" w:hAnsi="宋体" w:cs="Arial"/>
          <w:szCs w:val="21"/>
        </w:rPr>
        <w:t>4.2.4 逾期提交的或者未提交至指定地点的投标文件，采购人不予受理。</w:t>
      </w:r>
    </w:p>
    <w:p>
      <w:pPr>
        <w:pStyle w:val="10"/>
        <w:rPr>
          <w:rFonts w:ascii="Arial" w:hAnsi="Arial" w:eastAsia="黑体" w:cs="Arial"/>
          <w:sz w:val="21"/>
          <w:szCs w:val="21"/>
        </w:rPr>
      </w:pPr>
      <w:bookmarkStart w:id="87" w:name="_Toc414277137"/>
      <w:bookmarkStart w:id="88" w:name="_Toc414112625"/>
      <w:r>
        <w:rPr>
          <w:rFonts w:ascii="Arial" w:hAnsi="Arial" w:eastAsia="黑体" w:cs="Arial"/>
          <w:sz w:val="21"/>
          <w:szCs w:val="21"/>
        </w:rPr>
        <w:t>4.3 投标文件的修改与撤回</w:t>
      </w:r>
      <w:bookmarkEnd w:id="87"/>
      <w:bookmarkEnd w:id="88"/>
    </w:p>
    <w:p>
      <w:pPr>
        <w:spacing w:line="360" w:lineRule="auto"/>
        <w:ind w:firstLine="420" w:firstLineChars="200"/>
        <w:rPr>
          <w:rFonts w:ascii="宋体" w:hAnsi="宋体" w:cs="Arial"/>
          <w:szCs w:val="21"/>
        </w:rPr>
      </w:pPr>
      <w:r>
        <w:rPr>
          <w:rFonts w:ascii="宋体" w:hAnsi="宋体" w:cs="Arial"/>
          <w:szCs w:val="21"/>
        </w:rPr>
        <w:t>4.3.1 在规定的</w:t>
      </w:r>
      <w:r>
        <w:rPr>
          <w:rFonts w:hint="eastAsia" w:ascii="宋体" w:hAnsi="宋体" w:cs="Arial"/>
          <w:szCs w:val="21"/>
        </w:rPr>
        <w:t>投标</w:t>
      </w:r>
      <w:r>
        <w:rPr>
          <w:rFonts w:ascii="宋体" w:hAnsi="宋体" w:cs="Arial"/>
          <w:szCs w:val="21"/>
        </w:rPr>
        <w:t>截止时间前，投标人可以修改或撤回已递交的投标文件，但应以书面形式通知采购人。</w:t>
      </w:r>
    </w:p>
    <w:p>
      <w:pPr>
        <w:spacing w:line="360" w:lineRule="auto"/>
        <w:ind w:firstLine="420" w:firstLineChars="200"/>
        <w:rPr>
          <w:rFonts w:ascii="宋体" w:hAnsi="宋体" w:cs="Arial"/>
          <w:szCs w:val="21"/>
        </w:rPr>
      </w:pPr>
      <w:r>
        <w:rPr>
          <w:rFonts w:ascii="宋体" w:hAnsi="宋体" w:cs="Arial"/>
          <w:szCs w:val="21"/>
        </w:rPr>
        <w:t>4.3.2 投标人修改或撤回已递交投标文件的书面通知应按照本章第3.</w:t>
      </w:r>
      <w:r>
        <w:rPr>
          <w:rFonts w:hint="eastAsia" w:ascii="宋体" w:hAnsi="宋体" w:cs="Arial"/>
          <w:szCs w:val="21"/>
        </w:rPr>
        <w:t>8</w:t>
      </w:r>
      <w:r>
        <w:rPr>
          <w:rFonts w:ascii="宋体" w:hAnsi="宋体" w:cs="Arial"/>
          <w:szCs w:val="21"/>
        </w:rPr>
        <w:t>项的要求签字或盖章。</w:t>
      </w:r>
    </w:p>
    <w:p>
      <w:pPr>
        <w:spacing w:line="360" w:lineRule="auto"/>
        <w:ind w:firstLine="420" w:firstLineChars="200"/>
        <w:rPr>
          <w:rFonts w:ascii="宋体" w:hAnsi="宋体" w:cs="Arial"/>
          <w:szCs w:val="21"/>
        </w:rPr>
      </w:pPr>
      <w:r>
        <w:rPr>
          <w:rFonts w:ascii="宋体" w:hAnsi="宋体" w:cs="Arial"/>
          <w:szCs w:val="21"/>
        </w:rPr>
        <w:t>4.3.3 修改的内容为投标文件的组成部分。修改的投标文件应按照本章第3条、第4条规定进行编制、密封、标记和递交，并标明“修改”字样。</w:t>
      </w:r>
    </w:p>
    <w:p>
      <w:pPr>
        <w:pStyle w:val="9"/>
        <w:rPr>
          <w:rFonts w:cs="Arial"/>
          <w:sz w:val="24"/>
          <w:szCs w:val="24"/>
        </w:rPr>
      </w:pPr>
      <w:bookmarkStart w:id="89" w:name="_Toc414277138"/>
      <w:bookmarkStart w:id="90" w:name="_Toc414112626"/>
      <w:bookmarkStart w:id="91" w:name="_Toc531614622"/>
      <w:bookmarkStart w:id="92" w:name="_Toc534813000"/>
      <w:r>
        <w:rPr>
          <w:rFonts w:cs="Arial"/>
          <w:sz w:val="24"/>
          <w:szCs w:val="24"/>
        </w:rPr>
        <w:t>5. 开</w:t>
      </w:r>
      <w:bookmarkEnd w:id="89"/>
      <w:bookmarkEnd w:id="90"/>
      <w:r>
        <w:rPr>
          <w:rFonts w:hint="eastAsia" w:cs="Arial"/>
          <w:sz w:val="24"/>
          <w:szCs w:val="24"/>
        </w:rPr>
        <w:t>标</w:t>
      </w:r>
      <w:bookmarkEnd w:id="91"/>
      <w:bookmarkEnd w:id="92"/>
    </w:p>
    <w:p>
      <w:pPr>
        <w:pStyle w:val="10"/>
        <w:rPr>
          <w:rFonts w:ascii="Arial" w:hAnsi="Arial" w:eastAsia="黑体" w:cs="Arial"/>
          <w:sz w:val="21"/>
          <w:szCs w:val="21"/>
        </w:rPr>
      </w:pPr>
      <w:bookmarkStart w:id="93" w:name="_Toc414112627"/>
      <w:bookmarkStart w:id="94" w:name="_Toc414277139"/>
      <w:r>
        <w:rPr>
          <w:rFonts w:ascii="Arial" w:hAnsi="Arial" w:eastAsia="黑体" w:cs="Arial"/>
          <w:sz w:val="21"/>
          <w:szCs w:val="21"/>
        </w:rPr>
        <w:t>5.1 开</w:t>
      </w:r>
      <w:r>
        <w:rPr>
          <w:rFonts w:hint="eastAsia" w:ascii="Arial" w:hAnsi="Arial" w:eastAsia="黑体" w:cs="Arial"/>
          <w:sz w:val="21"/>
          <w:szCs w:val="21"/>
        </w:rPr>
        <w:t>标</w:t>
      </w:r>
      <w:r>
        <w:rPr>
          <w:rFonts w:ascii="Arial" w:hAnsi="Arial" w:eastAsia="黑体" w:cs="Arial"/>
          <w:sz w:val="21"/>
          <w:szCs w:val="21"/>
        </w:rPr>
        <w:t>时间和地点</w:t>
      </w:r>
      <w:bookmarkEnd w:id="93"/>
      <w:bookmarkEnd w:id="94"/>
    </w:p>
    <w:p>
      <w:pPr>
        <w:spacing w:line="360" w:lineRule="auto"/>
        <w:ind w:firstLine="420" w:firstLineChars="200"/>
        <w:rPr>
          <w:rFonts w:ascii="宋体" w:hAnsi="宋体" w:cs="Arial"/>
          <w:szCs w:val="21"/>
        </w:rPr>
      </w:pPr>
      <w:r>
        <w:rPr>
          <w:rFonts w:ascii="宋体" w:hAnsi="宋体" w:cs="Arial"/>
          <w:szCs w:val="21"/>
        </w:rPr>
        <w:t>采购人在</w:t>
      </w:r>
      <w:r>
        <w:rPr>
          <w:rFonts w:hint="eastAsia" w:ascii="宋体" w:hAnsi="宋体" w:cs="Arial"/>
          <w:szCs w:val="21"/>
        </w:rPr>
        <w:t>投标人须知前附表</w:t>
      </w:r>
      <w:r>
        <w:rPr>
          <w:rFonts w:ascii="宋体" w:hAnsi="宋体" w:cs="Arial"/>
          <w:szCs w:val="21"/>
        </w:rPr>
        <w:t>规定的开标时间和地点公开开启投标文件，</w:t>
      </w:r>
      <w:bookmarkStart w:id="95" w:name="_Toc414277140"/>
      <w:bookmarkStart w:id="96" w:name="_Toc414112628"/>
      <w:r>
        <w:rPr>
          <w:rFonts w:ascii="宋体" w:hAnsi="宋体" w:cs="Arial"/>
          <w:szCs w:val="21"/>
        </w:rPr>
        <w:t>采购人邀请所有投标人的法定代表人或其委托代理人参加开标会。投标人的法定代表人或其委托代理人应当按时参加开标会，提交法定代表人身份证明文件或法定代表人授权委托书，出示本人身份证，并签名报到以证明其出席。如不出席</w:t>
      </w:r>
      <w:r>
        <w:rPr>
          <w:rFonts w:hint="eastAsia" w:ascii="宋体" w:hAnsi="宋体" w:cs="Arial"/>
          <w:szCs w:val="21"/>
        </w:rPr>
        <w:t>后期不得对</w:t>
      </w:r>
      <w:r>
        <w:rPr>
          <w:rFonts w:ascii="宋体" w:hAnsi="宋体" w:cs="Arial"/>
          <w:szCs w:val="21"/>
        </w:rPr>
        <w:t>对开标</w:t>
      </w:r>
      <w:r>
        <w:rPr>
          <w:rFonts w:hint="eastAsia" w:ascii="宋体" w:hAnsi="宋体" w:cs="Arial"/>
          <w:szCs w:val="21"/>
        </w:rPr>
        <w:t>过程</w:t>
      </w:r>
      <w:r>
        <w:rPr>
          <w:rFonts w:ascii="宋体" w:hAnsi="宋体" w:cs="Arial"/>
          <w:szCs w:val="21"/>
        </w:rPr>
        <w:t>提出任何异议。</w:t>
      </w:r>
    </w:p>
    <w:p>
      <w:pPr>
        <w:spacing w:line="360" w:lineRule="auto"/>
        <w:ind w:firstLine="420" w:firstLineChars="200"/>
        <w:rPr>
          <w:rFonts w:ascii="Arial" w:hAnsi="Arial" w:eastAsia="黑体" w:cs="Arial"/>
          <w:szCs w:val="21"/>
        </w:rPr>
      </w:pPr>
      <w:r>
        <w:rPr>
          <w:rFonts w:ascii="Arial" w:hAnsi="Arial" w:eastAsia="黑体" w:cs="Arial"/>
          <w:szCs w:val="21"/>
        </w:rPr>
        <w:t>5.2 开</w:t>
      </w:r>
      <w:bookmarkEnd w:id="95"/>
      <w:bookmarkEnd w:id="96"/>
      <w:r>
        <w:rPr>
          <w:rFonts w:hint="eastAsia" w:ascii="Arial" w:hAnsi="Arial" w:eastAsia="黑体" w:cs="Arial"/>
          <w:szCs w:val="21"/>
        </w:rPr>
        <w:t>标</w:t>
      </w:r>
    </w:p>
    <w:p>
      <w:pPr>
        <w:spacing w:line="360" w:lineRule="auto"/>
        <w:ind w:firstLine="420" w:firstLineChars="200"/>
        <w:rPr>
          <w:rFonts w:ascii="宋体" w:hAnsi="宋体" w:cs="Arial"/>
          <w:szCs w:val="21"/>
        </w:rPr>
      </w:pPr>
      <w:r>
        <w:rPr>
          <w:rFonts w:ascii="宋体" w:hAnsi="宋体" w:cs="Arial"/>
          <w:szCs w:val="21"/>
        </w:rPr>
        <w:t>主持人按下列程序进行开标：</w:t>
      </w:r>
    </w:p>
    <w:p>
      <w:pPr>
        <w:spacing w:line="360" w:lineRule="auto"/>
        <w:ind w:firstLine="359" w:firstLineChars="171"/>
        <w:rPr>
          <w:rFonts w:ascii="宋体" w:hAnsi="宋体" w:cs="Arial"/>
          <w:szCs w:val="21"/>
        </w:rPr>
      </w:pPr>
      <w:r>
        <w:rPr>
          <w:rFonts w:ascii="宋体" w:hAnsi="宋体" w:cs="Arial"/>
          <w:szCs w:val="21"/>
        </w:rPr>
        <w:t>（1）宣布开标纪律；</w:t>
      </w:r>
    </w:p>
    <w:p>
      <w:pPr>
        <w:spacing w:line="360" w:lineRule="auto"/>
        <w:ind w:firstLine="359" w:firstLineChars="171"/>
        <w:rPr>
          <w:rFonts w:ascii="宋体" w:hAnsi="宋体" w:cs="Arial"/>
          <w:szCs w:val="21"/>
        </w:rPr>
      </w:pPr>
      <w:r>
        <w:rPr>
          <w:rFonts w:ascii="宋体" w:hAnsi="宋体" w:cs="Arial"/>
          <w:szCs w:val="21"/>
        </w:rPr>
        <w:t>（2）公布在投标截止时间前递交投标文件的投标人名称，并点名确认投标人是否派人到场；</w:t>
      </w:r>
    </w:p>
    <w:p>
      <w:pPr>
        <w:spacing w:line="360" w:lineRule="auto"/>
        <w:ind w:firstLine="359" w:firstLineChars="171"/>
        <w:rPr>
          <w:rFonts w:ascii="宋体" w:hAnsi="宋体" w:cs="Arial"/>
          <w:szCs w:val="21"/>
        </w:rPr>
      </w:pPr>
      <w:r>
        <w:rPr>
          <w:rFonts w:ascii="宋体" w:hAnsi="宋体" w:cs="Arial"/>
          <w:szCs w:val="21"/>
        </w:rPr>
        <w:t>（3）宣布开标人、唱标人、记录人、监标人等有关人员姓名；</w:t>
      </w:r>
    </w:p>
    <w:p>
      <w:pPr>
        <w:spacing w:line="360" w:lineRule="auto"/>
        <w:ind w:firstLine="359" w:firstLineChars="171"/>
        <w:rPr>
          <w:rFonts w:ascii="宋体" w:hAnsi="宋体" w:cs="Arial"/>
          <w:szCs w:val="21"/>
        </w:rPr>
      </w:pPr>
      <w:r>
        <w:rPr>
          <w:rFonts w:ascii="宋体" w:hAnsi="宋体" w:cs="Arial"/>
          <w:szCs w:val="21"/>
        </w:rPr>
        <w:t>（4）检查投标文件的密封情况；</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5</w:t>
      </w:r>
      <w:r>
        <w:rPr>
          <w:rFonts w:ascii="宋体" w:hAnsi="宋体" w:cs="Arial"/>
          <w:szCs w:val="21"/>
        </w:rPr>
        <w:t>）按照</w:t>
      </w:r>
      <w:r>
        <w:rPr>
          <w:rFonts w:hint="eastAsia" w:ascii="宋体" w:hAnsi="宋体" w:cs="Arial"/>
          <w:szCs w:val="21"/>
        </w:rPr>
        <w:t>投标人递交投标文件的逆顺序</w:t>
      </w:r>
      <w:r>
        <w:rPr>
          <w:rFonts w:ascii="宋体" w:hAnsi="宋体" w:cs="Arial"/>
          <w:szCs w:val="21"/>
        </w:rPr>
        <w:t>当众开标，公布投标人名称、</w:t>
      </w:r>
      <w:r>
        <w:rPr>
          <w:rFonts w:hint="eastAsia" w:ascii="宋体" w:hAnsi="宋体" w:cs="Arial"/>
          <w:szCs w:val="21"/>
        </w:rPr>
        <w:t>投标函的内容、</w:t>
      </w:r>
      <w:r>
        <w:rPr>
          <w:rFonts w:ascii="宋体" w:hAnsi="宋体" w:cs="Arial"/>
          <w:szCs w:val="21"/>
        </w:rPr>
        <w:t>投标保证金的递交情况以及采购</w:t>
      </w:r>
      <w:r>
        <w:rPr>
          <w:rFonts w:hint="eastAsia" w:ascii="宋体" w:hAnsi="宋体" w:cs="Arial"/>
          <w:szCs w:val="21"/>
        </w:rPr>
        <w:t>人</w:t>
      </w:r>
      <w:r>
        <w:rPr>
          <w:rFonts w:ascii="宋体" w:hAnsi="宋体" w:cs="Arial"/>
          <w:szCs w:val="21"/>
        </w:rPr>
        <w:t>认为合适的其他内容，并记录在案；</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6</w:t>
      </w:r>
      <w:r>
        <w:rPr>
          <w:rFonts w:ascii="宋体" w:hAnsi="宋体" w:cs="Arial"/>
          <w:szCs w:val="21"/>
        </w:rPr>
        <w:t>）投标人代表、采购人代表、监标人、记录人等有关人员在开标记录上签字确认；</w:t>
      </w:r>
    </w:p>
    <w:p>
      <w:pPr>
        <w:spacing w:line="360" w:lineRule="auto"/>
        <w:ind w:firstLine="359" w:firstLineChars="171"/>
        <w:rPr>
          <w:rFonts w:ascii="宋体" w:hAnsi="宋体" w:cs="Arial"/>
          <w:szCs w:val="21"/>
        </w:rPr>
      </w:pPr>
      <w:r>
        <w:rPr>
          <w:rFonts w:ascii="宋体" w:hAnsi="宋体" w:cs="Arial"/>
          <w:szCs w:val="21"/>
        </w:rPr>
        <w:t>（</w:t>
      </w:r>
      <w:r>
        <w:rPr>
          <w:rFonts w:hint="eastAsia" w:ascii="宋体" w:hAnsi="宋体" w:cs="Arial"/>
          <w:szCs w:val="21"/>
        </w:rPr>
        <w:t>7</w:t>
      </w:r>
      <w:r>
        <w:rPr>
          <w:rFonts w:ascii="宋体" w:hAnsi="宋体" w:cs="Arial"/>
          <w:szCs w:val="21"/>
        </w:rPr>
        <w:t>）开标结束。</w:t>
      </w:r>
    </w:p>
    <w:p>
      <w:pPr>
        <w:pStyle w:val="9"/>
        <w:rPr>
          <w:rFonts w:cs="Arial"/>
          <w:sz w:val="24"/>
          <w:szCs w:val="24"/>
        </w:rPr>
      </w:pPr>
      <w:bookmarkStart w:id="97" w:name="_Toc531614623"/>
      <w:bookmarkStart w:id="98" w:name="_Toc414112629"/>
      <w:bookmarkStart w:id="99" w:name="_Toc414277141"/>
      <w:bookmarkStart w:id="100" w:name="_Toc534813001"/>
      <w:r>
        <w:rPr>
          <w:rFonts w:cs="Arial"/>
          <w:sz w:val="24"/>
          <w:szCs w:val="24"/>
        </w:rPr>
        <w:t>6. 评审</w:t>
      </w:r>
      <w:bookmarkEnd w:id="97"/>
      <w:bookmarkEnd w:id="98"/>
      <w:bookmarkEnd w:id="99"/>
      <w:bookmarkEnd w:id="100"/>
    </w:p>
    <w:p>
      <w:pPr>
        <w:pStyle w:val="10"/>
        <w:rPr>
          <w:rFonts w:ascii="Arial" w:hAnsi="Arial" w:eastAsia="黑体" w:cs="Arial"/>
          <w:sz w:val="21"/>
          <w:szCs w:val="21"/>
        </w:rPr>
      </w:pPr>
      <w:bookmarkStart w:id="101" w:name="_Toc414277142"/>
      <w:bookmarkStart w:id="102" w:name="_Toc414112630"/>
      <w:r>
        <w:rPr>
          <w:rFonts w:ascii="Arial" w:hAnsi="Arial" w:eastAsia="黑体" w:cs="Arial"/>
          <w:sz w:val="21"/>
          <w:szCs w:val="21"/>
        </w:rPr>
        <w:t>6.1 评审小组</w:t>
      </w:r>
      <w:bookmarkEnd w:id="101"/>
      <w:bookmarkEnd w:id="102"/>
    </w:p>
    <w:p>
      <w:pPr>
        <w:spacing w:line="360" w:lineRule="auto"/>
        <w:ind w:firstLine="420" w:firstLineChars="200"/>
        <w:rPr>
          <w:rFonts w:ascii="宋体" w:hAnsi="宋体" w:cs="Arial"/>
          <w:szCs w:val="21"/>
        </w:rPr>
      </w:pPr>
      <w:r>
        <w:rPr>
          <w:rFonts w:ascii="宋体" w:hAnsi="宋体" w:cs="Arial"/>
          <w:szCs w:val="21"/>
        </w:rPr>
        <w:t>6.1.1</w:t>
      </w:r>
      <w:r>
        <w:rPr>
          <w:rFonts w:ascii="宋体" w:hAnsi="宋体"/>
          <w:szCs w:val="21"/>
        </w:rPr>
        <w:t>评审由采购人依法组建的</w:t>
      </w:r>
      <w:r>
        <w:rPr>
          <w:rFonts w:hint="eastAsia" w:ascii="宋体" w:hAnsi="宋体"/>
          <w:szCs w:val="21"/>
        </w:rPr>
        <w:t>评审</w:t>
      </w:r>
      <w:r>
        <w:rPr>
          <w:rFonts w:ascii="宋体" w:hAnsi="宋体"/>
          <w:szCs w:val="21"/>
        </w:rPr>
        <w:t>小组负责。</w:t>
      </w:r>
      <w:r>
        <w:rPr>
          <w:rFonts w:ascii="宋体" w:hAnsi="宋体" w:cs="Arial"/>
          <w:szCs w:val="21"/>
        </w:rPr>
        <w:t>评审小组成员人数以及专家的确定方式见投标人须知前附表。</w:t>
      </w:r>
    </w:p>
    <w:p>
      <w:pPr>
        <w:pStyle w:val="10"/>
        <w:rPr>
          <w:rFonts w:ascii="Arial" w:hAnsi="Arial" w:eastAsia="黑体" w:cs="Arial"/>
          <w:sz w:val="21"/>
          <w:szCs w:val="21"/>
        </w:rPr>
      </w:pPr>
      <w:bookmarkStart w:id="103" w:name="_Toc414112631"/>
      <w:bookmarkStart w:id="104" w:name="_Toc414277143"/>
      <w:r>
        <w:rPr>
          <w:rFonts w:ascii="Arial" w:hAnsi="Arial" w:eastAsia="黑体" w:cs="Arial"/>
          <w:sz w:val="21"/>
          <w:szCs w:val="21"/>
        </w:rPr>
        <w:t>6.2 评审原则</w:t>
      </w:r>
      <w:bookmarkEnd w:id="103"/>
      <w:bookmarkEnd w:id="104"/>
      <w:r>
        <w:rPr>
          <w:rFonts w:ascii="Arial" w:hAnsi="Arial" w:eastAsia="黑体" w:cs="Arial"/>
          <w:sz w:val="21"/>
          <w:szCs w:val="21"/>
        </w:rPr>
        <w:tab/>
      </w:r>
    </w:p>
    <w:p>
      <w:pPr>
        <w:spacing w:line="360" w:lineRule="auto"/>
        <w:ind w:firstLine="420" w:firstLineChars="200"/>
        <w:rPr>
          <w:rFonts w:ascii="Arial" w:hAnsi="Arial" w:cs="Arial"/>
          <w:szCs w:val="21"/>
        </w:rPr>
      </w:pPr>
      <w:r>
        <w:rPr>
          <w:rFonts w:hint="eastAsia" w:ascii="Arial" w:hAnsi="Arial" w:cs="Arial"/>
          <w:szCs w:val="21"/>
        </w:rPr>
        <w:t>评审</w:t>
      </w:r>
      <w:r>
        <w:rPr>
          <w:szCs w:val="21"/>
        </w:rPr>
        <w:t>小组成员应当按照客观、公正、审慎的原则，根据</w:t>
      </w:r>
      <w:r>
        <w:rPr>
          <w:rFonts w:hint="eastAsia"/>
          <w:szCs w:val="21"/>
        </w:rPr>
        <w:t>资格预审文件和采购</w:t>
      </w:r>
      <w:r>
        <w:rPr>
          <w:szCs w:val="21"/>
        </w:rPr>
        <w:t>文件规定的评审程序、评审方法和评审标准进行独立评审。</w:t>
      </w:r>
    </w:p>
    <w:p>
      <w:pPr>
        <w:pStyle w:val="10"/>
        <w:rPr>
          <w:rFonts w:ascii="Arial" w:hAnsi="Arial" w:eastAsia="黑体" w:cs="Arial"/>
          <w:sz w:val="21"/>
          <w:szCs w:val="21"/>
        </w:rPr>
      </w:pPr>
      <w:bookmarkStart w:id="105" w:name="_Toc414112632"/>
      <w:bookmarkStart w:id="106" w:name="_Toc414277144"/>
      <w:r>
        <w:rPr>
          <w:rFonts w:ascii="Arial" w:hAnsi="Arial" w:eastAsia="黑体" w:cs="Arial"/>
          <w:sz w:val="21"/>
          <w:szCs w:val="21"/>
        </w:rPr>
        <w:t>6.3 评审</w:t>
      </w:r>
      <w:bookmarkEnd w:id="105"/>
      <w:bookmarkEnd w:id="106"/>
    </w:p>
    <w:p>
      <w:pPr>
        <w:spacing w:line="360" w:lineRule="auto"/>
        <w:ind w:firstLine="420" w:firstLineChars="200"/>
        <w:rPr>
          <w:rFonts w:ascii="宋体" w:hAnsi="宋体" w:cs="Arial"/>
          <w:szCs w:val="21"/>
        </w:rPr>
      </w:pPr>
      <w:r>
        <w:rPr>
          <w:rFonts w:ascii="宋体" w:hAnsi="宋体" w:cs="Arial"/>
          <w:szCs w:val="21"/>
        </w:rPr>
        <w:t>6.3.1 投标人须知前附表</w:t>
      </w:r>
      <w:r>
        <w:rPr>
          <w:rFonts w:hint="eastAsia" w:ascii="宋体" w:hAnsi="宋体" w:cs="Arial"/>
          <w:szCs w:val="21"/>
        </w:rPr>
        <w:t>规定</w:t>
      </w:r>
      <w:r>
        <w:rPr>
          <w:rFonts w:ascii="宋体" w:hAnsi="宋体" w:cs="Arial"/>
          <w:szCs w:val="21"/>
        </w:rPr>
        <w:t>允许未参加资格预审的投标人参与竞争并进行资格后审</w:t>
      </w:r>
      <w:r>
        <w:rPr>
          <w:rFonts w:hint="eastAsia" w:ascii="宋体" w:hAnsi="宋体" w:cs="Arial"/>
          <w:szCs w:val="21"/>
        </w:rPr>
        <w:t>的，评审小组需按照资格预审文件要求对投标人进行资格后审</w:t>
      </w:r>
      <w:r>
        <w:rPr>
          <w:rFonts w:ascii="宋体" w:hAnsi="宋体" w:cs="Arial"/>
          <w:szCs w:val="21"/>
        </w:rPr>
        <w:t>。</w:t>
      </w:r>
    </w:p>
    <w:p>
      <w:pPr>
        <w:spacing w:line="360" w:lineRule="auto"/>
        <w:ind w:firstLine="420" w:firstLineChars="200"/>
        <w:rPr>
          <w:rFonts w:ascii="宋体" w:hAnsi="宋体" w:cs="Arial"/>
          <w:szCs w:val="21"/>
        </w:rPr>
      </w:pPr>
      <w:r>
        <w:rPr>
          <w:rFonts w:ascii="宋体" w:hAnsi="宋体" w:cs="Arial"/>
          <w:szCs w:val="21"/>
        </w:rPr>
        <w:t>6.3.2 评审小组按照第</w:t>
      </w:r>
      <w:r>
        <w:rPr>
          <w:rFonts w:hint="eastAsia" w:ascii="宋体" w:hAnsi="宋体" w:cs="Arial"/>
          <w:szCs w:val="21"/>
        </w:rPr>
        <w:t>五</w:t>
      </w:r>
      <w:r>
        <w:rPr>
          <w:rFonts w:ascii="宋体" w:hAnsi="宋体" w:cs="Arial"/>
          <w:szCs w:val="21"/>
        </w:rPr>
        <w:t>章“评</w:t>
      </w:r>
      <w:r>
        <w:rPr>
          <w:rFonts w:hint="eastAsia" w:ascii="宋体" w:hAnsi="宋体" w:cs="Arial"/>
          <w:szCs w:val="21"/>
        </w:rPr>
        <w:t>审方</w:t>
      </w:r>
      <w:r>
        <w:rPr>
          <w:rFonts w:ascii="宋体" w:hAnsi="宋体" w:cs="Arial"/>
          <w:szCs w:val="21"/>
        </w:rPr>
        <w:t>法”规定的程序、方法和标准对投标文件进行独立评审。第</w:t>
      </w:r>
      <w:r>
        <w:rPr>
          <w:rFonts w:hint="eastAsia" w:ascii="宋体" w:hAnsi="宋体" w:cs="Arial"/>
          <w:szCs w:val="21"/>
        </w:rPr>
        <w:t>五</w:t>
      </w:r>
      <w:r>
        <w:rPr>
          <w:rFonts w:ascii="宋体" w:hAnsi="宋体" w:cs="Arial"/>
          <w:szCs w:val="21"/>
        </w:rPr>
        <w:t>章“评</w:t>
      </w:r>
      <w:r>
        <w:rPr>
          <w:rFonts w:hint="eastAsia" w:ascii="宋体" w:hAnsi="宋体" w:cs="Arial"/>
          <w:szCs w:val="21"/>
        </w:rPr>
        <w:t>审方</w:t>
      </w:r>
      <w:r>
        <w:rPr>
          <w:rFonts w:ascii="宋体" w:hAnsi="宋体" w:cs="Arial"/>
          <w:szCs w:val="21"/>
        </w:rPr>
        <w:t>法”没有规定的方法、评审因素和标准，不作为评</w:t>
      </w:r>
      <w:r>
        <w:rPr>
          <w:rFonts w:hint="eastAsia" w:ascii="宋体" w:hAnsi="宋体" w:cs="Arial"/>
          <w:szCs w:val="21"/>
        </w:rPr>
        <w:t>审</w:t>
      </w:r>
      <w:r>
        <w:rPr>
          <w:rFonts w:ascii="宋体" w:hAnsi="宋体" w:cs="Arial"/>
          <w:szCs w:val="21"/>
        </w:rPr>
        <w:t>依据。</w:t>
      </w:r>
    </w:p>
    <w:p>
      <w:pPr>
        <w:spacing w:line="360" w:lineRule="auto"/>
        <w:ind w:firstLine="420" w:firstLineChars="200"/>
        <w:rPr>
          <w:rFonts w:ascii="宋体" w:hAnsi="宋体" w:cs="Arial"/>
          <w:szCs w:val="21"/>
        </w:rPr>
      </w:pPr>
      <w:r>
        <w:rPr>
          <w:rFonts w:ascii="宋体" w:hAnsi="宋体" w:cs="Arial"/>
          <w:szCs w:val="21"/>
        </w:rPr>
        <w:t>6.3.3评审小组向采购人提交评审报告并推荐候选投标人排名，评审小组推荐候选投标人排名的人数见投标人须知前附表。</w:t>
      </w:r>
    </w:p>
    <w:p>
      <w:pPr>
        <w:spacing w:line="360" w:lineRule="auto"/>
        <w:ind w:firstLine="420" w:firstLineChars="200"/>
        <w:rPr>
          <w:rFonts w:ascii="宋体" w:hAnsi="宋体" w:cs="Arial"/>
          <w:szCs w:val="21"/>
        </w:rPr>
      </w:pPr>
      <w:r>
        <w:rPr>
          <w:rFonts w:ascii="宋体" w:hAnsi="宋体" w:cs="Arial"/>
          <w:szCs w:val="21"/>
        </w:rPr>
        <w:t>6.3.4 评审小组成员应当在评审报告上签字，对自己的评审意见承担法律责任。对评审报告有异议的，应当在报告上签署不同意见，并说明理由，否则视为同意评审报告。</w:t>
      </w:r>
    </w:p>
    <w:p>
      <w:pPr>
        <w:spacing w:line="360" w:lineRule="auto"/>
        <w:ind w:firstLine="420" w:firstLineChars="200"/>
        <w:rPr>
          <w:rFonts w:ascii="宋体" w:hAnsi="宋体" w:cs="Arial"/>
          <w:szCs w:val="21"/>
        </w:rPr>
      </w:pPr>
      <w:r>
        <w:rPr>
          <w:rFonts w:ascii="宋体" w:hAnsi="宋体" w:cs="Arial"/>
          <w:szCs w:val="21"/>
        </w:rPr>
        <w:t>6.3.5 评审小组发现采购文件内容违反国家有关强制性规定的，应当停止评审并向项目实施机构说明情况。</w:t>
      </w:r>
    </w:p>
    <w:p>
      <w:pPr>
        <w:pStyle w:val="9"/>
        <w:rPr>
          <w:rFonts w:cs="Arial"/>
          <w:sz w:val="24"/>
          <w:szCs w:val="24"/>
        </w:rPr>
      </w:pPr>
      <w:bookmarkStart w:id="107" w:name="_Toc531614624"/>
      <w:bookmarkStart w:id="108" w:name="_Toc534813002"/>
      <w:bookmarkStart w:id="109" w:name="_Toc414277145"/>
      <w:bookmarkStart w:id="110" w:name="_Toc414112633"/>
      <w:r>
        <w:rPr>
          <w:rFonts w:cs="Arial"/>
          <w:sz w:val="24"/>
          <w:szCs w:val="24"/>
        </w:rPr>
        <w:t>7. 合同授予</w:t>
      </w:r>
      <w:bookmarkEnd w:id="107"/>
      <w:bookmarkEnd w:id="108"/>
      <w:bookmarkEnd w:id="109"/>
      <w:bookmarkEnd w:id="110"/>
    </w:p>
    <w:p>
      <w:pPr>
        <w:pStyle w:val="10"/>
        <w:rPr>
          <w:rFonts w:ascii="Arial" w:hAnsi="Arial" w:eastAsia="黑体" w:cs="Arial"/>
          <w:sz w:val="21"/>
          <w:szCs w:val="21"/>
        </w:rPr>
      </w:pPr>
      <w:bookmarkStart w:id="111" w:name="_Toc414277146"/>
      <w:bookmarkStart w:id="112" w:name="_Toc414112634"/>
      <w:r>
        <w:rPr>
          <w:rFonts w:ascii="Arial" w:hAnsi="Arial" w:eastAsia="黑体" w:cs="Arial"/>
          <w:sz w:val="21"/>
          <w:szCs w:val="21"/>
        </w:rPr>
        <w:t>7.1 定标方式</w:t>
      </w:r>
      <w:bookmarkEnd w:id="111"/>
      <w:bookmarkEnd w:id="112"/>
    </w:p>
    <w:p>
      <w:pPr>
        <w:spacing w:line="360" w:lineRule="auto"/>
        <w:ind w:firstLine="420" w:firstLineChars="200"/>
        <w:rPr>
          <w:rFonts w:ascii="宋体" w:hAnsi="宋体" w:cs="Arial"/>
          <w:szCs w:val="21"/>
        </w:rPr>
      </w:pPr>
      <w:r>
        <w:rPr>
          <w:rFonts w:hint="eastAsia" w:ascii="宋体" w:hAnsi="宋体" w:cs="Arial"/>
          <w:szCs w:val="21"/>
        </w:rPr>
        <w:t>7.1.1 PPP项目采购评审结束后，采购人应当成立专门的采购结果确认谈判工作组，负责采购结果确认前的谈判和最终的采购结果确认工作。</w:t>
      </w:r>
    </w:p>
    <w:p>
      <w:pPr>
        <w:spacing w:line="360" w:lineRule="auto"/>
        <w:ind w:firstLine="420" w:firstLineChars="200"/>
        <w:rPr>
          <w:rFonts w:ascii="宋体" w:hAnsi="宋体" w:cs="Arial"/>
          <w:szCs w:val="21"/>
        </w:rPr>
      </w:pPr>
      <w:r>
        <w:rPr>
          <w:rFonts w:hint="eastAsia" w:ascii="宋体" w:hAnsi="宋体" w:cs="Arial"/>
          <w:szCs w:val="21"/>
        </w:rPr>
        <w:t>7.1.2 采购结果确认谈判工作组成员及数量由采购人确定，但应当至少包括财政预算管理部门、行业主管部门代表，以及财务、法律等方面的专家。评审小组成员可以作为采购结果确认谈判工作组成员参与采购结果确认谈判。</w:t>
      </w:r>
    </w:p>
    <w:p>
      <w:pPr>
        <w:spacing w:line="360" w:lineRule="auto"/>
        <w:ind w:firstLine="420" w:firstLineChars="200"/>
        <w:rPr>
          <w:rFonts w:ascii="宋体" w:hAnsi="宋体" w:cs="Arial"/>
          <w:szCs w:val="21"/>
        </w:rPr>
      </w:pPr>
      <w:r>
        <w:rPr>
          <w:rFonts w:ascii="宋体" w:hAnsi="宋体" w:cs="Arial"/>
          <w:szCs w:val="21"/>
        </w:rPr>
        <w:t>7.1.</w:t>
      </w:r>
      <w:r>
        <w:rPr>
          <w:rFonts w:hint="eastAsia" w:ascii="宋体" w:hAnsi="宋体" w:cs="Arial"/>
          <w:szCs w:val="21"/>
        </w:rPr>
        <w:t>3</w:t>
      </w:r>
      <w:r>
        <w:rPr>
          <w:rFonts w:ascii="宋体" w:hAnsi="宋体" w:cs="Arial"/>
          <w:szCs w:val="21"/>
        </w:rPr>
        <w:t xml:space="preserve"> 采购结果确认谈判工作组应当按照评审报告推荐的候选</w:t>
      </w:r>
      <w:r>
        <w:rPr>
          <w:rFonts w:hint="eastAsia" w:ascii="宋体" w:hAnsi="宋体" w:cs="Arial"/>
          <w:szCs w:val="21"/>
        </w:rPr>
        <w:t>投标人</w:t>
      </w:r>
      <w:r>
        <w:rPr>
          <w:rFonts w:ascii="宋体" w:hAnsi="宋体" w:cs="Arial"/>
          <w:szCs w:val="21"/>
        </w:rPr>
        <w:t>排名，依次与候选投标人</w:t>
      </w:r>
      <w:r>
        <w:rPr>
          <w:rFonts w:hint="eastAsia" w:ascii="宋体" w:hAnsi="宋体" w:cs="Arial"/>
          <w:szCs w:val="21"/>
        </w:rPr>
        <w:t>及其合作的金融机构</w:t>
      </w:r>
      <w:r>
        <w:rPr>
          <w:rFonts w:ascii="宋体" w:hAnsi="宋体" w:cs="Arial"/>
          <w:szCs w:val="21"/>
        </w:rPr>
        <w:t>就项目合同中可</w:t>
      </w:r>
      <w:r>
        <w:rPr>
          <w:rFonts w:hint="eastAsia" w:ascii="宋体" w:hAnsi="宋体" w:cs="Arial"/>
          <w:szCs w:val="21"/>
        </w:rPr>
        <w:t>变</w:t>
      </w:r>
      <w:r>
        <w:rPr>
          <w:rFonts w:ascii="宋体" w:hAnsi="宋体" w:cs="Arial"/>
          <w:szCs w:val="21"/>
        </w:rPr>
        <w:t>的</w:t>
      </w:r>
      <w:r>
        <w:rPr>
          <w:rFonts w:hint="eastAsia" w:ascii="宋体" w:hAnsi="宋体" w:cs="Arial"/>
          <w:szCs w:val="21"/>
        </w:rPr>
        <w:t>细</w:t>
      </w:r>
      <w:r>
        <w:rPr>
          <w:rFonts w:ascii="宋体" w:hAnsi="宋体" w:cs="Arial"/>
          <w:szCs w:val="21"/>
        </w:rPr>
        <w:t>节问题进行项目合同签署前的确认谈判，率先达成一致的候选投标人即为预中标投标人。</w:t>
      </w:r>
    </w:p>
    <w:p>
      <w:pPr>
        <w:spacing w:line="360" w:lineRule="auto"/>
        <w:ind w:firstLine="420" w:firstLineChars="200"/>
        <w:rPr>
          <w:rFonts w:ascii="宋体" w:hAnsi="宋体" w:cs="Arial"/>
          <w:szCs w:val="21"/>
        </w:rPr>
      </w:pPr>
      <w:r>
        <w:rPr>
          <w:rFonts w:hint="eastAsia" w:ascii="宋体" w:hAnsi="宋体" w:cs="Arial"/>
          <w:szCs w:val="21"/>
        </w:rPr>
        <w:t>7.1.4 确认谈判不得涉及项目合同中不可谈判的核心条款，不得与排序在前但已终止谈判的候选投标人进行重复谈判。</w:t>
      </w:r>
    </w:p>
    <w:p>
      <w:pPr>
        <w:spacing w:line="360" w:lineRule="auto"/>
        <w:ind w:firstLine="420" w:firstLineChars="200"/>
        <w:rPr>
          <w:rFonts w:ascii="宋体" w:hAnsi="宋体" w:cs="Arial"/>
          <w:szCs w:val="21"/>
        </w:rPr>
      </w:pPr>
      <w:r>
        <w:rPr>
          <w:rFonts w:ascii="宋体" w:hAnsi="宋体" w:cs="Arial"/>
          <w:szCs w:val="21"/>
        </w:rPr>
        <w:t>7.1.</w:t>
      </w:r>
      <w:r>
        <w:rPr>
          <w:rFonts w:hint="eastAsia" w:ascii="宋体" w:hAnsi="宋体" w:cs="Arial"/>
          <w:szCs w:val="21"/>
        </w:rPr>
        <w:t>5</w:t>
      </w:r>
      <w:r>
        <w:rPr>
          <w:rFonts w:ascii="宋体" w:hAnsi="宋体" w:cs="Arial"/>
          <w:szCs w:val="21"/>
        </w:rPr>
        <w:t xml:space="preserve"> 采购人应当在预中标投标人确定后10个工作日内，与预中标投标人签署确认谈判备忘录，并将预中标结果和根据采购文件、投标文件及有关补遗文件和确认谈判备忘录拟定的项目合同文本在省级以上人民政府财政部门指定的政府采购信息发布媒体上进行公示，公示期不得少于5个工作日。</w:t>
      </w:r>
    </w:p>
    <w:p>
      <w:pPr>
        <w:pStyle w:val="10"/>
        <w:rPr>
          <w:rFonts w:ascii="Arial" w:hAnsi="Arial" w:eastAsia="黑体" w:cs="Arial"/>
          <w:sz w:val="21"/>
          <w:szCs w:val="21"/>
        </w:rPr>
      </w:pPr>
      <w:bookmarkStart w:id="113" w:name="_Toc414277147"/>
      <w:bookmarkStart w:id="114" w:name="_Toc414112635"/>
      <w:r>
        <w:rPr>
          <w:rFonts w:ascii="Arial" w:hAnsi="Arial" w:eastAsia="黑体" w:cs="Arial"/>
          <w:sz w:val="21"/>
          <w:szCs w:val="21"/>
        </w:rPr>
        <w:t>7.2 中标通知</w:t>
      </w:r>
      <w:bookmarkEnd w:id="113"/>
      <w:bookmarkEnd w:id="114"/>
    </w:p>
    <w:p>
      <w:pPr>
        <w:spacing w:line="360" w:lineRule="auto"/>
        <w:ind w:firstLine="420" w:firstLineChars="200"/>
        <w:rPr>
          <w:rFonts w:ascii="宋体" w:hAnsi="宋体" w:cs="Arial"/>
          <w:szCs w:val="21"/>
        </w:rPr>
      </w:pPr>
      <w:r>
        <w:rPr>
          <w:rFonts w:ascii="宋体" w:hAnsi="宋体" w:cs="Arial"/>
          <w:szCs w:val="21"/>
        </w:rPr>
        <w:t>采购人在公示期满无异议后2个工作日内，将中标结果在省级以上人民政府财政部门指定的政府采购信息发布媒体上进行公告</w:t>
      </w:r>
      <w:r>
        <w:rPr>
          <w:rFonts w:hint="eastAsia" w:ascii="宋体" w:hAnsi="宋体" w:cs="Arial"/>
          <w:szCs w:val="21"/>
        </w:rPr>
        <w:t>，</w:t>
      </w:r>
      <w:r>
        <w:rPr>
          <w:rFonts w:ascii="宋体" w:hAnsi="宋体" w:cs="Arial"/>
          <w:szCs w:val="21"/>
        </w:rPr>
        <w:t>同时发出中标通知书。</w:t>
      </w:r>
    </w:p>
    <w:p>
      <w:pPr>
        <w:pStyle w:val="10"/>
        <w:rPr>
          <w:rFonts w:ascii="Arial" w:hAnsi="Arial" w:eastAsia="黑体" w:cs="Arial"/>
          <w:sz w:val="21"/>
          <w:szCs w:val="21"/>
        </w:rPr>
      </w:pPr>
      <w:bookmarkStart w:id="115" w:name="_Toc414112636"/>
      <w:bookmarkStart w:id="116" w:name="_Toc414277148"/>
      <w:r>
        <w:rPr>
          <w:rFonts w:ascii="Arial" w:hAnsi="Arial" w:eastAsia="黑体" w:cs="Arial"/>
          <w:sz w:val="21"/>
          <w:szCs w:val="21"/>
        </w:rPr>
        <w:t>7.3 履约担保</w:t>
      </w:r>
      <w:bookmarkEnd w:id="115"/>
      <w:bookmarkEnd w:id="116"/>
    </w:p>
    <w:p>
      <w:pPr>
        <w:spacing w:line="360" w:lineRule="auto"/>
        <w:ind w:firstLine="420" w:firstLineChars="200"/>
        <w:rPr>
          <w:rFonts w:ascii="宋体" w:hAnsi="宋体" w:cs="Arial"/>
          <w:szCs w:val="21"/>
        </w:rPr>
      </w:pPr>
      <w:r>
        <w:rPr>
          <w:rFonts w:ascii="宋体" w:hAnsi="宋体" w:cs="Arial"/>
          <w:szCs w:val="21"/>
        </w:rPr>
        <w:t>7.3.1在签订合同前，中标、成交投标人应按投标人须知前附表规定的金额、担保形式向采购人提交履约担保。联合体中标的，其履约担保由牵头人递交，并应符合投标人须知前附表规定的金额、担保形式。</w:t>
      </w:r>
    </w:p>
    <w:p>
      <w:pPr>
        <w:spacing w:line="360" w:lineRule="auto"/>
        <w:ind w:firstLine="420" w:firstLineChars="200"/>
        <w:rPr>
          <w:rFonts w:ascii="宋体" w:hAnsi="宋体" w:cs="Arial"/>
          <w:szCs w:val="21"/>
        </w:rPr>
      </w:pPr>
      <w:r>
        <w:rPr>
          <w:rFonts w:ascii="宋体" w:hAnsi="宋体" w:cs="Arial"/>
          <w:szCs w:val="21"/>
        </w:rPr>
        <w:t>7.3.2 中标人不能按本章第7.3.1项要求提交履约担保的，视为放弃中标，其投标保证金不予退还，给采购人造成的损失超过投标保证金数额的，中标人还应当对超过部分予以赔偿。</w:t>
      </w:r>
    </w:p>
    <w:p>
      <w:pPr>
        <w:pStyle w:val="10"/>
        <w:rPr>
          <w:rFonts w:ascii="Arial" w:hAnsi="Arial" w:eastAsia="黑体" w:cs="Arial"/>
          <w:sz w:val="21"/>
          <w:szCs w:val="21"/>
        </w:rPr>
      </w:pPr>
      <w:bookmarkStart w:id="117" w:name="_Toc414277149"/>
      <w:bookmarkStart w:id="118" w:name="_Toc414112637"/>
      <w:r>
        <w:rPr>
          <w:rFonts w:ascii="Arial" w:hAnsi="Arial" w:eastAsia="黑体" w:cs="Arial"/>
          <w:sz w:val="21"/>
          <w:szCs w:val="21"/>
        </w:rPr>
        <w:t>7.4 签订合同</w:t>
      </w:r>
      <w:bookmarkEnd w:id="117"/>
      <w:bookmarkEnd w:id="118"/>
    </w:p>
    <w:p>
      <w:pPr>
        <w:spacing w:line="360" w:lineRule="auto"/>
        <w:ind w:firstLine="420" w:firstLineChars="200"/>
        <w:rPr>
          <w:rFonts w:ascii="宋体" w:hAnsi="宋体" w:cs="Arial"/>
          <w:szCs w:val="21"/>
        </w:rPr>
      </w:pPr>
      <w:r>
        <w:rPr>
          <w:rFonts w:ascii="宋体" w:hAnsi="宋体" w:cs="Arial"/>
          <w:szCs w:val="21"/>
        </w:rPr>
        <w:t>7.</w:t>
      </w:r>
      <w:r>
        <w:rPr>
          <w:rFonts w:hint="eastAsia" w:ascii="宋体" w:hAnsi="宋体" w:cs="Arial"/>
          <w:szCs w:val="21"/>
        </w:rPr>
        <w:t>4.1</w:t>
      </w:r>
      <w:r>
        <w:rPr>
          <w:rFonts w:ascii="宋体" w:hAnsi="宋体" w:cs="Arial"/>
          <w:szCs w:val="21"/>
        </w:rPr>
        <w:t>项目合同</w:t>
      </w:r>
      <w:r>
        <w:rPr>
          <w:rFonts w:hint="eastAsia" w:ascii="宋体" w:hAnsi="宋体" w:cs="Arial"/>
          <w:szCs w:val="21"/>
        </w:rPr>
        <w:t>必须报请本级人民政府或政府授权行业主管部门审核同意，在获得同意前项目合同不得生效。</w:t>
      </w:r>
    </w:p>
    <w:p>
      <w:pPr>
        <w:spacing w:line="360" w:lineRule="auto"/>
        <w:ind w:firstLine="420" w:firstLineChars="200"/>
        <w:rPr>
          <w:rFonts w:ascii="宋体" w:hAnsi="宋体" w:cs="Arial"/>
          <w:szCs w:val="21"/>
        </w:rPr>
      </w:pPr>
      <w:r>
        <w:rPr>
          <w:rFonts w:ascii="宋体" w:hAnsi="宋体" w:cs="Arial"/>
          <w:szCs w:val="21"/>
        </w:rPr>
        <w:t>7.4.</w:t>
      </w:r>
      <w:r>
        <w:rPr>
          <w:rFonts w:hint="eastAsia" w:ascii="宋体" w:hAnsi="宋体" w:cs="Arial"/>
          <w:szCs w:val="21"/>
        </w:rPr>
        <w:t>2</w:t>
      </w:r>
      <w:r>
        <w:rPr>
          <w:rFonts w:ascii="宋体" w:hAnsi="宋体" w:cs="Arial"/>
          <w:szCs w:val="21"/>
        </w:rPr>
        <w:t>采购人应当</w:t>
      </w:r>
      <w:r>
        <w:rPr>
          <w:rFonts w:hint="eastAsia" w:ascii="宋体" w:hAnsi="宋体" w:cs="Arial"/>
          <w:szCs w:val="21"/>
        </w:rPr>
        <w:t>在</w:t>
      </w:r>
      <w:r>
        <w:rPr>
          <w:rFonts w:ascii="宋体" w:hAnsi="宋体" w:cs="Arial"/>
          <w:szCs w:val="21"/>
        </w:rPr>
        <w:t>中标通知书发出后30日内，与中标人签订经本级人民政府审核同意的PPP项目合同。需要为PPP项目设立专门项目公司的，待项目公司成立后，由项目公司与采购人重新签署PPP项目合同，或者签署关于继承PPP项目合同的补充合同。</w:t>
      </w:r>
    </w:p>
    <w:p>
      <w:pPr>
        <w:spacing w:line="360" w:lineRule="auto"/>
        <w:ind w:firstLine="420" w:firstLineChars="200"/>
        <w:rPr>
          <w:rFonts w:ascii="宋体" w:hAnsi="宋体" w:cs="Arial"/>
          <w:szCs w:val="21"/>
        </w:rPr>
      </w:pPr>
      <w:r>
        <w:rPr>
          <w:rFonts w:ascii="宋体" w:hAnsi="宋体" w:cs="Arial"/>
          <w:szCs w:val="21"/>
        </w:rPr>
        <w:t>7.4.</w:t>
      </w:r>
      <w:r>
        <w:rPr>
          <w:rFonts w:hint="eastAsia" w:ascii="宋体" w:hAnsi="宋体" w:cs="Arial"/>
          <w:szCs w:val="21"/>
        </w:rPr>
        <w:t>3</w:t>
      </w:r>
      <w:r>
        <w:rPr>
          <w:rFonts w:ascii="宋体" w:hAnsi="宋体" w:cs="Arial"/>
          <w:szCs w:val="21"/>
        </w:rPr>
        <w:t xml:space="preserve"> 采购人应当在PPP项目合同签订之日起2个工作日内，将PPP项目合同在省级以上人民政府财政部门指定的政府采购信息发布媒体上公告，但PPP项目合同中涉及国家秘密、商业秘密的内容除外。</w:t>
      </w:r>
    </w:p>
    <w:p>
      <w:pPr>
        <w:spacing w:line="360" w:lineRule="auto"/>
        <w:ind w:firstLine="420" w:firstLineChars="200"/>
        <w:rPr>
          <w:rFonts w:ascii="宋体" w:hAnsi="宋体" w:cs="Arial"/>
          <w:szCs w:val="21"/>
        </w:rPr>
      </w:pPr>
      <w:r>
        <w:rPr>
          <w:rFonts w:ascii="宋体" w:hAnsi="宋体" w:cs="Arial"/>
          <w:szCs w:val="21"/>
        </w:rPr>
        <w:t>7.4.</w:t>
      </w:r>
      <w:r>
        <w:rPr>
          <w:rFonts w:hint="eastAsia" w:ascii="宋体" w:hAnsi="宋体" w:cs="Arial"/>
          <w:szCs w:val="21"/>
        </w:rPr>
        <w:t>4</w:t>
      </w:r>
      <w:r>
        <w:rPr>
          <w:rFonts w:ascii="宋体" w:hAnsi="宋体" w:cs="Arial"/>
          <w:szCs w:val="21"/>
        </w:rPr>
        <w:t xml:space="preserve"> 中标人无正当理由拒签合同的，采购人取消其中标资格，其投标保证金不予退还；给采购人造成的损失超过投标保证金数额的，中标人还应当对超过部分予以赔偿。 </w:t>
      </w:r>
    </w:p>
    <w:p>
      <w:pPr>
        <w:spacing w:line="360" w:lineRule="auto"/>
        <w:ind w:firstLine="420" w:firstLineChars="200"/>
        <w:rPr>
          <w:rFonts w:ascii="宋体" w:hAnsi="宋体" w:cs="Arial"/>
          <w:szCs w:val="21"/>
        </w:rPr>
      </w:pPr>
      <w:r>
        <w:rPr>
          <w:rFonts w:ascii="宋体" w:hAnsi="宋体" w:cs="Arial"/>
          <w:szCs w:val="21"/>
        </w:rPr>
        <w:t>7.4.</w:t>
      </w:r>
      <w:r>
        <w:rPr>
          <w:rFonts w:hint="eastAsia" w:ascii="宋体" w:hAnsi="宋体" w:cs="Arial"/>
          <w:szCs w:val="21"/>
        </w:rPr>
        <w:t>5</w:t>
      </w:r>
      <w:r>
        <w:rPr>
          <w:rFonts w:ascii="宋体" w:hAnsi="宋体" w:cs="Arial"/>
          <w:szCs w:val="21"/>
        </w:rPr>
        <w:t xml:space="preserve"> 发出中标通知书后，采购人无正当理由拒签合同的，采购人向中标人退还投标保证金；给中标人造成损失的，还应当赔偿损失。 </w:t>
      </w:r>
    </w:p>
    <w:p>
      <w:pPr>
        <w:pStyle w:val="9"/>
        <w:rPr>
          <w:rFonts w:cs="Arial"/>
          <w:sz w:val="24"/>
          <w:szCs w:val="24"/>
        </w:rPr>
      </w:pPr>
      <w:bookmarkStart w:id="119" w:name="_Toc531614625"/>
      <w:bookmarkStart w:id="120" w:name="_Toc414112639"/>
      <w:bookmarkStart w:id="121" w:name="_Toc414277151"/>
      <w:bookmarkStart w:id="122" w:name="_Toc534813003"/>
      <w:r>
        <w:rPr>
          <w:rFonts w:cs="Arial"/>
          <w:sz w:val="24"/>
          <w:szCs w:val="24"/>
        </w:rPr>
        <w:t>8. 重新招标</w:t>
      </w:r>
      <w:bookmarkEnd w:id="119"/>
      <w:bookmarkEnd w:id="120"/>
      <w:bookmarkEnd w:id="121"/>
      <w:bookmarkEnd w:id="122"/>
    </w:p>
    <w:p>
      <w:pPr>
        <w:spacing w:line="360" w:lineRule="auto"/>
        <w:ind w:firstLine="420" w:firstLineChars="200"/>
        <w:rPr>
          <w:rFonts w:ascii="宋体" w:hAnsi="宋体" w:cs="Arial"/>
          <w:szCs w:val="21"/>
        </w:rPr>
      </w:pPr>
      <w:r>
        <w:rPr>
          <w:rFonts w:ascii="宋体" w:hAnsi="宋体" w:cs="Arial"/>
          <w:szCs w:val="21"/>
        </w:rPr>
        <w:t>有下列情形之一的，采购人将重新招标：</w:t>
      </w:r>
    </w:p>
    <w:p>
      <w:pPr>
        <w:spacing w:line="360" w:lineRule="auto"/>
        <w:ind w:firstLine="359" w:firstLineChars="171"/>
        <w:rPr>
          <w:rFonts w:ascii="宋体" w:hAnsi="宋体" w:cs="Arial"/>
          <w:szCs w:val="21"/>
        </w:rPr>
      </w:pPr>
      <w:r>
        <w:rPr>
          <w:rFonts w:ascii="宋体" w:hAnsi="宋体" w:cs="Arial"/>
          <w:szCs w:val="21"/>
        </w:rPr>
        <w:t>（1）投标截止时间止，投标人少于3个的；</w:t>
      </w:r>
    </w:p>
    <w:p>
      <w:pPr>
        <w:spacing w:line="360" w:lineRule="auto"/>
        <w:ind w:firstLine="359" w:firstLineChars="171"/>
        <w:rPr>
          <w:rFonts w:ascii="宋体" w:hAnsi="宋体" w:cs="Arial"/>
          <w:szCs w:val="21"/>
        </w:rPr>
      </w:pPr>
      <w:r>
        <w:rPr>
          <w:rFonts w:ascii="宋体" w:hAnsi="宋体" w:cs="Arial"/>
          <w:szCs w:val="21"/>
        </w:rPr>
        <w:t>（2）经评</w:t>
      </w:r>
      <w:r>
        <w:rPr>
          <w:rFonts w:hint="eastAsia" w:ascii="宋体" w:hAnsi="宋体" w:cs="Arial"/>
          <w:szCs w:val="21"/>
        </w:rPr>
        <w:t>审小组</w:t>
      </w:r>
      <w:r>
        <w:rPr>
          <w:rFonts w:ascii="宋体" w:hAnsi="宋体" w:cs="Arial"/>
          <w:szCs w:val="21"/>
        </w:rPr>
        <w:t>评审后否决所有投标的。</w:t>
      </w:r>
    </w:p>
    <w:p>
      <w:pPr>
        <w:pStyle w:val="9"/>
        <w:rPr>
          <w:rFonts w:cs="Arial"/>
          <w:sz w:val="24"/>
          <w:szCs w:val="24"/>
        </w:rPr>
      </w:pPr>
      <w:bookmarkStart w:id="123" w:name="_Toc534813004"/>
      <w:bookmarkStart w:id="124" w:name="_Toc531614626"/>
      <w:bookmarkStart w:id="125" w:name="_Toc414112642"/>
      <w:bookmarkStart w:id="126" w:name="_Toc414277154"/>
      <w:r>
        <w:rPr>
          <w:rFonts w:cs="Arial"/>
          <w:sz w:val="24"/>
          <w:szCs w:val="24"/>
        </w:rPr>
        <w:t>9. 纪律和监督</w:t>
      </w:r>
      <w:bookmarkEnd w:id="123"/>
      <w:bookmarkEnd w:id="124"/>
      <w:bookmarkEnd w:id="125"/>
      <w:bookmarkEnd w:id="126"/>
    </w:p>
    <w:p>
      <w:pPr>
        <w:pStyle w:val="10"/>
        <w:rPr>
          <w:rFonts w:ascii="Arial" w:hAnsi="Arial" w:eastAsia="黑体" w:cs="Arial"/>
          <w:sz w:val="21"/>
          <w:szCs w:val="21"/>
        </w:rPr>
      </w:pPr>
      <w:bookmarkStart w:id="127" w:name="_Toc414112643"/>
      <w:bookmarkStart w:id="128" w:name="_Toc414277155"/>
      <w:r>
        <w:rPr>
          <w:rFonts w:ascii="Arial" w:hAnsi="Arial" w:eastAsia="黑体" w:cs="Arial"/>
          <w:sz w:val="21"/>
          <w:szCs w:val="21"/>
        </w:rPr>
        <w:t>9.1 纪律要求</w:t>
      </w:r>
      <w:bookmarkEnd w:id="127"/>
      <w:bookmarkEnd w:id="128"/>
    </w:p>
    <w:p>
      <w:pPr>
        <w:spacing w:line="360" w:lineRule="auto"/>
        <w:ind w:firstLine="420" w:firstLineChars="200"/>
        <w:rPr>
          <w:rFonts w:ascii="宋体" w:hAnsi="宋体" w:cs="Arial"/>
          <w:szCs w:val="21"/>
        </w:rPr>
      </w:pPr>
      <w:r>
        <w:rPr>
          <w:rFonts w:ascii="宋体" w:hAnsi="宋体" w:cs="Arial"/>
          <w:szCs w:val="21"/>
        </w:rPr>
        <w:t>9.1.1 采购人不得泄漏采购活动中应当保密的情况和资料，不得与投标人串通损害国家利益、社会公共利益或者他人合法权益。</w:t>
      </w:r>
    </w:p>
    <w:p>
      <w:pPr>
        <w:spacing w:line="360" w:lineRule="auto"/>
        <w:ind w:firstLine="420" w:firstLineChars="200"/>
        <w:rPr>
          <w:rFonts w:ascii="宋体" w:hAnsi="宋体" w:cs="Arial"/>
          <w:szCs w:val="21"/>
        </w:rPr>
      </w:pPr>
      <w:r>
        <w:rPr>
          <w:rFonts w:ascii="宋体" w:hAnsi="宋体" w:cs="Arial"/>
          <w:szCs w:val="21"/>
        </w:rPr>
        <w:t>9.1.2 投标人不得相互串通投标或者与采购人串通投标，不得向采购人或者评审小组行贿谋取中标，不得以他人名义投标或者以其他方式弄虚作假骗取中标；投标人不得以任何方式干扰、影响评审工作。</w:t>
      </w:r>
    </w:p>
    <w:p>
      <w:pPr>
        <w:spacing w:line="360" w:lineRule="auto"/>
        <w:ind w:firstLine="420" w:firstLineChars="200"/>
        <w:rPr>
          <w:rFonts w:ascii="宋体" w:hAnsi="宋体" w:cs="Arial"/>
          <w:szCs w:val="21"/>
        </w:rPr>
      </w:pPr>
      <w:r>
        <w:rPr>
          <w:rFonts w:ascii="宋体" w:hAnsi="宋体" w:cs="Arial"/>
          <w:szCs w:val="21"/>
        </w:rPr>
        <w:t>9.1.3 评审专家应当遵守评审工作纪律、不得泄露评审情况和评审中获悉的国家秘密、商业秘密。</w:t>
      </w:r>
    </w:p>
    <w:p>
      <w:pPr>
        <w:spacing w:line="360" w:lineRule="auto"/>
        <w:ind w:firstLine="420" w:firstLineChars="200"/>
        <w:rPr>
          <w:rFonts w:ascii="宋体" w:hAnsi="宋体" w:cs="Arial"/>
          <w:szCs w:val="21"/>
        </w:rPr>
      </w:pPr>
      <w:r>
        <w:rPr>
          <w:rFonts w:ascii="宋体" w:hAnsi="宋体" w:cs="Arial"/>
          <w:szCs w:val="21"/>
        </w:rPr>
        <w:t>9.1.4 评审小组在评审过程中发现投标人有行贿、提供虚假材料或者串通等违法行为的，应当及时向财政部门报告。</w:t>
      </w:r>
    </w:p>
    <w:p>
      <w:pPr>
        <w:spacing w:line="360" w:lineRule="auto"/>
        <w:ind w:firstLine="420" w:firstLineChars="200"/>
        <w:rPr>
          <w:rFonts w:ascii="宋体" w:hAnsi="宋体" w:cs="Arial"/>
          <w:szCs w:val="21"/>
        </w:rPr>
      </w:pPr>
      <w:r>
        <w:rPr>
          <w:rFonts w:ascii="宋体" w:hAnsi="宋体" w:cs="Arial"/>
          <w:szCs w:val="21"/>
        </w:rPr>
        <w:t>9.1.5 评审专家在评审过程中受到非法干涉的，应当及时向财政、监察等部门举报。</w:t>
      </w:r>
    </w:p>
    <w:p>
      <w:pPr>
        <w:spacing w:line="360" w:lineRule="auto"/>
        <w:ind w:firstLine="420" w:firstLineChars="200"/>
        <w:rPr>
          <w:rFonts w:ascii="宋体" w:hAnsi="宋体" w:cs="Arial"/>
          <w:szCs w:val="21"/>
        </w:rPr>
      </w:pPr>
      <w:r>
        <w:rPr>
          <w:rFonts w:ascii="宋体" w:hAnsi="宋体" w:cs="Arial"/>
          <w:szCs w:val="21"/>
        </w:rPr>
        <w:t>9.1.</w:t>
      </w:r>
      <w:r>
        <w:rPr>
          <w:rFonts w:hint="eastAsia" w:ascii="宋体" w:hAnsi="宋体" w:cs="Arial"/>
          <w:szCs w:val="21"/>
        </w:rPr>
        <w:t>6</w:t>
      </w:r>
      <w:r>
        <w:rPr>
          <w:rFonts w:ascii="宋体" w:hAnsi="宋体" w:cs="Arial"/>
          <w:szCs w:val="21"/>
        </w:rPr>
        <w:t xml:space="preserve"> 与评审活动有关的工作人员不得收受他人的财物或者其他好处，不得向他人透漏获悉的国家秘密、商业秘密。在评审活动中，与评审活动有关的工作人员不得擅离职守，影响评审程序正常进行。</w:t>
      </w:r>
    </w:p>
    <w:p>
      <w:pPr>
        <w:pStyle w:val="10"/>
        <w:rPr>
          <w:rFonts w:ascii="Arial" w:hAnsi="Arial" w:eastAsia="黑体" w:cs="Arial"/>
          <w:sz w:val="21"/>
          <w:szCs w:val="21"/>
        </w:rPr>
      </w:pPr>
      <w:bookmarkStart w:id="129" w:name="_Toc414277159"/>
      <w:bookmarkStart w:id="130" w:name="_Toc414112647"/>
      <w:r>
        <w:rPr>
          <w:rFonts w:ascii="Arial" w:hAnsi="Arial" w:eastAsia="黑体" w:cs="Arial"/>
          <w:sz w:val="21"/>
          <w:szCs w:val="21"/>
        </w:rPr>
        <w:t xml:space="preserve">9.2 </w:t>
      </w:r>
      <w:r>
        <w:rPr>
          <w:rFonts w:hint="eastAsia" w:ascii="Arial" w:hAnsi="Arial" w:eastAsia="黑体" w:cs="Arial"/>
          <w:sz w:val="21"/>
          <w:szCs w:val="21"/>
        </w:rPr>
        <w:t>质疑、</w:t>
      </w:r>
      <w:r>
        <w:rPr>
          <w:rFonts w:ascii="Arial" w:hAnsi="Arial" w:eastAsia="黑体" w:cs="Arial"/>
          <w:sz w:val="21"/>
          <w:szCs w:val="21"/>
        </w:rPr>
        <w:t>投诉</w:t>
      </w:r>
      <w:bookmarkEnd w:id="129"/>
      <w:bookmarkEnd w:id="130"/>
      <w:r>
        <w:rPr>
          <w:rFonts w:hint="eastAsia" w:ascii="Arial" w:hAnsi="Arial" w:eastAsia="黑体" w:cs="Arial"/>
          <w:sz w:val="21"/>
          <w:szCs w:val="21"/>
        </w:rPr>
        <w:t>处理</w:t>
      </w:r>
    </w:p>
    <w:p>
      <w:pPr>
        <w:spacing w:line="360" w:lineRule="auto"/>
        <w:ind w:firstLine="420" w:firstLineChars="200"/>
        <w:rPr>
          <w:rFonts w:ascii="宋体" w:hAnsi="宋体" w:cs="Arial"/>
          <w:szCs w:val="21"/>
        </w:rPr>
      </w:pPr>
      <w:r>
        <w:rPr>
          <w:rFonts w:ascii="宋体" w:hAnsi="宋体" w:cs="Arial"/>
          <w:szCs w:val="21"/>
        </w:rPr>
        <w:t>参加PPP项目采购活动的投标人对本次采购活动的询问、质疑和投诉，依照有关政府采购法律制度规定执行。</w:t>
      </w:r>
    </w:p>
    <w:p>
      <w:pPr>
        <w:pStyle w:val="9"/>
        <w:rPr>
          <w:rFonts w:cs="Arial"/>
          <w:sz w:val="24"/>
          <w:szCs w:val="24"/>
        </w:rPr>
      </w:pPr>
      <w:bookmarkStart w:id="131" w:name="_Toc531614627"/>
      <w:bookmarkStart w:id="132" w:name="_Toc534813005"/>
      <w:r>
        <w:rPr>
          <w:rFonts w:hint="eastAsia" w:cs="Arial"/>
          <w:sz w:val="24"/>
          <w:szCs w:val="24"/>
        </w:rPr>
        <w:t>10. 政府采购政策</w:t>
      </w:r>
      <w:bookmarkEnd w:id="131"/>
      <w:bookmarkEnd w:id="132"/>
    </w:p>
    <w:p>
      <w:pPr>
        <w:spacing w:line="360" w:lineRule="auto"/>
        <w:ind w:firstLine="420" w:firstLineChars="200"/>
        <w:rPr>
          <w:rFonts w:ascii="宋体" w:hAnsi="宋体" w:cs="Arial"/>
          <w:szCs w:val="21"/>
        </w:rPr>
      </w:pPr>
      <w:r>
        <w:rPr>
          <w:rFonts w:ascii="宋体" w:hAnsi="宋体" w:cs="Arial"/>
          <w:szCs w:val="21"/>
        </w:rPr>
        <w:t>政府采购应当有助于实现国家的经济和</w:t>
      </w:r>
      <w:r>
        <w:fldChar w:fldCharType="begin"/>
      </w:r>
      <w:r>
        <w:instrText xml:space="preserve"> HYPERLINK "http://baike.baidu.com/view/391473.htm" \t "_blank" </w:instrText>
      </w:r>
      <w:r>
        <w:fldChar w:fldCharType="separate"/>
      </w:r>
      <w:r>
        <w:rPr>
          <w:rFonts w:ascii="宋体" w:hAnsi="宋体" w:cs="Arial"/>
          <w:szCs w:val="21"/>
        </w:rPr>
        <w:t>社会发展</w:t>
      </w:r>
      <w:r>
        <w:rPr>
          <w:rFonts w:ascii="宋体" w:hAnsi="宋体" w:cs="Arial"/>
          <w:szCs w:val="21"/>
        </w:rPr>
        <w:fldChar w:fldCharType="end"/>
      </w:r>
      <w:r>
        <w:rPr>
          <w:rFonts w:ascii="宋体" w:hAnsi="宋体" w:cs="Arial"/>
          <w:szCs w:val="21"/>
        </w:rPr>
        <w:t>政策目标，包括保护环境，扶持不发达地区和少数民族地区，促进中小企业发展等。政府采购应当采购本国货物、工程和服务。但有下列情形之一的除外：</w:t>
      </w:r>
    </w:p>
    <w:p>
      <w:pPr>
        <w:spacing w:line="360" w:lineRule="auto"/>
        <w:ind w:firstLine="420" w:firstLineChars="200"/>
        <w:rPr>
          <w:rFonts w:ascii="宋体" w:hAnsi="宋体" w:cs="Arial"/>
          <w:szCs w:val="21"/>
        </w:rPr>
      </w:pPr>
      <w:r>
        <w:rPr>
          <w:rFonts w:ascii="宋体" w:hAnsi="宋体" w:cs="Arial"/>
          <w:szCs w:val="21"/>
        </w:rPr>
        <w:t>（</w:t>
      </w:r>
      <w:r>
        <w:rPr>
          <w:rFonts w:hint="eastAsia" w:ascii="宋体" w:hAnsi="宋体" w:cs="Arial"/>
          <w:szCs w:val="21"/>
        </w:rPr>
        <w:t>1</w:t>
      </w:r>
      <w:r>
        <w:rPr>
          <w:rFonts w:ascii="宋体" w:hAnsi="宋体" w:cs="Arial"/>
          <w:szCs w:val="21"/>
        </w:rPr>
        <w:t>）需要采购的货物、工程或者服务在中国境内无法获取或者无法以合理的商业条件获取的；</w:t>
      </w:r>
    </w:p>
    <w:p>
      <w:pPr>
        <w:spacing w:line="360" w:lineRule="auto"/>
        <w:ind w:firstLine="420" w:firstLineChars="200"/>
        <w:rPr>
          <w:rFonts w:ascii="宋体" w:hAnsi="宋体" w:cs="Arial"/>
          <w:szCs w:val="21"/>
        </w:rPr>
      </w:pPr>
      <w:r>
        <w:rPr>
          <w:rFonts w:ascii="宋体" w:hAnsi="宋体" w:cs="Arial"/>
          <w:szCs w:val="21"/>
        </w:rPr>
        <w:t>（</w:t>
      </w:r>
      <w:r>
        <w:rPr>
          <w:rFonts w:hint="eastAsia" w:ascii="宋体" w:hAnsi="宋体" w:cs="Arial"/>
          <w:szCs w:val="21"/>
        </w:rPr>
        <w:t>2</w:t>
      </w:r>
      <w:r>
        <w:rPr>
          <w:rFonts w:ascii="宋体" w:hAnsi="宋体" w:cs="Arial"/>
          <w:szCs w:val="21"/>
        </w:rPr>
        <w:t>）为在中国境外使用而进行采购的；</w:t>
      </w:r>
    </w:p>
    <w:p>
      <w:pPr>
        <w:spacing w:line="360" w:lineRule="auto"/>
        <w:ind w:firstLine="420" w:firstLineChars="200"/>
        <w:rPr>
          <w:rFonts w:ascii="宋体" w:hAnsi="宋体" w:cs="Arial"/>
          <w:szCs w:val="21"/>
        </w:rPr>
      </w:pPr>
      <w:r>
        <w:rPr>
          <w:rFonts w:ascii="宋体" w:hAnsi="宋体" w:cs="Arial"/>
          <w:szCs w:val="21"/>
        </w:rPr>
        <w:t>（</w:t>
      </w:r>
      <w:r>
        <w:rPr>
          <w:rFonts w:hint="eastAsia" w:ascii="宋体" w:hAnsi="宋体" w:cs="Arial"/>
          <w:szCs w:val="21"/>
        </w:rPr>
        <w:t>3</w:t>
      </w:r>
      <w:r>
        <w:rPr>
          <w:rFonts w:ascii="宋体" w:hAnsi="宋体" w:cs="Arial"/>
          <w:szCs w:val="21"/>
        </w:rPr>
        <w:t>）其他法律、行政法规另有规定的。</w:t>
      </w:r>
    </w:p>
    <w:p>
      <w:pPr>
        <w:spacing w:line="360" w:lineRule="auto"/>
        <w:ind w:firstLine="420" w:firstLineChars="200"/>
        <w:rPr>
          <w:rFonts w:ascii="宋体" w:hAnsi="宋体" w:cs="Arial"/>
          <w:szCs w:val="21"/>
        </w:rPr>
      </w:pPr>
      <w:r>
        <w:rPr>
          <w:rFonts w:hint="eastAsia" w:ascii="宋体" w:hAnsi="宋体" w:cs="Arial"/>
          <w:szCs w:val="21"/>
        </w:rPr>
        <w:t>上述</w:t>
      </w:r>
      <w:r>
        <w:rPr>
          <w:rFonts w:ascii="宋体" w:hAnsi="宋体" w:cs="Arial"/>
          <w:szCs w:val="21"/>
        </w:rPr>
        <w:t>本国货物、工程和服务的界定，依照国务院有关规定执行。</w:t>
      </w:r>
    </w:p>
    <w:p>
      <w:pPr>
        <w:pStyle w:val="9"/>
        <w:rPr>
          <w:rFonts w:cs="Arial"/>
          <w:sz w:val="24"/>
          <w:szCs w:val="24"/>
        </w:rPr>
      </w:pPr>
      <w:bookmarkStart w:id="133" w:name="_Toc414112648"/>
      <w:bookmarkStart w:id="134" w:name="_Toc414277160"/>
      <w:bookmarkStart w:id="135" w:name="_Toc531614628"/>
      <w:bookmarkStart w:id="136" w:name="_Toc534813006"/>
      <w:r>
        <w:rPr>
          <w:rFonts w:cs="Arial"/>
          <w:sz w:val="24"/>
          <w:szCs w:val="24"/>
        </w:rPr>
        <w:t>1</w:t>
      </w:r>
      <w:r>
        <w:rPr>
          <w:rFonts w:hint="eastAsia" w:cs="Arial"/>
          <w:sz w:val="24"/>
          <w:szCs w:val="24"/>
        </w:rPr>
        <w:t>1</w:t>
      </w:r>
      <w:r>
        <w:rPr>
          <w:rFonts w:cs="Arial"/>
          <w:sz w:val="24"/>
          <w:szCs w:val="24"/>
        </w:rPr>
        <w:t>. 需要补充的其他内容</w:t>
      </w:r>
      <w:bookmarkEnd w:id="133"/>
      <w:bookmarkEnd w:id="134"/>
      <w:bookmarkEnd w:id="135"/>
      <w:bookmarkEnd w:id="136"/>
    </w:p>
    <w:p>
      <w:pPr>
        <w:spacing w:line="400" w:lineRule="exact"/>
        <w:ind w:firstLine="420" w:firstLineChars="200"/>
        <w:rPr>
          <w:rFonts w:ascii="Arial" w:hAnsi="Arial" w:cs="Arial"/>
          <w:szCs w:val="21"/>
        </w:rPr>
      </w:pPr>
      <w:r>
        <w:rPr>
          <w:rFonts w:ascii="Arial" w:hAnsi="Arial" w:cs="Arial"/>
          <w:szCs w:val="21"/>
        </w:rPr>
        <w:t>需要补充的其他内容：见投标人须知前附表。</w:t>
      </w:r>
      <w:bookmarkEnd w:id="9"/>
      <w:bookmarkEnd w:id="10"/>
      <w:bookmarkEnd w:id="11"/>
    </w:p>
    <w:p>
      <w:pPr>
        <w:rPr>
          <w:rFonts w:ascii="Arial" w:hAnsi="Arial" w:cs="Arial"/>
          <w:sz w:val="20"/>
          <w:szCs w:val="20"/>
        </w:rPr>
      </w:pPr>
      <w:r>
        <w:rPr>
          <w:rFonts w:ascii="Arial" w:hAnsi="Arial" w:cs="Arial"/>
          <w:sz w:val="24"/>
        </w:rPr>
        <w:br w:type="page"/>
      </w:r>
      <w:bookmarkStart w:id="137" w:name="_Toc414277172"/>
    </w:p>
    <w:p>
      <w:pPr>
        <w:pStyle w:val="7"/>
        <w:jc w:val="center"/>
      </w:pPr>
      <w:bookmarkStart w:id="138" w:name="_Toc531614629"/>
      <w:bookmarkStart w:id="139" w:name="_Toc534813007"/>
      <w:r>
        <w:rPr>
          <w:rFonts w:ascii="Arial" w:hAnsi="Arial" w:cs="Arial"/>
        </w:rPr>
        <w:t>第</w:t>
      </w:r>
      <w:r>
        <w:rPr>
          <w:rFonts w:hint="eastAsia" w:ascii="Arial" w:hAnsi="Arial" w:cs="Arial"/>
        </w:rPr>
        <w:t>三章</w:t>
      </w:r>
      <w:bookmarkEnd w:id="137"/>
      <w:r>
        <w:rPr>
          <w:rFonts w:hint="eastAsia"/>
        </w:rPr>
        <w:t>PPP项目</w:t>
      </w:r>
      <w:r>
        <w:t>合同</w:t>
      </w:r>
      <w:r>
        <w:rPr>
          <w:rFonts w:hint="eastAsia"/>
        </w:rPr>
        <w:t>（</w:t>
      </w:r>
      <w:bookmarkStart w:id="140" w:name="_Toc418525047"/>
      <w:r>
        <w:rPr>
          <w:rFonts w:hint="eastAsia"/>
        </w:rPr>
        <w:t>草案）</w:t>
      </w:r>
      <w:bookmarkEnd w:id="138"/>
      <w:bookmarkEnd w:id="139"/>
    </w:p>
    <w:bookmarkEnd w:id="140"/>
    <w:p>
      <w:pPr>
        <w:rPr>
          <w:rFonts w:ascii="宋体" w:hAnsi="宋体"/>
          <w:sz w:val="18"/>
          <w:szCs w:val="18"/>
        </w:rPr>
      </w:pPr>
      <w:bookmarkStart w:id="141" w:name="_Toc144974855"/>
      <w:bookmarkStart w:id="142" w:name="_Toc152042575"/>
      <w:bookmarkStart w:id="143" w:name="_Toc152045786"/>
    </w:p>
    <w:p>
      <w:pPr>
        <w:widowControl/>
        <w:spacing w:line="360" w:lineRule="auto"/>
        <w:ind w:firstLine="480" w:firstLineChars="200"/>
        <w:rPr>
          <w:sz w:val="24"/>
          <w:szCs w:val="22"/>
        </w:rPr>
      </w:pPr>
      <w:r>
        <w:rPr>
          <w:sz w:val="24"/>
          <w:szCs w:val="22"/>
        </w:rPr>
        <w:t>本项目采用PPP模式，中标通知发出后30日内，将由采购人与中标人先行草签《禹州市绿色铸造园区与陶瓷园区污水处理厂PPP项目</w:t>
      </w:r>
      <w:r>
        <w:rPr>
          <w:rFonts w:hint="eastAsia"/>
          <w:sz w:val="24"/>
          <w:szCs w:val="22"/>
        </w:rPr>
        <w:t>合同</w:t>
      </w:r>
      <w:r>
        <w:rPr>
          <w:sz w:val="24"/>
          <w:szCs w:val="22"/>
        </w:rPr>
        <w:t>》，（以下简称“PPP项目合同”），待中标人依法成立项目公司后，再由采购人与项目公司正式签署《禹州市绿色铸造园区与陶瓷园区污水处理厂PPP项目</w:t>
      </w:r>
      <w:r>
        <w:rPr>
          <w:rFonts w:hint="eastAsia"/>
          <w:sz w:val="24"/>
          <w:szCs w:val="22"/>
        </w:rPr>
        <w:t>合同</w:t>
      </w:r>
      <w:r>
        <w:rPr>
          <w:sz w:val="24"/>
          <w:szCs w:val="22"/>
        </w:rPr>
        <w:t>》。</w:t>
      </w:r>
    </w:p>
    <w:p>
      <w:pPr>
        <w:widowControl/>
        <w:spacing w:line="360" w:lineRule="auto"/>
        <w:ind w:firstLine="480" w:firstLineChars="200"/>
        <w:rPr>
          <w:rFonts w:ascii="宋体" w:hAnsi="宋体" w:cs="宋体"/>
          <w:sz w:val="32"/>
          <w:szCs w:val="32"/>
        </w:rPr>
      </w:pPr>
      <w:r>
        <w:rPr>
          <w:sz w:val="24"/>
          <w:szCs w:val="22"/>
        </w:rPr>
        <w:br w:type="page"/>
      </w:r>
    </w:p>
    <w:p>
      <w:pPr>
        <w:jc w:val="center"/>
        <w:rPr>
          <w:b/>
          <w:sz w:val="52"/>
          <w:szCs w:val="72"/>
        </w:rPr>
      </w:pPr>
    </w:p>
    <w:p>
      <w:pPr>
        <w:shd w:val="clear" w:color="000000" w:fill="auto"/>
        <w:tabs>
          <w:tab w:val="left" w:pos="74"/>
          <w:tab w:val="center" w:pos="4485"/>
        </w:tabs>
        <w:spacing w:beforeLines="10" w:afterLines="10" w:line="360" w:lineRule="auto"/>
        <w:jc w:val="center"/>
        <w:rPr>
          <w:b/>
          <w:spacing w:val="2"/>
          <w:sz w:val="40"/>
          <w:szCs w:val="40"/>
        </w:rPr>
      </w:pPr>
      <w:r>
        <w:rPr>
          <w:b/>
          <w:spacing w:val="2"/>
          <w:sz w:val="40"/>
          <w:szCs w:val="40"/>
        </w:rPr>
        <w:t>目     录</w:t>
      </w:r>
    </w:p>
    <w:p>
      <w:pPr>
        <w:pStyle w:val="33"/>
        <w:tabs>
          <w:tab w:val="left" w:pos="960"/>
          <w:tab w:val="right" w:leader="dot" w:pos="8494"/>
        </w:tabs>
        <w:rPr>
          <w:rFonts w:asciiTheme="minorHAnsi" w:hAnsiTheme="minorHAnsi" w:eastAsiaTheme="minorEastAsia" w:cstheme="minorBidi"/>
        </w:rPr>
      </w:pPr>
      <w:r>
        <w:rPr>
          <w:spacing w:val="2"/>
          <w:sz w:val="40"/>
          <w:szCs w:val="40"/>
        </w:rPr>
        <w:fldChar w:fldCharType="begin"/>
      </w:r>
      <w:r>
        <w:rPr>
          <w:spacing w:val="2"/>
          <w:sz w:val="40"/>
          <w:szCs w:val="40"/>
        </w:rPr>
        <w:instrText xml:space="preserve"> TOC \o "1-1" \h \z \u </w:instrText>
      </w:r>
      <w:r>
        <w:rPr>
          <w:spacing w:val="2"/>
          <w:sz w:val="40"/>
          <w:szCs w:val="40"/>
        </w:rPr>
        <w:fldChar w:fldCharType="separate"/>
      </w:r>
      <w:r>
        <w:fldChar w:fldCharType="begin"/>
      </w:r>
      <w:r>
        <w:instrText xml:space="preserve"> HYPERLINK \l "_Toc534891104" </w:instrText>
      </w:r>
      <w:r>
        <w:fldChar w:fldCharType="separate"/>
      </w:r>
      <w:r>
        <w:rPr>
          <w:rStyle w:val="49"/>
          <w:rFonts w:hint="eastAsia" w:ascii="宋体" w:hAnsi="宋体"/>
          <w:color w:val="auto"/>
        </w:rPr>
        <w:t>第1条</w:t>
      </w:r>
      <w:r>
        <w:rPr>
          <w:rFonts w:asciiTheme="minorHAnsi" w:hAnsiTheme="minorHAnsi" w:eastAsiaTheme="minorEastAsia" w:cstheme="minorBidi"/>
        </w:rPr>
        <w:tab/>
      </w:r>
      <w:r>
        <w:rPr>
          <w:rStyle w:val="49"/>
          <w:rFonts w:hint="eastAsia"/>
          <w:color w:val="auto"/>
        </w:rPr>
        <w:t>总则</w:t>
      </w:r>
      <w:r>
        <w:tab/>
      </w:r>
      <w:r>
        <w:fldChar w:fldCharType="begin"/>
      </w:r>
      <w:r>
        <w:instrText xml:space="preserve"> PAGEREF _Toc534891104 \h </w:instrText>
      </w:r>
      <w:r>
        <w:fldChar w:fldCharType="separate"/>
      </w:r>
      <w:r>
        <w:t>2</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"_Toc534891105" </w:instrText>
      </w:r>
      <w:r>
        <w:fldChar w:fldCharType="separate"/>
      </w:r>
      <w:r>
        <w:rPr>
          <w:rStyle w:val="49"/>
          <w:rFonts w:hint="eastAsia" w:ascii="宋体" w:hAnsi="宋体"/>
          <w:color w:val="auto"/>
        </w:rPr>
        <w:t>第2条</w:t>
      </w:r>
      <w:r>
        <w:rPr>
          <w:rFonts w:asciiTheme="minorHAnsi" w:hAnsiTheme="minorHAnsi" w:eastAsiaTheme="minorEastAsia" w:cstheme="minorBidi"/>
        </w:rPr>
        <w:tab/>
      </w:r>
      <w:r>
        <w:rPr>
          <w:rStyle w:val="49"/>
          <w:rFonts w:hint="eastAsia"/>
          <w:color w:val="auto"/>
        </w:rPr>
        <w:t>声明与保证</w:t>
      </w:r>
      <w:r>
        <w:tab/>
      </w:r>
      <w:r>
        <w:fldChar w:fldCharType="begin"/>
      </w:r>
      <w:r>
        <w:instrText xml:space="preserve"> PAGEREF _Toc534891105 \h </w:instrText>
      </w:r>
      <w:r>
        <w:fldChar w:fldCharType="separate"/>
      </w:r>
      <w:r>
        <w:t>6</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"_Toc534891106" </w:instrText>
      </w:r>
      <w:r>
        <w:fldChar w:fldCharType="separate"/>
      </w:r>
      <w:r>
        <w:rPr>
          <w:rStyle w:val="49"/>
          <w:rFonts w:hint="eastAsia" w:ascii="宋体" w:hAnsi="宋体"/>
          <w:color w:val="auto"/>
          <w:kern w:val="0"/>
        </w:rPr>
        <w:t>第3条</w:t>
      </w:r>
      <w:r>
        <w:rPr>
          <w:rFonts w:asciiTheme="minorHAnsi" w:hAnsiTheme="minorHAnsi" w:eastAsiaTheme="minorEastAsia" w:cstheme="minorBidi"/>
        </w:rPr>
        <w:tab/>
      </w:r>
      <w:r>
        <w:rPr>
          <w:rStyle w:val="49"/>
          <w:rFonts w:hint="eastAsia"/>
          <w:color w:val="auto"/>
          <w:kern w:val="0"/>
        </w:rPr>
        <w:t>项目概况</w:t>
      </w:r>
      <w:r>
        <w:tab/>
      </w:r>
      <w:r>
        <w:fldChar w:fldCharType="begin"/>
      </w:r>
      <w:r>
        <w:instrText xml:space="preserve"> PAGEREF _Toc534891106 \h </w:instrText>
      </w:r>
      <w:r>
        <w:fldChar w:fldCharType="separate"/>
      </w:r>
      <w:r>
        <w:t>7</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"_Toc534891107" </w:instrText>
      </w:r>
      <w:r>
        <w:fldChar w:fldCharType="separate"/>
      </w:r>
      <w:r>
        <w:rPr>
          <w:rStyle w:val="49"/>
          <w:rFonts w:hint="eastAsia" w:ascii="宋体" w:hAnsi="宋体"/>
          <w:color w:val="auto"/>
        </w:rPr>
        <w:t>第4条</w:t>
      </w:r>
      <w:r>
        <w:rPr>
          <w:rFonts w:asciiTheme="minorHAnsi" w:hAnsiTheme="minorHAnsi" w:eastAsiaTheme="minorEastAsia" w:cstheme="minorBidi"/>
        </w:rPr>
        <w:tab/>
      </w:r>
      <w:r>
        <w:rPr>
          <w:rStyle w:val="49"/>
          <w:rFonts w:hint="eastAsia"/>
          <w:color w:val="auto"/>
        </w:rPr>
        <w:t>项目公司设立及融资交割</w:t>
      </w:r>
      <w:r>
        <w:tab/>
      </w:r>
      <w:r>
        <w:fldChar w:fldCharType="begin"/>
      </w:r>
      <w:r>
        <w:instrText xml:space="preserve"> PAGEREF _Toc534891107 \h </w:instrText>
      </w:r>
      <w:r>
        <w:fldChar w:fldCharType="separate"/>
      </w:r>
      <w:r>
        <w:t>9</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"_Toc534891108" </w:instrText>
      </w:r>
      <w:r>
        <w:fldChar w:fldCharType="separate"/>
      </w:r>
      <w:r>
        <w:rPr>
          <w:rStyle w:val="49"/>
          <w:rFonts w:hint="eastAsia" w:ascii="宋体" w:hAnsi="宋体"/>
          <w:color w:val="auto"/>
        </w:rPr>
        <w:t>第5条</w:t>
      </w:r>
      <w:r>
        <w:rPr>
          <w:rFonts w:asciiTheme="minorHAnsi" w:hAnsiTheme="minorHAnsi" w:eastAsiaTheme="minorEastAsia" w:cstheme="minorBidi"/>
        </w:rPr>
        <w:tab/>
      </w:r>
      <w:r>
        <w:rPr>
          <w:rStyle w:val="49"/>
          <w:rFonts w:hint="eastAsia"/>
          <w:color w:val="auto"/>
        </w:rPr>
        <w:t>双方的权利和义务</w:t>
      </w:r>
      <w:r>
        <w:tab/>
      </w:r>
      <w:r>
        <w:fldChar w:fldCharType="begin"/>
      </w:r>
      <w:r>
        <w:instrText xml:space="preserve"> PAGEREF _Toc534891108 \h </w:instrText>
      </w:r>
      <w:r>
        <w:fldChar w:fldCharType="separate"/>
      </w:r>
      <w:r>
        <w:t>10</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"_Toc534891109" </w:instrText>
      </w:r>
      <w:r>
        <w:fldChar w:fldCharType="separate"/>
      </w:r>
      <w:r>
        <w:rPr>
          <w:rStyle w:val="49"/>
          <w:rFonts w:hint="eastAsia" w:ascii="宋体" w:hAnsi="宋体"/>
          <w:color w:val="auto"/>
        </w:rPr>
        <w:t>第6条</w:t>
      </w:r>
      <w:r>
        <w:rPr>
          <w:rFonts w:asciiTheme="minorHAnsi" w:hAnsiTheme="minorHAnsi" w:eastAsiaTheme="minorEastAsia" w:cstheme="minorBidi"/>
        </w:rPr>
        <w:tab/>
      </w:r>
      <w:r>
        <w:rPr>
          <w:rStyle w:val="49"/>
          <w:rFonts w:hint="eastAsia"/>
          <w:color w:val="auto"/>
        </w:rPr>
        <w:t>经营权、收益权和合作期</w:t>
      </w:r>
      <w:r>
        <w:tab/>
      </w:r>
      <w:r>
        <w:fldChar w:fldCharType="begin"/>
      </w:r>
      <w:r>
        <w:instrText xml:space="preserve"> PAGEREF _Toc534891109 \h </w:instrText>
      </w:r>
      <w:r>
        <w:fldChar w:fldCharType="separate"/>
      </w:r>
      <w:r>
        <w:t>15</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"_Toc534891110" </w:instrText>
      </w:r>
      <w:r>
        <w:fldChar w:fldCharType="separate"/>
      </w:r>
      <w:r>
        <w:rPr>
          <w:rStyle w:val="49"/>
          <w:rFonts w:hint="eastAsia" w:ascii="宋体" w:hAnsi="宋体"/>
          <w:color w:val="auto"/>
        </w:rPr>
        <w:t>第7条</w:t>
      </w:r>
      <w:r>
        <w:rPr>
          <w:rFonts w:asciiTheme="minorHAnsi" w:hAnsiTheme="minorHAnsi" w:eastAsiaTheme="minorEastAsia" w:cstheme="minorBidi"/>
        </w:rPr>
        <w:tab/>
      </w:r>
      <w:r>
        <w:rPr>
          <w:rStyle w:val="49"/>
          <w:rFonts w:hint="eastAsia"/>
          <w:color w:val="auto"/>
        </w:rPr>
        <w:t>前期工作</w:t>
      </w:r>
      <w:r>
        <w:rPr>
          <w:rStyle w:val="49"/>
          <w:rFonts w:hint="eastAsia" w:ascii="宋体" w:hAnsi="宋体"/>
          <w:color w:val="auto"/>
        </w:rPr>
        <w:t>★</w:t>
      </w:r>
      <w:r>
        <w:tab/>
      </w:r>
      <w:r>
        <w:fldChar w:fldCharType="begin"/>
      </w:r>
      <w:r>
        <w:instrText xml:space="preserve"> PAGEREF _Toc534891110 \h </w:instrText>
      </w:r>
      <w:r>
        <w:fldChar w:fldCharType="separate"/>
      </w:r>
      <w:r>
        <w:t>17</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"_Toc534891111" </w:instrText>
      </w:r>
      <w:r>
        <w:fldChar w:fldCharType="separate"/>
      </w:r>
      <w:r>
        <w:rPr>
          <w:rStyle w:val="49"/>
          <w:rFonts w:hint="eastAsia" w:ascii="宋体" w:hAnsi="宋体"/>
          <w:color w:val="auto"/>
        </w:rPr>
        <w:t>第8条</w:t>
      </w:r>
      <w:r>
        <w:rPr>
          <w:rFonts w:asciiTheme="minorHAnsi" w:hAnsiTheme="minorHAnsi" w:eastAsiaTheme="minorEastAsia" w:cstheme="minorBidi"/>
        </w:rPr>
        <w:tab/>
      </w:r>
      <w:r>
        <w:rPr>
          <w:rStyle w:val="49"/>
          <w:rFonts w:hint="eastAsia"/>
          <w:color w:val="auto"/>
        </w:rPr>
        <w:t>项目征地拆迁和建设用地</w:t>
      </w:r>
      <w:r>
        <w:tab/>
      </w:r>
      <w:r>
        <w:fldChar w:fldCharType="begin"/>
      </w:r>
      <w:r>
        <w:instrText xml:space="preserve"> PAGEREF _Toc534891111 \h </w:instrText>
      </w:r>
      <w:r>
        <w:fldChar w:fldCharType="separate"/>
      </w:r>
      <w:r>
        <w:t>18</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"_Toc534891112" </w:instrText>
      </w:r>
      <w:r>
        <w:fldChar w:fldCharType="separate"/>
      </w:r>
      <w:r>
        <w:rPr>
          <w:rStyle w:val="49"/>
          <w:rFonts w:hint="eastAsia" w:ascii="宋体" w:hAnsi="宋体"/>
          <w:color w:val="auto"/>
        </w:rPr>
        <w:t>第9条</w:t>
      </w:r>
      <w:r>
        <w:rPr>
          <w:rFonts w:asciiTheme="minorHAnsi" w:hAnsiTheme="minorHAnsi" w:eastAsiaTheme="minorEastAsia" w:cstheme="minorBidi"/>
        </w:rPr>
        <w:tab/>
      </w:r>
      <w:r>
        <w:rPr>
          <w:rStyle w:val="49"/>
          <w:rFonts w:hint="eastAsia"/>
          <w:color w:val="auto"/>
        </w:rPr>
        <w:t>项目的建设</w:t>
      </w:r>
      <w:r>
        <w:tab/>
      </w:r>
      <w:r>
        <w:fldChar w:fldCharType="begin"/>
      </w:r>
      <w:r>
        <w:instrText xml:space="preserve"> PAGEREF _Toc534891112 \h </w:instrText>
      </w:r>
      <w:r>
        <w:fldChar w:fldCharType="separate"/>
      </w:r>
      <w:r>
        <w:t>19</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"_Toc534891113" </w:instrText>
      </w:r>
      <w:r>
        <w:fldChar w:fldCharType="separate"/>
      </w:r>
      <w:r>
        <w:rPr>
          <w:rStyle w:val="49"/>
          <w:rFonts w:hint="eastAsia" w:ascii="宋体" w:hAnsi="宋体"/>
          <w:color w:val="auto"/>
        </w:rPr>
        <w:t>第10条</w:t>
      </w:r>
      <w:r>
        <w:rPr>
          <w:rFonts w:asciiTheme="minorHAnsi" w:hAnsiTheme="minorHAnsi" w:eastAsiaTheme="minorEastAsia" w:cstheme="minorBidi"/>
        </w:rPr>
        <w:tab/>
      </w:r>
      <w:r>
        <w:rPr>
          <w:rStyle w:val="49"/>
          <w:rFonts w:hint="eastAsia"/>
          <w:color w:val="auto"/>
        </w:rPr>
        <w:t>项目的运营维护</w:t>
      </w:r>
      <w:r>
        <w:tab/>
      </w:r>
      <w:r>
        <w:fldChar w:fldCharType="begin"/>
      </w:r>
      <w:r>
        <w:instrText xml:space="preserve"> PAGEREF _Toc534891113 \h </w:instrText>
      </w:r>
      <w:r>
        <w:fldChar w:fldCharType="separate"/>
      </w:r>
      <w:r>
        <w:t>33</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"_Toc534891114" </w:instrText>
      </w:r>
      <w:r>
        <w:fldChar w:fldCharType="separate"/>
      </w:r>
      <w:r>
        <w:rPr>
          <w:rStyle w:val="49"/>
          <w:rFonts w:hint="eastAsia" w:ascii="宋体" w:hAnsi="宋体"/>
          <w:color w:val="auto"/>
        </w:rPr>
        <w:t>第11条</w:t>
      </w:r>
      <w:r>
        <w:rPr>
          <w:rFonts w:asciiTheme="minorHAnsi" w:hAnsiTheme="minorHAnsi" w:eastAsiaTheme="minorEastAsia" w:cstheme="minorBidi"/>
        </w:rPr>
        <w:tab/>
      </w:r>
      <w:r>
        <w:rPr>
          <w:rStyle w:val="49"/>
          <w:rFonts w:hint="eastAsia"/>
          <w:color w:val="auto"/>
        </w:rPr>
        <w:t>污水厂水质质量标准和检测机制</w:t>
      </w:r>
      <w:r>
        <w:rPr>
          <w:rStyle w:val="49"/>
          <w:rFonts w:hint="eastAsia" w:ascii="宋体" w:hAnsi="宋体"/>
          <w:color w:val="auto"/>
        </w:rPr>
        <w:t>★</w:t>
      </w:r>
      <w:r>
        <w:tab/>
      </w:r>
      <w:r>
        <w:fldChar w:fldCharType="begin"/>
      </w:r>
      <w:r>
        <w:instrText xml:space="preserve"> PAGEREF _Toc534891114 \h </w:instrText>
      </w:r>
      <w:r>
        <w:fldChar w:fldCharType="separate"/>
      </w:r>
      <w:r>
        <w:t>40</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"_Toc534891115" </w:instrText>
      </w:r>
      <w:r>
        <w:fldChar w:fldCharType="separate"/>
      </w:r>
      <w:r>
        <w:rPr>
          <w:rStyle w:val="49"/>
          <w:rFonts w:hint="eastAsia" w:ascii="宋体" w:hAnsi="宋体"/>
          <w:color w:val="auto"/>
        </w:rPr>
        <w:t>第12条</w:t>
      </w:r>
      <w:r>
        <w:rPr>
          <w:rFonts w:asciiTheme="minorHAnsi" w:hAnsiTheme="minorHAnsi" w:eastAsiaTheme="minorEastAsia" w:cstheme="minorBidi"/>
        </w:rPr>
        <w:tab/>
      </w:r>
      <w:r>
        <w:rPr>
          <w:rStyle w:val="49"/>
          <w:rFonts w:hint="eastAsia"/>
          <w:color w:val="auto"/>
        </w:rPr>
        <w:t>水量、水价和污水处理服务费</w:t>
      </w:r>
      <w:r>
        <w:rPr>
          <w:rStyle w:val="49"/>
          <w:rFonts w:hint="eastAsia" w:ascii="宋体" w:hAnsi="宋体"/>
          <w:color w:val="auto"/>
        </w:rPr>
        <w:t>★</w:t>
      </w:r>
      <w:r>
        <w:tab/>
      </w:r>
      <w:r>
        <w:fldChar w:fldCharType="begin"/>
      </w:r>
      <w:r>
        <w:instrText xml:space="preserve"> PAGEREF _Toc534891115 \h </w:instrText>
      </w:r>
      <w:r>
        <w:fldChar w:fldCharType="separate"/>
      </w:r>
      <w:r>
        <w:t>44</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"_Toc534891116" </w:instrText>
      </w:r>
      <w:r>
        <w:fldChar w:fldCharType="separate"/>
      </w:r>
      <w:r>
        <w:rPr>
          <w:rStyle w:val="49"/>
          <w:rFonts w:hint="eastAsia" w:ascii="宋体" w:hAnsi="宋体"/>
          <w:color w:val="auto"/>
        </w:rPr>
        <w:t>第13条</w:t>
      </w:r>
      <w:r>
        <w:rPr>
          <w:rFonts w:asciiTheme="minorHAnsi" w:hAnsiTheme="minorHAnsi" w:eastAsiaTheme="minorEastAsia" w:cstheme="minorBidi"/>
        </w:rPr>
        <w:tab/>
      </w:r>
      <w:r>
        <w:rPr>
          <w:rStyle w:val="49"/>
          <w:rFonts w:hint="eastAsia"/>
          <w:color w:val="auto"/>
        </w:rPr>
        <w:t>本项目合作期限届满的移交</w:t>
      </w:r>
      <w:r>
        <w:tab/>
      </w:r>
      <w:r>
        <w:fldChar w:fldCharType="begin"/>
      </w:r>
      <w:r>
        <w:instrText xml:space="preserve"> PAGEREF _Toc534891116 \h </w:instrText>
      </w:r>
      <w:r>
        <w:fldChar w:fldCharType="separate"/>
      </w:r>
      <w:r>
        <w:t>49</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"_Toc534891117" </w:instrText>
      </w:r>
      <w:r>
        <w:fldChar w:fldCharType="separate"/>
      </w:r>
      <w:r>
        <w:rPr>
          <w:rStyle w:val="49"/>
          <w:rFonts w:hint="eastAsia" w:ascii="宋体" w:hAnsi="宋体"/>
          <w:color w:val="auto"/>
        </w:rPr>
        <w:t>第14条</w:t>
      </w:r>
      <w:r>
        <w:rPr>
          <w:rFonts w:asciiTheme="minorHAnsi" w:hAnsiTheme="minorHAnsi" w:eastAsiaTheme="minorEastAsia" w:cstheme="minorBidi"/>
        </w:rPr>
        <w:tab/>
      </w:r>
      <w:r>
        <w:rPr>
          <w:rStyle w:val="49"/>
          <w:rFonts w:hint="eastAsia"/>
          <w:color w:val="auto"/>
        </w:rPr>
        <w:t>履约保函</w:t>
      </w:r>
      <w:r>
        <w:rPr>
          <w:rStyle w:val="49"/>
          <w:rFonts w:hint="eastAsia" w:ascii="宋体" w:hAnsi="宋体"/>
          <w:color w:val="auto"/>
        </w:rPr>
        <w:t>★</w:t>
      </w:r>
      <w:r>
        <w:tab/>
      </w:r>
      <w:r>
        <w:fldChar w:fldCharType="begin"/>
      </w:r>
      <w:r>
        <w:instrText xml:space="preserve"> PAGEREF _Toc534891117 \h </w:instrText>
      </w:r>
      <w:r>
        <w:fldChar w:fldCharType="separate"/>
      </w:r>
      <w:r>
        <w:t>54</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"_Toc534891118" </w:instrText>
      </w:r>
      <w:r>
        <w:fldChar w:fldCharType="separate"/>
      </w:r>
      <w:r>
        <w:rPr>
          <w:rStyle w:val="49"/>
          <w:rFonts w:hint="eastAsia" w:ascii="宋体" w:hAnsi="宋体"/>
          <w:color w:val="auto"/>
        </w:rPr>
        <w:t>第15条</w:t>
      </w:r>
      <w:r>
        <w:rPr>
          <w:rFonts w:asciiTheme="minorHAnsi" w:hAnsiTheme="minorHAnsi" w:eastAsiaTheme="minorEastAsia" w:cstheme="minorBidi"/>
        </w:rPr>
        <w:tab/>
      </w:r>
      <w:r>
        <w:rPr>
          <w:rStyle w:val="49"/>
          <w:rFonts w:hint="eastAsia"/>
          <w:color w:val="auto"/>
        </w:rPr>
        <w:t>保险</w:t>
      </w:r>
      <w:r>
        <w:tab/>
      </w:r>
      <w:r>
        <w:fldChar w:fldCharType="begin"/>
      </w:r>
      <w:r>
        <w:instrText xml:space="preserve"> PAGEREF _Toc534891118 \h </w:instrText>
      </w:r>
      <w:r>
        <w:fldChar w:fldCharType="separate"/>
      </w:r>
      <w:r>
        <w:t>56</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"_Toc534891119" </w:instrText>
      </w:r>
      <w:r>
        <w:fldChar w:fldCharType="separate"/>
      </w:r>
      <w:r>
        <w:rPr>
          <w:rStyle w:val="49"/>
          <w:rFonts w:hint="eastAsia" w:ascii="宋体" w:hAnsi="宋体"/>
          <w:color w:val="auto"/>
        </w:rPr>
        <w:t>第16条</w:t>
      </w:r>
      <w:r>
        <w:rPr>
          <w:rFonts w:asciiTheme="minorHAnsi" w:hAnsiTheme="minorHAnsi" w:eastAsiaTheme="minorEastAsia" w:cstheme="minorBidi"/>
        </w:rPr>
        <w:tab/>
      </w:r>
      <w:r>
        <w:rPr>
          <w:rStyle w:val="49"/>
          <w:rFonts w:hint="eastAsia"/>
          <w:color w:val="auto"/>
        </w:rPr>
        <w:t>不可抗力</w:t>
      </w:r>
      <w:r>
        <w:tab/>
      </w:r>
      <w:r>
        <w:fldChar w:fldCharType="begin"/>
      </w:r>
      <w:r>
        <w:instrText xml:space="preserve"> PAGEREF _Toc534891119 \h </w:instrText>
      </w:r>
      <w:r>
        <w:fldChar w:fldCharType="separate"/>
      </w:r>
      <w:r>
        <w:t>57</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"_Toc534891120" </w:instrText>
      </w:r>
      <w:r>
        <w:fldChar w:fldCharType="separate"/>
      </w:r>
      <w:r>
        <w:rPr>
          <w:rStyle w:val="49"/>
          <w:rFonts w:hint="eastAsia" w:ascii="宋体" w:hAnsi="宋体"/>
          <w:color w:val="auto"/>
        </w:rPr>
        <w:t>第17条</w:t>
      </w:r>
      <w:r>
        <w:rPr>
          <w:rFonts w:asciiTheme="minorHAnsi" w:hAnsiTheme="minorHAnsi" w:eastAsiaTheme="minorEastAsia" w:cstheme="minorBidi"/>
        </w:rPr>
        <w:tab/>
      </w:r>
      <w:r>
        <w:rPr>
          <w:rStyle w:val="49"/>
          <w:rFonts w:hint="eastAsia"/>
          <w:color w:val="auto"/>
        </w:rPr>
        <w:t>提前终止</w:t>
      </w:r>
      <w:r>
        <w:tab/>
      </w:r>
      <w:r>
        <w:fldChar w:fldCharType="begin"/>
      </w:r>
      <w:r>
        <w:instrText xml:space="preserve"> PAGEREF _Toc534891120 \h </w:instrText>
      </w:r>
      <w:r>
        <w:fldChar w:fldCharType="separate"/>
      </w:r>
      <w:r>
        <w:t>59</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"_Toc534891121" </w:instrText>
      </w:r>
      <w:r>
        <w:fldChar w:fldCharType="separate"/>
      </w:r>
      <w:r>
        <w:rPr>
          <w:rStyle w:val="49"/>
          <w:rFonts w:hint="eastAsia" w:ascii="宋体" w:hAnsi="宋体"/>
          <w:color w:val="auto"/>
        </w:rPr>
        <w:t>第18条</w:t>
      </w:r>
      <w:r>
        <w:rPr>
          <w:rFonts w:asciiTheme="minorHAnsi" w:hAnsiTheme="minorHAnsi" w:eastAsiaTheme="minorEastAsia" w:cstheme="minorBidi"/>
        </w:rPr>
        <w:tab/>
      </w:r>
      <w:r>
        <w:rPr>
          <w:rStyle w:val="49"/>
          <w:rFonts w:hint="eastAsia"/>
          <w:color w:val="auto"/>
        </w:rPr>
        <w:t>转让与担保</w:t>
      </w:r>
      <w:r>
        <w:tab/>
      </w:r>
      <w:r>
        <w:fldChar w:fldCharType="begin"/>
      </w:r>
      <w:r>
        <w:instrText xml:space="preserve"> PAGEREF _Toc534891121 \h </w:instrText>
      </w:r>
      <w:r>
        <w:fldChar w:fldCharType="separate"/>
      </w:r>
      <w:r>
        <w:t>63</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"_Toc534891122" </w:instrText>
      </w:r>
      <w:r>
        <w:fldChar w:fldCharType="separate"/>
      </w:r>
      <w:r>
        <w:rPr>
          <w:rStyle w:val="49"/>
          <w:rFonts w:hint="eastAsia" w:ascii="宋体" w:hAnsi="宋体"/>
          <w:color w:val="auto"/>
        </w:rPr>
        <w:t>第19条</w:t>
      </w:r>
      <w:r>
        <w:rPr>
          <w:rFonts w:asciiTheme="minorHAnsi" w:hAnsiTheme="minorHAnsi" w:eastAsiaTheme="minorEastAsia" w:cstheme="minorBidi"/>
        </w:rPr>
        <w:tab/>
      </w:r>
      <w:r>
        <w:rPr>
          <w:rStyle w:val="49"/>
          <w:rFonts w:hint="eastAsia"/>
          <w:color w:val="auto"/>
        </w:rPr>
        <w:t>一般补偿</w:t>
      </w:r>
      <w:r>
        <w:tab/>
      </w:r>
      <w:r>
        <w:fldChar w:fldCharType="begin"/>
      </w:r>
      <w:r>
        <w:instrText xml:space="preserve"> PAGEREF _Toc534891122 \h </w:instrText>
      </w:r>
      <w:r>
        <w:fldChar w:fldCharType="separate"/>
      </w:r>
      <w:r>
        <w:t>64</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"_Toc534891123" </w:instrText>
      </w:r>
      <w:r>
        <w:fldChar w:fldCharType="separate"/>
      </w:r>
      <w:r>
        <w:rPr>
          <w:rStyle w:val="49"/>
          <w:rFonts w:hint="eastAsia" w:ascii="宋体" w:hAnsi="宋体"/>
          <w:color w:val="auto"/>
        </w:rPr>
        <w:t>第20条</w:t>
      </w:r>
      <w:r>
        <w:rPr>
          <w:rFonts w:asciiTheme="minorHAnsi" w:hAnsiTheme="minorHAnsi" w:eastAsiaTheme="minorEastAsia" w:cstheme="minorBidi"/>
        </w:rPr>
        <w:tab/>
      </w:r>
      <w:r>
        <w:rPr>
          <w:rStyle w:val="49"/>
          <w:rFonts w:hint="eastAsia"/>
          <w:color w:val="auto"/>
        </w:rPr>
        <w:t>守法义务及法律变更</w:t>
      </w:r>
      <w:r>
        <w:tab/>
      </w:r>
      <w:r>
        <w:fldChar w:fldCharType="begin"/>
      </w:r>
      <w:r>
        <w:instrText xml:space="preserve"> PAGEREF _Toc534891123 \h </w:instrText>
      </w:r>
      <w:r>
        <w:fldChar w:fldCharType="separate"/>
      </w:r>
      <w:r>
        <w:t>66</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"_Toc534891124" </w:instrText>
      </w:r>
      <w:r>
        <w:fldChar w:fldCharType="separate"/>
      </w:r>
      <w:r>
        <w:rPr>
          <w:rStyle w:val="49"/>
          <w:rFonts w:hint="eastAsia" w:ascii="宋体" w:hAnsi="宋体"/>
          <w:color w:val="auto"/>
        </w:rPr>
        <w:t>第21条</w:t>
      </w:r>
      <w:r>
        <w:rPr>
          <w:rFonts w:asciiTheme="minorHAnsi" w:hAnsiTheme="minorHAnsi" w:eastAsiaTheme="minorEastAsia" w:cstheme="minorBidi"/>
        </w:rPr>
        <w:tab/>
      </w:r>
      <w:r>
        <w:rPr>
          <w:rStyle w:val="49"/>
          <w:rFonts w:hint="eastAsia"/>
          <w:color w:val="auto"/>
        </w:rPr>
        <w:t>违约赔偿</w:t>
      </w:r>
      <w:r>
        <w:tab/>
      </w:r>
      <w:r>
        <w:fldChar w:fldCharType="begin"/>
      </w:r>
      <w:r>
        <w:instrText xml:space="preserve"> PAGEREF _Toc534891124 \h </w:instrText>
      </w:r>
      <w:r>
        <w:fldChar w:fldCharType="separate"/>
      </w:r>
      <w:r>
        <w:t>67</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"_Toc534891125" </w:instrText>
      </w:r>
      <w:r>
        <w:fldChar w:fldCharType="separate"/>
      </w:r>
      <w:r>
        <w:rPr>
          <w:rStyle w:val="49"/>
          <w:rFonts w:hint="eastAsia" w:ascii="宋体" w:hAnsi="宋体"/>
          <w:color w:val="auto"/>
        </w:rPr>
        <w:t>第22条</w:t>
      </w:r>
      <w:r>
        <w:rPr>
          <w:rFonts w:asciiTheme="minorHAnsi" w:hAnsiTheme="minorHAnsi" w:eastAsiaTheme="minorEastAsia" w:cstheme="minorBidi"/>
        </w:rPr>
        <w:tab/>
      </w:r>
      <w:r>
        <w:rPr>
          <w:rStyle w:val="49"/>
          <w:rFonts w:hint="eastAsia"/>
          <w:color w:val="auto"/>
        </w:rPr>
        <w:t>争议解决</w:t>
      </w:r>
      <w:r>
        <w:rPr>
          <w:rStyle w:val="49"/>
          <w:rFonts w:hint="eastAsia" w:ascii="宋体" w:hAnsi="宋体"/>
          <w:color w:val="auto"/>
        </w:rPr>
        <w:t>★</w:t>
      </w:r>
      <w:r>
        <w:tab/>
      </w:r>
      <w:r>
        <w:fldChar w:fldCharType="begin"/>
      </w:r>
      <w:r>
        <w:instrText xml:space="preserve"> PAGEREF _Toc534891125 \h </w:instrText>
      </w:r>
      <w:r>
        <w:fldChar w:fldCharType="separate"/>
      </w:r>
      <w:r>
        <w:t>67</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"_Toc534891126" </w:instrText>
      </w:r>
      <w:r>
        <w:fldChar w:fldCharType="separate"/>
      </w:r>
      <w:r>
        <w:rPr>
          <w:rStyle w:val="49"/>
          <w:rFonts w:hint="eastAsia" w:ascii="宋体" w:hAnsi="宋体"/>
          <w:color w:val="auto"/>
        </w:rPr>
        <w:t>第23条</w:t>
      </w:r>
      <w:r>
        <w:rPr>
          <w:rFonts w:asciiTheme="minorHAnsi" w:hAnsiTheme="minorHAnsi" w:eastAsiaTheme="minorEastAsia" w:cstheme="minorBidi"/>
        </w:rPr>
        <w:tab/>
      </w:r>
      <w:r>
        <w:rPr>
          <w:rStyle w:val="49"/>
          <w:rFonts w:hint="eastAsia"/>
          <w:color w:val="auto"/>
        </w:rPr>
        <w:t>其他约定</w:t>
      </w:r>
      <w:r>
        <w:tab/>
      </w:r>
      <w:r>
        <w:fldChar w:fldCharType="begin"/>
      </w:r>
      <w:r>
        <w:instrText xml:space="preserve"> PAGEREF _Toc534891126 \h </w:instrText>
      </w:r>
      <w:r>
        <w:fldChar w:fldCharType="separate"/>
      </w:r>
      <w:r>
        <w:t>68</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"_Toc534891127" </w:instrText>
      </w:r>
      <w:r>
        <w:fldChar w:fldCharType="separate"/>
      </w:r>
      <w:r>
        <w:rPr>
          <w:rStyle w:val="49"/>
          <w:rFonts w:hint="eastAsia"/>
          <w:color w:val="auto"/>
        </w:rPr>
        <w:t>附件一市政府授权委托书及实施方案批复</w:t>
      </w:r>
      <w:r>
        <w:tab/>
      </w:r>
      <w:r>
        <w:fldChar w:fldCharType="begin"/>
      </w:r>
      <w:r>
        <w:instrText xml:space="preserve"> PAGEREF _Toc534891127 \h </w:instrText>
      </w:r>
      <w:r>
        <w:fldChar w:fldCharType="separate"/>
      </w:r>
      <w:r>
        <w:t>72</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"_Toc534891128" </w:instrText>
      </w:r>
      <w:r>
        <w:fldChar w:fldCharType="separate"/>
      </w:r>
      <w:r>
        <w:rPr>
          <w:rStyle w:val="49"/>
          <w:rFonts w:hint="eastAsia"/>
          <w:color w:val="auto"/>
        </w:rPr>
        <w:t>附件二污水处理厂运营记录报表</w:t>
      </w:r>
      <w:r>
        <w:tab/>
      </w:r>
      <w:r>
        <w:fldChar w:fldCharType="begin"/>
      </w:r>
      <w:r>
        <w:instrText xml:space="preserve"> PAGEREF _Toc534891128 \h </w:instrText>
      </w:r>
      <w:r>
        <w:fldChar w:fldCharType="separate"/>
      </w:r>
      <w:r>
        <w:t>76</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"_Toc534891129" </w:instrText>
      </w:r>
      <w:r>
        <w:fldChar w:fldCharType="separate"/>
      </w:r>
      <w:r>
        <w:rPr>
          <w:rStyle w:val="49"/>
          <w:rFonts w:hint="eastAsia"/>
          <w:color w:val="auto"/>
        </w:rPr>
        <w:t>附件三进水水质超标的处理</w:t>
      </w:r>
      <w:r>
        <w:tab/>
      </w:r>
      <w:r>
        <w:fldChar w:fldCharType="begin"/>
      </w:r>
      <w:r>
        <w:instrText xml:space="preserve"> PAGEREF _Toc534891129 \h </w:instrText>
      </w:r>
      <w:r>
        <w:fldChar w:fldCharType="separate"/>
      </w:r>
      <w:r>
        <w:t>80</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"_Toc534891130" </w:instrText>
      </w:r>
      <w:r>
        <w:fldChar w:fldCharType="separate"/>
      </w:r>
      <w:r>
        <w:rPr>
          <w:rStyle w:val="49"/>
          <w:rFonts w:hint="eastAsia"/>
          <w:color w:val="auto"/>
        </w:rPr>
        <w:t>附件四保函格式</w:t>
      </w:r>
      <w:r>
        <w:tab/>
      </w:r>
      <w:r>
        <w:fldChar w:fldCharType="begin"/>
      </w:r>
      <w:r>
        <w:instrText xml:space="preserve"> PAGEREF _Toc534891130 \h </w:instrText>
      </w:r>
      <w:r>
        <w:fldChar w:fldCharType="separate"/>
      </w:r>
      <w:r>
        <w:t>81</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"_Toc534891131" </w:instrText>
      </w:r>
      <w:r>
        <w:fldChar w:fldCharType="separate"/>
      </w:r>
      <w:r>
        <w:rPr>
          <w:rStyle w:val="49"/>
          <w:rFonts w:hint="eastAsia"/>
          <w:color w:val="auto"/>
        </w:rPr>
        <w:t>附件五保险</w:t>
      </w:r>
      <w:r>
        <w:tab/>
      </w:r>
      <w:r>
        <w:fldChar w:fldCharType="begin"/>
      </w:r>
      <w:r>
        <w:instrText xml:space="preserve"> PAGEREF _Toc534891131 \h </w:instrText>
      </w:r>
      <w:r>
        <w:fldChar w:fldCharType="separate"/>
      </w:r>
      <w:r>
        <w:t>84</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"_Toc534891132" </w:instrText>
      </w:r>
      <w:r>
        <w:fldChar w:fldCharType="separate"/>
      </w:r>
      <w:r>
        <w:rPr>
          <w:rStyle w:val="49"/>
          <w:rFonts w:hint="eastAsia"/>
          <w:color w:val="auto"/>
        </w:rPr>
        <w:t>附件六绩效考核细则</w:t>
      </w:r>
      <w:r>
        <w:rPr>
          <w:rStyle w:val="49"/>
          <w:rFonts w:hint="eastAsia" w:ascii="黑体" w:hAnsi="黑体"/>
          <w:color w:val="auto"/>
        </w:rPr>
        <w:t>★</w:t>
      </w:r>
      <w:r>
        <w:tab/>
      </w:r>
      <w:r>
        <w:fldChar w:fldCharType="begin"/>
      </w:r>
      <w:r>
        <w:instrText xml:space="preserve"> PAGEREF _Toc534891132 \h </w:instrText>
      </w:r>
      <w:r>
        <w:fldChar w:fldCharType="separate"/>
      </w:r>
      <w:r>
        <w:t>90</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"_Toc534891133" </w:instrText>
      </w:r>
      <w:r>
        <w:fldChar w:fldCharType="separate"/>
      </w:r>
      <w:r>
        <w:rPr>
          <w:rStyle w:val="49"/>
          <w:rFonts w:hint="eastAsia"/>
          <w:color w:val="auto"/>
        </w:rPr>
        <w:t>附件七联合体协议</w:t>
      </w:r>
      <w:r>
        <w:tab/>
      </w:r>
      <w:r>
        <w:fldChar w:fldCharType="begin"/>
      </w:r>
      <w:r>
        <w:instrText xml:space="preserve"> PAGEREF _Toc534891133 \h </w:instrText>
      </w:r>
      <w:r>
        <w:fldChar w:fldCharType="separate"/>
      </w:r>
      <w:r>
        <w:t>99</w:t>
      </w:r>
      <w:r>
        <w:fldChar w:fldCharType="end"/>
      </w:r>
      <w:r>
        <w:fldChar w:fldCharType="end"/>
      </w:r>
    </w:p>
    <w:p>
      <w:pPr>
        <w:pStyle w:val="33"/>
        <w:tabs>
          <w:tab w:val="left" w:pos="960"/>
          <w:tab w:val="right" w:leader="dot" w:pos="8494"/>
        </w:tabs>
        <w:rPr>
          <w:rFonts w:asciiTheme="minorHAnsi" w:hAnsiTheme="minorHAnsi" w:eastAsiaTheme="minorEastAsia" w:cstheme="minorBidi"/>
        </w:rPr>
      </w:pPr>
      <w:r>
        <w:fldChar w:fldCharType="begin"/>
      </w:r>
      <w:r>
        <w:instrText xml:space="preserve"> HYPERLINK \l "_Toc534891134" </w:instrText>
      </w:r>
      <w:r>
        <w:fldChar w:fldCharType="separate"/>
      </w:r>
      <w:r>
        <w:rPr>
          <w:rStyle w:val="49"/>
          <w:rFonts w:hint="eastAsia"/>
          <w:color w:val="auto"/>
        </w:rPr>
        <w:t>附件八招标文件及投标文件中双方承诺事项</w:t>
      </w:r>
      <w:r>
        <w:tab/>
      </w:r>
      <w:r>
        <w:fldChar w:fldCharType="begin"/>
      </w:r>
      <w:r>
        <w:instrText xml:space="preserve"> PAGEREF _Toc534891134 \h </w:instrText>
      </w:r>
      <w:r>
        <w:fldChar w:fldCharType="separate"/>
      </w:r>
      <w:r>
        <w:t>100</w:t>
      </w:r>
      <w:r>
        <w:fldChar w:fldCharType="end"/>
      </w:r>
      <w:r>
        <w:fldChar w:fldCharType="end"/>
      </w:r>
    </w:p>
    <w:p>
      <w:pPr>
        <w:widowControl/>
        <w:spacing w:line="360" w:lineRule="auto"/>
        <w:rPr>
          <w:spacing w:val="2"/>
          <w:sz w:val="40"/>
          <w:szCs w:val="40"/>
        </w:rPr>
        <w:sectPr>
          <w:footerReference r:id="rId6" w:type="default"/>
          <w:pgSz w:w="11907" w:h="16860"/>
          <w:pgMar w:top="1418" w:right="1259" w:bottom="1418" w:left="1678" w:header="794" w:footer="737" w:gutter="0"/>
          <w:cols w:space="720" w:num="1"/>
          <w:docGrid w:linePitch="326" w:charSpace="0"/>
        </w:sectPr>
      </w:pPr>
      <w:r>
        <w:rPr>
          <w:spacing w:val="2"/>
          <w:sz w:val="40"/>
          <w:szCs w:val="40"/>
        </w:rPr>
        <w:fldChar w:fldCharType="end"/>
      </w:r>
    </w:p>
    <w:p>
      <w:pPr>
        <w:spacing w:before="120" w:afterLines="50" w:line="360" w:lineRule="auto"/>
        <w:ind w:firstLine="367" w:firstLineChars="175"/>
        <w:rPr>
          <w:bCs/>
        </w:rPr>
      </w:pPr>
      <w:r>
        <w:rPr>
          <w:bCs/>
        </w:rPr>
        <w:t>本合同由下列双方于年月日在禹州市签署：</w:t>
      </w:r>
    </w:p>
    <w:p>
      <w:pPr>
        <w:pStyle w:val="211"/>
        <w:spacing w:after="120" w:line="360" w:lineRule="auto"/>
        <w:rPr>
          <w:rFonts w:ascii="Times New Roman"/>
          <w:bCs/>
        </w:rPr>
      </w:pPr>
      <w:r>
        <w:rPr>
          <w:rFonts w:ascii="Times New Roman"/>
          <w:b/>
        </w:rPr>
        <w:t>甲方：禹州市住房和城乡规划建设局，</w:t>
      </w:r>
      <w:r>
        <w:rPr>
          <w:rFonts w:ascii="Times New Roman"/>
          <w:bCs/>
        </w:rPr>
        <w:t>系按照中华人民共和国（下称“中国”）法律依法组建和存续的禹州市人民政府（下称“市政府”）的职能部门。</w:t>
      </w:r>
    </w:p>
    <w:p>
      <w:pPr>
        <w:pStyle w:val="211"/>
        <w:spacing w:after="120" w:line="360" w:lineRule="auto"/>
        <w:rPr>
          <w:rFonts w:ascii="Times New Roman"/>
          <w:b/>
        </w:rPr>
      </w:pPr>
    </w:p>
    <w:p>
      <w:pPr>
        <w:pStyle w:val="211"/>
        <w:spacing w:after="120" w:line="360" w:lineRule="auto"/>
        <w:rPr>
          <w:rFonts w:ascii="Times New Roman"/>
          <w:bCs/>
        </w:rPr>
      </w:pPr>
      <w:r>
        <w:rPr>
          <w:rFonts w:ascii="Times New Roman"/>
          <w:b/>
        </w:rPr>
        <w:t>乙方：</w:t>
      </w:r>
      <w:r>
        <w:rPr>
          <w:rFonts w:ascii="Times New Roman"/>
          <w:bCs/>
        </w:rPr>
        <w:t>系按照中国法律依法设立及存续的有限责任公司</w:t>
      </w:r>
      <w:r>
        <w:rPr>
          <w:rFonts w:ascii="Times New Roman"/>
        </w:rPr>
        <w:t>。</w:t>
      </w:r>
    </w:p>
    <w:p>
      <w:pPr>
        <w:pStyle w:val="3"/>
        <w:tabs>
          <w:tab w:val="left" w:pos="1799"/>
        </w:tabs>
        <w:kinsoku w:val="0"/>
        <w:overflowPunct w:val="0"/>
        <w:spacing w:line="360" w:lineRule="auto"/>
        <w:ind w:left="1083" w:right="1831" w:hanging="454"/>
      </w:pPr>
    </w:p>
    <w:p>
      <w:pPr>
        <w:pStyle w:val="3"/>
        <w:kinsoku w:val="0"/>
        <w:overflowPunct w:val="0"/>
        <w:spacing w:afterLines="50" w:line="360" w:lineRule="auto"/>
        <w:ind w:left="193" w:firstLine="422" w:firstLineChars="200"/>
        <w:rPr>
          <w:b/>
        </w:rPr>
      </w:pPr>
      <w:r>
        <w:rPr>
          <w:b/>
        </w:rPr>
        <w:t>鉴于：</w:t>
      </w:r>
    </w:p>
    <w:p>
      <w:pPr>
        <w:pStyle w:val="3"/>
        <w:numPr>
          <w:ilvl w:val="0"/>
          <w:numId w:val="4"/>
        </w:numPr>
        <w:kinsoku w:val="0"/>
        <w:overflowPunct w:val="0"/>
        <w:spacing w:afterLines="50" w:line="360" w:lineRule="auto"/>
      </w:pPr>
      <w:r>
        <w:t>为进一步创新禹州市公共设施领域投融资模式，形成多元化、可持续性的资金投入机制，缓解政府短期财政压力，发挥社会资本在本项目建设、运营维护上的经验和优势，提高污水处理厂的建设和运营效率，市政府决定采用政府与社会资本合作（PPP）模式实施禹州市绿色铸造园区与陶瓷园区污水处理厂PPP项目（下称“本项目”）。</w:t>
      </w:r>
    </w:p>
    <w:p>
      <w:pPr>
        <w:pStyle w:val="3"/>
        <w:numPr>
          <w:ilvl w:val="0"/>
          <w:numId w:val="4"/>
        </w:numPr>
        <w:kinsoku w:val="0"/>
        <w:overflowPunct w:val="0"/>
        <w:spacing w:afterLines="50" w:line="360" w:lineRule="auto"/>
      </w:pPr>
      <w:r>
        <w:t>市政府已经同意实施本项目，甲方获得授权签署本合同。</w:t>
      </w:r>
    </w:p>
    <w:p>
      <w:pPr>
        <w:pStyle w:val="3"/>
        <w:numPr>
          <w:ilvl w:val="0"/>
          <w:numId w:val="4"/>
        </w:numPr>
        <w:kinsoku w:val="0"/>
        <w:overflowPunct w:val="0"/>
        <w:spacing w:afterLines="50" w:line="360" w:lineRule="auto"/>
      </w:pPr>
      <w:r>
        <w:t>年月日发布了本项目招标公告；【中标人名称】于投标截止时间之前提交了投标文件；甲方根据本项目招标文件中规定的程序和方法，组织评标委员会对提交的投标文件进行评审，经澄清和谈判，最终确定【中标人名称】为中标人。</w:t>
      </w:r>
    </w:p>
    <w:p>
      <w:pPr>
        <w:pStyle w:val="3"/>
        <w:numPr>
          <w:ilvl w:val="0"/>
          <w:numId w:val="4"/>
        </w:numPr>
        <w:kinsoku w:val="0"/>
        <w:overflowPunct w:val="0"/>
        <w:spacing w:afterLines="50" w:line="360" w:lineRule="auto"/>
      </w:pPr>
      <w:r>
        <w:t>【中标人名称】根据中国法律于年月日在禹州市成立了【乙方全称】（下称“乙方”）。</w:t>
      </w:r>
    </w:p>
    <w:p>
      <w:pPr>
        <w:pStyle w:val="3"/>
        <w:numPr>
          <w:ilvl w:val="0"/>
          <w:numId w:val="4"/>
        </w:numPr>
        <w:kinsoku w:val="0"/>
        <w:overflowPunct w:val="0"/>
        <w:spacing w:afterLines="50" w:line="360" w:lineRule="auto"/>
      </w:pPr>
      <w:r>
        <w:t>甲方与乙方特此订立本合同，以</w:t>
      </w:r>
      <w:r>
        <w:rPr>
          <w:rFonts w:hint="eastAsia"/>
        </w:rPr>
        <w:t>约</w:t>
      </w:r>
      <w:r>
        <w:t>定乙方设计、融资、投资、建设、管理、运营维护本合同有关的项目设施，并在合作期满后根据本合同的</w:t>
      </w:r>
      <w:r>
        <w:rPr>
          <w:rFonts w:hint="eastAsia"/>
        </w:rPr>
        <w:t>约</w:t>
      </w:r>
      <w:r>
        <w:t>定将项目设施无偿移交给甲方或市政府指定的其他机构。</w:t>
      </w:r>
    </w:p>
    <w:p>
      <w:pPr>
        <w:kinsoku w:val="0"/>
        <w:overflowPunct w:val="0"/>
        <w:spacing w:before="120" w:afterLines="50" w:line="360" w:lineRule="auto"/>
        <w:ind w:firstLine="420" w:firstLineChars="200"/>
      </w:pPr>
      <w:r>
        <w:t>为明确双方的权利和义务，依据中华人民共和国有关法律、法规、规章，双方达成如下协议，以资共同信守。</w:t>
      </w:r>
      <w:r>
        <w:br w:type="page"/>
      </w:r>
    </w:p>
    <w:p>
      <w:pPr>
        <w:pStyle w:val="212"/>
        <w:spacing w:before="360" w:after="120" w:line="360" w:lineRule="auto"/>
        <w:rPr>
          <w:rFonts w:eastAsia="宋体"/>
          <w:b/>
        </w:rPr>
      </w:pPr>
      <w:bookmarkStart w:id="144" w:name="_Toc534891104"/>
      <w:bookmarkStart w:id="145" w:name="_Toc448060820"/>
      <w:r>
        <w:rPr>
          <w:rFonts w:eastAsia="宋体"/>
          <w:b/>
        </w:rPr>
        <w:t>总则</w:t>
      </w:r>
      <w:bookmarkEnd w:id="144"/>
      <w:bookmarkEnd w:id="145"/>
    </w:p>
    <w:p>
      <w:pPr>
        <w:pStyle w:val="213"/>
        <w:spacing w:after="120"/>
        <w:rPr>
          <w:rFonts w:ascii="Times New Roman" w:hAnsi="Times New Roman"/>
        </w:rPr>
      </w:pPr>
      <w:r>
        <w:rPr>
          <w:rFonts w:ascii="Times New Roman" w:hAnsi="Times New Roman"/>
        </w:rPr>
        <w:t>定义</w:t>
      </w:r>
    </w:p>
    <w:p>
      <w:pPr>
        <w:pStyle w:val="179"/>
        <w:kinsoku w:val="0"/>
        <w:overflowPunct w:val="0"/>
        <w:spacing w:afterLines="50" w:line="360" w:lineRule="auto"/>
        <w:ind w:left="690"/>
        <w:rPr>
          <w:lang w:eastAsia="zh-CN"/>
        </w:rPr>
      </w:pPr>
      <w:r>
        <w:rPr>
          <w:lang w:eastAsia="zh-CN"/>
        </w:rPr>
        <w:t>本合同中，除文件明示另有所指外，下列术语具有如下含义：</w:t>
      </w:r>
    </w:p>
    <w:tbl>
      <w:tblPr>
        <w:tblStyle w:val="52"/>
        <w:tblW w:w="8333" w:type="dxa"/>
        <w:jc w:val="right"/>
        <w:tblInd w:w="0" w:type="dxa"/>
        <w:tblLayout w:type="fixed"/>
        <w:tblCellMar>
          <w:top w:w="0" w:type="dxa"/>
          <w:left w:w="108" w:type="dxa"/>
          <w:bottom w:w="0" w:type="dxa"/>
          <w:right w:w="108" w:type="dxa"/>
        </w:tblCellMar>
      </w:tblPr>
      <w:tblGrid>
        <w:gridCol w:w="2268"/>
        <w:gridCol w:w="6065"/>
      </w:tblGrid>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本合同</w:t>
            </w:r>
            <w:r>
              <w:rPr>
                <w:rFonts w:hint="eastAsia"/>
                <w:b/>
                <w:bCs/>
              </w:rPr>
              <w:t>/本协议</w:t>
            </w:r>
          </w:p>
        </w:tc>
        <w:tc>
          <w:tcPr>
            <w:tcW w:w="6065" w:type="dxa"/>
            <w:shd w:val="clear" w:color="auto" w:fill="auto"/>
          </w:tcPr>
          <w:p>
            <w:pPr>
              <w:widowControl/>
              <w:spacing w:beforeLines="30" w:afterLines="30" w:line="360" w:lineRule="auto"/>
            </w:pPr>
            <w:r>
              <w:t>指由甲方与乙方签署的《禹州市绿色铸造园区与陶瓷园区污水处理厂PPP项目合同》，包括全部附件以及日后可能签署的任何补充修改协议和附件，每一部分都应视为本合同的一部分。</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本项目/项目/项目工程</w:t>
            </w:r>
          </w:p>
        </w:tc>
        <w:tc>
          <w:tcPr>
            <w:tcW w:w="6065" w:type="dxa"/>
            <w:shd w:val="clear" w:color="auto" w:fill="auto"/>
          </w:tcPr>
          <w:p>
            <w:pPr>
              <w:widowControl/>
              <w:spacing w:beforeLines="30" w:afterLines="30" w:line="360" w:lineRule="auto"/>
            </w:pPr>
            <w:r>
              <w:t>指禹州市绿色铸造园区与陶瓷园区污水处理厂PPP项目，具体范围详见第</w:t>
            </w:r>
            <w:r>
              <w:fldChar w:fldCharType="begin"/>
            </w:r>
            <w:r>
              <w:instrText xml:space="preserve"> REF _Ref528068992 \r \h  \* MERGEFORMAT </w:instrText>
            </w:r>
            <w:r>
              <w:fldChar w:fldCharType="separate"/>
            </w:r>
            <w:r>
              <w:t>3.1</w:t>
            </w:r>
            <w:r>
              <w:fldChar w:fldCharType="end"/>
            </w:r>
            <w:r>
              <w:t>条款。建设内容最终以</w:t>
            </w:r>
            <w:r>
              <w:rPr>
                <w:rFonts w:hint="eastAsia"/>
              </w:rPr>
              <w:t>经审查通过的</w:t>
            </w:r>
            <w:r>
              <w:t>施工图设计图纸文件为准。</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补偿事件</w:t>
            </w:r>
          </w:p>
        </w:tc>
        <w:tc>
          <w:tcPr>
            <w:tcW w:w="6065" w:type="dxa"/>
            <w:shd w:val="clear" w:color="auto" w:fill="auto"/>
          </w:tcPr>
          <w:p>
            <w:pPr>
              <w:widowControl/>
              <w:spacing w:beforeLines="30" w:afterLines="30" w:line="360" w:lineRule="auto"/>
            </w:pPr>
            <w:r>
              <w:rPr>
                <w:bCs/>
              </w:rPr>
              <w:t>指乙方按本合同有权获得补偿的任一事件。</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贷款人</w:t>
            </w:r>
          </w:p>
        </w:tc>
        <w:tc>
          <w:tcPr>
            <w:tcW w:w="6065" w:type="dxa"/>
            <w:shd w:val="clear" w:color="auto" w:fill="auto"/>
          </w:tcPr>
          <w:p>
            <w:pPr>
              <w:widowControl/>
              <w:spacing w:beforeLines="30" w:afterLines="30" w:line="360" w:lineRule="auto"/>
              <w:rPr>
                <w:bCs/>
              </w:rPr>
            </w:pPr>
            <w:r>
              <w:rPr>
                <w:bCs/>
              </w:rPr>
              <w:t>指融资文件中的贷款人或项目资金提供人。</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p>
        </w:tc>
        <w:tc>
          <w:tcPr>
            <w:tcW w:w="6065" w:type="dxa"/>
            <w:shd w:val="clear" w:color="auto" w:fill="auto"/>
          </w:tcPr>
          <w:p>
            <w:pPr>
              <w:widowControl/>
              <w:spacing w:beforeLines="30" w:afterLines="30" w:line="360" w:lineRule="auto"/>
            </w:pP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rPr>
            </w:pPr>
            <w:r>
              <w:rPr>
                <w:b/>
                <w:bCs/>
              </w:rPr>
              <w:t>工作日</w:t>
            </w:r>
          </w:p>
        </w:tc>
        <w:tc>
          <w:tcPr>
            <w:tcW w:w="6065" w:type="dxa"/>
            <w:shd w:val="clear" w:color="auto" w:fill="auto"/>
          </w:tcPr>
          <w:p>
            <w:pPr>
              <w:widowControl/>
              <w:spacing w:beforeLines="30" w:afterLines="30" w:line="360" w:lineRule="auto"/>
            </w:pPr>
            <w:r>
              <w:rPr>
                <w:bCs/>
              </w:rPr>
              <w:t>指中国法定节假日和公休日以外的公历日。</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本项目合作期</w:t>
            </w:r>
          </w:p>
        </w:tc>
        <w:tc>
          <w:tcPr>
            <w:tcW w:w="6065" w:type="dxa"/>
            <w:shd w:val="clear" w:color="auto" w:fill="auto"/>
          </w:tcPr>
          <w:p>
            <w:pPr>
              <w:widowControl/>
              <w:spacing w:beforeLines="30" w:afterLines="30" w:line="360" w:lineRule="auto"/>
            </w:pPr>
            <w:r>
              <w:t>指生效日起至移交日止的期间。</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本项目建设期</w:t>
            </w:r>
          </w:p>
        </w:tc>
        <w:tc>
          <w:tcPr>
            <w:tcW w:w="6065" w:type="dxa"/>
            <w:shd w:val="clear" w:color="auto" w:fill="auto"/>
          </w:tcPr>
          <w:p>
            <w:pPr>
              <w:widowControl/>
              <w:spacing w:beforeLines="30" w:afterLines="30" w:line="360" w:lineRule="auto"/>
            </w:pPr>
            <w:r>
              <w:t>指自生效日至本项目整体运营开始日止的期间。</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谨慎运营惯例</w:t>
            </w:r>
          </w:p>
        </w:tc>
        <w:tc>
          <w:tcPr>
            <w:tcW w:w="6065" w:type="dxa"/>
            <w:shd w:val="clear" w:color="auto" w:fill="auto"/>
          </w:tcPr>
          <w:p>
            <w:pPr>
              <w:widowControl/>
              <w:spacing w:beforeLines="30" w:afterLines="30" w:line="360" w:lineRule="auto"/>
              <w:rPr>
                <w:bCs/>
              </w:rPr>
            </w:pPr>
            <w:r>
              <w:rPr>
                <w:bCs/>
              </w:rPr>
              <w:t>指可以合理期望的对同一项业务在相同或类似情况下熟练和有经验的承包商或操作者的技能、勤勉、谨慎和预见能力的惯例标准。就本项目而言，谨慎运营惯例应包括但不限于采取合理的步骤，以确使：</w:t>
            </w:r>
          </w:p>
          <w:p>
            <w:pPr>
              <w:widowControl/>
              <w:spacing w:beforeLines="30" w:afterLines="30" w:line="360" w:lineRule="auto"/>
              <w:rPr>
                <w:bCs/>
              </w:rPr>
            </w:pPr>
            <w:r>
              <w:rPr>
                <w:bCs/>
              </w:rPr>
              <w:t>(a)在满足正常条件下及合理预测的非正常条件下项目拥有所需要的充足材料、资源和供应品。</w:t>
            </w:r>
          </w:p>
          <w:p>
            <w:pPr>
              <w:widowControl/>
              <w:spacing w:beforeLines="30" w:afterLines="30" w:line="360" w:lineRule="auto"/>
              <w:rPr>
                <w:bCs/>
              </w:rPr>
            </w:pPr>
            <w:r>
              <w:rPr>
                <w:bCs/>
              </w:rPr>
              <w:t>(b)拥有足够数量、充足经验并经过适当培训的工作人员，以恰当有效地按照相应的手册和技术规范运营本项目并能够处理紧急情况。</w:t>
            </w:r>
          </w:p>
          <w:p>
            <w:pPr>
              <w:widowControl/>
              <w:spacing w:beforeLines="30" w:afterLines="30" w:line="360" w:lineRule="auto"/>
              <w:rPr>
                <w:bCs/>
              </w:rPr>
            </w:pPr>
            <w:r>
              <w:rPr>
                <w:bCs/>
              </w:rPr>
              <w:t>(c)由有知识并受过培训和有经验的人员进行预防性日常和非日常维护和修理，以确使本项目长期、可靠和安全地运营。</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开工日</w:t>
            </w:r>
          </w:p>
        </w:tc>
        <w:tc>
          <w:tcPr>
            <w:tcW w:w="6065" w:type="dxa"/>
            <w:shd w:val="clear" w:color="auto" w:fill="auto"/>
          </w:tcPr>
          <w:p>
            <w:pPr>
              <w:widowControl/>
              <w:spacing w:beforeLines="30" w:afterLines="30" w:line="360" w:lineRule="auto"/>
              <w:rPr>
                <w:bCs/>
              </w:rPr>
            </w:pPr>
            <w:r>
              <w:rPr>
                <w:bCs/>
              </w:rPr>
              <w:t>指项目开始施工之日，以总监理工程师发布的开工令之日为准。</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奖补资金</w:t>
            </w:r>
          </w:p>
        </w:tc>
        <w:tc>
          <w:tcPr>
            <w:tcW w:w="6065" w:type="dxa"/>
            <w:shd w:val="clear" w:color="auto" w:fill="auto"/>
          </w:tcPr>
          <w:p>
            <w:pPr>
              <w:widowControl/>
              <w:spacing w:beforeLines="30" w:afterLines="30" w:line="360" w:lineRule="auto"/>
              <w:rPr>
                <w:bCs/>
              </w:rPr>
            </w:pPr>
            <w:r>
              <w:rPr>
                <w:bCs/>
              </w:rPr>
              <w:t>指针对项目获得的地方补助资金、其他上级政府奖励、补助资金或专项基金等各类资金。</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履约保函</w:t>
            </w:r>
          </w:p>
        </w:tc>
        <w:tc>
          <w:tcPr>
            <w:tcW w:w="6065" w:type="dxa"/>
            <w:shd w:val="clear" w:color="auto" w:fill="auto"/>
          </w:tcPr>
          <w:p>
            <w:pPr>
              <w:widowControl/>
              <w:spacing w:beforeLines="30" w:afterLines="30" w:line="360" w:lineRule="auto"/>
              <w:rPr>
                <w:bCs/>
              </w:rPr>
            </w:pPr>
            <w:r>
              <w:rPr>
                <w:bCs/>
              </w:rPr>
              <w:t>指乙方按照</w:t>
            </w:r>
            <w:r>
              <w:fldChar w:fldCharType="begin"/>
            </w:r>
            <w:r>
              <w:instrText xml:space="preserve"> REF _Ref534832469 \r \h  \* MERGEFORMAT </w:instrText>
            </w:r>
            <w:r>
              <w:fldChar w:fldCharType="separate"/>
            </w:r>
            <w:r>
              <w:rPr>
                <w:rFonts w:hint="eastAsia"/>
                <w:bCs/>
              </w:rPr>
              <w:t>第14条</w:t>
            </w:r>
            <w:r>
              <w:rPr>
                <w:rFonts w:hint="eastAsia"/>
                <w:bCs/>
              </w:rPr>
              <w:fldChar w:fldCharType="end"/>
            </w:r>
            <w:r>
              <w:rPr>
                <w:bCs/>
              </w:rPr>
              <w:t>的</w:t>
            </w:r>
            <w:r>
              <w:rPr>
                <w:rFonts w:hint="eastAsia"/>
                <w:bCs/>
              </w:rPr>
              <w:t>约</w:t>
            </w:r>
            <w:r>
              <w:rPr>
                <w:bCs/>
              </w:rPr>
              <w:t>定提供的、为担保其履行在本合同项下的建设义务和其他违约赔偿义务的担保函。</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jc w:val="center"/>
              <w:rPr>
                <w:b/>
                <w:bCs/>
              </w:rPr>
            </w:pPr>
            <w:r>
              <w:rPr>
                <w:b/>
                <w:bCs/>
              </w:rPr>
              <w:t>批准</w:t>
            </w:r>
          </w:p>
        </w:tc>
        <w:tc>
          <w:tcPr>
            <w:tcW w:w="6065" w:type="dxa"/>
            <w:shd w:val="clear" w:color="auto" w:fill="auto"/>
          </w:tcPr>
          <w:p>
            <w:pPr>
              <w:widowControl/>
              <w:spacing w:line="360" w:lineRule="auto"/>
              <w:rPr>
                <w:bCs/>
              </w:rPr>
            </w:pPr>
            <w:r>
              <w:rPr>
                <w:bCs/>
              </w:rPr>
              <w:t>指为了使乙方能够履行其在本合同项下的义务和行使其在本合同项下的权利，乙方必须或希望从政府机关依法获得的为乙方的设计、投融资、建设、运营维护和移交所需要的任何许可、执照、同意、授权、免除或批准。</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融资文件</w:t>
            </w:r>
          </w:p>
        </w:tc>
        <w:tc>
          <w:tcPr>
            <w:tcW w:w="6065" w:type="dxa"/>
            <w:shd w:val="clear" w:color="auto" w:fill="auto"/>
          </w:tcPr>
          <w:p>
            <w:pPr>
              <w:widowControl/>
              <w:spacing w:beforeLines="30" w:afterLines="30" w:line="360" w:lineRule="auto"/>
              <w:rPr>
                <w:bCs/>
              </w:rPr>
            </w:pPr>
            <w:r>
              <w:rPr>
                <w:bCs/>
              </w:rPr>
              <w:t>指与本项目或其任何一部分的建设和运营相关的贷款协议、担保协议、保函和其他文件，但不包括股东作出的出资承诺或出资、履约保函。</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bookmarkStart w:id="146" w:name="_Hlk484361310"/>
            <w:r>
              <w:rPr>
                <w:b/>
                <w:bCs/>
              </w:rPr>
              <w:t>融资交割</w:t>
            </w:r>
            <w:bookmarkEnd w:id="146"/>
          </w:p>
        </w:tc>
        <w:tc>
          <w:tcPr>
            <w:tcW w:w="6065" w:type="dxa"/>
            <w:shd w:val="clear" w:color="auto" w:fill="auto"/>
          </w:tcPr>
          <w:p>
            <w:pPr>
              <w:widowControl/>
              <w:spacing w:beforeLines="30" w:afterLines="30" w:line="360" w:lineRule="auto"/>
              <w:rPr>
                <w:bCs/>
              </w:rPr>
            </w:pPr>
            <w:r>
              <w:rPr>
                <w:bCs/>
              </w:rPr>
              <w:t>当下述条件同时具备时，视为完成融资交割：</w:t>
            </w:r>
          </w:p>
          <w:p>
            <w:pPr>
              <w:pStyle w:val="154"/>
              <w:widowControl/>
              <w:numPr>
                <w:ilvl w:val="0"/>
                <w:numId w:val="5"/>
              </w:numPr>
              <w:spacing w:beforeLines="30" w:afterLines="30" w:line="360" w:lineRule="auto"/>
              <w:rPr>
                <w:bCs/>
                <w:lang w:eastAsia="zh-CN"/>
              </w:rPr>
            </w:pPr>
            <w:r>
              <w:rPr>
                <w:bCs/>
                <w:sz w:val="24"/>
                <w:lang w:eastAsia="zh-CN"/>
              </w:rPr>
              <w:t>按照</w:t>
            </w:r>
            <w:r>
              <w:rPr>
                <w:rFonts w:hint="eastAsia"/>
                <w:bCs/>
                <w:sz w:val="24"/>
                <w:lang w:eastAsia="zh-CN"/>
              </w:rPr>
              <w:t>本合同要求</w:t>
            </w:r>
            <w:r>
              <w:rPr>
                <w:bCs/>
                <w:sz w:val="24"/>
                <w:lang w:eastAsia="zh-CN"/>
              </w:rPr>
              <w:t>完成对乙方的首笔出资。</w:t>
            </w:r>
          </w:p>
          <w:p>
            <w:pPr>
              <w:pStyle w:val="154"/>
              <w:widowControl/>
              <w:numPr>
                <w:ilvl w:val="0"/>
                <w:numId w:val="5"/>
              </w:numPr>
              <w:spacing w:beforeLines="30" w:afterLines="30" w:line="360" w:lineRule="auto"/>
              <w:rPr>
                <w:bCs/>
                <w:lang w:eastAsia="zh-CN"/>
              </w:rPr>
            </w:pPr>
            <w:r>
              <w:rPr>
                <w:bCs/>
                <w:sz w:val="24"/>
                <w:lang w:eastAsia="zh-CN"/>
              </w:rPr>
              <w:t>乙方与贷款人已签署并递交所有融资文件，且融资文件要求的获得首笔资金的每一前提条件已得到满足或被贷款人放弃。</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设施/项目设施</w:t>
            </w:r>
          </w:p>
        </w:tc>
        <w:tc>
          <w:tcPr>
            <w:tcW w:w="6065" w:type="dxa"/>
            <w:shd w:val="clear" w:color="auto" w:fill="auto"/>
          </w:tcPr>
          <w:p>
            <w:pPr>
              <w:widowControl/>
              <w:spacing w:beforeLines="30" w:afterLines="30" w:line="360" w:lineRule="auto"/>
              <w:rPr>
                <w:bCs/>
              </w:rPr>
            </w:pPr>
            <w:r>
              <w:t>指由乙方投资、建设、运营维护、更新改造的与本项目相关的全部构筑物、建筑物、设施、设备及其附属设施等。</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市政府</w:t>
            </w:r>
          </w:p>
        </w:tc>
        <w:tc>
          <w:tcPr>
            <w:tcW w:w="6065" w:type="dxa"/>
            <w:shd w:val="clear" w:color="auto" w:fill="auto"/>
          </w:tcPr>
          <w:p>
            <w:pPr>
              <w:widowControl/>
              <w:spacing w:beforeLines="30" w:afterLines="30" w:line="360" w:lineRule="auto"/>
            </w:pPr>
            <w:r>
              <w:rPr>
                <w:bCs/>
              </w:rPr>
              <w:t>指禹州市人民政府。</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市审计部门</w:t>
            </w:r>
          </w:p>
        </w:tc>
        <w:tc>
          <w:tcPr>
            <w:tcW w:w="6065" w:type="dxa"/>
            <w:shd w:val="clear" w:color="auto" w:fill="auto"/>
          </w:tcPr>
          <w:p>
            <w:pPr>
              <w:widowControl/>
              <w:spacing w:beforeLines="30" w:afterLines="30" w:line="360" w:lineRule="auto"/>
            </w:pPr>
            <w:r>
              <w:rPr>
                <w:bCs/>
              </w:rPr>
              <w:t>指禹州市</w:t>
            </w:r>
            <w:r>
              <w:rPr>
                <w:rFonts w:hint="eastAsia"/>
                <w:bCs/>
              </w:rPr>
              <w:t>审计局</w:t>
            </w:r>
            <w:r>
              <w:rPr>
                <w:bCs/>
              </w:rPr>
              <w:t>。</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适用法律</w:t>
            </w:r>
          </w:p>
        </w:tc>
        <w:tc>
          <w:tcPr>
            <w:tcW w:w="6065" w:type="dxa"/>
            <w:shd w:val="clear" w:color="auto" w:fill="auto"/>
          </w:tcPr>
          <w:p>
            <w:pPr>
              <w:widowControl/>
              <w:spacing w:beforeLines="30" w:afterLines="30" w:line="360" w:lineRule="auto"/>
              <w:rPr>
                <w:bCs/>
              </w:rPr>
            </w:pPr>
            <w:r>
              <w:rPr>
                <w:bCs/>
              </w:rPr>
              <w:t>指所有适用的中华人民共和国法律、法规、规章、地方性法规、司法解释、政府部门颁布的标准、规范或其他适用的强制性要求、有法律约束力的规范性文件等。除非另有特别约定或文意另有所指，本合同中提及的“法律”均包括适用法律的全部定义内容。</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生效日</w:t>
            </w:r>
          </w:p>
        </w:tc>
        <w:tc>
          <w:tcPr>
            <w:tcW w:w="6065" w:type="dxa"/>
            <w:shd w:val="clear" w:color="auto" w:fill="auto"/>
          </w:tcPr>
          <w:p>
            <w:pPr>
              <w:widowControl/>
              <w:spacing w:beforeLines="30" w:afterLines="30" w:line="360" w:lineRule="auto"/>
              <w:rPr>
                <w:bCs/>
              </w:rPr>
            </w:pPr>
            <w:r>
              <w:t>指本合同双方法定代表人或其授权代表正式签署并加盖公章之日。</w:t>
            </w:r>
            <w:r>
              <w:rPr>
                <w:bCs/>
              </w:rPr>
              <w:t>如果双方签署日期不一致，则以较晚日期为生效日。如依照适用法律需要履行审批程序的，则在有权部门审批后生效。</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投标人须知</w:t>
            </w:r>
          </w:p>
        </w:tc>
        <w:tc>
          <w:tcPr>
            <w:tcW w:w="6065" w:type="dxa"/>
            <w:shd w:val="clear" w:color="auto" w:fill="auto"/>
          </w:tcPr>
          <w:p>
            <w:pPr>
              <w:widowControl/>
              <w:spacing w:line="360" w:lineRule="auto"/>
              <w:rPr>
                <w:bCs/>
              </w:rPr>
            </w:pPr>
            <w:r>
              <w:rPr>
                <w:bCs/>
              </w:rPr>
              <w:t>指本项目招标文件《禹州市绿色铸造园区与陶瓷园区污水处理厂PPP项目 第一卷 投标人须知》。</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投标文件</w:t>
            </w:r>
          </w:p>
        </w:tc>
        <w:tc>
          <w:tcPr>
            <w:tcW w:w="6065" w:type="dxa"/>
            <w:shd w:val="clear" w:color="auto" w:fill="auto"/>
          </w:tcPr>
          <w:p>
            <w:pPr>
              <w:widowControl/>
              <w:spacing w:beforeLines="30" w:afterLines="30" w:line="360" w:lineRule="auto"/>
              <w:rPr>
                <w:bCs/>
              </w:rPr>
            </w:pPr>
            <w:r>
              <w:rPr>
                <w:bCs/>
              </w:rPr>
              <w:t>指中标人在投标时向甲方提交的</w:t>
            </w:r>
            <w:r>
              <w:t>本项目</w:t>
            </w:r>
            <w:r>
              <w:rPr>
                <w:bCs/>
              </w:rPr>
              <w:t>投标文件以及应招标人要求而作出的所有书面澄清及补充文件。</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投标保证金</w:t>
            </w:r>
          </w:p>
        </w:tc>
        <w:tc>
          <w:tcPr>
            <w:tcW w:w="6065" w:type="dxa"/>
            <w:shd w:val="clear" w:color="auto" w:fill="auto"/>
          </w:tcPr>
          <w:p>
            <w:pPr>
              <w:widowControl/>
              <w:spacing w:beforeLines="30" w:afterLines="30" w:line="360" w:lineRule="auto"/>
              <w:rPr>
                <w:bCs/>
              </w:rPr>
            </w:pPr>
            <w:r>
              <w:rPr>
                <w:bCs/>
              </w:rPr>
              <w:t>指中标人依据投标人须知的要求与投标文件同时提交的作为投标责任担保的保证金。</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中标人</w:t>
            </w:r>
          </w:p>
        </w:tc>
        <w:tc>
          <w:tcPr>
            <w:tcW w:w="6065" w:type="dxa"/>
            <w:shd w:val="clear" w:color="auto" w:fill="auto"/>
          </w:tcPr>
          <w:p>
            <w:pPr>
              <w:widowControl/>
              <w:spacing w:beforeLines="30" w:afterLines="30" w:line="360" w:lineRule="auto"/>
              <w:rPr>
                <w:bCs/>
              </w:rPr>
            </w:pPr>
            <w:r>
              <w:rPr>
                <w:bCs/>
              </w:rPr>
              <w:t>招标人根据评标委员会的书面评标报告和推荐授予本项目中标通知书并订立书面合同的法人或其他组织。</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竣工验收合格日</w:t>
            </w:r>
          </w:p>
        </w:tc>
        <w:tc>
          <w:tcPr>
            <w:tcW w:w="6065" w:type="dxa"/>
            <w:shd w:val="clear" w:color="auto" w:fill="auto"/>
          </w:tcPr>
          <w:p>
            <w:pPr>
              <w:widowControl/>
              <w:spacing w:beforeLines="30" w:afterLines="30" w:line="360" w:lineRule="auto"/>
              <w:rPr>
                <w:bCs/>
              </w:rPr>
            </w:pPr>
            <w:r>
              <w:rPr>
                <w:bCs/>
              </w:rPr>
              <w:t>指</w:t>
            </w:r>
            <w:r>
              <w:rPr>
                <w:rFonts w:hint="eastAsia"/>
                <w:bCs/>
              </w:rPr>
              <w:t>满足本合同第9.14.3条款约定的日期</w:t>
            </w:r>
            <w:r>
              <w:rPr>
                <w:bCs/>
              </w:rPr>
              <w:t>。</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运营维护保函</w:t>
            </w:r>
          </w:p>
        </w:tc>
        <w:tc>
          <w:tcPr>
            <w:tcW w:w="6065" w:type="dxa"/>
            <w:shd w:val="clear" w:color="auto" w:fill="auto"/>
          </w:tcPr>
          <w:p>
            <w:pPr>
              <w:widowControl/>
              <w:spacing w:beforeLines="30" w:afterLines="30" w:line="360" w:lineRule="auto"/>
              <w:rPr>
                <w:bCs/>
              </w:rPr>
            </w:pPr>
            <w:r>
              <w:rPr>
                <w:bCs/>
              </w:rPr>
              <w:t>指乙方按照</w:t>
            </w:r>
            <w:r>
              <w:fldChar w:fldCharType="begin"/>
            </w:r>
            <w:r>
              <w:instrText xml:space="preserve"> REF _Ref528069037 \r \h  \* MERGEFORMAT </w:instrText>
            </w:r>
            <w:r>
              <w:fldChar w:fldCharType="separate"/>
            </w:r>
            <w:r>
              <w:rPr>
                <w:rFonts w:hint="eastAsia"/>
                <w:bCs/>
              </w:rPr>
              <w:t>第13条</w:t>
            </w:r>
            <w:r>
              <w:rPr>
                <w:rFonts w:hint="eastAsia"/>
                <w:bCs/>
              </w:rPr>
              <w:fldChar w:fldCharType="end"/>
            </w:r>
            <w:r>
              <w:rPr>
                <w:bCs/>
              </w:rPr>
              <w:t>的</w:t>
            </w:r>
            <w:r>
              <w:rPr>
                <w:rFonts w:hint="eastAsia"/>
                <w:bCs/>
              </w:rPr>
              <w:t>约</w:t>
            </w:r>
            <w:r>
              <w:rPr>
                <w:bCs/>
              </w:rPr>
              <w:t>定提供的、为其履行在本合同下的运营维护义务和其他违约赔偿义务的担保。</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项目文件</w:t>
            </w:r>
          </w:p>
        </w:tc>
        <w:tc>
          <w:tcPr>
            <w:tcW w:w="6065" w:type="dxa"/>
            <w:shd w:val="clear" w:color="auto" w:fill="auto"/>
          </w:tcPr>
          <w:p>
            <w:pPr>
              <w:widowControl/>
              <w:spacing w:beforeLines="30" w:afterLines="30" w:line="360" w:lineRule="auto"/>
              <w:rPr>
                <w:bCs/>
              </w:rPr>
            </w:pPr>
            <w:r>
              <w:rPr>
                <w:bCs/>
              </w:rPr>
              <w:t>指包括但不限于下列文件：</w:t>
            </w:r>
          </w:p>
          <w:p>
            <w:pPr>
              <w:pStyle w:val="154"/>
              <w:widowControl/>
              <w:numPr>
                <w:ilvl w:val="0"/>
                <w:numId w:val="6"/>
              </w:numPr>
              <w:spacing w:beforeLines="30" w:afterLines="30" w:line="360" w:lineRule="auto"/>
              <w:rPr>
                <w:bCs/>
                <w:sz w:val="24"/>
              </w:rPr>
            </w:pPr>
            <w:r>
              <w:rPr>
                <w:bCs/>
                <w:sz w:val="24"/>
              </w:rPr>
              <w:t>本合同及附件；</w:t>
            </w:r>
          </w:p>
          <w:p>
            <w:pPr>
              <w:pStyle w:val="154"/>
              <w:widowControl/>
              <w:numPr>
                <w:ilvl w:val="0"/>
                <w:numId w:val="6"/>
              </w:numPr>
              <w:spacing w:beforeLines="30" w:afterLines="30" w:line="360" w:lineRule="auto"/>
              <w:rPr>
                <w:bCs/>
                <w:sz w:val="24"/>
              </w:rPr>
            </w:pPr>
            <w:r>
              <w:rPr>
                <w:bCs/>
                <w:sz w:val="24"/>
              </w:rPr>
              <w:t>融资文件；</w:t>
            </w:r>
          </w:p>
          <w:p>
            <w:pPr>
              <w:widowControl/>
              <w:spacing w:beforeLines="30" w:afterLines="30" w:line="360" w:lineRule="auto"/>
              <w:rPr>
                <w:bCs/>
              </w:rPr>
            </w:pPr>
            <w:r>
              <w:rPr>
                <w:bCs/>
              </w:rPr>
              <w:t>与本项目有关的其它文件。</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项目资产</w:t>
            </w:r>
          </w:p>
        </w:tc>
        <w:tc>
          <w:tcPr>
            <w:tcW w:w="6065" w:type="dxa"/>
            <w:shd w:val="clear" w:color="auto" w:fill="auto"/>
            <w:vAlign w:val="center"/>
          </w:tcPr>
          <w:p>
            <w:pPr>
              <w:widowControl/>
              <w:spacing w:beforeLines="30" w:afterLines="30" w:line="360" w:lineRule="auto"/>
              <w:rPr>
                <w:bCs/>
              </w:rPr>
            </w:pPr>
            <w:r>
              <w:rPr>
                <w:bCs/>
              </w:rPr>
              <w:t>指与项目有关的所有资产，包括但不限于：</w:t>
            </w:r>
          </w:p>
          <w:p>
            <w:pPr>
              <w:widowControl/>
              <w:spacing w:beforeLines="30" w:afterLines="30" w:line="360" w:lineRule="auto"/>
              <w:rPr>
                <w:bCs/>
              </w:rPr>
            </w:pPr>
            <w:r>
              <w:rPr>
                <w:bCs/>
              </w:rPr>
              <w:t>(a)项目</w:t>
            </w:r>
            <w:r>
              <w:rPr>
                <w:rFonts w:hint="eastAsia"/>
                <w:bCs/>
              </w:rPr>
              <w:t>涉及</w:t>
            </w:r>
            <w:r>
              <w:rPr>
                <w:bCs/>
              </w:rPr>
              <w:t>的土地、房屋、构筑物等不动产，及设备、备品、备件、工具等动产；</w:t>
            </w:r>
          </w:p>
          <w:p>
            <w:pPr>
              <w:widowControl/>
              <w:spacing w:beforeLines="30" w:afterLines="30" w:line="360" w:lineRule="auto"/>
              <w:rPr>
                <w:bCs/>
              </w:rPr>
            </w:pPr>
            <w:r>
              <w:rPr>
                <w:bCs/>
              </w:rPr>
              <w:t>(b)</w:t>
            </w:r>
            <w:r>
              <w:rPr>
                <w:rFonts w:hint="eastAsia"/>
                <w:bCs/>
              </w:rPr>
              <w:t>土地的使用权；</w:t>
            </w:r>
          </w:p>
          <w:p>
            <w:pPr>
              <w:widowControl/>
              <w:spacing w:beforeLines="30" w:afterLines="30" w:line="360" w:lineRule="auto"/>
              <w:rPr>
                <w:bCs/>
              </w:rPr>
            </w:pPr>
            <w:r>
              <w:rPr>
                <w:bCs/>
              </w:rPr>
              <w:t>(c)乙方拥有所有权的知识产权；</w:t>
            </w:r>
          </w:p>
          <w:p>
            <w:pPr>
              <w:widowControl/>
              <w:spacing w:beforeLines="30" w:afterLines="30" w:line="360" w:lineRule="auto"/>
              <w:rPr>
                <w:bCs/>
              </w:rPr>
            </w:pPr>
            <w:r>
              <w:rPr>
                <w:bCs/>
              </w:rPr>
              <w:t>(d)项目文件项下的协议性权利；</w:t>
            </w:r>
          </w:p>
          <w:p>
            <w:pPr>
              <w:widowControl/>
              <w:spacing w:beforeLines="30" w:afterLines="30" w:line="360" w:lineRule="auto"/>
              <w:rPr>
                <w:bCs/>
              </w:rPr>
            </w:pPr>
            <w:r>
              <w:rPr>
                <w:bCs/>
              </w:rPr>
              <w:t>(e)运营和维护记录、质量保证计划等文件。</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出水</w:t>
            </w:r>
          </w:p>
        </w:tc>
        <w:tc>
          <w:tcPr>
            <w:tcW w:w="6065" w:type="dxa"/>
            <w:shd w:val="clear" w:color="auto" w:fill="auto"/>
          </w:tcPr>
          <w:p>
            <w:pPr>
              <w:widowControl/>
              <w:spacing w:beforeLines="30" w:afterLines="30" w:line="360" w:lineRule="auto"/>
              <w:rPr>
                <w:bCs/>
              </w:rPr>
            </w:pPr>
            <w:r>
              <w:rPr>
                <w:bCs/>
              </w:rPr>
              <w:t>指经污水处理厂处理后的污水出水。</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接收点</w:t>
            </w:r>
          </w:p>
        </w:tc>
        <w:tc>
          <w:tcPr>
            <w:tcW w:w="6065" w:type="dxa"/>
            <w:shd w:val="clear" w:color="auto" w:fill="auto"/>
          </w:tcPr>
          <w:p>
            <w:pPr>
              <w:widowControl/>
              <w:spacing w:beforeLines="30" w:afterLines="30" w:line="360" w:lineRule="auto"/>
              <w:rPr>
                <w:bCs/>
              </w:rPr>
            </w:pPr>
            <w:r>
              <w:t>指由</w:t>
            </w:r>
            <w:r>
              <w:rPr>
                <w:rFonts w:hint="eastAsia"/>
              </w:rPr>
              <w:t>政府方</w:t>
            </w:r>
            <w:r>
              <w:t>提供的污水到达污水处理厂的地点。</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交付点</w:t>
            </w:r>
          </w:p>
        </w:tc>
        <w:tc>
          <w:tcPr>
            <w:tcW w:w="6065" w:type="dxa"/>
            <w:shd w:val="clear" w:color="auto" w:fill="auto"/>
          </w:tcPr>
          <w:p>
            <w:pPr>
              <w:widowControl/>
              <w:spacing w:beforeLines="30" w:afterLines="30" w:line="360" w:lineRule="auto"/>
              <w:rPr>
                <w:bCs/>
              </w:rPr>
            </w:pPr>
            <w:r>
              <w:t>指经乙方按本协议</w:t>
            </w:r>
            <w:r>
              <w:rPr>
                <w:rFonts w:hint="eastAsia"/>
              </w:rPr>
              <w:t>约</w:t>
            </w:r>
            <w:r>
              <w:t>定处理后的污水交付给</w:t>
            </w:r>
            <w:r>
              <w:rPr>
                <w:rFonts w:hint="eastAsia"/>
              </w:rPr>
              <w:t>政府方</w:t>
            </w:r>
            <w:r>
              <w:t>的指定地点。</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进水</w:t>
            </w:r>
          </w:p>
        </w:tc>
        <w:tc>
          <w:tcPr>
            <w:tcW w:w="6065" w:type="dxa"/>
            <w:shd w:val="clear" w:color="auto" w:fill="auto"/>
          </w:tcPr>
          <w:p>
            <w:pPr>
              <w:widowControl/>
              <w:spacing w:beforeLines="30" w:afterLines="30" w:line="360" w:lineRule="auto"/>
            </w:pPr>
            <w:r>
              <w:t>指乙方从污水接收点接收的污水。</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进水水量</w:t>
            </w:r>
          </w:p>
        </w:tc>
        <w:tc>
          <w:tcPr>
            <w:tcW w:w="6065" w:type="dxa"/>
            <w:shd w:val="clear" w:color="auto" w:fill="auto"/>
          </w:tcPr>
          <w:p>
            <w:pPr>
              <w:widowControl/>
              <w:spacing w:beforeLines="30" w:afterLines="30" w:line="360" w:lineRule="auto"/>
            </w:pPr>
            <w:r>
              <w:t>指合作期内市住建局或</w:t>
            </w:r>
            <w:r>
              <w:rPr>
                <w:rFonts w:hint="eastAsia"/>
              </w:rPr>
              <w:t>政府指定其他单位</w:t>
            </w:r>
            <w:r>
              <w:t>每日通过其管理的污水处理厂外部管网所收集、输送至接收点的污水量总和（万立方米/日）。</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本项目运营期</w:t>
            </w:r>
          </w:p>
        </w:tc>
        <w:tc>
          <w:tcPr>
            <w:tcW w:w="6065" w:type="dxa"/>
            <w:shd w:val="clear" w:color="auto" w:fill="auto"/>
          </w:tcPr>
          <w:p>
            <w:pPr>
              <w:widowControl/>
              <w:spacing w:beforeLines="30" w:afterLines="30" w:line="360" w:lineRule="auto"/>
              <w:rPr>
                <w:bCs/>
              </w:rPr>
            </w:pPr>
            <w:r>
              <w:rPr>
                <w:bCs/>
              </w:rPr>
              <w:t>指本项目运营开始日起至本项目合作期届满之日止的期间。</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移交日</w:t>
            </w:r>
          </w:p>
        </w:tc>
        <w:tc>
          <w:tcPr>
            <w:tcW w:w="6065" w:type="dxa"/>
            <w:shd w:val="clear" w:color="auto" w:fill="auto"/>
          </w:tcPr>
          <w:p>
            <w:pPr>
              <w:widowControl/>
              <w:spacing w:beforeLines="30" w:afterLines="30" w:line="360" w:lineRule="auto"/>
              <w:rPr>
                <w:bCs/>
              </w:rPr>
            </w:pPr>
            <w:r>
              <w:rPr>
                <w:bCs/>
              </w:rPr>
              <w:t>指项目合作期届满后的第一个工作日，或经双方书面同意的乙方将该项目设施移交给甲方或市政府指定的其他机构的其他日期。</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运营年</w:t>
            </w:r>
          </w:p>
        </w:tc>
        <w:tc>
          <w:tcPr>
            <w:tcW w:w="6065" w:type="dxa"/>
            <w:shd w:val="clear" w:color="auto" w:fill="auto"/>
          </w:tcPr>
          <w:p>
            <w:pPr>
              <w:widowControl/>
              <w:spacing w:beforeLines="30" w:afterLines="30" w:line="360" w:lineRule="auto"/>
              <w:rPr>
                <w:bCs/>
              </w:rPr>
            </w:pPr>
            <w:r>
              <w:rPr>
                <w:bCs/>
              </w:rPr>
              <w:t>指本项目运营期任一年度期间，但第一（1）个运营年应在本项目运营开始日开始，至该年度的12月31日结束；最后一（1）个运营年应在该年度的1月1日开始，至本项目合作期结束之日止。</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运营开始日</w:t>
            </w:r>
          </w:p>
        </w:tc>
        <w:tc>
          <w:tcPr>
            <w:tcW w:w="6065" w:type="dxa"/>
            <w:shd w:val="clear" w:color="auto" w:fill="auto"/>
          </w:tcPr>
          <w:p>
            <w:pPr>
              <w:widowControl/>
              <w:spacing w:beforeLines="30" w:afterLines="30" w:line="360" w:lineRule="auto"/>
              <w:rPr>
                <w:bCs/>
              </w:rPr>
            </w:pPr>
            <w:r>
              <w:t>指本项目通过竣工验收合格之日的次日。</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rPr>
            </w:pPr>
            <w:r>
              <w:rPr>
                <w:b/>
                <w:bCs/>
              </w:rPr>
              <w:t>整体运营期</w:t>
            </w:r>
          </w:p>
        </w:tc>
        <w:tc>
          <w:tcPr>
            <w:tcW w:w="6065" w:type="dxa"/>
            <w:shd w:val="clear" w:color="auto" w:fill="auto"/>
          </w:tcPr>
          <w:p>
            <w:pPr>
              <w:widowControl/>
              <w:spacing w:beforeLines="30" w:afterLines="30" w:line="360" w:lineRule="auto"/>
            </w:pPr>
            <w:r>
              <w:rPr>
                <w:bCs/>
              </w:rPr>
              <w:t>指整体运营开始日至本项目合作期限届满之日止。</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批准</w:t>
            </w:r>
          </w:p>
        </w:tc>
        <w:tc>
          <w:tcPr>
            <w:tcW w:w="6065" w:type="dxa"/>
            <w:shd w:val="clear" w:color="auto" w:fill="auto"/>
          </w:tcPr>
          <w:p>
            <w:pPr>
              <w:widowControl/>
              <w:spacing w:beforeLines="30" w:afterLines="30" w:line="360" w:lineRule="auto"/>
              <w:rPr>
                <w:bCs/>
              </w:rPr>
            </w:pPr>
            <w:r>
              <w:rPr>
                <w:bCs/>
              </w:rPr>
              <w:t>指根据本合同的</w:t>
            </w:r>
            <w:r>
              <w:rPr>
                <w:rFonts w:hint="eastAsia"/>
              </w:rPr>
              <w:t>约定</w:t>
            </w:r>
            <w:r>
              <w:rPr>
                <w:bCs/>
              </w:rPr>
              <w:t>为乙方或为乙方将要进行的任何与合作有关的工程项目进行融资、建设、运营维护和移交而需从政府部门获得的书面许可、执照、同意或授权。</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认定保险赔款</w:t>
            </w:r>
          </w:p>
        </w:tc>
        <w:tc>
          <w:tcPr>
            <w:tcW w:w="6065" w:type="dxa"/>
            <w:shd w:val="clear" w:color="auto" w:fill="auto"/>
          </w:tcPr>
          <w:p>
            <w:pPr>
              <w:widowControl/>
              <w:spacing w:beforeLines="30" w:afterLines="30" w:line="360" w:lineRule="auto"/>
              <w:rPr>
                <w:bCs/>
              </w:rPr>
            </w:pPr>
            <w:r>
              <w:rPr>
                <w:bCs/>
              </w:rPr>
              <w:t>指乙方被要求获得并维持的保险所承保的事件发生时，如果乙方遵守其在本合同项下获得并维持该等保险的义务就有权获得的，但因乙方未遵守该等义务而无权获得的保险赔款。</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违约</w:t>
            </w:r>
          </w:p>
        </w:tc>
        <w:tc>
          <w:tcPr>
            <w:tcW w:w="6065" w:type="dxa"/>
            <w:shd w:val="clear" w:color="auto" w:fill="auto"/>
          </w:tcPr>
          <w:p>
            <w:pPr>
              <w:widowControl/>
              <w:spacing w:beforeLines="30" w:afterLines="30" w:line="360" w:lineRule="auto"/>
              <w:rPr>
                <w:bCs/>
              </w:rPr>
            </w:pPr>
            <w:r>
              <w:rPr>
                <w:bCs/>
              </w:rPr>
              <w:t>指本合同签约任何一方未能履行其在本合同项下的任何义务，而且这种违约不能归咎于另一方违反本合同的作为或不作为或不可抗力等。</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rFonts w:hint="eastAsia"/>
                <w:b/>
              </w:rPr>
              <w:t>违约利率</w:t>
            </w:r>
          </w:p>
        </w:tc>
        <w:tc>
          <w:tcPr>
            <w:tcW w:w="6065" w:type="dxa"/>
            <w:shd w:val="clear" w:color="auto" w:fill="auto"/>
          </w:tcPr>
          <w:p>
            <w:pPr>
              <w:widowControl/>
              <w:spacing w:beforeLines="30" w:afterLines="30" w:line="360" w:lineRule="auto"/>
              <w:rPr>
                <w:bCs/>
              </w:rPr>
            </w:pPr>
            <w:r>
              <w:rPr>
                <w:bCs/>
              </w:rPr>
              <w:t>指在违约当时适用的中国人民银行颁布的同期1-5年期贷款基准利率加两个百分点的利率（如上浮两个百分点后，违约利率标准超出了中国人民银行颁布的同期1-5年期贷款基准利率的150%，则违约利率按照中国人民银行颁布的同期1-5年期贷款基准利率的150%执行）。</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不可抗力</w:t>
            </w:r>
          </w:p>
        </w:tc>
        <w:tc>
          <w:tcPr>
            <w:tcW w:w="6065" w:type="dxa"/>
            <w:shd w:val="clear" w:color="auto" w:fill="auto"/>
          </w:tcPr>
          <w:p>
            <w:pPr>
              <w:widowControl/>
              <w:spacing w:beforeLines="30" w:afterLines="30" w:line="360" w:lineRule="auto"/>
              <w:rPr>
                <w:bCs/>
              </w:rPr>
            </w:pPr>
            <w:r>
              <w:t>指具有本合同</w:t>
            </w:r>
            <w:r>
              <w:fldChar w:fldCharType="begin"/>
            </w:r>
            <w:r>
              <w:instrText xml:space="preserve"> REF _Ref448872988 \r \h  \* MERGEFORMAT </w:instrText>
            </w:r>
            <w:r>
              <w:fldChar w:fldCharType="separate"/>
            </w:r>
            <w:r>
              <w:rPr>
                <w:rFonts w:hint="eastAsia"/>
              </w:rPr>
              <w:t>第16条</w:t>
            </w:r>
            <w:r>
              <w:rPr>
                <w:rFonts w:hint="eastAsia"/>
              </w:rPr>
              <w:fldChar w:fldCharType="end"/>
            </w:r>
            <w:r>
              <w:t>所</w:t>
            </w:r>
            <w:r>
              <w:rPr>
                <w:rFonts w:hint="eastAsia"/>
              </w:rPr>
              <w:t>约定</w:t>
            </w:r>
            <w:r>
              <w:t>的含义。</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一般补偿事件</w:t>
            </w:r>
          </w:p>
        </w:tc>
        <w:tc>
          <w:tcPr>
            <w:tcW w:w="6065" w:type="dxa"/>
            <w:shd w:val="clear" w:color="auto" w:fill="auto"/>
          </w:tcPr>
          <w:p>
            <w:pPr>
              <w:widowControl/>
              <w:spacing w:beforeLines="30" w:afterLines="30" w:line="360" w:lineRule="auto"/>
              <w:rPr>
                <w:bCs/>
              </w:rPr>
            </w:pPr>
            <w:r>
              <w:rPr>
                <w:bCs/>
              </w:rPr>
              <w:t>指</w:t>
            </w:r>
            <w:r>
              <w:t>乙方</w:t>
            </w:r>
            <w:r>
              <w:rPr>
                <w:bCs/>
              </w:rPr>
              <w:t>按本合同第</w:t>
            </w:r>
            <w:r>
              <w:fldChar w:fldCharType="begin"/>
            </w:r>
            <w:r>
              <w:instrText xml:space="preserve"> REF _Ref448873355 \r \h  \* MERGEFORMAT </w:instrText>
            </w:r>
            <w:r>
              <w:fldChar w:fldCharType="separate"/>
            </w:r>
            <w:r>
              <w:rPr>
                <w:bCs/>
              </w:rPr>
              <w:t>19.1</w:t>
            </w:r>
            <w:r>
              <w:rPr>
                <w:bCs/>
              </w:rPr>
              <w:fldChar w:fldCharType="end"/>
            </w:r>
            <w:r>
              <w:rPr>
                <w:bCs/>
              </w:rPr>
              <w:t>条款</w:t>
            </w:r>
            <w:r>
              <w:rPr>
                <w:rFonts w:hint="eastAsia"/>
              </w:rPr>
              <w:t>约定</w:t>
            </w:r>
            <w:r>
              <w:rPr>
                <w:bCs/>
              </w:rPr>
              <w:t>有权获得补偿的任一事件。</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rPr>
              <w:t>甲方的要求</w:t>
            </w:r>
          </w:p>
        </w:tc>
        <w:tc>
          <w:tcPr>
            <w:tcW w:w="6065" w:type="dxa"/>
            <w:shd w:val="clear" w:color="auto" w:fill="auto"/>
          </w:tcPr>
          <w:p>
            <w:pPr>
              <w:widowControl/>
              <w:spacing w:beforeLines="30" w:afterLines="30" w:line="360" w:lineRule="auto"/>
              <w:rPr>
                <w:bCs/>
              </w:rPr>
            </w:pPr>
            <w:r>
              <w:t>指本合同中包括的对工程范围、技术标准、质量、进度、投资、安全和文明施工的要求和说明以及根据本合同对其所作的有利于本项目建设和实施的合理的变更和修正。</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rPr>
            </w:pPr>
            <w:r>
              <w:rPr>
                <w:b/>
              </w:rPr>
              <w:t>法律变更</w:t>
            </w:r>
          </w:p>
        </w:tc>
        <w:tc>
          <w:tcPr>
            <w:tcW w:w="6065" w:type="dxa"/>
            <w:shd w:val="clear" w:color="auto" w:fill="auto"/>
          </w:tcPr>
          <w:p>
            <w:pPr>
              <w:spacing w:beforeLines="50" w:afterLines="50" w:line="360" w:lineRule="auto"/>
              <w:rPr>
                <w:bCs/>
              </w:rPr>
            </w:pPr>
            <w:r>
              <w:rPr>
                <w:bCs/>
              </w:rPr>
              <w:t>指在生效日后，中国任何政府部门颁布、修改、废除或重新解释任何适用法律：</w:t>
            </w:r>
          </w:p>
          <w:p>
            <w:pPr>
              <w:spacing w:beforeLines="50" w:afterLines="50" w:line="360" w:lineRule="auto"/>
              <w:rPr>
                <w:bCs/>
              </w:rPr>
            </w:pPr>
            <w:r>
              <w:rPr>
                <w:bCs/>
              </w:rPr>
              <w:t>(a)</w:t>
            </w:r>
            <w:r>
              <w:rPr>
                <w:bCs/>
              </w:rPr>
              <w:tab/>
            </w:r>
            <w:r>
              <w:rPr>
                <w:bCs/>
              </w:rPr>
              <w:t>导致适用于乙方或由乙方承担的税收或关税发生变化；</w:t>
            </w:r>
          </w:p>
          <w:p>
            <w:pPr>
              <w:spacing w:beforeLines="50" w:afterLines="50" w:line="360" w:lineRule="auto"/>
              <w:rPr>
                <w:bCs/>
              </w:rPr>
            </w:pPr>
            <w:r>
              <w:rPr>
                <w:bCs/>
              </w:rPr>
              <w:t>(b)</w:t>
            </w:r>
            <w:r>
              <w:rPr>
                <w:bCs/>
              </w:rPr>
              <w:tab/>
            </w:r>
            <w:r>
              <w:rPr>
                <w:bCs/>
              </w:rPr>
              <w:t>项目融资、建设、运营维护和移交要求发生变化使得乙方的资本性支出或运营成本增加。</w:t>
            </w:r>
          </w:p>
          <w:p>
            <w:pPr>
              <w:widowControl/>
              <w:spacing w:beforeLines="30" w:afterLines="30" w:line="360" w:lineRule="auto"/>
            </w:pPr>
            <w:r>
              <w:rPr>
                <w:bCs/>
              </w:rPr>
              <w:t>适用上述法律变更的结果导致增加乙方的资本性支出或运营成本，而严重损害其预期利益的情况。</w:t>
            </w:r>
          </w:p>
        </w:tc>
      </w:tr>
      <w:tr>
        <w:tblPrEx>
          <w:tblLayout w:type="fixed"/>
          <w:tblCellMar>
            <w:top w:w="0" w:type="dxa"/>
            <w:left w:w="108" w:type="dxa"/>
            <w:bottom w:w="0" w:type="dxa"/>
            <w:right w:w="108" w:type="dxa"/>
          </w:tblCellMar>
        </w:tblPrEx>
        <w:trPr>
          <w:trHeight w:val="20" w:hRule="atLeast"/>
          <w:jc w:val="right"/>
        </w:trPr>
        <w:tc>
          <w:tcPr>
            <w:tcW w:w="2268" w:type="dxa"/>
            <w:shd w:val="clear" w:color="auto" w:fill="auto"/>
          </w:tcPr>
          <w:p>
            <w:pPr>
              <w:widowControl/>
              <w:spacing w:beforeLines="30" w:afterLines="30"/>
              <w:jc w:val="center"/>
              <w:rPr>
                <w:b/>
                <w:bCs/>
              </w:rPr>
            </w:pPr>
            <w:r>
              <w:rPr>
                <w:b/>
                <w:bCs/>
              </w:rPr>
              <w:t>政府部门</w:t>
            </w:r>
          </w:p>
        </w:tc>
        <w:tc>
          <w:tcPr>
            <w:tcW w:w="6065" w:type="dxa"/>
            <w:shd w:val="clear" w:color="auto" w:fill="auto"/>
          </w:tcPr>
          <w:p>
            <w:pPr>
              <w:widowControl/>
              <w:spacing w:beforeLines="30" w:afterLines="30" w:line="360" w:lineRule="auto"/>
              <w:rPr>
                <w:bCs/>
              </w:rPr>
            </w:pPr>
            <w:r>
              <w:rPr>
                <w:bCs/>
              </w:rPr>
              <w:t>指：</w:t>
            </w:r>
          </w:p>
          <w:p>
            <w:pPr>
              <w:pStyle w:val="154"/>
              <w:widowControl/>
              <w:numPr>
                <w:ilvl w:val="0"/>
                <w:numId w:val="7"/>
              </w:numPr>
              <w:spacing w:beforeLines="30" w:afterLines="30" w:line="360" w:lineRule="auto"/>
              <w:rPr>
                <w:bCs/>
                <w:lang w:eastAsia="zh-CN"/>
              </w:rPr>
            </w:pPr>
            <w:r>
              <w:rPr>
                <w:bCs/>
                <w:sz w:val="24"/>
                <w:lang w:eastAsia="zh-CN"/>
              </w:rPr>
              <w:t>国务院及其下属的部、委、局、署，或具有中央政府行政管理功能的其他行政实体；</w:t>
            </w:r>
          </w:p>
          <w:p>
            <w:pPr>
              <w:pStyle w:val="154"/>
              <w:widowControl/>
              <w:numPr>
                <w:ilvl w:val="0"/>
                <w:numId w:val="7"/>
              </w:numPr>
              <w:spacing w:beforeLines="30" w:afterLines="30" w:line="360" w:lineRule="auto"/>
              <w:rPr>
                <w:bCs/>
                <w:lang w:eastAsia="zh-CN"/>
              </w:rPr>
            </w:pPr>
            <w:r>
              <w:rPr>
                <w:rFonts w:hint="eastAsia"/>
                <w:bCs/>
                <w:sz w:val="24"/>
                <w:lang w:eastAsia="zh-CN"/>
              </w:rPr>
              <w:t>河南省</w:t>
            </w:r>
            <w:r>
              <w:rPr>
                <w:bCs/>
                <w:sz w:val="24"/>
                <w:lang w:eastAsia="zh-CN"/>
              </w:rPr>
              <w:t>人民政府及其组成部门；</w:t>
            </w:r>
          </w:p>
          <w:p>
            <w:pPr>
              <w:pStyle w:val="154"/>
              <w:widowControl/>
              <w:numPr>
                <w:ilvl w:val="0"/>
                <w:numId w:val="7"/>
              </w:numPr>
              <w:spacing w:beforeLines="30" w:afterLines="30" w:line="360" w:lineRule="auto"/>
              <w:rPr>
                <w:bCs/>
                <w:lang w:eastAsia="zh-CN"/>
              </w:rPr>
            </w:pPr>
            <w:r>
              <w:rPr>
                <w:rFonts w:hint="eastAsia"/>
                <w:bCs/>
                <w:sz w:val="24"/>
                <w:lang w:eastAsia="zh-CN"/>
              </w:rPr>
              <w:t>许昌市</w:t>
            </w:r>
            <w:r>
              <w:rPr>
                <w:bCs/>
                <w:sz w:val="24"/>
                <w:lang w:eastAsia="zh-CN"/>
              </w:rPr>
              <w:t>人民政府及其下辖政府职能部门；</w:t>
            </w:r>
          </w:p>
          <w:p>
            <w:pPr>
              <w:pStyle w:val="154"/>
              <w:widowControl/>
              <w:numPr>
                <w:ilvl w:val="0"/>
                <w:numId w:val="7"/>
              </w:numPr>
              <w:spacing w:beforeLines="30" w:afterLines="30" w:line="360" w:lineRule="auto"/>
              <w:rPr>
                <w:bCs/>
                <w:lang w:eastAsia="zh-CN"/>
              </w:rPr>
            </w:pPr>
            <w:r>
              <w:rPr>
                <w:bCs/>
                <w:sz w:val="24"/>
                <w:lang w:eastAsia="zh-CN"/>
              </w:rPr>
              <w:t>禹州市人民政府及其下辖政府职能部门。</w:t>
            </w:r>
          </w:p>
        </w:tc>
      </w:tr>
    </w:tbl>
    <w:p>
      <w:pPr>
        <w:pStyle w:val="213"/>
        <w:spacing w:after="120"/>
        <w:rPr>
          <w:rFonts w:ascii="Times New Roman" w:hAnsi="Times New Roman"/>
        </w:rPr>
      </w:pPr>
      <w:r>
        <w:rPr>
          <w:rFonts w:ascii="Times New Roman" w:hAnsi="Times New Roman"/>
        </w:rPr>
        <w:t>解释</w:t>
      </w:r>
    </w:p>
    <w:p>
      <w:pPr>
        <w:pStyle w:val="215"/>
        <w:spacing w:after="120" w:line="360" w:lineRule="auto"/>
      </w:pPr>
      <w:r>
        <w:t>本合同中的标题仅为阅读方便所设</w:t>
      </w:r>
      <w:r>
        <w:rPr>
          <w:spacing w:val="-12"/>
        </w:rPr>
        <w:t>，</w:t>
      </w:r>
      <w:r>
        <w:t>不应影响条文的解释</w:t>
      </w:r>
      <w:r>
        <w:rPr>
          <w:spacing w:val="-12"/>
        </w:rPr>
        <w:t>。</w:t>
      </w:r>
      <w:r>
        <w:rPr>
          <w:spacing w:val="1"/>
        </w:rPr>
        <w:t>以</w:t>
      </w:r>
      <w:r>
        <w:t>下的规定同样适用于</w:t>
      </w:r>
      <w:r>
        <w:rPr>
          <w:spacing w:val="-1"/>
        </w:rPr>
        <w:t>对</w:t>
      </w:r>
      <w:r>
        <w:t>本合同进行解释，除非其上下文明确显示其不适用。</w:t>
      </w:r>
    </w:p>
    <w:p>
      <w:pPr>
        <w:pStyle w:val="215"/>
        <w:spacing w:after="120" w:line="360" w:lineRule="auto"/>
      </w:pPr>
      <w:r>
        <w:t>在本合同中：</w:t>
      </w:r>
    </w:p>
    <w:p>
      <w:pPr>
        <w:pStyle w:val="214"/>
        <w:spacing w:after="72"/>
      </w:pPr>
      <w:r>
        <w:t>协议或文件包括经修订、更新、补充或替代后的该协议或文件。</w:t>
      </w:r>
    </w:p>
    <w:p>
      <w:pPr>
        <w:pStyle w:val="214"/>
        <w:spacing w:after="72"/>
      </w:pPr>
      <w:r>
        <w:t>“元”指人民币元。</w:t>
      </w:r>
    </w:p>
    <w:p>
      <w:pPr>
        <w:pStyle w:val="214"/>
        <w:spacing w:after="72"/>
      </w:pPr>
      <w:r>
        <w:t>“一方”指按适用情况分别指甲方或乙方，包括其继承人和受让人；“双方”指甲方和乙方，包括其继承人和受让人。</w:t>
      </w:r>
    </w:p>
    <w:p>
      <w:pPr>
        <w:pStyle w:val="214"/>
        <w:spacing w:after="72"/>
      </w:pPr>
      <w:r>
        <w:t>若</w:t>
      </w:r>
      <w:r>
        <w:rPr>
          <w:rFonts w:hint="eastAsia"/>
        </w:rPr>
        <w:t>约</w:t>
      </w:r>
      <w:r>
        <w:t>定支付任何款项或提交任何书面材料之日不是工作日，则应在该等日期后的第一个工作日支付或提交。</w:t>
      </w:r>
    </w:p>
    <w:p>
      <w:pPr>
        <w:pStyle w:val="214"/>
        <w:spacing w:after="72"/>
      </w:pPr>
      <w:r>
        <w:t>任何条款、段、附表或附件指本合同的条款、段、附表或附件。</w:t>
      </w:r>
    </w:p>
    <w:p>
      <w:pPr>
        <w:pStyle w:val="214"/>
        <w:spacing w:after="72"/>
      </w:pPr>
      <w:r>
        <w:tab/>
      </w:r>
      <w:r>
        <w:t>除非本合同另有明确约定，“包括”指包括但不限于；除本合同另有明确约定，“以上”、“以下”、“以内”或“内”均含本数，“超过”、“以外”不含本数。</w:t>
      </w:r>
    </w:p>
    <w:p>
      <w:pPr>
        <w:pStyle w:val="214"/>
        <w:spacing w:after="72"/>
      </w:pPr>
      <w:r>
        <w:tab/>
      </w:r>
      <w:r>
        <w:t>所指的日、月和年均指公历的日、月和年。</w:t>
      </w:r>
    </w:p>
    <w:p>
      <w:pPr>
        <w:pStyle w:val="214"/>
        <w:spacing w:after="72"/>
      </w:pPr>
      <w:r>
        <w:t>本合同并不限制或以其它方式影响甲方及其他政府部门行使其法定行政职权。在本项目合作期内，如果本合同项下的有关约定届时被纳入相关法律规范属于甲方或其他政府部门的行政职权，适用于该相关法律规定。</w:t>
      </w:r>
    </w:p>
    <w:p>
      <w:pPr>
        <w:pStyle w:val="212"/>
        <w:spacing w:before="360" w:after="120" w:line="360" w:lineRule="auto"/>
        <w:rPr>
          <w:rFonts w:eastAsia="宋体"/>
          <w:b/>
        </w:rPr>
      </w:pPr>
      <w:bookmarkStart w:id="147" w:name="_Toc534891105"/>
      <w:r>
        <w:rPr>
          <w:rFonts w:eastAsia="宋体"/>
          <w:b/>
        </w:rPr>
        <w:t>声明与保证</w:t>
      </w:r>
      <w:bookmarkEnd w:id="147"/>
    </w:p>
    <w:p>
      <w:pPr>
        <w:pStyle w:val="213"/>
        <w:spacing w:after="120"/>
        <w:rPr>
          <w:rFonts w:ascii="Times New Roman" w:hAnsi="Times New Roman"/>
        </w:rPr>
      </w:pPr>
      <w:bookmarkStart w:id="148" w:name="_Toc417373104"/>
      <w:bookmarkStart w:id="149" w:name="_Toc320479500"/>
      <w:bookmarkStart w:id="150" w:name="_Toc417325815"/>
      <w:r>
        <w:rPr>
          <w:rFonts w:ascii="Times New Roman" w:hAnsi="Times New Roman"/>
        </w:rPr>
        <w:t>甲方的</w:t>
      </w:r>
      <w:bookmarkEnd w:id="148"/>
      <w:bookmarkEnd w:id="149"/>
      <w:bookmarkEnd w:id="150"/>
      <w:r>
        <w:rPr>
          <w:rFonts w:ascii="Times New Roman" w:hAnsi="Times New Roman"/>
        </w:rPr>
        <w:t>声明</w:t>
      </w:r>
    </w:p>
    <w:p>
      <w:pPr>
        <w:pStyle w:val="214"/>
        <w:spacing w:after="72"/>
      </w:pPr>
      <w:bookmarkStart w:id="151" w:name="_Ref448919632"/>
      <w:r>
        <w:t>本项目已经市政府同意实施，已经禹州市发展和改革委员会立项。</w:t>
      </w:r>
    </w:p>
    <w:p>
      <w:pPr>
        <w:pStyle w:val="214"/>
        <w:spacing w:after="72"/>
      </w:pPr>
      <w:bookmarkStart w:id="152" w:name="_Ref448920465"/>
      <w:r>
        <w:t>甲方已获得市政府的授权和批准签署并履行本合同，本合同一经签订，即对甲方具有完全的法律约束力；签订和履行本合同的条款、条件、义务不会导致甲方违反适用法律、行政决定、生效判决和仲裁裁决的强制性规定，违反其与第三方合同的条款、条件和承诺，也不会引致任何利益冲突</w:t>
      </w:r>
      <w:bookmarkEnd w:id="152"/>
      <w:r>
        <w:t>。</w:t>
      </w:r>
    </w:p>
    <w:bookmarkEnd w:id="151"/>
    <w:p>
      <w:pPr>
        <w:pStyle w:val="214"/>
        <w:spacing w:after="72"/>
      </w:pPr>
      <w:r>
        <w:t>甲方就第</w:t>
      </w:r>
      <w:r>
        <w:fldChar w:fldCharType="begin"/>
      </w:r>
      <w:r>
        <w:instrText xml:space="preserve"> REF _Ref448919632 \r \h  \* MERGEFORMAT </w:instrText>
      </w:r>
      <w:r>
        <w:fldChar w:fldCharType="separate"/>
      </w:r>
      <w:r>
        <w:t>2.1.1</w:t>
      </w:r>
      <w:r>
        <w:fldChar w:fldCharType="end"/>
      </w:r>
      <w:r>
        <w:t>条款、第</w:t>
      </w:r>
      <w:r>
        <w:fldChar w:fldCharType="begin"/>
      </w:r>
      <w:r>
        <w:instrText xml:space="preserve"> REF _Ref448920465 \r \h  \* MERGEFORMAT </w:instrText>
      </w:r>
      <w:r>
        <w:fldChar w:fldCharType="separate"/>
      </w:r>
      <w:r>
        <w:t>2.1.2</w:t>
      </w:r>
      <w:r>
        <w:fldChar w:fldCharType="end"/>
      </w:r>
      <w:r>
        <w:t>条款的各项声明和保证被证明在作出之时在实质方面不属实，乙方有权根据第</w:t>
      </w:r>
      <w:r>
        <w:fldChar w:fldCharType="begin"/>
      </w:r>
      <w:r>
        <w:instrText xml:space="preserve"> REF _Ref448740994 \r \h  \* MERGEFORMAT </w:instrText>
      </w:r>
      <w:r>
        <w:fldChar w:fldCharType="separate"/>
      </w:r>
      <w:r>
        <w:t>17.2</w:t>
      </w:r>
      <w:r>
        <w:fldChar w:fldCharType="end"/>
      </w:r>
      <w:r>
        <w:t>条款的</w:t>
      </w:r>
      <w:r>
        <w:rPr>
          <w:rFonts w:hint="eastAsia"/>
        </w:rPr>
        <w:t>约</w:t>
      </w:r>
      <w:r>
        <w:t>定终止本合同。</w:t>
      </w:r>
    </w:p>
    <w:p>
      <w:pPr>
        <w:pStyle w:val="213"/>
        <w:spacing w:after="120"/>
        <w:rPr>
          <w:rFonts w:ascii="Times New Roman" w:hAnsi="Times New Roman"/>
          <w:b/>
        </w:rPr>
      </w:pPr>
      <w:bookmarkStart w:id="153" w:name="_Toc417325816"/>
      <w:bookmarkStart w:id="154" w:name="_Toc320479501"/>
      <w:bookmarkStart w:id="155" w:name="_Toc417373105"/>
      <w:r>
        <w:rPr>
          <w:rFonts w:hint="eastAsia" w:ascii="Times New Roman" w:hAnsi="Times New Roman"/>
          <w:b/>
        </w:rPr>
        <w:t>乙方的</w:t>
      </w:r>
      <w:bookmarkEnd w:id="153"/>
      <w:bookmarkEnd w:id="154"/>
      <w:bookmarkEnd w:id="155"/>
      <w:r>
        <w:rPr>
          <w:rFonts w:hint="eastAsia" w:ascii="Times New Roman" w:hAnsi="Times New Roman"/>
          <w:b/>
        </w:rPr>
        <w:t>声明</w:t>
      </w:r>
      <w:r>
        <w:rPr>
          <w:rFonts w:hint="eastAsia"/>
          <w:b/>
        </w:rPr>
        <w:t>★</w:t>
      </w:r>
    </w:p>
    <w:p>
      <w:pPr>
        <w:pStyle w:val="214"/>
        <w:spacing w:after="72"/>
      </w:pPr>
      <w:bookmarkStart w:id="156" w:name="_Ref448921440"/>
      <w:bookmarkStart w:id="157" w:name="_Ref448919832"/>
      <w:r>
        <w:t>乙方已经依据中国法律在禹州市正式成立并注册。</w:t>
      </w:r>
      <w:bookmarkEnd w:id="156"/>
    </w:p>
    <w:p>
      <w:pPr>
        <w:pStyle w:val="214"/>
        <w:spacing w:after="72"/>
      </w:pPr>
      <w:bookmarkStart w:id="158" w:name="_Ref448921455"/>
      <w:r>
        <w:t>乙方已经取得了与签署和履行本合同有关的一切内部、外部的授权和许可，本合同一经签署，即对乙方具有完全的法律约束力，签署和履行本合同的条款、条件、义务不会导致乙方违反适用法律、行政决定、生效判决和仲裁裁决的强制性规定，违反其与第三方合同的条款、条件和承诺，也不会引致任何利益冲突。</w:t>
      </w:r>
      <w:bookmarkEnd w:id="158"/>
    </w:p>
    <w:p>
      <w:pPr>
        <w:pStyle w:val="214"/>
        <w:spacing w:after="72"/>
      </w:pPr>
      <w:bookmarkStart w:id="159" w:name="_Ref448921472"/>
      <w:r>
        <w:t>乙方已经为本合同的履行准备了足够的资金、人员和设备，将从财务、设备和技术力量等一切可能与本合同的履行有关的方面确保该等合同项下各项义务的履行。</w:t>
      </w:r>
    </w:p>
    <w:bookmarkEnd w:id="157"/>
    <w:bookmarkEnd w:id="159"/>
    <w:p>
      <w:pPr>
        <w:pStyle w:val="214"/>
        <w:spacing w:after="72"/>
      </w:pPr>
      <w:r>
        <w:t>如果乙方在上述第</w:t>
      </w:r>
      <w:r>
        <w:fldChar w:fldCharType="begin"/>
      </w:r>
      <w:r>
        <w:instrText xml:space="preserve"> REF _Ref448921440 \r \h  \* MERGEFORMAT </w:instrText>
      </w:r>
      <w:r>
        <w:fldChar w:fldCharType="separate"/>
      </w:r>
      <w:r>
        <w:t>2.2.1</w:t>
      </w:r>
      <w:r>
        <w:fldChar w:fldCharType="end"/>
      </w:r>
      <w:r>
        <w:t>条款、第</w:t>
      </w:r>
      <w:r>
        <w:fldChar w:fldCharType="begin"/>
      </w:r>
      <w:r>
        <w:instrText xml:space="preserve"> REF _Ref448921455 \r \h  \* MERGEFORMAT </w:instrText>
      </w:r>
      <w:r>
        <w:fldChar w:fldCharType="separate"/>
      </w:r>
      <w:r>
        <w:t>2.2.2</w:t>
      </w:r>
      <w:r>
        <w:fldChar w:fldCharType="end"/>
      </w:r>
      <w:r>
        <w:t>条款或第</w:t>
      </w:r>
      <w:r>
        <w:fldChar w:fldCharType="begin"/>
      </w:r>
      <w:r>
        <w:instrText xml:space="preserve"> REF _Ref448921472 \r \h  \* MERGEFORMAT </w:instrText>
      </w:r>
      <w:r>
        <w:fldChar w:fldCharType="separate"/>
      </w:r>
      <w:r>
        <w:t>2.2.3</w:t>
      </w:r>
      <w:r>
        <w:fldChar w:fldCharType="end"/>
      </w:r>
      <w:r>
        <w:t>条款下所作的声明被证明在作出之时在实质方面不属实，甲方有权根据第</w:t>
      </w:r>
      <w:r>
        <w:fldChar w:fldCharType="begin"/>
      </w:r>
      <w:r>
        <w:instrText xml:space="preserve"> REF _Ref448740971 \r \h  \* MERGEFORMAT </w:instrText>
      </w:r>
      <w:r>
        <w:fldChar w:fldCharType="separate"/>
      </w:r>
      <w:r>
        <w:t>17.1</w:t>
      </w:r>
      <w:r>
        <w:fldChar w:fldCharType="end"/>
      </w:r>
      <w:r>
        <w:t>条款的</w:t>
      </w:r>
      <w:r>
        <w:rPr>
          <w:rFonts w:hint="eastAsia"/>
        </w:rPr>
        <w:t>约</w:t>
      </w:r>
      <w:r>
        <w:t>定终止本合同。</w:t>
      </w:r>
    </w:p>
    <w:p>
      <w:pPr>
        <w:pStyle w:val="213"/>
        <w:spacing w:after="120"/>
        <w:rPr>
          <w:rFonts w:ascii="Times New Roman" w:hAnsi="Times New Roman"/>
        </w:rPr>
      </w:pPr>
      <w:bookmarkStart w:id="160" w:name="_Toc395167829"/>
      <w:r>
        <w:rPr>
          <w:rFonts w:ascii="Times New Roman" w:hAnsi="Times New Roman"/>
        </w:rPr>
        <w:t>不限制甲方法定权力</w:t>
      </w:r>
      <w:bookmarkEnd w:id="160"/>
    </w:p>
    <w:p>
      <w:pPr>
        <w:pStyle w:val="216"/>
        <w:ind w:firstLine="420"/>
      </w:pPr>
      <w:r>
        <w:t>本协议不限制甲方行使其法定权</w:t>
      </w:r>
      <w:r>
        <w:rPr>
          <w:rFonts w:hint="eastAsia"/>
        </w:rPr>
        <w:t>力</w:t>
      </w:r>
      <w:r>
        <w:t>。</w:t>
      </w:r>
    </w:p>
    <w:p>
      <w:pPr>
        <w:pStyle w:val="212"/>
        <w:spacing w:before="360" w:after="120"/>
        <w:rPr>
          <w:rStyle w:val="217"/>
          <w:rFonts w:eastAsiaTheme="minorEastAsia"/>
          <w:b/>
          <w:color w:val="auto"/>
          <w:kern w:val="0"/>
        </w:rPr>
      </w:pPr>
      <w:bookmarkStart w:id="161" w:name="_Toc514664038"/>
      <w:bookmarkStart w:id="162" w:name="_Toc534891106"/>
      <w:bookmarkStart w:id="163" w:name="_Toc144196908"/>
      <w:r>
        <w:rPr>
          <w:rStyle w:val="217"/>
          <w:rFonts w:eastAsiaTheme="minorEastAsia"/>
          <w:b/>
          <w:color w:val="auto"/>
          <w:kern w:val="0"/>
        </w:rPr>
        <w:t>项目概况</w:t>
      </w:r>
      <w:bookmarkEnd w:id="161"/>
      <w:bookmarkEnd w:id="162"/>
    </w:p>
    <w:p>
      <w:pPr>
        <w:pStyle w:val="213"/>
        <w:spacing w:after="120"/>
        <w:rPr>
          <w:rFonts w:ascii="Times New Roman" w:hAnsi="Times New Roman"/>
        </w:rPr>
      </w:pPr>
      <w:bookmarkStart w:id="164" w:name="_Toc514664039"/>
      <w:bookmarkStart w:id="165" w:name="_Ref528068992"/>
      <w:r>
        <w:rPr>
          <w:rFonts w:ascii="Times New Roman" w:hAnsi="Times New Roman"/>
        </w:rPr>
        <w:t>项目概况</w:t>
      </w:r>
      <w:bookmarkEnd w:id="164"/>
      <w:bookmarkEnd w:id="165"/>
    </w:p>
    <w:p>
      <w:pPr>
        <w:pStyle w:val="214"/>
        <w:spacing w:after="72"/>
      </w:pPr>
      <w:r>
        <w:t>本项目全称为</w:t>
      </w:r>
      <w:r>
        <w:rPr>
          <w:rFonts w:hint="eastAsia"/>
        </w:rPr>
        <w:t>禹州市绿色铸造园区与陶瓷园区污水处理厂PPP项目</w:t>
      </w:r>
      <w:r>
        <w:t>。</w:t>
      </w:r>
    </w:p>
    <w:p>
      <w:pPr>
        <w:pStyle w:val="214"/>
        <w:spacing w:after="72"/>
      </w:pPr>
      <w:r>
        <w:t>本项目主要建设一座日处理规模达到1.5万吨的污水处理厂，污水排放标准达到《城镇污水处理厂污染物排放标准》（GB18918-2002）一级A排放标准。</w:t>
      </w:r>
      <w:r>
        <w:rPr>
          <w:rFonts w:hint="eastAsia"/>
        </w:rPr>
        <w:t>主要建设内容如下：</w:t>
      </w:r>
    </w:p>
    <w:p>
      <w:pPr>
        <w:pStyle w:val="214"/>
        <w:numPr>
          <w:ilvl w:val="0"/>
          <w:numId w:val="0"/>
        </w:numPr>
        <w:spacing w:after="72"/>
        <w:ind w:left="1418"/>
      </w:pPr>
      <w:r>
        <w:t>项目主要建设粗格栅及进水泵房、细格栅及旋流沉砂池、水解酸化池、生物池2座、污泥泵站、二沉池2座、中间提升泵房、反应沉淀池、纤维转盘滤池、贮泥池、紫外线消毒渠及巴氏计量槽、加药间及碳源投加间、污泥浓缩脱水机房、中心配电室及鼓风机房、综合办公楼、维修间及仓库、车棚以及厂区工艺、厂区相关设备和其他配套设施</w:t>
      </w:r>
      <w:r>
        <w:rPr>
          <w:rFonts w:hint="eastAsia"/>
        </w:rPr>
        <w:t>等</w:t>
      </w:r>
      <w:r>
        <w:t>；</w:t>
      </w:r>
    </w:p>
    <w:p>
      <w:pPr>
        <w:pStyle w:val="214"/>
        <w:spacing w:after="72"/>
      </w:pPr>
      <w:r>
        <w:t>本项目收水范围包括禹州市绿色铸造示范产业园和禹州市陶瓷专业园两个区域，具体如下：</w:t>
      </w:r>
    </w:p>
    <w:p>
      <w:pPr>
        <w:pStyle w:val="214"/>
        <w:numPr>
          <w:ilvl w:val="0"/>
          <w:numId w:val="0"/>
        </w:numPr>
        <w:spacing w:after="72"/>
        <w:ind w:left="1418"/>
      </w:pPr>
      <w:r>
        <w:t>根据《河南禹州绿色铸造示范产业园总体发展规划》（2016-2025），规划范围为：东至禹登铁路，西至桐赵路，南至规划桐赵路-五号路，北至燕磨线，规划面积为3.67平方公里，包括铸造园区预处理达标的工业废水和生活污水。</w:t>
      </w:r>
    </w:p>
    <w:p>
      <w:pPr>
        <w:pStyle w:val="214"/>
        <w:numPr>
          <w:ilvl w:val="0"/>
          <w:numId w:val="0"/>
        </w:numPr>
        <w:spacing w:after="72"/>
        <w:ind w:left="1418"/>
      </w:pPr>
      <w:r>
        <w:t>根据《禹州市陶瓷专业园总体发展规划》（2016-2025），规划范围为：北临燕磨线，南临龙岗电厂，东至白沙南干渠，西至桐赵路，规划面积5.00平方公里，包括陶瓷园区预处理达标的工业废水和生活污水。</w:t>
      </w:r>
    </w:p>
    <w:p>
      <w:pPr>
        <w:pStyle w:val="214"/>
        <w:spacing w:after="72"/>
      </w:pPr>
      <w:r>
        <w:rPr>
          <w:rFonts w:hint="eastAsia"/>
        </w:rPr>
        <w:t>本项目</w:t>
      </w:r>
      <w:r>
        <w:t>工程范围以政府相关部门最新批复文件为准。</w:t>
      </w:r>
    </w:p>
    <w:p>
      <w:pPr>
        <w:pStyle w:val="213"/>
        <w:spacing w:after="120"/>
        <w:rPr>
          <w:rFonts w:ascii="Times New Roman" w:hAnsi="Times New Roman"/>
        </w:rPr>
      </w:pPr>
      <w:r>
        <w:rPr>
          <w:rFonts w:ascii="Times New Roman" w:hAnsi="Times New Roman"/>
        </w:rPr>
        <w:t>项目总投资</w:t>
      </w:r>
    </w:p>
    <w:p>
      <w:pPr>
        <w:pStyle w:val="214"/>
        <w:spacing w:after="72"/>
      </w:pPr>
      <w:r>
        <w:rPr>
          <w:rFonts w:hint="eastAsia"/>
        </w:rPr>
        <w:t>根据</w:t>
      </w:r>
      <w:r>
        <w:t xml:space="preserve">经批复的本项目可行性研究报告（禹州市发改城市[2018]14号）列明的项目静态总投资规模如下： </w:t>
      </w:r>
    </w:p>
    <w:p>
      <w:pPr>
        <w:pStyle w:val="214"/>
        <w:numPr>
          <w:ilvl w:val="0"/>
          <w:numId w:val="0"/>
        </w:numPr>
        <w:spacing w:after="72"/>
        <w:ind w:left="1418"/>
      </w:pPr>
      <w:r>
        <w:t>本项目静态总投资6464.44万元，其中</w:t>
      </w:r>
      <w:r>
        <w:rPr>
          <w:rFonts w:hint="eastAsia"/>
        </w:rPr>
        <w:t>第一部分费用 5095.85万元，其他费用 780.91 万元(不含土地费用)，工程预备费 587.68 万元</w:t>
      </w:r>
      <w:r>
        <w:t>。</w:t>
      </w:r>
    </w:p>
    <w:p>
      <w:pPr>
        <w:pStyle w:val="214"/>
        <w:spacing w:after="72"/>
      </w:pPr>
      <w:r>
        <w:rPr>
          <w:rFonts w:hint="eastAsia"/>
        </w:rPr>
        <w:t>本</w:t>
      </w:r>
      <w:r>
        <w:t>项目总投资以政府相关部门最新批复文件为准。</w:t>
      </w:r>
    </w:p>
    <w:p>
      <w:pPr>
        <w:pStyle w:val="213"/>
        <w:spacing w:after="120"/>
        <w:rPr>
          <w:rFonts w:ascii="Times New Roman" w:hAnsi="Times New Roman"/>
          <w:b/>
        </w:rPr>
      </w:pPr>
      <w:bookmarkStart w:id="166" w:name="_Toc514664041"/>
      <w:r>
        <w:rPr>
          <w:rFonts w:hint="eastAsia" w:ascii="Times New Roman" w:hAnsi="Times New Roman"/>
          <w:b/>
        </w:rPr>
        <w:t>运作模式</w:t>
      </w:r>
      <w:bookmarkEnd w:id="166"/>
      <w:r>
        <w:rPr>
          <w:rFonts w:hint="eastAsia"/>
          <w:b/>
        </w:rPr>
        <w:t>★</w:t>
      </w:r>
    </w:p>
    <w:p>
      <w:pPr>
        <w:pStyle w:val="214"/>
        <w:numPr>
          <w:ilvl w:val="0"/>
          <w:numId w:val="0"/>
        </w:numPr>
        <w:spacing w:after="72"/>
        <w:ind w:left="567"/>
      </w:pPr>
      <w:r>
        <w:t>依据经批复的实施方案，本项目采用BOT（建设-运营-移交）运作方式，即由乙方在合作期内负责本项目的</w:t>
      </w:r>
      <w:r>
        <w:rPr>
          <w:rFonts w:hint="eastAsia"/>
        </w:rPr>
        <w:t>设计、</w:t>
      </w:r>
      <w:r>
        <w:t>融资、投资、建设和运营工作，并获得</w:t>
      </w:r>
      <w:r>
        <w:rPr>
          <w:rFonts w:hint="eastAsia"/>
        </w:rPr>
        <w:t>污水处理服务费</w:t>
      </w:r>
      <w:r>
        <w:t>。合作期满后，乙方将项目</w:t>
      </w:r>
      <w:r>
        <w:rPr>
          <w:rFonts w:hint="eastAsia"/>
        </w:rPr>
        <w:t>相关设施设备</w:t>
      </w:r>
      <w:r>
        <w:t>无偿移交给甲方或政府指定的其他机构。</w:t>
      </w:r>
    </w:p>
    <w:p>
      <w:pPr>
        <w:pStyle w:val="213"/>
        <w:spacing w:after="120"/>
        <w:rPr>
          <w:rFonts w:ascii="Times New Roman" w:hAnsi="Times New Roman"/>
          <w:b/>
        </w:rPr>
      </w:pPr>
      <w:bookmarkStart w:id="167" w:name="_Toc514664042"/>
      <w:r>
        <w:rPr>
          <w:rFonts w:hint="eastAsia" w:ascii="Times New Roman" w:hAnsi="Times New Roman"/>
          <w:b/>
        </w:rPr>
        <w:t>项目投融资结构</w:t>
      </w:r>
      <w:bookmarkEnd w:id="167"/>
      <w:r>
        <w:rPr>
          <w:rFonts w:hint="eastAsia"/>
          <w:b/>
        </w:rPr>
        <w:t>★</w:t>
      </w:r>
    </w:p>
    <w:p>
      <w:pPr>
        <w:pStyle w:val="214"/>
        <w:numPr>
          <w:ilvl w:val="0"/>
          <w:numId w:val="0"/>
        </w:numPr>
        <w:spacing w:after="72"/>
        <w:ind w:left="567"/>
      </w:pPr>
      <w:r>
        <w:t>依据本项目经批复的实施方案，乙方应投入的项目资本金</w:t>
      </w:r>
      <w:r>
        <w:rPr>
          <w:rFonts w:hint="eastAsia"/>
        </w:rPr>
        <w:t>不得低于本项目总投资</w:t>
      </w:r>
      <w:r>
        <w:t>的20%（含乙方股东所实缴的公司注册资本），项目资本金应为非债务性资金，中标人应均以现金出资。其他80%的建设资金乙方可通过项目公司融资等合法方式筹集。</w:t>
      </w:r>
    </w:p>
    <w:p>
      <w:pPr>
        <w:pStyle w:val="213"/>
        <w:spacing w:after="120"/>
        <w:rPr>
          <w:rFonts w:ascii="Times New Roman" w:hAnsi="Times New Roman"/>
          <w:b/>
        </w:rPr>
      </w:pPr>
      <w:bookmarkStart w:id="168" w:name="_Toc514664043"/>
      <w:r>
        <w:rPr>
          <w:rFonts w:hint="eastAsia" w:ascii="Times New Roman" w:hAnsi="Times New Roman"/>
          <w:b/>
        </w:rPr>
        <w:t>回报机制</w:t>
      </w:r>
      <w:bookmarkEnd w:id="168"/>
      <w:r>
        <w:rPr>
          <w:rFonts w:hint="eastAsia"/>
          <w:b/>
        </w:rPr>
        <w:t>★</w:t>
      </w:r>
    </w:p>
    <w:p>
      <w:pPr>
        <w:pStyle w:val="214"/>
        <w:numPr>
          <w:ilvl w:val="0"/>
          <w:numId w:val="0"/>
        </w:numPr>
        <w:spacing w:after="72"/>
        <w:ind w:left="567"/>
      </w:pPr>
      <w:r>
        <w:t>项目回报机制</w:t>
      </w:r>
      <w:r>
        <w:rPr>
          <w:rFonts w:hint="eastAsia"/>
        </w:rPr>
        <w:t>为可行性缺口补助</w:t>
      </w:r>
      <w:r>
        <w:t>。即在本项目竣工验收合格后，由乙方为</w:t>
      </w:r>
      <w:r>
        <w:rPr>
          <w:rFonts w:hint="eastAsia"/>
        </w:rPr>
        <w:t>禹州市绿色铸造园区和陶瓷园区</w:t>
      </w:r>
      <w:r>
        <w:t>提供</w:t>
      </w:r>
      <w:r>
        <w:rPr>
          <w:rFonts w:hint="eastAsia"/>
        </w:rPr>
        <w:t>污水处理</w:t>
      </w:r>
      <w:r>
        <w:t>服务。运营期内，</w:t>
      </w:r>
      <w:r>
        <w:rPr>
          <w:rFonts w:hint="eastAsia"/>
          <w:szCs w:val="28"/>
        </w:rPr>
        <w:t>乙方根据达标污水处理情况及绩效考核结果获得污水处理服务费。乙方获得的污水处理服务费主要由两部分构成：一是从污水排放企业获得污水处理费，二是由政府对污水处理费与乙方应获得污水处理服务费之间的差额部分进行补贴，</w:t>
      </w:r>
      <w:r>
        <w:t>以使乙方收回投资并获得合理回报。</w:t>
      </w:r>
    </w:p>
    <w:bookmarkEnd w:id="163"/>
    <w:p>
      <w:pPr>
        <w:pStyle w:val="212"/>
        <w:spacing w:before="360" w:after="120" w:line="360" w:lineRule="auto"/>
        <w:rPr>
          <w:rFonts w:eastAsia="宋体"/>
          <w:b/>
        </w:rPr>
      </w:pPr>
      <w:bookmarkStart w:id="169" w:name="_Toc534891107"/>
      <w:r>
        <w:rPr>
          <w:rFonts w:hint="eastAsia" w:eastAsia="宋体"/>
          <w:b/>
        </w:rPr>
        <w:t>项目公司设立及融资交割</w:t>
      </w:r>
      <w:bookmarkEnd w:id="169"/>
    </w:p>
    <w:p>
      <w:pPr>
        <w:pStyle w:val="213"/>
        <w:spacing w:after="120"/>
        <w:rPr>
          <w:rFonts w:ascii="Times New Roman" w:hAnsi="Times New Roman"/>
        </w:rPr>
      </w:pPr>
      <w:bookmarkStart w:id="170" w:name="_Toc417325836"/>
      <w:bookmarkStart w:id="171" w:name="_Toc417373118"/>
      <w:r>
        <w:rPr>
          <w:rFonts w:ascii="Times New Roman" w:hAnsi="Times New Roman"/>
        </w:rPr>
        <w:t>项目总投资规模及其构成</w:t>
      </w:r>
      <w:bookmarkEnd w:id="170"/>
      <w:bookmarkEnd w:id="171"/>
    </w:p>
    <w:p>
      <w:pPr>
        <w:pStyle w:val="218"/>
        <w:spacing w:afterLines="50"/>
      </w:pPr>
      <w:r>
        <w:t xml:space="preserve">经批复的本项目可行性研究报告（禹州市发改城市[2018]14号）列明的项目静态总投资规模如下： </w:t>
      </w:r>
    </w:p>
    <w:p>
      <w:pPr>
        <w:pStyle w:val="218"/>
        <w:spacing w:afterLines="50"/>
      </w:pPr>
      <w:r>
        <w:t>本项目静态总投资6464.44万元，其中</w:t>
      </w:r>
      <w:r>
        <w:rPr>
          <w:rFonts w:hint="eastAsia"/>
        </w:rPr>
        <w:t>第一部分费用 5095.85万元，其他费用 780.91 万元(不含土地费用)，工程预备费 587.68 万元</w:t>
      </w:r>
      <w:r>
        <w:t>。</w:t>
      </w:r>
    </w:p>
    <w:p>
      <w:pPr>
        <w:pStyle w:val="214"/>
        <w:numPr>
          <w:ilvl w:val="0"/>
          <w:numId w:val="0"/>
        </w:numPr>
        <w:spacing w:after="72"/>
        <w:ind w:left="1418" w:hanging="851"/>
      </w:pPr>
      <w:r>
        <w:rPr>
          <w:rFonts w:hint="eastAsia"/>
        </w:rPr>
        <w:t>本</w:t>
      </w:r>
      <w:r>
        <w:t>项目总投资以政府相关部门最新批复文件为准。</w:t>
      </w:r>
    </w:p>
    <w:p>
      <w:pPr>
        <w:pStyle w:val="213"/>
        <w:spacing w:after="120"/>
        <w:rPr>
          <w:rFonts w:ascii="Times New Roman" w:hAnsi="Times New Roman"/>
        </w:rPr>
      </w:pPr>
      <w:bookmarkStart w:id="172" w:name="_Ref483633223"/>
      <w:bookmarkStart w:id="173" w:name="_Toc417325837"/>
      <w:bookmarkStart w:id="174" w:name="_Toc417373119"/>
      <w:r>
        <w:rPr>
          <w:rFonts w:ascii="Times New Roman" w:hAnsi="Times New Roman"/>
        </w:rPr>
        <w:t>项目资本金</w:t>
      </w:r>
      <w:bookmarkEnd w:id="172"/>
    </w:p>
    <w:p>
      <w:pPr>
        <w:pStyle w:val="214"/>
        <w:spacing w:after="72"/>
      </w:pPr>
      <w:r>
        <w:t>项目的资本金比例</w:t>
      </w:r>
      <w:r>
        <w:rPr>
          <w:rFonts w:hint="eastAsia"/>
        </w:rPr>
        <w:t>不低于项目</w:t>
      </w:r>
      <w:r>
        <w:t>总投资的百分之二十（20%），乙方注册资本金额</w:t>
      </w:r>
      <w:r>
        <w:rPr>
          <w:rFonts w:hint="eastAsia"/>
        </w:rPr>
        <w:t>壹仟万元（</w:t>
      </w:r>
      <w:r>
        <w:rPr>
          <w:rFonts w:hint="eastAsia" w:ascii="宋体" w:hAnsi="宋体"/>
        </w:rPr>
        <w:t>¥</w:t>
      </w:r>
      <w:r>
        <w:rPr>
          <w:rFonts w:hint="eastAsia"/>
        </w:rPr>
        <w:t>10，000，000.00）</w:t>
      </w:r>
      <w:r>
        <w:t>，【中标人名称】的出资比例为百分之百（100%）。</w:t>
      </w:r>
    </w:p>
    <w:p>
      <w:pPr>
        <w:pStyle w:val="214"/>
        <w:spacing w:after="72"/>
      </w:pPr>
      <w:r>
        <w:t>生效日起六十（60）个工作日内，中标人应将其应出资额的百分之三十（30%）出资到位；</w:t>
      </w:r>
      <w:r>
        <w:rPr>
          <w:rFonts w:hint="eastAsia"/>
        </w:rPr>
        <w:t>生效日起一百二十（</w:t>
      </w:r>
      <w:r>
        <w:t>120</w:t>
      </w:r>
      <w:r>
        <w:rPr>
          <w:rFonts w:hint="eastAsia"/>
        </w:rPr>
        <w:t>）个工作日内</w:t>
      </w:r>
      <w:r>
        <w:t>，中标人应将</w:t>
      </w:r>
      <w:r>
        <w:rPr>
          <w:rFonts w:hint="eastAsia"/>
        </w:rPr>
        <w:t>剩余</w:t>
      </w:r>
      <w:r>
        <w:t>其应出资额的百分之七十（70%）出资到位。</w:t>
      </w:r>
    </w:p>
    <w:p>
      <w:pPr>
        <w:pStyle w:val="213"/>
        <w:spacing w:after="120"/>
        <w:rPr>
          <w:rFonts w:ascii="Times New Roman" w:hAnsi="Times New Roman"/>
        </w:rPr>
      </w:pPr>
      <w:r>
        <w:rPr>
          <w:rFonts w:ascii="Times New Roman" w:hAnsi="Times New Roman"/>
        </w:rPr>
        <w:t>融资交割</w:t>
      </w:r>
    </w:p>
    <w:p>
      <w:pPr>
        <w:pStyle w:val="214"/>
        <w:spacing w:after="72"/>
      </w:pPr>
      <w:bookmarkStart w:id="175" w:name="_Ref483379850"/>
      <w:r>
        <w:t>乙方应在生效日</w:t>
      </w:r>
      <w:r>
        <w:rPr>
          <w:rFonts w:hint="eastAsia"/>
        </w:rPr>
        <w:t>九十（9</w:t>
      </w:r>
      <w:r>
        <w:t>0</w:t>
      </w:r>
      <w:r>
        <w:rPr>
          <w:rFonts w:hint="eastAsia"/>
        </w:rPr>
        <w:t>）</w:t>
      </w:r>
      <w:r>
        <w:t>个工作日内完成融资交割。</w:t>
      </w:r>
      <w:bookmarkEnd w:id="175"/>
    </w:p>
    <w:p>
      <w:pPr>
        <w:pStyle w:val="214"/>
        <w:spacing w:after="72"/>
      </w:pPr>
      <w:r>
        <w:t>当下述条件同时具备时，视为乙方完成前款所述的融资交割：</w:t>
      </w:r>
    </w:p>
    <w:p>
      <w:pPr>
        <w:pStyle w:val="11"/>
        <w:numPr>
          <w:ilvl w:val="0"/>
          <w:numId w:val="8"/>
        </w:numPr>
        <w:spacing w:beforeLines="50" w:after="120" w:line="360" w:lineRule="auto"/>
        <w:ind w:left="1134" w:firstLine="0"/>
        <w:rPr>
          <w:sz w:val="24"/>
        </w:rPr>
      </w:pPr>
      <w:r>
        <w:rPr>
          <w:rFonts w:hint="eastAsia"/>
          <w:sz w:val="24"/>
        </w:rPr>
        <w:t>乙方股东应按照第</w:t>
      </w:r>
      <w:r>
        <w:fldChar w:fldCharType="begin"/>
      </w:r>
      <w:r>
        <w:instrText xml:space="preserve"> REF _Ref483633223 \r \h  \* MERGEFORMAT </w:instrText>
      </w:r>
      <w:r>
        <w:fldChar w:fldCharType="separate"/>
      </w:r>
      <w:r>
        <w:rPr>
          <w:sz w:val="24"/>
        </w:rPr>
        <w:t>4.2</w:t>
      </w:r>
      <w:r>
        <w:rPr>
          <w:sz w:val="24"/>
        </w:rPr>
        <w:fldChar w:fldCharType="end"/>
      </w:r>
      <w:r>
        <w:rPr>
          <w:rFonts w:hint="eastAsia"/>
          <w:sz w:val="24"/>
        </w:rPr>
        <w:t>条款要求，完成对乙方注册资本的首期出资，并提供进账单；以及</w:t>
      </w:r>
    </w:p>
    <w:p>
      <w:pPr>
        <w:pStyle w:val="11"/>
        <w:numPr>
          <w:ilvl w:val="0"/>
          <w:numId w:val="8"/>
        </w:numPr>
        <w:spacing w:beforeLines="50" w:after="120" w:line="360" w:lineRule="auto"/>
        <w:ind w:left="1134" w:firstLine="0"/>
      </w:pPr>
      <w:r>
        <w:rPr>
          <w:rFonts w:hint="eastAsia"/>
          <w:sz w:val="24"/>
        </w:rPr>
        <w:t>乙方与贷款人已签署并递交所有融资文件，且融资文件所要求的获得首笔资金之每一个前提条件均已得到满足或被贷款人放弃。</w:t>
      </w:r>
    </w:p>
    <w:p>
      <w:pPr>
        <w:pStyle w:val="214"/>
        <w:spacing w:after="72"/>
      </w:pPr>
      <w:r>
        <w:tab/>
      </w:r>
      <w:bookmarkStart w:id="176" w:name="_Ref459884075"/>
      <w:r>
        <w:t>乙方在完成融资交割之日起七（7）个工作日内，应向甲方书面确认融资交割完成，并提交乙方股东完成首期注册资本</w:t>
      </w:r>
      <w:r>
        <w:rPr>
          <w:rFonts w:hint="eastAsia"/>
        </w:rPr>
        <w:t>出资的</w:t>
      </w:r>
      <w:r>
        <w:t>进账单、所有乙方已签署的融资文件的原件各一份由甲方备案，以及甲方合理要求的证明融资交割已实现的任何其他文件。</w:t>
      </w:r>
      <w:bookmarkEnd w:id="176"/>
    </w:p>
    <w:p>
      <w:pPr>
        <w:pStyle w:val="214"/>
        <w:spacing w:after="72"/>
      </w:pPr>
      <w:r>
        <w:t>若乙方未能按照第</w:t>
      </w:r>
      <w:r>
        <w:fldChar w:fldCharType="begin"/>
      </w:r>
      <w:r>
        <w:instrText xml:space="preserve"> REF _Ref483379850 \r \h  \* MERGEFORMAT </w:instrText>
      </w:r>
      <w:r>
        <w:fldChar w:fldCharType="separate"/>
      </w:r>
      <w:r>
        <w:t>4.3.1</w:t>
      </w:r>
      <w:r>
        <w:fldChar w:fldCharType="end"/>
      </w:r>
      <w:r>
        <w:t>条款的</w:t>
      </w:r>
      <w:r>
        <w:rPr>
          <w:rFonts w:hint="eastAsia"/>
        </w:rPr>
        <w:t>约</w:t>
      </w:r>
      <w:r>
        <w:t>定完成融资交割，乙方可以向甲方申请宽限期，但该宽限期时间最长不超过三十（30）日，以经甲方书面同意的期限为准。</w:t>
      </w:r>
    </w:p>
    <w:p>
      <w:pPr>
        <w:pStyle w:val="214"/>
        <w:spacing w:after="72"/>
      </w:pPr>
      <w:r>
        <w:t>如融资交割未能按期实现且未能获得甲方批准的宽限期，或未能在宽限期内完成，甲方有权视具体情况随时决定单方解除本合同。</w:t>
      </w:r>
    </w:p>
    <w:p>
      <w:pPr>
        <w:pStyle w:val="213"/>
        <w:spacing w:after="120"/>
        <w:rPr>
          <w:rFonts w:ascii="Times New Roman" w:hAnsi="Times New Roman"/>
        </w:rPr>
      </w:pPr>
      <w:r>
        <w:rPr>
          <w:rFonts w:ascii="Times New Roman" w:hAnsi="Times New Roman"/>
        </w:rPr>
        <w:t>甲方对项目融资的支持</w:t>
      </w:r>
      <w:bookmarkEnd w:id="173"/>
      <w:bookmarkEnd w:id="174"/>
    </w:p>
    <w:p>
      <w:pPr>
        <w:pStyle w:val="214"/>
        <w:spacing w:after="72"/>
      </w:pPr>
      <w:r>
        <w:rPr>
          <w:rFonts w:hint="eastAsia"/>
        </w:rPr>
        <w:t>甲方应协调相关政府部门取得本项目前期国土、规划、立项、环评等各项批复，并</w:t>
      </w:r>
      <w:r>
        <w:t>在合法的前提下，为乙方的融资提供相关的便利和支持，</w:t>
      </w:r>
      <w:r>
        <w:rPr>
          <w:rFonts w:hint="eastAsia"/>
        </w:rPr>
        <w:t>协助乙方取得项目融资所必需的各项前期资料。但甲方不应为乙方的融资行为提供任何形式的担保或抵押。</w:t>
      </w:r>
    </w:p>
    <w:p>
      <w:pPr>
        <w:pStyle w:val="214"/>
        <w:spacing w:after="72"/>
      </w:pPr>
      <w:r>
        <w:rPr>
          <w:rFonts w:hint="eastAsia"/>
        </w:rPr>
        <w:t>乙方须自行承担融资利率、汇率变化的相关风险。</w:t>
      </w:r>
    </w:p>
    <w:p>
      <w:pPr>
        <w:pStyle w:val="213"/>
        <w:spacing w:after="120"/>
        <w:rPr>
          <w:rFonts w:ascii="Times New Roman" w:hAnsi="Times New Roman"/>
          <w:b/>
        </w:rPr>
      </w:pPr>
      <w:r>
        <w:rPr>
          <w:rFonts w:hint="eastAsia" w:ascii="Times New Roman" w:hAnsi="Times New Roman"/>
          <w:b/>
        </w:rPr>
        <w:t>项目公司管理</w:t>
      </w:r>
      <w:r>
        <w:rPr>
          <w:rFonts w:hint="eastAsia"/>
          <w:b/>
        </w:rPr>
        <w:t>★</w:t>
      </w:r>
    </w:p>
    <w:p>
      <w:pPr>
        <w:pStyle w:val="214"/>
        <w:numPr>
          <w:ilvl w:val="0"/>
          <w:numId w:val="0"/>
        </w:numPr>
        <w:spacing w:after="72"/>
        <w:ind w:left="567"/>
      </w:pPr>
      <w:r>
        <w:rPr>
          <w:rFonts w:hint="eastAsia"/>
        </w:rPr>
        <w:t>【中标人】应按照公司法要求设立项目公司，并设立相关管理机构对项目公司进行经营管理。</w:t>
      </w:r>
    </w:p>
    <w:p>
      <w:pPr>
        <w:pStyle w:val="214"/>
        <w:numPr>
          <w:ilvl w:val="0"/>
          <w:numId w:val="0"/>
        </w:numPr>
        <w:spacing w:after="72"/>
        <w:ind w:left="567"/>
      </w:pPr>
      <w:r>
        <w:rPr>
          <w:rFonts w:hint="eastAsia"/>
        </w:rPr>
        <w:t>乙方设立监事会由三（3）名监事组成，甲方</w:t>
      </w:r>
      <w:r>
        <w:t>可</w:t>
      </w:r>
      <w:r>
        <w:rPr>
          <w:rFonts w:hint="eastAsia"/>
        </w:rPr>
        <w:t>指定一（1）名</w:t>
      </w:r>
      <w:r>
        <w:t>具有相应资质条件的人员进入项目公司中担任监事，</w:t>
      </w:r>
      <w:r>
        <w:rPr>
          <w:rFonts w:hint="eastAsia"/>
        </w:rPr>
        <w:t>行使</w:t>
      </w:r>
      <w:r>
        <w:t>对公司董事</w:t>
      </w:r>
      <w:r>
        <w:rPr>
          <w:rFonts w:hint="eastAsia"/>
        </w:rPr>
        <w:t>、</w:t>
      </w:r>
      <w:r>
        <w:t>经理</w:t>
      </w:r>
      <w:r>
        <w:rPr>
          <w:rFonts w:hint="eastAsia"/>
        </w:rPr>
        <w:t>和</w:t>
      </w:r>
      <w:r>
        <w:t>其他高级管理人员及公司财务的监督和检查</w:t>
      </w:r>
      <w:r>
        <w:rPr>
          <w:rFonts w:hint="eastAsia"/>
        </w:rPr>
        <w:t>。</w:t>
      </w:r>
    </w:p>
    <w:p>
      <w:pPr>
        <w:pStyle w:val="214"/>
        <w:numPr>
          <w:ilvl w:val="0"/>
          <w:numId w:val="0"/>
        </w:numPr>
        <w:spacing w:after="72"/>
        <w:ind w:left="567"/>
      </w:pPr>
      <w:r>
        <w:rPr>
          <w:rFonts w:hint="eastAsia"/>
        </w:rPr>
        <w:t>公司董事、高级管理人员不得兼任监事，公司监事对公司的业务与财务进行监督。监事可以列席董事会会议，并对董事会决议事项提出质询或者建议。监事发现公司经营情况异常，可以进行调查，必要时可以聘请会计师事务所等专业机构给予帮助，由此产生的费用由乙方承担。</w:t>
      </w:r>
    </w:p>
    <w:p>
      <w:pPr>
        <w:pStyle w:val="212"/>
        <w:spacing w:before="360" w:after="120"/>
        <w:rPr>
          <w:b/>
        </w:rPr>
      </w:pPr>
      <w:bookmarkStart w:id="177" w:name="_Toc534891108"/>
      <w:r>
        <w:rPr>
          <w:rFonts w:eastAsia="宋体"/>
          <w:b/>
        </w:rPr>
        <w:t>双方的权利和义务</w:t>
      </w:r>
      <w:bookmarkEnd w:id="177"/>
    </w:p>
    <w:p>
      <w:pPr>
        <w:pStyle w:val="213"/>
        <w:spacing w:after="120"/>
        <w:rPr>
          <w:rFonts w:ascii="Times New Roman" w:hAnsi="Times New Roman"/>
          <w:b/>
        </w:rPr>
      </w:pPr>
      <w:bookmarkStart w:id="178" w:name="_Toc417325817"/>
      <w:bookmarkStart w:id="179" w:name="_Toc417373106"/>
      <w:r>
        <w:rPr>
          <w:rFonts w:hint="eastAsia" w:ascii="Times New Roman" w:hAnsi="Times New Roman"/>
          <w:b/>
        </w:rPr>
        <w:t>甲方的权利</w:t>
      </w:r>
      <w:bookmarkEnd w:id="178"/>
      <w:bookmarkEnd w:id="179"/>
      <w:r>
        <w:rPr>
          <w:rFonts w:hint="eastAsia"/>
          <w:b/>
        </w:rPr>
        <w:t>★</w:t>
      </w:r>
    </w:p>
    <w:p>
      <w:pPr>
        <w:pStyle w:val="214"/>
        <w:spacing w:after="72"/>
      </w:pPr>
      <w:r>
        <w:rPr>
          <w:rFonts w:hint="eastAsia"/>
        </w:rPr>
        <w:t>有权</w:t>
      </w:r>
      <w:r>
        <w:t>授予乙方</w:t>
      </w:r>
      <w:r>
        <w:rPr>
          <w:rFonts w:hint="eastAsia"/>
        </w:rPr>
        <w:t>在合作期内</w:t>
      </w:r>
      <w:r>
        <w:t>设计、投资、建设、运营维护本项目的</w:t>
      </w:r>
      <w:r>
        <w:rPr>
          <w:rFonts w:hint="eastAsia"/>
        </w:rPr>
        <w:t>权利；</w:t>
      </w:r>
    </w:p>
    <w:p>
      <w:pPr>
        <w:pStyle w:val="214"/>
        <w:spacing w:after="72"/>
      </w:pPr>
      <w:r>
        <w:t>制定项目的建设标准（包括设计、施工和验收标准）。本项目建设期内，根据需要或适用法律变更情况对已确定的工程建设标准进行修改或变更</w:t>
      </w:r>
      <w:r>
        <w:rPr>
          <w:rFonts w:hint="eastAsia"/>
        </w:rPr>
        <w:t>；</w:t>
      </w:r>
    </w:p>
    <w:p>
      <w:pPr>
        <w:pStyle w:val="214"/>
        <w:spacing w:after="72"/>
      </w:pPr>
      <w:r>
        <w:t>对乙方的投资建设过程实施监管，包括项目融资及资金到位和使用情况、项目建设进度、工程质量、安全防范措施等，并协助相关部门做好工程决算审计</w:t>
      </w:r>
      <w:r>
        <w:rPr>
          <w:rFonts w:hint="eastAsia"/>
        </w:rPr>
        <w:t>；</w:t>
      </w:r>
    </w:p>
    <w:p>
      <w:pPr>
        <w:pStyle w:val="214"/>
        <w:spacing w:after="72"/>
      </w:pPr>
      <w:r>
        <w:t>勘察设计、施工、设备、材料的采购依法应当招标的，</w:t>
      </w:r>
      <w:r>
        <w:rPr>
          <w:rFonts w:hint="eastAsia"/>
        </w:rPr>
        <w:t>甲方</w:t>
      </w:r>
      <w:r>
        <w:t>有权对</w:t>
      </w:r>
      <w:r>
        <w:rPr>
          <w:rFonts w:hint="eastAsia"/>
        </w:rPr>
        <w:t>相关采购文件进行审核，并对采购流程</w:t>
      </w:r>
      <w:r>
        <w:t>进行监督；</w:t>
      </w:r>
    </w:p>
    <w:p>
      <w:pPr>
        <w:pStyle w:val="214"/>
        <w:spacing w:after="72"/>
      </w:pPr>
      <w:r>
        <w:t>有权在本项目工程建设期要求</w:t>
      </w:r>
      <w:r>
        <w:rPr>
          <w:rFonts w:hint="eastAsia"/>
        </w:rPr>
        <w:t>乙方</w:t>
      </w:r>
      <w:r>
        <w:t>提交建设相关文件（包括但不限于施工文件、建设进度和质量控制报告等）并对项目设施的建设进行监督，如发现存在违约情况，有权根据</w:t>
      </w:r>
      <w:r>
        <w:rPr>
          <w:rFonts w:hint="eastAsia"/>
        </w:rPr>
        <w:t>本</w:t>
      </w:r>
      <w:r>
        <w:t>合同进行违约处理；</w:t>
      </w:r>
    </w:p>
    <w:p>
      <w:pPr>
        <w:pStyle w:val="214"/>
        <w:spacing w:after="72"/>
      </w:pPr>
      <w:r>
        <w:t>有权在本项目运营维护期要求</w:t>
      </w:r>
      <w:r>
        <w:rPr>
          <w:rFonts w:hint="eastAsia"/>
        </w:rPr>
        <w:t>乙方</w:t>
      </w:r>
      <w:r>
        <w:t>提交运营维护记录并对项目设施的运营维护情况进行监督，对安全质量进行评估，如发现存在违约情况，有权根据</w:t>
      </w:r>
      <w:r>
        <w:rPr>
          <w:rFonts w:hint="eastAsia"/>
        </w:rPr>
        <w:t>本</w:t>
      </w:r>
      <w:r>
        <w:t>合同进行违约处理；</w:t>
      </w:r>
    </w:p>
    <w:p>
      <w:pPr>
        <w:pStyle w:val="214"/>
        <w:spacing w:after="72"/>
      </w:pPr>
      <w:r>
        <w:t>合作期满，</w:t>
      </w:r>
      <w:r>
        <w:rPr>
          <w:rFonts w:hint="eastAsia"/>
        </w:rPr>
        <w:t>有权</w:t>
      </w:r>
      <w:r>
        <w:t>无偿取得项目设施的经营权</w:t>
      </w:r>
      <w:r>
        <w:rPr>
          <w:rFonts w:hint="eastAsia"/>
        </w:rPr>
        <w:t>及相关设施设备</w:t>
      </w:r>
      <w:r>
        <w:t>；</w:t>
      </w:r>
    </w:p>
    <w:p>
      <w:pPr>
        <w:pStyle w:val="214"/>
        <w:spacing w:after="72"/>
      </w:pPr>
      <w:r>
        <w:t>在</w:t>
      </w:r>
      <w:r>
        <w:rPr>
          <w:rFonts w:hint="eastAsia"/>
        </w:rPr>
        <w:t>乙方</w:t>
      </w:r>
      <w:r>
        <w:t>严重违约时，有权提前收回经营权，并终止</w:t>
      </w:r>
      <w:r>
        <w:rPr>
          <w:rFonts w:hint="eastAsia"/>
        </w:rPr>
        <w:t>本</w:t>
      </w:r>
      <w:r>
        <w:t>合同，并根据</w:t>
      </w:r>
      <w:r>
        <w:rPr>
          <w:rFonts w:hint="eastAsia"/>
        </w:rPr>
        <w:t>本</w:t>
      </w:r>
      <w:r>
        <w:t>合同的约定向</w:t>
      </w:r>
      <w:r>
        <w:rPr>
          <w:rFonts w:hint="eastAsia"/>
        </w:rPr>
        <w:t>乙方</w:t>
      </w:r>
      <w:r>
        <w:t>支付相应补偿；</w:t>
      </w:r>
    </w:p>
    <w:p>
      <w:pPr>
        <w:pStyle w:val="214"/>
        <w:spacing w:after="72"/>
      </w:pPr>
      <w:r>
        <w:t>甲方有对乙方设计、投资、建设、运营、维护及移交本项目进行全程实时监管的权利；如发现与本合同约定内容存在不相符合的，有权责成乙方限期予以纠正</w:t>
      </w:r>
      <w:r>
        <w:rPr>
          <w:rFonts w:hint="eastAsia"/>
        </w:rPr>
        <w:t>；</w:t>
      </w:r>
    </w:p>
    <w:p>
      <w:pPr>
        <w:pStyle w:val="214"/>
        <w:spacing w:after="72"/>
      </w:pPr>
      <w:r>
        <w:t>甲方本着尊重社会公众的知情权，鼓励公众参与监督的原则，有权及时将乙方的建设、运营管理质量的检查、监测、评估结果和整改情况以适当的方式向社会公布；受理公众对乙方的投诉，并进行核实处理</w:t>
      </w:r>
      <w:r>
        <w:rPr>
          <w:rFonts w:hint="eastAsia"/>
        </w:rPr>
        <w:t>；</w:t>
      </w:r>
    </w:p>
    <w:p>
      <w:pPr>
        <w:pStyle w:val="214"/>
        <w:spacing w:after="72"/>
      </w:pPr>
      <w:r>
        <w:t>甲方或市政府指定的其他机构或其委托的其他主体，对乙方的设计、投资建设、经营、管理、安全、质量、服务状况等进行定期评估，并有权定期将评估结果向社会公示，接受公众监督</w:t>
      </w:r>
      <w:r>
        <w:rPr>
          <w:rFonts w:hint="eastAsia"/>
        </w:rPr>
        <w:t>；</w:t>
      </w:r>
    </w:p>
    <w:p>
      <w:pPr>
        <w:pStyle w:val="214"/>
        <w:spacing w:after="72"/>
      </w:pPr>
      <w:r>
        <w:t>甲方有权按本合同约定兑取履约保函项下的款项</w:t>
      </w:r>
      <w:r>
        <w:rPr>
          <w:rFonts w:hint="eastAsia"/>
        </w:rPr>
        <w:t>；</w:t>
      </w:r>
    </w:p>
    <w:p>
      <w:pPr>
        <w:pStyle w:val="214"/>
        <w:spacing w:after="72"/>
      </w:pPr>
      <w:r>
        <w:t>按照有关法律法规和政府管理的相关职能规定，行使政府监管的权力；</w:t>
      </w:r>
    </w:p>
    <w:p>
      <w:pPr>
        <w:pStyle w:val="214"/>
        <w:spacing w:after="72"/>
      </w:pPr>
      <w:r>
        <w:t>有权行使项目合同约定的其他相关权利。</w:t>
      </w:r>
    </w:p>
    <w:p>
      <w:pPr>
        <w:pStyle w:val="213"/>
        <w:spacing w:after="120"/>
      </w:pPr>
      <w:r>
        <w:rPr>
          <w:rFonts w:hint="eastAsia" w:ascii="Times New Roman" w:hAnsi="Times New Roman"/>
        </w:rPr>
        <w:t>甲方的</w:t>
      </w:r>
      <w:r>
        <w:rPr>
          <w:rFonts w:ascii="Times New Roman" w:hAnsi="Times New Roman"/>
        </w:rPr>
        <w:t>义务</w:t>
      </w:r>
    </w:p>
    <w:p>
      <w:pPr>
        <w:pStyle w:val="214"/>
        <w:spacing w:after="72"/>
      </w:pPr>
      <w:r>
        <w:t>未经乙方同意，在本项目合作期限内不得自行或委托其他任何第三方负责本项目的设计、投资、建设、运营维护；</w:t>
      </w:r>
      <w:r>
        <w:rPr>
          <w:rFonts w:hint="eastAsia"/>
        </w:rPr>
        <w:t>保证</w:t>
      </w:r>
      <w:r>
        <w:t>乙方获得的经营权在本项目合作期内始终持续有效（本合同提前终止除外）</w:t>
      </w:r>
      <w:r>
        <w:rPr>
          <w:rFonts w:hint="eastAsia"/>
        </w:rPr>
        <w:t>；</w:t>
      </w:r>
    </w:p>
    <w:p>
      <w:pPr>
        <w:pStyle w:val="214"/>
        <w:spacing w:after="72"/>
      </w:pPr>
      <w:r>
        <w:t>除本合同另有</w:t>
      </w:r>
      <w:r>
        <w:rPr>
          <w:rFonts w:hint="eastAsia"/>
        </w:rPr>
        <w:t>约</w:t>
      </w:r>
      <w:r>
        <w:t>定外，甲方不得干预乙方的投资、建设、运营、维护和管理，不得干预乙方的正常生产经营</w:t>
      </w:r>
      <w:r>
        <w:rPr>
          <w:rFonts w:hint="eastAsia"/>
        </w:rPr>
        <w:t>；</w:t>
      </w:r>
    </w:p>
    <w:p>
      <w:pPr>
        <w:pStyle w:val="214"/>
        <w:spacing w:after="72"/>
      </w:pPr>
      <w:r>
        <w:t>负责协调项目所在地政府各部门工作关系，负责征地、拆迁、补偿及安置等相关工作，</w:t>
      </w:r>
      <w:r>
        <w:rPr>
          <w:rFonts w:hint="eastAsia"/>
          <w:szCs w:val="28"/>
        </w:rPr>
        <w:t>协助乙方获得本项目土地的使用权，</w:t>
      </w:r>
      <w:r>
        <w:t>确保</w:t>
      </w:r>
      <w:r>
        <w:rPr>
          <w:rFonts w:hint="eastAsia"/>
        </w:rPr>
        <w:t>合作期内</w:t>
      </w:r>
      <w:r>
        <w:t>项目能正常建设、运营维护</w:t>
      </w:r>
      <w:r>
        <w:rPr>
          <w:rFonts w:hint="eastAsia"/>
        </w:rPr>
        <w:t>；</w:t>
      </w:r>
    </w:p>
    <w:p>
      <w:pPr>
        <w:pStyle w:val="214"/>
        <w:spacing w:after="72"/>
      </w:pPr>
      <w:r>
        <w:t>确保在PPP项目合同签订时已取得了必要的行政审批手续，确保本项目立项、规划、用地等相关审批手续合法有效，为本项目的建设创造必备的施工条件</w:t>
      </w:r>
      <w:r>
        <w:rPr>
          <w:rFonts w:hint="eastAsia"/>
        </w:rPr>
        <w:t>，并</w:t>
      </w:r>
      <w:r>
        <w:t>协助乙方取得融资及建设所必须的证明文件</w:t>
      </w:r>
      <w:r>
        <w:rPr>
          <w:rFonts w:hint="eastAsia"/>
        </w:rPr>
        <w:t>；</w:t>
      </w:r>
    </w:p>
    <w:p>
      <w:pPr>
        <w:pStyle w:val="214"/>
        <w:spacing w:after="72"/>
      </w:pPr>
      <w:r>
        <w:t>负责协调相关政府部门为本项目建设施工提供必要条件与其他支持，包括水、电和道路等</w:t>
      </w:r>
      <w:r>
        <w:rPr>
          <w:rFonts w:hint="eastAsia"/>
        </w:rPr>
        <w:t>必要</w:t>
      </w:r>
      <w:r>
        <w:t>配套设施</w:t>
      </w:r>
      <w:r>
        <w:rPr>
          <w:rFonts w:hint="eastAsia"/>
        </w:rPr>
        <w:t>；</w:t>
      </w:r>
    </w:p>
    <w:p>
      <w:pPr>
        <w:pStyle w:val="214"/>
        <w:spacing w:after="72"/>
      </w:pPr>
      <w:r>
        <w:t>协助乙方取得适用法律规定的可适用于本项目的各项减、免税和优惠政策。</w:t>
      </w:r>
      <w:r>
        <w:rPr>
          <w:rFonts w:hint="eastAsia"/>
        </w:rPr>
        <w:t>协助乙方落实项目的相关地材料源，协调各政府相关职能部门，有效打击欺行霸市行为，维护正常的市场秩序，确保项目建设的顺利实施；</w:t>
      </w:r>
    </w:p>
    <w:p>
      <w:pPr>
        <w:pStyle w:val="214"/>
        <w:spacing w:after="72"/>
      </w:pPr>
      <w:r>
        <w:rPr>
          <w:szCs w:val="28"/>
        </w:rPr>
        <w:t>协助协调园区排水管网等配套设施的建设计划，匹配本项目建设进度及年度计划安排等</w:t>
      </w:r>
      <w:r>
        <w:rPr>
          <w:rFonts w:hint="eastAsia"/>
          <w:szCs w:val="28"/>
        </w:rPr>
        <w:t>，并</w:t>
      </w:r>
      <w:r>
        <w:rPr>
          <w:rFonts w:hint="eastAsia"/>
        </w:rPr>
        <w:t>将符合本合同约定</w:t>
      </w:r>
      <w:r>
        <w:t>的</w:t>
      </w:r>
      <w:r>
        <w:rPr>
          <w:rFonts w:hint="eastAsia"/>
        </w:rPr>
        <w:t>污水，提供至双方约定的污水接收点；</w:t>
      </w:r>
    </w:p>
    <w:p>
      <w:pPr>
        <w:pStyle w:val="214"/>
        <w:spacing w:after="72"/>
      </w:pPr>
      <w:r>
        <w:t>在本项目合作期内，甲方将在符合适用法律的条件下协调乙方与相关政府部门的关系，促进本项目</w:t>
      </w:r>
      <w:r>
        <w:rPr>
          <w:rFonts w:hint="eastAsia"/>
        </w:rPr>
        <w:t>如</w:t>
      </w:r>
      <w:r>
        <w:t>期投入使用，正常开展运营</w:t>
      </w:r>
      <w:r>
        <w:rPr>
          <w:rFonts w:hint="eastAsia"/>
        </w:rPr>
        <w:t>；</w:t>
      </w:r>
    </w:p>
    <w:p>
      <w:pPr>
        <w:pStyle w:val="214"/>
        <w:spacing w:after="72"/>
        <w:rPr>
          <w:szCs w:val="28"/>
        </w:rPr>
      </w:pPr>
      <w:r>
        <w:rPr>
          <w:rFonts w:hint="eastAsia"/>
          <w:szCs w:val="28"/>
        </w:rPr>
        <w:t>运营期内，按照本合同约定的考核标准对乙方进行考核，并按照本合同的约定及时、足额地支付财政补贴及根据本合同约定需要支付的其他费用；</w:t>
      </w:r>
    </w:p>
    <w:p>
      <w:pPr>
        <w:pStyle w:val="214"/>
        <w:spacing w:after="72"/>
      </w:pPr>
      <w:r>
        <w:t>在乙方提出调价申请后，履行</w:t>
      </w:r>
      <w:r>
        <w:rPr>
          <w:rFonts w:hint="eastAsia"/>
        </w:rPr>
        <w:t>本</w:t>
      </w:r>
      <w:r>
        <w:t>合同约定的调价程序，对污水处理服务费单价进行调整；</w:t>
      </w:r>
    </w:p>
    <w:p>
      <w:pPr>
        <w:pStyle w:val="214"/>
        <w:spacing w:after="72"/>
      </w:pPr>
      <w:r>
        <w:rPr>
          <w:szCs w:val="28"/>
        </w:rPr>
        <w:t>对项目的运营维护进行监督和指导</w:t>
      </w:r>
      <w:r>
        <w:rPr>
          <w:rFonts w:hint="eastAsia"/>
          <w:szCs w:val="28"/>
        </w:rPr>
        <w:t>，</w:t>
      </w:r>
      <w:r>
        <w:rPr>
          <w:szCs w:val="28"/>
        </w:rPr>
        <w:t>定期进行检查</w:t>
      </w:r>
      <w:r>
        <w:rPr>
          <w:rFonts w:hint="eastAsia"/>
          <w:szCs w:val="28"/>
        </w:rPr>
        <w:t>；</w:t>
      </w:r>
    </w:p>
    <w:p>
      <w:pPr>
        <w:pStyle w:val="214"/>
        <w:spacing w:after="72"/>
      </w:pPr>
      <w:r>
        <w:rPr>
          <w:szCs w:val="28"/>
        </w:rPr>
        <w:t>在</w:t>
      </w:r>
      <w:r>
        <w:rPr>
          <w:rFonts w:hint="eastAsia"/>
          <w:szCs w:val="28"/>
        </w:rPr>
        <w:t>本</w:t>
      </w:r>
      <w:r>
        <w:rPr>
          <w:szCs w:val="28"/>
        </w:rPr>
        <w:t>合同</w:t>
      </w:r>
      <w:r>
        <w:rPr>
          <w:rFonts w:hint="eastAsia"/>
          <w:szCs w:val="28"/>
        </w:rPr>
        <w:t>提前终止</w:t>
      </w:r>
      <w:r>
        <w:rPr>
          <w:szCs w:val="28"/>
        </w:rPr>
        <w:t>的情况下，有义务接收</w:t>
      </w:r>
      <w:r>
        <w:rPr>
          <w:rFonts w:hint="eastAsia"/>
          <w:szCs w:val="28"/>
        </w:rPr>
        <w:t>乙方</w:t>
      </w:r>
      <w:r>
        <w:rPr>
          <w:szCs w:val="28"/>
        </w:rPr>
        <w:t>移交的项目设施，并根据</w:t>
      </w:r>
      <w:r>
        <w:rPr>
          <w:rFonts w:hint="eastAsia"/>
          <w:szCs w:val="28"/>
        </w:rPr>
        <w:t>本</w:t>
      </w:r>
      <w:r>
        <w:rPr>
          <w:szCs w:val="28"/>
        </w:rPr>
        <w:t>合同的约定向</w:t>
      </w:r>
      <w:r>
        <w:rPr>
          <w:rFonts w:hint="eastAsia"/>
          <w:szCs w:val="28"/>
        </w:rPr>
        <w:t>乙方</w:t>
      </w:r>
      <w:r>
        <w:rPr>
          <w:szCs w:val="28"/>
        </w:rPr>
        <w:t>支付相应补偿金；</w:t>
      </w:r>
    </w:p>
    <w:p>
      <w:pPr>
        <w:pStyle w:val="214"/>
        <w:spacing w:after="72"/>
        <w:rPr>
          <w:szCs w:val="28"/>
        </w:rPr>
      </w:pPr>
      <w:r>
        <w:rPr>
          <w:rFonts w:hint="eastAsia"/>
          <w:szCs w:val="28"/>
        </w:rPr>
        <w:t>相关政府部门计划在项目设施及其周边区域，从事下列可能危害项目设施安全的活动时，甲方应协调政府部门向乙方提供乙方认可的施工安全保护方案，并在施工中按照该保护方案采取安全保护措施，甲方负责相关政府部门和乙方的协调工作。可能危害项目设施安全的活动包括但不限于：</w:t>
      </w:r>
    </w:p>
    <w:p>
      <w:pPr>
        <w:pStyle w:val="219"/>
        <w:spacing w:after="72"/>
      </w:pPr>
      <w:r>
        <w:t>排放、倾倒腐蚀性液体、气体；</w:t>
      </w:r>
    </w:p>
    <w:p>
      <w:pPr>
        <w:pStyle w:val="219"/>
        <w:spacing w:after="72"/>
      </w:pPr>
      <w:r>
        <w:t>爆破；</w:t>
      </w:r>
    </w:p>
    <w:p>
      <w:pPr>
        <w:pStyle w:val="219"/>
        <w:spacing w:after="72"/>
      </w:pPr>
      <w:r>
        <w:t>打桩或者进行顶进作业；</w:t>
      </w:r>
    </w:p>
    <w:p>
      <w:pPr>
        <w:pStyle w:val="219"/>
        <w:spacing w:after="72"/>
      </w:pPr>
      <w:r>
        <w:t>建造建筑物、构筑物；</w:t>
      </w:r>
    </w:p>
    <w:p>
      <w:pPr>
        <w:pStyle w:val="219"/>
        <w:spacing w:after="72"/>
      </w:pPr>
      <w:r>
        <w:t>其他危害项目设施安全的行为。</w:t>
      </w:r>
    </w:p>
    <w:p>
      <w:pPr>
        <w:pStyle w:val="214"/>
        <w:spacing w:after="72"/>
      </w:pPr>
      <w:r>
        <w:rPr>
          <w:rFonts w:hint="eastAsia" w:ascii="宋体" w:hAnsi="宋体"/>
        </w:rPr>
        <w:t>根据预算管理要求依法将政府承担的跨年度财政支出责任纳入禹州市中期财政规划，保障甲方在项目全生命周期内的履约能力</w:t>
      </w:r>
      <w:r>
        <w:rPr>
          <w:rFonts w:hint="eastAsia"/>
        </w:rPr>
        <w:t>；</w:t>
      </w:r>
    </w:p>
    <w:p>
      <w:pPr>
        <w:pStyle w:val="214"/>
        <w:spacing w:after="72"/>
      </w:pPr>
      <w:r>
        <w:t>本合同不限制甲方作为政府部门依据适用法律行使的法定权力</w:t>
      </w:r>
      <w:r>
        <w:rPr>
          <w:rFonts w:hint="eastAsia"/>
        </w:rPr>
        <w:t>；</w:t>
      </w:r>
    </w:p>
    <w:p>
      <w:pPr>
        <w:pStyle w:val="214"/>
        <w:spacing w:after="72"/>
      </w:pPr>
      <w:r>
        <w:t>行使并履行本合同约定的其他权利及义务。</w:t>
      </w:r>
    </w:p>
    <w:p>
      <w:pPr>
        <w:pStyle w:val="213"/>
        <w:spacing w:after="120"/>
        <w:rPr>
          <w:rFonts w:ascii="Times New Roman" w:hAnsi="Times New Roman"/>
        </w:rPr>
      </w:pPr>
      <w:bookmarkStart w:id="180" w:name="_Toc417373107"/>
      <w:bookmarkStart w:id="181" w:name="_Toc417325818"/>
      <w:r>
        <w:rPr>
          <w:rFonts w:ascii="Times New Roman" w:hAnsi="Times New Roman"/>
        </w:rPr>
        <w:t>乙方的权利</w:t>
      </w:r>
      <w:bookmarkEnd w:id="180"/>
      <w:bookmarkEnd w:id="181"/>
    </w:p>
    <w:p>
      <w:pPr>
        <w:pStyle w:val="214"/>
        <w:spacing w:after="72"/>
      </w:pPr>
      <w:r>
        <w:t>乙方在本项目合作期内享有</w:t>
      </w:r>
      <w:r>
        <w:rPr>
          <w:rFonts w:hint="eastAsia"/>
        </w:rPr>
        <w:t>项目</w:t>
      </w:r>
      <w:r>
        <w:t>经营权，并合法拥有</w:t>
      </w:r>
      <w:r>
        <w:rPr>
          <w:szCs w:val="28"/>
        </w:rPr>
        <w:t>投融资、设计、建设、运营维护和更新项目设施</w:t>
      </w:r>
      <w:r>
        <w:t>该项目的一切权益</w:t>
      </w:r>
      <w:r>
        <w:rPr>
          <w:rFonts w:hint="eastAsia"/>
        </w:rPr>
        <w:t>；</w:t>
      </w:r>
    </w:p>
    <w:p>
      <w:pPr>
        <w:pStyle w:val="214"/>
        <w:spacing w:after="72"/>
      </w:pPr>
      <w:r>
        <w:t>有权获得本合同约定的污水处理服务费</w:t>
      </w:r>
      <w:r>
        <w:rPr>
          <w:rFonts w:hint="eastAsia"/>
        </w:rPr>
        <w:t>；</w:t>
      </w:r>
    </w:p>
    <w:p>
      <w:pPr>
        <w:pStyle w:val="214"/>
        <w:spacing w:after="72"/>
      </w:pPr>
      <w:r>
        <w:t>有权享受适用法律规定的可适用于乙方的各项减、免税和优惠政策；</w:t>
      </w:r>
    </w:p>
    <w:p>
      <w:pPr>
        <w:pStyle w:val="214"/>
        <w:spacing w:after="72"/>
      </w:pPr>
      <w:r>
        <w:t>如政府方发生违约行为，有权按照PPP项目合同约定进行违约处理或提前终止，并获得相应赔偿</w:t>
      </w:r>
      <w:r>
        <w:rPr>
          <w:rFonts w:hint="eastAsia"/>
        </w:rPr>
        <w:t>；</w:t>
      </w:r>
    </w:p>
    <w:p>
      <w:pPr>
        <w:pStyle w:val="214"/>
        <w:spacing w:after="72"/>
      </w:pPr>
      <w:r>
        <w:t>有权根据PPP项目合同约定提出调价申请；</w:t>
      </w:r>
    </w:p>
    <w:p>
      <w:pPr>
        <w:pStyle w:val="214"/>
        <w:spacing w:after="72"/>
      </w:pPr>
      <w:r>
        <w:t>有权享有适用法律和PPP项目合同项下规定的其它权利。</w:t>
      </w:r>
    </w:p>
    <w:p>
      <w:pPr>
        <w:pStyle w:val="213"/>
        <w:spacing w:after="120"/>
      </w:pPr>
      <w:r>
        <w:rPr>
          <w:rFonts w:hint="eastAsia" w:ascii="Times New Roman" w:hAnsi="Times New Roman"/>
        </w:rPr>
        <w:t>乙方的</w:t>
      </w:r>
      <w:r>
        <w:rPr>
          <w:rFonts w:ascii="Times New Roman" w:hAnsi="Times New Roman"/>
        </w:rPr>
        <w:t>义务</w:t>
      </w:r>
    </w:p>
    <w:p>
      <w:pPr>
        <w:pStyle w:val="214"/>
        <w:spacing w:after="72"/>
      </w:pPr>
      <w:r>
        <w:t>根据本合同的</w:t>
      </w:r>
      <w:r>
        <w:rPr>
          <w:rFonts w:hint="eastAsia"/>
        </w:rPr>
        <w:t>约</w:t>
      </w:r>
      <w:r>
        <w:t>定，乙方应在本项目合作期内按照本合同约定承担费用、责任和风险，负责进行项目的设计、投融资、建设、运营维护及移交等工作，负责筹集项目资金</w:t>
      </w:r>
      <w:r>
        <w:rPr>
          <w:rFonts w:hint="eastAsia"/>
        </w:rPr>
        <w:t>；</w:t>
      </w:r>
    </w:p>
    <w:p>
      <w:pPr>
        <w:pStyle w:val="214"/>
        <w:spacing w:after="72"/>
      </w:pPr>
      <w:r>
        <w:t>乙方应在禹州市设立的金融机构开设专门账户，</w:t>
      </w:r>
      <w:r>
        <w:rPr>
          <w:rFonts w:hint="eastAsia"/>
        </w:rPr>
        <w:t>并</w:t>
      </w:r>
      <w:r>
        <w:rPr>
          <w:szCs w:val="28"/>
        </w:rPr>
        <w:t>依照</w:t>
      </w:r>
      <w:r>
        <w:rPr>
          <w:rFonts w:hint="eastAsia"/>
          <w:szCs w:val="28"/>
        </w:rPr>
        <w:t>本</w:t>
      </w:r>
      <w:r>
        <w:rPr>
          <w:szCs w:val="28"/>
        </w:rPr>
        <w:t>目合同约定接受</w:t>
      </w:r>
      <w:r>
        <w:rPr>
          <w:rFonts w:hint="eastAsia"/>
          <w:szCs w:val="28"/>
        </w:rPr>
        <w:t>甲方</w:t>
      </w:r>
      <w:r>
        <w:rPr>
          <w:szCs w:val="28"/>
        </w:rPr>
        <w:t>对乙方融资情况、资金到位情况及资金使用情况的监督</w:t>
      </w:r>
      <w:r>
        <w:rPr>
          <w:rFonts w:hint="eastAsia"/>
        </w:rPr>
        <w:t>；</w:t>
      </w:r>
    </w:p>
    <w:p>
      <w:pPr>
        <w:pStyle w:val="214"/>
        <w:spacing w:after="72"/>
      </w:pPr>
      <w:r>
        <w:t>乙方应尽最大努力申请并及时获得从事本项目建设所需要的政府部门的各种批准，</w:t>
      </w:r>
      <w:r>
        <w:rPr>
          <w:rFonts w:hint="eastAsia"/>
        </w:rPr>
        <w:t>并</w:t>
      </w:r>
      <w:r>
        <w:rPr>
          <w:szCs w:val="28"/>
        </w:rPr>
        <w:t>按照</w:t>
      </w:r>
      <w:r>
        <w:rPr>
          <w:rFonts w:hint="eastAsia"/>
          <w:szCs w:val="28"/>
        </w:rPr>
        <w:t>本</w:t>
      </w:r>
      <w:r>
        <w:rPr>
          <w:szCs w:val="28"/>
        </w:rPr>
        <w:t>合同中明确的建设进度和建设标准完成本项目的建设</w:t>
      </w:r>
      <w:r>
        <w:rPr>
          <w:rFonts w:hint="eastAsia"/>
        </w:rPr>
        <w:t>；</w:t>
      </w:r>
    </w:p>
    <w:p>
      <w:pPr>
        <w:pStyle w:val="214"/>
        <w:spacing w:after="72"/>
      </w:pPr>
      <w:r>
        <w:rPr>
          <w:rFonts w:hint="eastAsia"/>
          <w:szCs w:val="28"/>
        </w:rPr>
        <w:t>乙方应</w:t>
      </w:r>
      <w:r>
        <w:rPr>
          <w:szCs w:val="28"/>
        </w:rPr>
        <w:t>配合政府方在项目规划范围内的其他工程建设工作；</w:t>
      </w:r>
    </w:p>
    <w:p>
      <w:pPr>
        <w:pStyle w:val="214"/>
        <w:spacing w:after="72"/>
      </w:pPr>
      <w:r>
        <w:rPr>
          <w:rFonts w:hint="eastAsia"/>
        </w:rPr>
        <w:t>乙方应</w:t>
      </w:r>
      <w:r>
        <w:t>执行因政府部门要求或适用法律变更导致的工程建设标准的变更</w:t>
      </w:r>
      <w:r>
        <w:rPr>
          <w:rFonts w:hint="eastAsia"/>
        </w:rPr>
        <w:t>；</w:t>
      </w:r>
    </w:p>
    <w:p>
      <w:pPr>
        <w:pStyle w:val="214"/>
        <w:spacing w:after="72"/>
      </w:pPr>
      <w:r>
        <w:t>乙方应自觉接受市审计部门按适用法律对本项目进行的审计，及时办理竣工验收、决算等手续</w:t>
      </w:r>
      <w:r>
        <w:rPr>
          <w:rFonts w:hint="eastAsia"/>
        </w:rPr>
        <w:t>；</w:t>
      </w:r>
    </w:p>
    <w:p>
      <w:pPr>
        <w:pStyle w:val="214"/>
        <w:spacing w:after="72"/>
      </w:pPr>
      <w:r>
        <w:rPr>
          <w:rFonts w:hint="eastAsia"/>
        </w:rPr>
        <w:t>乙方须</w:t>
      </w:r>
      <w:r>
        <w:t>自行承担因</w:t>
      </w:r>
      <w:r>
        <w:rPr>
          <w:rFonts w:hint="eastAsia"/>
        </w:rPr>
        <w:t>自身</w:t>
      </w:r>
      <w:r>
        <w:t>原因造成的</w:t>
      </w:r>
      <w:r>
        <w:rPr>
          <w:rFonts w:hint="eastAsia"/>
        </w:rPr>
        <w:t>建设成本</w:t>
      </w:r>
      <w:r>
        <w:t>和运营成本</w:t>
      </w:r>
      <w:r>
        <w:rPr>
          <w:rFonts w:hint="eastAsia"/>
        </w:rPr>
        <w:t>超支</w:t>
      </w:r>
      <w:r>
        <w:t>；</w:t>
      </w:r>
    </w:p>
    <w:p>
      <w:pPr>
        <w:pStyle w:val="214"/>
        <w:spacing w:after="72"/>
      </w:pPr>
      <w:r>
        <w:t>乙方管理机构、管理人员、人员资格应满足《建设工程施工现场管理规定》（国务院第15号令）的要求且符合国家规定的市政公用项目建设市场准入条件，同时应满足项目建设、运营的要求</w:t>
      </w:r>
      <w:r>
        <w:rPr>
          <w:rFonts w:hint="eastAsia"/>
        </w:rPr>
        <w:t>；</w:t>
      </w:r>
    </w:p>
    <w:p>
      <w:pPr>
        <w:pStyle w:val="214"/>
        <w:spacing w:after="72"/>
      </w:pPr>
      <w:r>
        <w:t>运营期内，</w:t>
      </w:r>
      <w:r>
        <w:rPr>
          <w:rFonts w:hint="eastAsia"/>
        </w:rPr>
        <w:t>乙方应</w:t>
      </w:r>
      <w:r>
        <w:t>严格执行《城镇污水处理厂污染物排放标准》（GB18918-2002）一级A排放标准</w:t>
      </w:r>
      <w:r>
        <w:rPr>
          <w:rFonts w:hint="eastAsia"/>
        </w:rPr>
        <w:t>，保证本项目的运营维护及污水处理服务符合国家、地方及本合同的相关约定</w:t>
      </w:r>
      <w:r>
        <w:t>；</w:t>
      </w:r>
    </w:p>
    <w:p>
      <w:pPr>
        <w:pStyle w:val="214"/>
        <w:spacing w:after="72"/>
      </w:pPr>
      <w:r>
        <w:rPr>
          <w:rFonts w:hint="eastAsia"/>
        </w:rPr>
        <w:t>乙方应</w:t>
      </w:r>
      <w:r>
        <w:t>定期定时检查、维护项目范围内设施，保证项目设施处于良好、正常状态；</w:t>
      </w:r>
    </w:p>
    <w:p>
      <w:pPr>
        <w:pStyle w:val="214"/>
        <w:spacing w:after="72"/>
      </w:pPr>
      <w:r>
        <w:rPr>
          <w:rFonts w:hint="eastAsia"/>
        </w:rPr>
        <w:t>乙方</w:t>
      </w:r>
      <w:r>
        <w:t>应按照国家相关规定执行计划、统计报表和报告制度，</w:t>
      </w:r>
      <w:r>
        <w:rPr>
          <w:rFonts w:hint="eastAsia"/>
        </w:rPr>
        <w:t>并</w:t>
      </w:r>
      <w:r>
        <w:t>根据</w:t>
      </w:r>
      <w:r>
        <w:rPr>
          <w:rFonts w:hint="eastAsia"/>
        </w:rPr>
        <w:t>本合同</w:t>
      </w:r>
      <w:r>
        <w:t>以及政府相关职能部门和</w:t>
      </w:r>
      <w:r>
        <w:rPr>
          <w:rFonts w:hint="eastAsia"/>
        </w:rPr>
        <w:t>甲方</w:t>
      </w:r>
      <w:r>
        <w:t>的要求，及时将相关报表、报告</w:t>
      </w:r>
      <w:r>
        <w:rPr>
          <w:rFonts w:hint="eastAsia"/>
        </w:rPr>
        <w:t>及其他资料</w:t>
      </w:r>
      <w:r>
        <w:t>按月、年完成并报相关主管部门审核</w:t>
      </w:r>
      <w:r>
        <w:rPr>
          <w:rFonts w:hint="eastAsia"/>
        </w:rPr>
        <w:t>，乙方须保证</w:t>
      </w:r>
      <w:r>
        <w:t>向甲方提供的一切资料真实、准确、完整、合法</w:t>
      </w:r>
      <w:r>
        <w:rPr>
          <w:rFonts w:hint="eastAsia"/>
        </w:rPr>
        <w:t>；</w:t>
      </w:r>
    </w:p>
    <w:p>
      <w:pPr>
        <w:pStyle w:val="214"/>
        <w:spacing w:after="72"/>
      </w:pPr>
      <w:r>
        <w:t>乙方应</w:t>
      </w:r>
      <w:r>
        <w:rPr>
          <w:rFonts w:hint="eastAsia"/>
        </w:rPr>
        <w:t>按时</w:t>
      </w:r>
      <w:r>
        <w:t>向甲方和财政部门报送上一年度经第三方审计的财务报告及项目建设运营成本说明材料</w:t>
      </w:r>
      <w:r>
        <w:rPr>
          <w:rFonts w:hint="eastAsia"/>
        </w:rPr>
        <w:t>；</w:t>
      </w:r>
    </w:p>
    <w:p>
      <w:pPr>
        <w:pStyle w:val="214"/>
        <w:spacing w:after="72"/>
      </w:pPr>
      <w:r>
        <w:t>乙方应按照适用法律缴纳有关税费，如有关税收的适用法律发生变化，乙方应按照变更后的适用法律缴纳各项税费</w:t>
      </w:r>
      <w:r>
        <w:rPr>
          <w:rFonts w:hint="eastAsia"/>
        </w:rPr>
        <w:t>；</w:t>
      </w:r>
    </w:p>
    <w:p>
      <w:pPr>
        <w:pStyle w:val="214"/>
        <w:spacing w:after="72"/>
      </w:pPr>
      <w:r>
        <w:rPr>
          <w:rFonts w:hint="eastAsia"/>
        </w:rPr>
        <w:t>乙方</w:t>
      </w:r>
      <w:r>
        <w:t>应接受政府相关职能部门和</w:t>
      </w:r>
      <w:r>
        <w:rPr>
          <w:rFonts w:hint="eastAsia"/>
        </w:rPr>
        <w:t>甲方</w:t>
      </w:r>
      <w:r>
        <w:t>根据适用法律和协议的</w:t>
      </w:r>
      <w:r>
        <w:rPr>
          <w:rFonts w:hint="eastAsia"/>
        </w:rPr>
        <w:t>约</w:t>
      </w:r>
      <w:r>
        <w:t>定对</w:t>
      </w:r>
      <w:r>
        <w:rPr>
          <w:rFonts w:hint="eastAsia"/>
        </w:rPr>
        <w:t>其进行</w:t>
      </w:r>
      <w:r>
        <w:t>的监督管理，并为政府相关职能部门、</w:t>
      </w:r>
      <w:r>
        <w:rPr>
          <w:rFonts w:hint="eastAsia"/>
        </w:rPr>
        <w:t>甲方</w:t>
      </w:r>
      <w:r>
        <w:t>或政府指定的其他机构履行上述监督管理权利提供相应的工作条件</w:t>
      </w:r>
      <w:r>
        <w:rPr>
          <w:rFonts w:hint="eastAsia"/>
        </w:rPr>
        <w:t>；</w:t>
      </w:r>
    </w:p>
    <w:p>
      <w:pPr>
        <w:pStyle w:val="214"/>
        <w:spacing w:after="72"/>
      </w:pPr>
      <w:r>
        <w:rPr>
          <w:rFonts w:hint="eastAsia"/>
        </w:rPr>
        <w:t>乙方</w:t>
      </w:r>
      <w:r>
        <w:t>应接受甲方或政府指定的其他机构依据适用法律和协议的</w:t>
      </w:r>
      <w:r>
        <w:rPr>
          <w:rFonts w:hint="eastAsia"/>
        </w:rPr>
        <w:t>约</w:t>
      </w:r>
      <w:r>
        <w:t>定对其进行的临时接管和其他管制措施；</w:t>
      </w:r>
    </w:p>
    <w:p>
      <w:pPr>
        <w:pStyle w:val="214"/>
        <w:spacing w:after="72"/>
      </w:pPr>
      <w:r>
        <w:rPr>
          <w:rFonts w:hint="eastAsia"/>
        </w:rPr>
        <w:t>乙方</w:t>
      </w:r>
      <w:r>
        <w:t>应遵守在紧急情况下接受政府</w:t>
      </w:r>
      <w:r>
        <w:rPr>
          <w:rFonts w:hint="eastAsia"/>
        </w:rPr>
        <w:t>征收、</w:t>
      </w:r>
      <w:r>
        <w:t>征用的义务；</w:t>
      </w:r>
    </w:p>
    <w:p>
      <w:pPr>
        <w:pStyle w:val="214"/>
        <w:spacing w:after="72"/>
      </w:pPr>
      <w:r>
        <w:rPr>
          <w:rFonts w:hint="eastAsia"/>
        </w:rPr>
        <w:t>乙方应积极参与政府指定的社会义务活动；</w:t>
      </w:r>
    </w:p>
    <w:p>
      <w:pPr>
        <w:pStyle w:val="214"/>
        <w:spacing w:after="72"/>
      </w:pPr>
      <w:r>
        <w:rPr>
          <w:rFonts w:hint="eastAsia"/>
        </w:rPr>
        <w:t>按</w:t>
      </w:r>
      <w:r>
        <w:t>PPP</w:t>
      </w:r>
      <w:r>
        <w:rPr>
          <w:rFonts w:hint="eastAsia"/>
        </w:rPr>
        <w:t>项目合同约定对本项目进行移交，并依法承担相应的质量责任；</w:t>
      </w:r>
      <w:r>
        <w:t>在本项目合作期内应保持拥有能良好运营维护本项目的相应人员、技术、资金和设备并保持相应的批文和资质的有效性</w:t>
      </w:r>
      <w:r>
        <w:rPr>
          <w:rFonts w:hint="eastAsia"/>
        </w:rPr>
        <w:t>；</w:t>
      </w:r>
    </w:p>
    <w:p>
      <w:pPr>
        <w:pStyle w:val="214"/>
        <w:spacing w:after="72"/>
      </w:pPr>
      <w:r>
        <w:t>乙方应始终遵守所有适用法律，应及时获取所有适用于项目的已颁布及公开发表的适用法律，乙方应被视为始终了解适用法律</w:t>
      </w:r>
      <w:r>
        <w:rPr>
          <w:rFonts w:hint="eastAsia"/>
        </w:rPr>
        <w:t>；</w:t>
      </w:r>
    </w:p>
    <w:p>
      <w:pPr>
        <w:pStyle w:val="214"/>
        <w:spacing w:after="72"/>
      </w:pPr>
      <w:r>
        <w:t>乙方</w:t>
      </w:r>
      <w:r>
        <w:rPr>
          <w:rFonts w:hint="eastAsia"/>
        </w:rPr>
        <w:t>应严格落实省、市大气污染防治相关规定及项目环评和批复要求落实各项环保措施，遵守有关公共卫生和安全的适用法律及本合同的约定，履行保护环境的责任：</w:t>
      </w:r>
    </w:p>
    <w:p>
      <w:pPr>
        <w:pStyle w:val="219"/>
        <w:spacing w:after="72"/>
        <w:ind w:left="1418" w:firstLine="0"/>
      </w:pPr>
      <w:r>
        <w:rPr>
          <w:rFonts w:hint="eastAsia"/>
        </w:rPr>
        <w:t>乙方应始终遵守有关公共卫生和安全的适用法律及本合同约定；</w:t>
      </w:r>
    </w:p>
    <w:p>
      <w:pPr>
        <w:pStyle w:val="219"/>
        <w:spacing w:after="72"/>
        <w:ind w:left="1418" w:firstLine="0"/>
      </w:pPr>
      <w:r>
        <w:rPr>
          <w:rFonts w:hint="eastAsia"/>
        </w:rPr>
        <w:t>乙方不应因项目设施的建设和运营维护而造成场地（包括土壤、地下水或地表水、扬尘及空气）或周围环境的环境污染；</w:t>
      </w:r>
    </w:p>
    <w:p>
      <w:pPr>
        <w:pStyle w:val="219"/>
        <w:spacing w:after="72"/>
        <w:ind w:left="1418" w:firstLine="0"/>
      </w:pPr>
      <w:r>
        <w:rPr>
          <w:rFonts w:hint="eastAsia"/>
        </w:rPr>
        <w:t>乙方在项目设施的建设和运营维护期间应采取一切合理措施来避免或尽量减少对项目设施周围建筑物和居民区的干扰；但对生效日前已经存在的或潜在的，因第三方的作为或不作为引起的，或者政府方导致的环境污染及安全隐患，乙方不承担责任。</w:t>
      </w:r>
    </w:p>
    <w:p>
      <w:pPr>
        <w:pStyle w:val="214"/>
        <w:spacing w:after="72"/>
      </w:pPr>
      <w:r>
        <w:t>在本项目合作期内，</w:t>
      </w:r>
      <w:r>
        <w:rPr>
          <w:rFonts w:hint="eastAsia"/>
        </w:rPr>
        <w:t>乙方</w:t>
      </w:r>
      <w:r>
        <w:t>对其承包商、分包商、供货商和雇员的受托行为、职务行为所导致对本项目的损失、损害、索赔和其它赔偿责任负责</w:t>
      </w:r>
      <w:r>
        <w:rPr>
          <w:rFonts w:hint="eastAsia"/>
        </w:rPr>
        <w:t>；</w:t>
      </w:r>
    </w:p>
    <w:p>
      <w:pPr>
        <w:pStyle w:val="214"/>
        <w:spacing w:after="72"/>
      </w:pPr>
      <w:r>
        <w:rPr>
          <w:rFonts w:hint="eastAsia"/>
        </w:rPr>
        <w:t>乙方应</w:t>
      </w:r>
      <w:r>
        <w:t>根据适用法律和谨慎运营惯例，购买和持有本行业适用法律要求的保险</w:t>
      </w:r>
      <w:r>
        <w:rPr>
          <w:rFonts w:hint="eastAsia"/>
        </w:rPr>
        <w:t>；</w:t>
      </w:r>
    </w:p>
    <w:p>
      <w:pPr>
        <w:pStyle w:val="214"/>
        <w:spacing w:after="72"/>
      </w:pPr>
      <w:r>
        <w:tab/>
      </w:r>
      <w:r>
        <w:rPr>
          <w:rFonts w:hint="eastAsia"/>
        </w:rPr>
        <w:t>乙方应</w:t>
      </w:r>
      <w:r>
        <w:t>按照本合同约定提交履约保函</w:t>
      </w:r>
      <w:r>
        <w:rPr>
          <w:rFonts w:hint="eastAsia"/>
        </w:rPr>
        <w:t>；</w:t>
      </w:r>
    </w:p>
    <w:p>
      <w:pPr>
        <w:pStyle w:val="214"/>
        <w:spacing w:after="72"/>
      </w:pPr>
      <w:r>
        <w:t>合作期内，如甲方利用本项目申请奖补资金的，乙方应尽最大努力提供协助。</w:t>
      </w:r>
    </w:p>
    <w:p>
      <w:pPr>
        <w:pStyle w:val="214"/>
        <w:spacing w:after="72"/>
      </w:pPr>
      <w:r>
        <w:t>乙方应确保由其作为签字一方的融资文件、原材料或设备采购协议、承包协议以及其它由乙方签订的与本项目有关的任何协议，同本合同的</w:t>
      </w:r>
      <w:r>
        <w:rPr>
          <w:rFonts w:hint="eastAsia"/>
        </w:rPr>
        <w:t>约</w:t>
      </w:r>
      <w:r>
        <w:t>定保持一致，并包含使乙方能够履行本合同项下的义务所必需的相关条款内容</w:t>
      </w:r>
      <w:r>
        <w:rPr>
          <w:rFonts w:hint="eastAsia"/>
        </w:rPr>
        <w:t>；</w:t>
      </w:r>
    </w:p>
    <w:p>
      <w:pPr>
        <w:pStyle w:val="214"/>
        <w:spacing w:after="72"/>
      </w:pPr>
      <w:r>
        <w:t>乙方在项目中采用的工艺技术及设备，若属专利技术，应为乙方拥有的专利技术或被授权使用的专利技术，若由此产生的任何知识产权纠纷或者其他类似纠纷，均由乙方负责解决和承担责任</w:t>
      </w:r>
      <w:r>
        <w:rPr>
          <w:rFonts w:hint="eastAsia"/>
        </w:rPr>
        <w:t>；</w:t>
      </w:r>
    </w:p>
    <w:p>
      <w:pPr>
        <w:pStyle w:val="214"/>
        <w:spacing w:after="72"/>
      </w:pPr>
      <w:r>
        <w:t>乙方应对本项目相关文件进行档案管理，具体按照《中华人民共和国档案法》等相关法律法规实施</w:t>
      </w:r>
      <w:r>
        <w:rPr>
          <w:rFonts w:hint="eastAsia"/>
        </w:rPr>
        <w:t>；</w:t>
      </w:r>
    </w:p>
    <w:p>
      <w:pPr>
        <w:pStyle w:val="214"/>
        <w:spacing w:after="72"/>
      </w:pPr>
      <w:r>
        <w:t>在签订下列合同或协议后十（10）个工作日内，乙方应将下列合同或协议的复印件和扫描件报甲方备案：</w:t>
      </w:r>
    </w:p>
    <w:p>
      <w:pPr>
        <w:pStyle w:val="219"/>
        <w:spacing w:after="72"/>
      </w:pPr>
      <w:r>
        <w:t>工程施工、专业分包、设备材料采购等建设工程相关的合同或协议；</w:t>
      </w:r>
    </w:p>
    <w:p>
      <w:pPr>
        <w:pStyle w:val="219"/>
        <w:spacing w:after="72"/>
      </w:pPr>
      <w:r>
        <w:t>收益权及经营权质押、项目资产抵押的贷款或融资合同或协议；</w:t>
      </w:r>
    </w:p>
    <w:p>
      <w:pPr>
        <w:pStyle w:val="219"/>
        <w:spacing w:after="72"/>
      </w:pPr>
      <w:r>
        <w:t>在项目运营过程中重大的合同或协议，如服务设施承包、租赁合同或协议；</w:t>
      </w:r>
    </w:p>
    <w:p>
      <w:pPr>
        <w:pStyle w:val="219"/>
        <w:spacing w:after="72"/>
      </w:pPr>
      <w:r>
        <w:t>其他甲方认为在本项目融资、建设、运营过程中重要的合同或协议。</w:t>
      </w:r>
    </w:p>
    <w:p>
      <w:pPr>
        <w:pStyle w:val="214"/>
        <w:spacing w:after="72"/>
      </w:pPr>
      <w:r>
        <w:rPr>
          <w:rFonts w:hint="eastAsia"/>
        </w:rPr>
        <w:t>乙方应当在下列事项出现后五（5）个工作日内向甲方提交书面备案报告，报告该等事项的具体内容。甲方在收到乙方提交的上述报告或备案材料后五（5）个工作日内应提出反馈意见；</w:t>
      </w:r>
    </w:p>
    <w:p>
      <w:pPr>
        <w:pStyle w:val="219"/>
        <w:spacing w:after="72"/>
      </w:pPr>
      <w:r>
        <w:rPr>
          <w:rFonts w:hint="eastAsia"/>
        </w:rPr>
        <w:t>乙方董事长、董事、监事、总经理、副总经理、财务负责人等高级管理人员的确定或发生人员变更；</w:t>
      </w:r>
    </w:p>
    <w:p>
      <w:pPr>
        <w:pStyle w:val="219"/>
        <w:spacing w:after="72"/>
      </w:pPr>
      <w:r>
        <w:rPr>
          <w:rFonts w:hint="eastAsia"/>
        </w:rPr>
        <w:t>乙方签署的可能对经营权业务有重大影响的合同、协议或意向书；</w:t>
      </w:r>
    </w:p>
    <w:p>
      <w:pPr>
        <w:pStyle w:val="219"/>
        <w:spacing w:after="72"/>
      </w:pPr>
      <w:r>
        <w:rPr>
          <w:rFonts w:hint="eastAsia"/>
        </w:rPr>
        <w:t>其他对乙方经营权业务有重大影响的事项。</w:t>
      </w:r>
    </w:p>
    <w:p>
      <w:pPr>
        <w:pStyle w:val="214"/>
        <w:spacing w:after="72"/>
      </w:pPr>
      <w:r>
        <w:t>未经甲方同意，</w:t>
      </w:r>
      <w:r>
        <w:rPr>
          <w:rFonts w:hint="eastAsia"/>
        </w:rPr>
        <w:t>乙方及其股东</w:t>
      </w:r>
      <w:r>
        <w:t>不得擅自转让本合同</w:t>
      </w:r>
      <w:r>
        <w:rPr>
          <w:rFonts w:hint="eastAsia"/>
        </w:rPr>
        <w:t>下的相关权益；</w:t>
      </w:r>
    </w:p>
    <w:p>
      <w:pPr>
        <w:pStyle w:val="214"/>
        <w:spacing w:after="72"/>
      </w:pPr>
      <w:r>
        <w:rPr>
          <w:rFonts w:hint="eastAsia"/>
        </w:rPr>
        <w:t>乙方</w:t>
      </w:r>
      <w:r>
        <w:t>应行使法律、法规、当地政府的政策和文件、及PPP项目合同约定的其它义务。</w:t>
      </w:r>
    </w:p>
    <w:p>
      <w:pPr>
        <w:pStyle w:val="213"/>
        <w:spacing w:after="120"/>
        <w:rPr>
          <w:rFonts w:ascii="Times New Roman" w:hAnsi="Times New Roman"/>
        </w:rPr>
      </w:pPr>
      <w:bookmarkStart w:id="182" w:name="_Toc417373108"/>
      <w:bookmarkStart w:id="183" w:name="_Toc320479504"/>
      <w:bookmarkStart w:id="184" w:name="_Toc417325819"/>
      <w:r>
        <w:rPr>
          <w:rFonts w:ascii="Times New Roman" w:hAnsi="Times New Roman"/>
        </w:rPr>
        <w:t>双方共同的义务</w:t>
      </w:r>
      <w:bookmarkEnd w:id="182"/>
      <w:bookmarkEnd w:id="183"/>
      <w:bookmarkEnd w:id="184"/>
    </w:p>
    <w:p>
      <w:pPr>
        <w:pStyle w:val="214"/>
        <w:spacing w:after="72"/>
      </w:pPr>
      <w:r>
        <w:t>双方对本合同及依据本合同向对方提交的相关文件均负有保密责任，但甲方为充分满足政府和公共监督要求的情况除外。</w:t>
      </w:r>
    </w:p>
    <w:p>
      <w:pPr>
        <w:pStyle w:val="214"/>
        <w:spacing w:after="72"/>
      </w:pPr>
      <w:r>
        <w:t>双方应相互合作以达到本合同的目的，并应善意地行使和履行其在本合同项下的权利和义务。在此前提下，双方同意：</w:t>
      </w:r>
    </w:p>
    <w:p>
      <w:pPr>
        <w:pStyle w:val="219"/>
        <w:spacing w:after="72"/>
      </w:pPr>
      <w:r>
        <w:t>一方应当根据适用法律，为另一方履行本合同项下的义务给予必要的协助；</w:t>
      </w:r>
    </w:p>
    <w:p>
      <w:pPr>
        <w:pStyle w:val="219"/>
        <w:spacing w:after="72"/>
      </w:pPr>
      <w:r>
        <w:t>当一方合理要求取得另一方的同意或批准时，被要求方不可以无理拒绝或延迟给予该等同意或批准；</w:t>
      </w:r>
    </w:p>
    <w:p>
      <w:pPr>
        <w:pStyle w:val="219"/>
        <w:spacing w:after="72"/>
      </w:pPr>
      <w:r>
        <w:t>如果任何一方合理地预计某事件或情形将对任何一方履行其本合同项下的义务或实施项目的能力造成重大不利影响；并且合理地预计另一方不能获悉该事件或情形时，该方应合理可行地尽快将该事件或情形通知另一方。</w:t>
      </w:r>
    </w:p>
    <w:p>
      <w:pPr>
        <w:pStyle w:val="212"/>
        <w:spacing w:before="360" w:after="120" w:line="360" w:lineRule="auto"/>
        <w:rPr>
          <w:rFonts w:eastAsia="宋体"/>
          <w:b/>
        </w:rPr>
      </w:pPr>
      <w:bookmarkStart w:id="185" w:name="_Toc534891109"/>
      <w:r>
        <w:rPr>
          <w:rFonts w:eastAsia="宋体"/>
          <w:b/>
        </w:rPr>
        <w:t>经营权</w:t>
      </w:r>
      <w:r>
        <w:rPr>
          <w:rFonts w:hint="eastAsia" w:eastAsia="宋体"/>
          <w:b/>
        </w:rPr>
        <w:t>、收益权</w:t>
      </w:r>
      <w:r>
        <w:rPr>
          <w:rFonts w:eastAsia="宋体"/>
          <w:b/>
        </w:rPr>
        <w:t>和合作期</w:t>
      </w:r>
      <w:bookmarkEnd w:id="185"/>
    </w:p>
    <w:p>
      <w:pPr>
        <w:pStyle w:val="213"/>
        <w:spacing w:after="120"/>
        <w:rPr>
          <w:rFonts w:ascii="Times New Roman" w:hAnsi="Times New Roman"/>
        </w:rPr>
      </w:pPr>
      <w:r>
        <w:rPr>
          <w:rFonts w:ascii="Times New Roman" w:hAnsi="Times New Roman"/>
        </w:rPr>
        <w:t>经营权</w:t>
      </w:r>
    </w:p>
    <w:p>
      <w:pPr>
        <w:pStyle w:val="214"/>
        <w:spacing w:after="72"/>
      </w:pPr>
      <w:r>
        <w:t>甲方授权乙方在本项目合作期内按本合同约定承担费用、责任和风险，负责合作期内设计、融资、投资、建设、运营和维护本项目设施，并获得污水处理服务费的权利。合作期届满时，乙方应将项目设施无偿移交给甲方或市政府指定的其他机构。</w:t>
      </w:r>
    </w:p>
    <w:p>
      <w:pPr>
        <w:pStyle w:val="214"/>
        <w:spacing w:after="72"/>
      </w:pPr>
      <w:r>
        <w:t>除本合同另有</w:t>
      </w:r>
      <w:r>
        <w:rPr>
          <w:rFonts w:hint="eastAsia"/>
        </w:rPr>
        <w:t>约定</w:t>
      </w:r>
      <w:r>
        <w:t>外，乙方的经营权在本项目合作期内始终保持有效。</w:t>
      </w:r>
    </w:p>
    <w:p>
      <w:pPr>
        <w:pStyle w:val="214"/>
        <w:spacing w:after="72"/>
      </w:pPr>
      <w:r>
        <w:t>在国家宏观经济政策发生重大变化和调整时，甲方有权改变合作方式。双方应就此达成新的协议或就本合同的修订和补充达成一致，如导致乙方经营权终止的，应按本合同的约定予以补偿。</w:t>
      </w:r>
    </w:p>
    <w:p>
      <w:pPr>
        <w:pStyle w:val="214"/>
        <w:spacing w:after="72"/>
      </w:pPr>
      <w:bookmarkStart w:id="186" w:name="_Hlk493155367"/>
      <w:r>
        <w:t>本项目的相关资产在项目合作期内由乙方负责建设、运营维护，在建设完成后，乙方仅享有项目投融资建设形成的资产的使用权和收益权，本项目及其附属设施等各项有形及无形资产的所有权和处置权仍归甲方所有。项目合作期满，乙方应将项目相关资产、资料全部无偿移交给</w:t>
      </w:r>
      <w:r>
        <w:rPr>
          <w:rFonts w:hint="eastAsia"/>
        </w:rPr>
        <w:t>甲方</w:t>
      </w:r>
      <w:r>
        <w:t>或政府指定</w:t>
      </w:r>
      <w:r>
        <w:rPr>
          <w:rFonts w:hint="eastAsia"/>
        </w:rPr>
        <w:t>的其他</w:t>
      </w:r>
      <w:r>
        <w:t>机构。</w:t>
      </w:r>
      <w:bookmarkEnd w:id="186"/>
    </w:p>
    <w:p>
      <w:pPr>
        <w:pStyle w:val="213"/>
        <w:spacing w:after="120"/>
        <w:rPr>
          <w:b/>
        </w:rPr>
      </w:pPr>
      <w:r>
        <w:rPr>
          <w:rFonts w:hint="eastAsia" w:ascii="Times New Roman" w:hAnsi="Times New Roman"/>
          <w:b/>
        </w:rPr>
        <w:t>收益权</w:t>
      </w:r>
      <w:r>
        <w:rPr>
          <w:rFonts w:hint="eastAsia"/>
          <w:b/>
        </w:rPr>
        <w:t>★</w:t>
      </w:r>
    </w:p>
    <w:p>
      <w:pPr>
        <w:pStyle w:val="214"/>
        <w:spacing w:after="72"/>
      </w:pPr>
      <w:r>
        <w:rPr>
          <w:rFonts w:hint="eastAsia"/>
        </w:rPr>
        <w:t>运营期内，乙方为本项目收水范围内的园区企业提供污水处理服务，并有权按本合同约定获得污水处理服务费。</w:t>
      </w:r>
    </w:p>
    <w:p>
      <w:pPr>
        <w:pStyle w:val="214"/>
        <w:spacing w:after="72"/>
      </w:pPr>
      <w:r>
        <w:rPr>
          <w:rFonts w:hint="eastAsia"/>
        </w:rPr>
        <w:t>本项目污水处理服务费由两部分组成：</w:t>
      </w:r>
      <w:r>
        <w:t>1</w:t>
      </w:r>
      <w:r>
        <w:rPr>
          <w:rFonts w:hint="eastAsia"/>
        </w:rPr>
        <w:t>、园区企业缴纳的污水处理费；</w:t>
      </w:r>
      <w:r>
        <w:t>2</w:t>
      </w:r>
      <w:r>
        <w:rPr>
          <w:rFonts w:hint="eastAsia"/>
        </w:rPr>
        <w:t>、财政对于污水处理费与污水处理服务费之间差额部分支付的财政补贴。</w:t>
      </w:r>
    </w:p>
    <w:p>
      <w:pPr>
        <w:pStyle w:val="214"/>
        <w:spacing w:after="72"/>
      </w:pPr>
      <w:r>
        <w:rPr>
          <w:rFonts w:hint="eastAsia"/>
        </w:rPr>
        <w:t>本项目污水处理费由甲方或政府指定的其他机构代为收取，并根据当季污水处理达标情况及本合同的约定，按时拨付给乙方。</w:t>
      </w:r>
    </w:p>
    <w:p>
      <w:pPr>
        <w:pStyle w:val="214"/>
        <w:spacing w:after="72"/>
      </w:pPr>
      <w:r>
        <w:rPr>
          <w:rFonts w:hint="eastAsia"/>
        </w:rPr>
        <w:t>对于污水处理费与污水处理服务费之间差额部分，财政应根据甲方申请将相应财政补贴及时拨付甲方，并由其支付给乙方；若当季污水处理费实际收取金额大于乙方应获得的污水处理服务费，则多余部分应由代为收取污水处理费的单位上缴财政，统一安排。</w:t>
      </w:r>
    </w:p>
    <w:p>
      <w:pPr>
        <w:pStyle w:val="213"/>
        <w:spacing w:after="120"/>
        <w:rPr>
          <w:rFonts w:ascii="Times New Roman" w:hAnsi="Times New Roman"/>
        </w:rPr>
      </w:pPr>
      <w:bookmarkStart w:id="187" w:name="_Ref448612527"/>
      <w:r>
        <w:rPr>
          <w:rFonts w:ascii="Times New Roman" w:hAnsi="Times New Roman"/>
        </w:rPr>
        <w:t>合作期</w:t>
      </w:r>
      <w:bookmarkEnd w:id="187"/>
    </w:p>
    <w:p>
      <w:pPr>
        <w:pStyle w:val="214"/>
        <w:spacing w:after="72"/>
        <w:rPr>
          <w:b/>
        </w:rPr>
      </w:pPr>
      <w:r>
        <w:rPr>
          <w:rFonts w:hint="eastAsia"/>
          <w:b/>
        </w:rPr>
        <w:t>除非依据本合同的相关条款而终止或建设期调整，本项目合作期为三十年（</w:t>
      </w:r>
      <w:r>
        <w:rPr>
          <w:b/>
        </w:rPr>
        <w:t>30</w:t>
      </w:r>
      <w:r>
        <w:rPr>
          <w:rFonts w:hint="eastAsia"/>
          <w:b/>
        </w:rPr>
        <w:t>）年，根据本项目中标人投标报价，本项目建设期不超过</w:t>
      </w:r>
      <w:r>
        <w:rPr>
          <w:rFonts w:hint="eastAsia"/>
          <w:b/>
          <w:i/>
          <w:u w:val="single"/>
        </w:rPr>
        <w:t>【】</w:t>
      </w:r>
      <w:r>
        <w:rPr>
          <w:rFonts w:hint="eastAsia"/>
          <w:b/>
        </w:rPr>
        <w:t>年。</w:t>
      </w:r>
      <w:r>
        <w:rPr>
          <w:rFonts w:hint="eastAsia" w:ascii="宋体" w:hAnsi="宋体"/>
          <w:b/>
        </w:rPr>
        <w:t>★</w:t>
      </w:r>
    </w:p>
    <w:p>
      <w:pPr>
        <w:pStyle w:val="214"/>
        <w:spacing w:after="72"/>
      </w:pPr>
      <w:r>
        <w:rPr>
          <w:rFonts w:hint="eastAsia"/>
        </w:rPr>
        <w:t>若乙方通过优化工艺、提高建设效率等措施有效缩短建设工期，若建设期不超过1年，则本项目运营期为29年；若建设期超过1年但不超过2年，则本项目运营期为28年。</w:t>
      </w:r>
    </w:p>
    <w:p>
      <w:pPr>
        <w:pStyle w:val="214"/>
        <w:spacing w:after="72"/>
      </w:pPr>
      <w:r>
        <w:t>在本项目合作期内，如发生下列事件，双方可以根据实际情况延长本项目合作期：</w:t>
      </w:r>
    </w:p>
    <w:p>
      <w:pPr>
        <w:pStyle w:val="219"/>
        <w:spacing w:after="72"/>
      </w:pPr>
      <w:r>
        <w:t>因甲方原因或其他不可抗力原因导致项目建设期延长的；</w:t>
      </w:r>
    </w:p>
    <w:p>
      <w:pPr>
        <w:pStyle w:val="219"/>
        <w:spacing w:after="72"/>
      </w:pPr>
      <w:r>
        <w:t>甲方在本合同项下违约，造成项目运营维护中断的；</w:t>
      </w:r>
    </w:p>
    <w:p>
      <w:pPr>
        <w:pStyle w:val="219"/>
        <w:spacing w:after="72"/>
      </w:pPr>
      <w:r>
        <w:t>不可抗力导致项目运营维护中断的；</w:t>
      </w:r>
    </w:p>
    <w:p>
      <w:pPr>
        <w:pStyle w:val="219"/>
        <w:spacing w:after="72"/>
      </w:pPr>
      <w:r>
        <w:t>适用法律、国家政策变化或政府的公益性指令造成本项目的运营维护中断，导致本项目实际运营期限比原有约定的本项目运营期限缩短的；</w:t>
      </w:r>
    </w:p>
    <w:p>
      <w:pPr>
        <w:pStyle w:val="219"/>
        <w:spacing w:after="72"/>
      </w:pPr>
      <w:r>
        <w:t>其他双方一致同意的情形。</w:t>
      </w:r>
    </w:p>
    <w:p>
      <w:pPr>
        <w:pStyle w:val="214"/>
        <w:spacing w:after="72"/>
      </w:pPr>
      <w:r>
        <w:t>本项目合作期的延长应经甲方书面同意。乙方在上述事件发生之后，可申请延长本项目合作期，甲方在收到申请后二十（20）个工作日内核实并作出书面确认意见，逾期未提出意见视为同意延长本项目合作期。</w:t>
      </w:r>
    </w:p>
    <w:p>
      <w:pPr>
        <w:pStyle w:val="213"/>
        <w:spacing w:after="120"/>
        <w:rPr>
          <w:rFonts w:ascii="Times New Roman" w:hAnsi="Times New Roman"/>
        </w:rPr>
      </w:pPr>
      <w:bookmarkStart w:id="188" w:name="_Toc417325813"/>
      <w:bookmarkStart w:id="189" w:name="_Toc417373102"/>
      <w:r>
        <w:rPr>
          <w:rFonts w:ascii="Times New Roman" w:hAnsi="Times New Roman"/>
        </w:rPr>
        <w:t>合作期满后的</w:t>
      </w:r>
      <w:bookmarkEnd w:id="188"/>
      <w:bookmarkEnd w:id="189"/>
      <w:r>
        <w:rPr>
          <w:rFonts w:ascii="Times New Roman" w:hAnsi="Times New Roman"/>
        </w:rPr>
        <w:t>处理</w:t>
      </w:r>
    </w:p>
    <w:p>
      <w:pPr>
        <w:pStyle w:val="214"/>
        <w:spacing w:after="72"/>
      </w:pPr>
      <w:r>
        <w:t>本项目合作期满，甲方有权依照届时适用法律选</w:t>
      </w:r>
      <w:r>
        <w:rPr>
          <w:spacing w:val="1"/>
        </w:rPr>
        <w:t>择新的社会资本</w:t>
      </w:r>
      <w:r>
        <w:rPr>
          <w:spacing w:val="-12"/>
        </w:rPr>
        <w:t>，</w:t>
      </w:r>
      <w:r>
        <w:t>如乙方在本项目合作期内履约记录良好，则在同等条件下享有优先权。</w:t>
      </w:r>
    </w:p>
    <w:p>
      <w:pPr>
        <w:pStyle w:val="214"/>
        <w:spacing w:after="72"/>
      </w:pPr>
      <w:r>
        <w:t>本项目合作期届满时，在符合届时适用法律前提下，中标人可就项目经营事宜与甲方或市政府指定的其他机构协商，如未能达成新的协议，或实施政府采购或招投标程序而中标人未获中标资格的，乙方应将项目设施按照</w:t>
      </w:r>
      <w:r>
        <w:fldChar w:fldCharType="begin"/>
      </w:r>
      <w:r>
        <w:instrText xml:space="preserve"> REF _Ref483652126 \r \h  \* MERGEFORMAT </w:instrText>
      </w:r>
      <w:r>
        <w:fldChar w:fldCharType="separate"/>
      </w:r>
      <w:r>
        <w:rPr>
          <w:rFonts w:hint="eastAsia"/>
        </w:rPr>
        <w:t>第13条</w:t>
      </w:r>
      <w:r>
        <w:rPr>
          <w:rFonts w:hint="eastAsia"/>
        </w:rPr>
        <w:fldChar w:fldCharType="end"/>
      </w:r>
      <w:r>
        <w:rPr>
          <w:rFonts w:hint="eastAsia"/>
        </w:rPr>
        <w:t>约定</w:t>
      </w:r>
      <w:r>
        <w:t>移交甲方或市政府指定的其他机构。</w:t>
      </w:r>
    </w:p>
    <w:p>
      <w:pPr>
        <w:pStyle w:val="214"/>
        <w:spacing w:after="72"/>
      </w:pPr>
      <w:r>
        <w:t>乙方应保证在本项目合作期届满时清偿其所有债务，解除在本项目相关权益上设置的任何担保，在本项目合作期届满后不论是否继续经营本项目，其债权债务均由乙方享有和承担，与甲方无关。</w:t>
      </w:r>
    </w:p>
    <w:p>
      <w:pPr>
        <w:pStyle w:val="212"/>
        <w:spacing w:before="360" w:after="120" w:line="360" w:lineRule="auto"/>
        <w:rPr>
          <w:rFonts w:eastAsia="宋体"/>
          <w:b/>
        </w:rPr>
      </w:pPr>
      <w:bookmarkStart w:id="190" w:name="_Toc448060823"/>
      <w:bookmarkStart w:id="191" w:name="_Toc417325821"/>
      <w:bookmarkStart w:id="192" w:name="_Toc417373110"/>
      <w:bookmarkStart w:id="193" w:name="_Toc534891110"/>
      <w:r>
        <w:rPr>
          <w:rFonts w:hint="eastAsia" w:eastAsia="宋体"/>
          <w:b/>
        </w:rPr>
        <w:t>前期工作</w:t>
      </w:r>
      <w:bookmarkEnd w:id="190"/>
      <w:bookmarkEnd w:id="191"/>
      <w:bookmarkEnd w:id="192"/>
      <w:r>
        <w:rPr>
          <w:rFonts w:hint="eastAsia" w:ascii="宋体" w:hAnsi="宋体" w:eastAsia="宋体"/>
          <w:b/>
        </w:rPr>
        <w:t>★</w:t>
      </w:r>
      <w:bookmarkEnd w:id="193"/>
    </w:p>
    <w:p>
      <w:pPr>
        <w:pStyle w:val="213"/>
        <w:spacing w:after="120"/>
        <w:rPr>
          <w:rFonts w:ascii="Times New Roman" w:hAnsi="Times New Roman"/>
        </w:rPr>
      </w:pPr>
      <w:bookmarkStart w:id="194" w:name="_Ref485574311"/>
      <w:bookmarkStart w:id="195" w:name="_Ref533413352"/>
      <w:bookmarkStart w:id="196" w:name="_Toc417373112"/>
      <w:bookmarkStart w:id="197" w:name="_Toc417325823"/>
      <w:r>
        <w:rPr>
          <w:rFonts w:hint="eastAsia" w:ascii="Times New Roman" w:hAnsi="Times New Roman"/>
        </w:rPr>
        <w:t>前期工作任务分担</w:t>
      </w:r>
      <w:bookmarkEnd w:id="194"/>
      <w:bookmarkEnd w:id="195"/>
      <w:bookmarkEnd w:id="196"/>
      <w:bookmarkEnd w:id="197"/>
    </w:p>
    <w:p>
      <w:pPr>
        <w:pStyle w:val="214"/>
        <w:spacing w:after="72"/>
      </w:pPr>
      <w:r>
        <w:t>在开工日或先于开工日，甲方完成本项目的立项和可行性研究报告编制工作，并负责组织可行性研究报告的评审。</w:t>
      </w:r>
    </w:p>
    <w:p>
      <w:pPr>
        <w:pStyle w:val="214"/>
        <w:spacing w:after="72"/>
      </w:pPr>
      <w:bookmarkStart w:id="198" w:name="_Ref533413360"/>
      <w:r>
        <w:t>甲方负责协调项目所在地市人民政府</w:t>
      </w:r>
      <w:r>
        <w:rPr>
          <w:rFonts w:hint="eastAsia"/>
        </w:rPr>
        <w:t>负责</w:t>
      </w:r>
      <w:r>
        <w:t>项目建设用地的征地拆迁工作。甲方应按照建设进度计划分期向乙方提供满足开工条件的建设用地。</w:t>
      </w:r>
      <w:bookmarkEnd w:id="198"/>
    </w:p>
    <w:p>
      <w:pPr>
        <w:pStyle w:val="214"/>
        <w:spacing w:after="72"/>
      </w:pPr>
      <w:bookmarkStart w:id="199" w:name="_Ref485659211"/>
      <w:r>
        <w:t>甲方已开展的项目前期工作</w:t>
      </w:r>
      <w:r>
        <w:rPr>
          <w:rFonts w:hint="eastAsia"/>
        </w:rPr>
        <w:t>包括</w:t>
      </w:r>
      <w:r>
        <w:t>：</w:t>
      </w:r>
      <w:bookmarkEnd w:id="199"/>
    </w:p>
    <w:p>
      <w:pPr>
        <w:pStyle w:val="219"/>
        <w:spacing w:after="72"/>
      </w:pPr>
      <w:r>
        <w:rPr>
          <w:rFonts w:hint="eastAsia"/>
        </w:rPr>
        <w:t>可行性研究报告；</w:t>
      </w:r>
    </w:p>
    <w:p>
      <w:pPr>
        <w:pStyle w:val="219"/>
        <w:spacing w:after="72"/>
      </w:pPr>
      <w:r>
        <w:rPr>
          <w:rFonts w:hint="eastAsia"/>
        </w:rPr>
        <w:t>环境影响评价等专项评估；</w:t>
      </w:r>
    </w:p>
    <w:p>
      <w:pPr>
        <w:pStyle w:val="219"/>
        <w:spacing w:after="72"/>
      </w:pPr>
      <w:r>
        <w:t>PPP</w:t>
      </w:r>
      <w:r>
        <w:rPr>
          <w:rFonts w:hint="eastAsia"/>
        </w:rPr>
        <w:t>咨询服务；</w:t>
      </w:r>
    </w:p>
    <w:p>
      <w:pPr>
        <w:pStyle w:val="219"/>
        <w:spacing w:after="72"/>
      </w:pPr>
      <w:r>
        <w:rPr>
          <w:rFonts w:hint="eastAsia"/>
        </w:rPr>
        <w:t>甲方已开展的项目其他前期工作。</w:t>
      </w:r>
    </w:p>
    <w:p>
      <w:pPr>
        <w:pStyle w:val="219"/>
        <w:numPr>
          <w:ilvl w:val="0"/>
          <w:numId w:val="0"/>
        </w:numPr>
        <w:spacing w:after="72"/>
        <w:ind w:left="1418"/>
      </w:pPr>
      <w:r>
        <w:rPr>
          <w:rFonts w:hint="eastAsia"/>
        </w:rPr>
        <w:t>乙方应接受并认同上述前期工作成果。</w:t>
      </w:r>
    </w:p>
    <w:p>
      <w:pPr>
        <w:pStyle w:val="214"/>
        <w:spacing w:after="72"/>
      </w:pPr>
      <w:r>
        <w:t>乙方的前期工作内容</w:t>
      </w:r>
      <w:r>
        <w:rPr>
          <w:rFonts w:hint="eastAsia"/>
        </w:rPr>
        <w:t>包括：</w:t>
      </w:r>
    </w:p>
    <w:p>
      <w:pPr>
        <w:pStyle w:val="219"/>
        <w:spacing w:after="72"/>
      </w:pPr>
      <w:r>
        <w:t>本项目的初步设计和施工图设计并报有关部门审批；</w:t>
      </w:r>
    </w:p>
    <w:p>
      <w:pPr>
        <w:pStyle w:val="219"/>
        <w:spacing w:after="72"/>
      </w:pPr>
      <w:r>
        <w:t>乙方应依法办理开工所需各项建设手续，取得施工许可</w:t>
      </w:r>
      <w:r>
        <w:rPr>
          <w:rFonts w:hint="eastAsia"/>
        </w:rPr>
        <w:t>证；</w:t>
      </w:r>
    </w:p>
    <w:p>
      <w:pPr>
        <w:pStyle w:val="219"/>
        <w:spacing w:after="72"/>
      </w:pPr>
      <w:r>
        <w:t>乙方应负责办理项目各项事项的报批手续，包括项目建设用水、用电、生产安全、地震安全评价、通信、用地、劳动卫生等事项的报批及取得批复</w:t>
      </w:r>
      <w:r>
        <w:rPr>
          <w:rFonts w:hint="eastAsia"/>
        </w:rPr>
        <w:t>；</w:t>
      </w:r>
    </w:p>
    <w:p>
      <w:pPr>
        <w:pStyle w:val="219"/>
        <w:spacing w:after="72"/>
      </w:pPr>
      <w:r>
        <w:rPr>
          <w:rFonts w:hint="eastAsia"/>
        </w:rPr>
        <w:t>本项目开工所需的其它前期工作</w:t>
      </w:r>
      <w:r>
        <w:t>。</w:t>
      </w:r>
    </w:p>
    <w:p>
      <w:pPr>
        <w:pStyle w:val="213"/>
        <w:spacing w:after="120"/>
        <w:rPr>
          <w:rFonts w:ascii="Times New Roman" w:hAnsi="Times New Roman"/>
        </w:rPr>
      </w:pPr>
      <w:bookmarkStart w:id="200" w:name="_Toc417373113"/>
      <w:bookmarkStart w:id="201" w:name="_Toc417325824"/>
      <w:bookmarkStart w:id="202" w:name="_Ref484433371"/>
      <w:r>
        <w:rPr>
          <w:rFonts w:hint="eastAsia" w:ascii="Times New Roman" w:hAnsi="Times New Roman"/>
        </w:rPr>
        <w:t>前期费</w:t>
      </w:r>
      <w:bookmarkEnd w:id="200"/>
      <w:bookmarkEnd w:id="201"/>
      <w:r>
        <w:rPr>
          <w:rFonts w:hint="eastAsia" w:ascii="Times New Roman" w:hAnsi="Times New Roman"/>
        </w:rPr>
        <w:t>用</w:t>
      </w:r>
      <w:bookmarkEnd w:id="202"/>
    </w:p>
    <w:p>
      <w:pPr>
        <w:pStyle w:val="214"/>
        <w:numPr>
          <w:ilvl w:val="0"/>
          <w:numId w:val="0"/>
        </w:numPr>
        <w:spacing w:after="72"/>
        <w:ind w:left="567"/>
      </w:pPr>
      <w:bookmarkStart w:id="203" w:name="_Ref484433390"/>
      <w:r>
        <w:t>按</w:t>
      </w:r>
      <w:r>
        <w:rPr>
          <w:rFonts w:hint="eastAsia"/>
        </w:rPr>
        <w:t>第</w:t>
      </w:r>
      <w:r>
        <w:fldChar w:fldCharType="begin"/>
      </w:r>
      <w:r>
        <w:instrText xml:space="preserve"> REF _Ref485659211 \r \h  \* MERGEFORMAT </w:instrText>
      </w:r>
      <w:r>
        <w:fldChar w:fldCharType="separate"/>
      </w:r>
      <w:r>
        <w:t>7.1.3</w:t>
      </w:r>
      <w:r>
        <w:fldChar w:fldCharType="end"/>
      </w:r>
      <w:r>
        <w:t>条</w:t>
      </w:r>
      <w:r>
        <w:rPr>
          <w:rFonts w:hint="eastAsia"/>
        </w:rPr>
        <w:t>款</w:t>
      </w:r>
      <w:r>
        <w:t>所述由甲方负责的前期工作，产生的相关费用由乙方承担，计入项目总投资。</w:t>
      </w:r>
      <w:bookmarkEnd w:id="203"/>
      <w:r>
        <w:rPr>
          <w:rFonts w:hint="eastAsia"/>
        </w:rPr>
        <w:t>乙方须在乙方成立后三十（30）日内及时支付给甲方或政府指定的其他机构，甲方需提供相关的收据或发票。</w:t>
      </w:r>
    </w:p>
    <w:p>
      <w:pPr>
        <w:pStyle w:val="213"/>
        <w:spacing w:after="120"/>
        <w:rPr>
          <w:rFonts w:ascii="Times New Roman" w:hAnsi="Times New Roman"/>
        </w:rPr>
      </w:pPr>
      <w:bookmarkStart w:id="204" w:name="_Toc417325825"/>
      <w:bookmarkStart w:id="205" w:name="_Toc417373114"/>
      <w:r>
        <w:rPr>
          <w:rFonts w:ascii="Times New Roman" w:hAnsi="Times New Roman"/>
        </w:rPr>
        <w:t>甲方提供的前期工作支持</w:t>
      </w:r>
      <w:bookmarkEnd w:id="204"/>
      <w:bookmarkEnd w:id="205"/>
    </w:p>
    <w:p>
      <w:pPr>
        <w:pStyle w:val="214"/>
        <w:spacing w:after="72"/>
      </w:pPr>
      <w:r>
        <w:t>甲方针对前期工作安排，协调相关部门提供必要的资料和文件。</w:t>
      </w:r>
    </w:p>
    <w:p>
      <w:pPr>
        <w:pStyle w:val="214"/>
        <w:spacing w:after="72"/>
      </w:pPr>
      <w:r>
        <w:t>甲方负责组织召开项目协调会。</w:t>
      </w:r>
    </w:p>
    <w:p>
      <w:pPr>
        <w:pStyle w:val="214"/>
        <w:spacing w:after="72"/>
      </w:pPr>
      <w:r>
        <w:t>甲方根据项目需求及乙方合理诉求，提供其他支持。</w:t>
      </w:r>
    </w:p>
    <w:p>
      <w:pPr>
        <w:pStyle w:val="213"/>
        <w:spacing w:after="120"/>
        <w:rPr>
          <w:rFonts w:ascii="Times New Roman" w:hAnsi="Times New Roman"/>
        </w:rPr>
      </w:pPr>
      <w:r>
        <w:rPr>
          <w:rFonts w:hint="eastAsia" w:ascii="Times New Roman" w:hAnsi="Times New Roman"/>
        </w:rPr>
        <w:t>专项资金</w:t>
      </w:r>
    </w:p>
    <w:p>
      <w:pPr>
        <w:pStyle w:val="214"/>
        <w:spacing w:after="72"/>
      </w:pPr>
      <w:r>
        <w:rPr>
          <w:rFonts w:hint="eastAsia"/>
        </w:rPr>
        <w:t>如本项目获得各类奖补资金或专项资金，应当根据资金性质和规定及时用于本项目。若在建设期争取到可直接用于项目的相关资金，则从项目总投资中扣除该部分资金，并在竣工决算时按照PPP项目合同约定对污水处理服务费单价进行相应的调整；</w:t>
      </w:r>
    </w:p>
    <w:p>
      <w:pPr>
        <w:pStyle w:val="214"/>
        <w:spacing w:after="72"/>
      </w:pPr>
      <w:r>
        <w:rPr>
          <w:rFonts w:hint="eastAsia"/>
        </w:rPr>
        <w:t>若在运营期争取到相关资金，可作为财政补贴抵扣运营期内政府支出责任；</w:t>
      </w:r>
    </w:p>
    <w:p>
      <w:pPr>
        <w:pStyle w:val="212"/>
        <w:spacing w:before="360" w:after="120" w:line="360" w:lineRule="auto"/>
        <w:rPr>
          <w:rFonts w:eastAsia="宋体"/>
          <w:b/>
        </w:rPr>
      </w:pPr>
      <w:bookmarkStart w:id="206" w:name="_Toc534891111"/>
      <w:r>
        <w:rPr>
          <w:rFonts w:eastAsia="宋体"/>
          <w:b/>
        </w:rPr>
        <w:t>项目征地拆迁和建设用地</w:t>
      </w:r>
      <w:bookmarkEnd w:id="206"/>
    </w:p>
    <w:p>
      <w:pPr>
        <w:pStyle w:val="213"/>
        <w:spacing w:after="120"/>
        <w:rPr>
          <w:rFonts w:ascii="Times New Roman" w:hAnsi="Times New Roman"/>
        </w:rPr>
      </w:pPr>
      <w:bookmarkStart w:id="207" w:name="_Toc417373121"/>
      <w:bookmarkStart w:id="208" w:name="_Toc248056471"/>
      <w:bookmarkStart w:id="209" w:name="_Toc417325840"/>
      <w:r>
        <w:rPr>
          <w:rFonts w:ascii="Times New Roman" w:hAnsi="Times New Roman"/>
        </w:rPr>
        <w:t>征地拆迁</w:t>
      </w:r>
    </w:p>
    <w:p>
      <w:pPr>
        <w:pStyle w:val="218"/>
        <w:spacing w:afterLines="50"/>
      </w:pPr>
      <w:r>
        <w:t>双方应根据河南省、许昌市及禹州市的相关规定实施征地拆迁工作。</w:t>
      </w:r>
    </w:p>
    <w:p>
      <w:pPr>
        <w:pStyle w:val="214"/>
        <w:spacing w:after="72"/>
      </w:pPr>
      <w:r>
        <w:t>甲方应协调项目所在地市人民政府部门负责组织推进本项目涉及的建设用地前期征拆摸底调查、测算征拆费用、人员安置、树木伐移、管线迁移、交通导改、征拆手续审批等相关工作。</w:t>
      </w:r>
    </w:p>
    <w:p>
      <w:pPr>
        <w:pStyle w:val="214"/>
        <w:spacing w:after="72"/>
      </w:pPr>
      <w:r>
        <w:t>因甲方或政府方原因未能及时完成征地拆迁工作，导致本项目建设进度延误的，甲方应顺延本项目建设期。</w:t>
      </w:r>
    </w:p>
    <w:p>
      <w:pPr>
        <w:pStyle w:val="214"/>
        <w:spacing w:after="72"/>
      </w:pPr>
      <w:r>
        <w:t>征地拆迁产生的费用</w:t>
      </w:r>
      <w:r>
        <w:rPr>
          <w:rFonts w:hint="eastAsia"/>
        </w:rPr>
        <w:t>由</w:t>
      </w:r>
      <w:r>
        <w:t>甲方承担，不计入项目</w:t>
      </w:r>
      <w:r>
        <w:rPr>
          <w:rFonts w:hint="eastAsia"/>
        </w:rPr>
        <w:t>总</w:t>
      </w:r>
      <w:r>
        <w:t>投资。</w:t>
      </w:r>
    </w:p>
    <w:p>
      <w:pPr>
        <w:pStyle w:val="213"/>
        <w:spacing w:after="120"/>
        <w:rPr>
          <w:rFonts w:ascii="Times New Roman" w:hAnsi="Times New Roman"/>
        </w:rPr>
      </w:pPr>
      <w:r>
        <w:rPr>
          <w:rFonts w:ascii="Times New Roman" w:hAnsi="Times New Roman"/>
        </w:rPr>
        <w:t>项目建设用地范围</w:t>
      </w:r>
      <w:bookmarkEnd w:id="207"/>
      <w:bookmarkEnd w:id="208"/>
      <w:bookmarkEnd w:id="209"/>
    </w:p>
    <w:p>
      <w:pPr>
        <w:pStyle w:val="218"/>
        <w:spacing w:afterLines="50"/>
      </w:pPr>
      <w:r>
        <w:t>本项目的项目建设用地范围以经批复的</w:t>
      </w:r>
      <w:r>
        <w:rPr>
          <w:rFonts w:hint="eastAsia"/>
        </w:rPr>
        <w:t>建设用地规划许可证</w:t>
      </w:r>
      <w:r>
        <w:t>为准。</w:t>
      </w:r>
    </w:p>
    <w:p>
      <w:pPr>
        <w:pStyle w:val="213"/>
        <w:spacing w:after="120"/>
        <w:rPr>
          <w:rFonts w:ascii="Times New Roman" w:hAnsi="Times New Roman"/>
        </w:rPr>
      </w:pPr>
      <w:bookmarkStart w:id="210" w:name="_Toc248056472"/>
      <w:bookmarkStart w:id="211" w:name="_Toc417325841"/>
      <w:bookmarkStart w:id="212" w:name="_Toc417373122"/>
      <w:r>
        <w:rPr>
          <w:rFonts w:hint="eastAsia" w:ascii="Times New Roman" w:hAnsi="Times New Roman"/>
        </w:rPr>
        <w:t>土地使用权</w:t>
      </w:r>
      <w:r>
        <w:rPr>
          <w:rFonts w:hint="eastAsia"/>
        </w:rPr>
        <w:t>★</w:t>
      </w:r>
    </w:p>
    <w:bookmarkEnd w:id="210"/>
    <w:bookmarkEnd w:id="211"/>
    <w:bookmarkEnd w:id="212"/>
    <w:p>
      <w:pPr>
        <w:pStyle w:val="214"/>
        <w:spacing w:after="72"/>
      </w:pPr>
      <w:r>
        <w:t>甲方拥有本项目土地使用权并确保乙方在本项目合作期内为项目之目的合法地使用项目建设用地。</w:t>
      </w:r>
      <w:r>
        <w:rPr>
          <w:rFonts w:hint="eastAsia"/>
        </w:rPr>
        <w:t>土地使用</w:t>
      </w:r>
      <w:r>
        <w:t>过程中产生的费用由甲方承担，不计入项目</w:t>
      </w:r>
      <w:r>
        <w:rPr>
          <w:rFonts w:hint="eastAsia"/>
        </w:rPr>
        <w:t>总</w:t>
      </w:r>
      <w:r>
        <w:t>投资</w:t>
      </w:r>
      <w:r>
        <w:rPr>
          <w:rFonts w:hint="eastAsia"/>
        </w:rPr>
        <w:t>和运营成本。</w:t>
      </w:r>
    </w:p>
    <w:p>
      <w:pPr>
        <w:pStyle w:val="214"/>
        <w:spacing w:after="72"/>
      </w:pPr>
      <w:r>
        <w:t>项目临时用地（包括料场、便道等临时用地）由甲方负责协调项目所在地政府提供给乙方使用，临时用地的费用由</w:t>
      </w:r>
      <w:r>
        <w:rPr>
          <w:rFonts w:hint="eastAsia"/>
        </w:rPr>
        <w:t>乙</w:t>
      </w:r>
      <w:r>
        <w:t>方承担，计入项目</w:t>
      </w:r>
      <w:r>
        <w:rPr>
          <w:rFonts w:hint="eastAsia"/>
        </w:rPr>
        <w:t>总投资</w:t>
      </w:r>
      <w:r>
        <w:t>投资。临时用地使用期满后，由乙方负责拆除地上建筑物、构筑物并恢复原貌。</w:t>
      </w:r>
    </w:p>
    <w:p>
      <w:pPr>
        <w:pStyle w:val="213"/>
        <w:spacing w:after="120"/>
        <w:rPr>
          <w:rFonts w:ascii="Times New Roman" w:hAnsi="Times New Roman"/>
        </w:rPr>
      </w:pPr>
      <w:bookmarkStart w:id="213" w:name="_Toc417373124"/>
      <w:bookmarkStart w:id="214" w:name="_Toc248056474"/>
      <w:bookmarkStart w:id="215" w:name="_Toc417325843"/>
      <w:r>
        <w:rPr>
          <w:rFonts w:hint="eastAsia" w:ascii="Times New Roman" w:hAnsi="Times New Roman"/>
        </w:rPr>
        <w:t>土地使用的限制</w:t>
      </w:r>
      <w:bookmarkEnd w:id="213"/>
      <w:bookmarkEnd w:id="214"/>
      <w:bookmarkEnd w:id="215"/>
      <w:r>
        <w:rPr>
          <w:rFonts w:hint="eastAsia"/>
        </w:rPr>
        <w:t>★</w:t>
      </w:r>
    </w:p>
    <w:p>
      <w:pPr>
        <w:pStyle w:val="214"/>
        <w:spacing w:after="72"/>
      </w:pPr>
      <w:r>
        <w:t>在本项目合作期内，项目建设用地仅用于项目建设、运营维护相关的用途，对该项目建设用地的任何使用方式的变更，均需得到甲方书面同意。未经甲方书面同意，乙方不得将项目建设用地用于项目之外的任何目的，不得将项目建设用地用于转让、出租、抵押。</w:t>
      </w:r>
    </w:p>
    <w:p>
      <w:pPr>
        <w:pStyle w:val="214"/>
        <w:spacing w:after="72"/>
      </w:pPr>
      <w:r>
        <w:t>甲方以及有关政府部门经合理通知有权出入项目建设用地，有权为了解或检查乙方履行本合同项下的其它义务的目的出入项目建设用地。</w:t>
      </w:r>
    </w:p>
    <w:p>
      <w:pPr>
        <w:pStyle w:val="214"/>
        <w:spacing w:after="72"/>
      </w:pPr>
      <w:r>
        <w:t>合作期满或本合同提前终止的，乙方根据本合同享有的土地</w:t>
      </w:r>
      <w:r>
        <w:rPr>
          <w:rFonts w:hint="eastAsia"/>
        </w:rPr>
        <w:t>的</w:t>
      </w:r>
      <w:r>
        <w:t>使用权亦提前终止。</w:t>
      </w:r>
    </w:p>
    <w:p>
      <w:pPr>
        <w:pStyle w:val="212"/>
        <w:spacing w:before="360" w:after="120" w:line="360" w:lineRule="auto"/>
        <w:rPr>
          <w:rFonts w:eastAsia="宋体"/>
          <w:b/>
        </w:rPr>
      </w:pPr>
      <w:bookmarkStart w:id="216" w:name="_Toc417373125"/>
      <w:bookmarkStart w:id="217" w:name="_Toc417325844"/>
      <w:bookmarkStart w:id="218" w:name="_Toc448060826"/>
      <w:bookmarkStart w:id="219" w:name="_Toc534891112"/>
      <w:r>
        <w:rPr>
          <w:rFonts w:eastAsia="宋体"/>
          <w:b/>
        </w:rPr>
        <w:t>项目的建设</w:t>
      </w:r>
      <w:bookmarkEnd w:id="216"/>
      <w:bookmarkEnd w:id="217"/>
      <w:bookmarkEnd w:id="218"/>
      <w:bookmarkEnd w:id="219"/>
    </w:p>
    <w:p>
      <w:pPr>
        <w:pStyle w:val="213"/>
        <w:spacing w:after="120"/>
        <w:rPr>
          <w:rFonts w:ascii="Times New Roman" w:hAnsi="Times New Roman"/>
        </w:rPr>
      </w:pPr>
      <w:bookmarkStart w:id="220" w:name="_Ref448833383"/>
      <w:bookmarkStart w:id="221" w:name="_Toc417325845"/>
      <w:bookmarkStart w:id="222" w:name="_Toc320479519"/>
      <w:r>
        <w:rPr>
          <w:rFonts w:ascii="Times New Roman" w:hAnsi="Times New Roman"/>
        </w:rPr>
        <w:t>建设内容</w:t>
      </w:r>
      <w:bookmarkEnd w:id="220"/>
    </w:p>
    <w:p>
      <w:pPr>
        <w:pStyle w:val="214"/>
        <w:spacing w:after="72"/>
      </w:pPr>
      <w:r>
        <w:t>本项目具体建设内容以经审查通过的施工图设计文件为准。在本项目建设期内，如上述建设内容发生变化的，须经过有权审批机关的批准同意。如建设内容减少，乙方和乙方股东对此予以完全接受，并承诺不就此向甲方或其他相关政府部门索要任何赔偿或经济补偿。</w:t>
      </w:r>
    </w:p>
    <w:p>
      <w:pPr>
        <w:pStyle w:val="214"/>
        <w:spacing w:after="72"/>
      </w:pPr>
      <w:r>
        <w:t>根据项目实际情况，乙方应按照甲方的要求在对技术和管理方案不做重大更改的前提下进行优化调整，或者在获得甲方同意后对技术和管理方案进行优化调整。但前述优化调整如果导致投资成本的增加或减少，双方将根据本协议</w:t>
      </w:r>
      <w:r>
        <w:rPr>
          <w:rFonts w:hint="eastAsia"/>
        </w:rPr>
        <w:t>第</w:t>
      </w:r>
      <w:r>
        <w:fldChar w:fldCharType="begin"/>
      </w:r>
      <w:r>
        <w:instrText xml:space="preserve"> REF _Ref527969501 \r \h  \* MERGEFORMAT </w:instrText>
      </w:r>
      <w:r>
        <w:fldChar w:fldCharType="separate"/>
      </w:r>
      <w:r>
        <w:t>12.2</w:t>
      </w:r>
      <w:r>
        <w:fldChar w:fldCharType="end"/>
      </w:r>
      <w:r>
        <w:rPr>
          <w:rFonts w:hint="eastAsia"/>
        </w:rPr>
        <w:t>条</w:t>
      </w:r>
      <w:r>
        <w:t>的</w:t>
      </w:r>
      <w:r>
        <w:rPr>
          <w:rFonts w:hint="eastAsia"/>
        </w:rPr>
        <w:t>约定对</w:t>
      </w:r>
      <w:r>
        <w:t>污水处理服务费单价予以调整。</w:t>
      </w:r>
    </w:p>
    <w:p>
      <w:pPr>
        <w:pStyle w:val="213"/>
        <w:spacing w:after="120"/>
        <w:rPr>
          <w:rFonts w:ascii="Times New Roman" w:hAnsi="Times New Roman"/>
        </w:rPr>
      </w:pPr>
      <w:r>
        <w:rPr>
          <w:rFonts w:hint="eastAsia" w:ascii="Times New Roman" w:hAnsi="Times New Roman"/>
        </w:rPr>
        <w:t>项目设计、监理、审计</w:t>
      </w:r>
      <w:r>
        <w:rPr>
          <w:rFonts w:hint="eastAsia"/>
        </w:rPr>
        <w:t>★</w:t>
      </w:r>
    </w:p>
    <w:p>
      <w:pPr>
        <w:pStyle w:val="214"/>
        <w:spacing w:after="72"/>
      </w:pPr>
      <w:r>
        <w:rPr>
          <w:szCs w:val="32"/>
        </w:rPr>
        <w:t>本项目的初步设计文件、施工图设计文件由中标人中的设计单位负责编制，该</w:t>
      </w:r>
      <w:r>
        <w:t>设计单位所出具的成果报告由甲方和相关政府部门批准认可后执行。</w:t>
      </w:r>
    </w:p>
    <w:p>
      <w:pPr>
        <w:pStyle w:val="214"/>
        <w:spacing w:after="72"/>
      </w:pPr>
      <w:r>
        <w:t>初步设计和施工图设计</w:t>
      </w:r>
    </w:p>
    <w:p>
      <w:pPr>
        <w:pStyle w:val="214"/>
        <w:numPr>
          <w:ilvl w:val="2"/>
          <w:numId w:val="9"/>
        </w:numPr>
        <w:tabs>
          <w:tab w:val="left" w:pos="1843"/>
        </w:tabs>
        <w:spacing w:after="72"/>
        <w:ind w:firstLine="0"/>
      </w:pPr>
      <w:r>
        <w:t>乙方应对本项目初步设计和施工图设计的进度和质量负责。初步设计和施工图设计完成后，乙方应首先组织有关专家或者委托有相应资质的单位对设计文件进行审查，并邀请甲方及政府相关部门参与。</w:t>
      </w:r>
    </w:p>
    <w:p>
      <w:pPr>
        <w:pStyle w:val="214"/>
        <w:numPr>
          <w:ilvl w:val="2"/>
          <w:numId w:val="9"/>
        </w:numPr>
        <w:tabs>
          <w:tab w:val="left" w:pos="1843"/>
        </w:tabs>
        <w:spacing w:after="72"/>
        <w:ind w:firstLine="0"/>
      </w:pPr>
      <w:r>
        <w:t xml:space="preserve">乙方应按适用法律将本项目的初步设计文件和施工图设计文件报请相关部门审查批准。在审查并批准施工图设计文件前，乙方不能开始本项目的施工。 </w:t>
      </w:r>
    </w:p>
    <w:p>
      <w:pPr>
        <w:pStyle w:val="214"/>
        <w:numPr>
          <w:ilvl w:val="2"/>
          <w:numId w:val="9"/>
        </w:numPr>
        <w:tabs>
          <w:tab w:val="left" w:pos="1843"/>
        </w:tabs>
        <w:spacing w:after="72"/>
        <w:ind w:firstLine="0"/>
      </w:pPr>
      <w:r>
        <w:t>相关政府部门在收到乙方提交的设计文件后应立即进行审查。凡相关政府部门在审查意见中提出的问题，乙方应逐条给予认真贯彻落实。</w:t>
      </w:r>
    </w:p>
    <w:p>
      <w:pPr>
        <w:pStyle w:val="214"/>
        <w:numPr>
          <w:ilvl w:val="2"/>
          <w:numId w:val="9"/>
        </w:numPr>
        <w:tabs>
          <w:tab w:val="left" w:pos="1843"/>
        </w:tabs>
        <w:spacing w:after="72"/>
        <w:ind w:firstLine="0"/>
      </w:pPr>
      <w:r>
        <w:t>对于相关政府部门在本项目初步设计和施工图设计中批准的设计标准和工程规模，乙方不得擅自修改；也不能通过降低结构安全系数或其他途径试图缩减投资规模。</w:t>
      </w:r>
    </w:p>
    <w:p>
      <w:pPr>
        <w:pStyle w:val="214"/>
        <w:numPr>
          <w:ilvl w:val="2"/>
          <w:numId w:val="9"/>
        </w:numPr>
        <w:tabs>
          <w:tab w:val="left" w:pos="1843"/>
        </w:tabs>
        <w:spacing w:after="72"/>
        <w:ind w:firstLine="0"/>
      </w:pPr>
      <w:r>
        <w:t>本项目初步设计、施工图设计费用由乙方承担</w:t>
      </w:r>
      <w:r>
        <w:rPr>
          <w:rFonts w:hint="eastAsia"/>
        </w:rPr>
        <w:t>并</w:t>
      </w:r>
      <w:r>
        <w:t>计入</w:t>
      </w:r>
      <w:r>
        <w:rPr>
          <w:rFonts w:hint="eastAsia"/>
        </w:rPr>
        <w:t>项目</w:t>
      </w:r>
      <w:r>
        <w:t>总投资。</w:t>
      </w:r>
    </w:p>
    <w:p>
      <w:pPr>
        <w:pStyle w:val="214"/>
        <w:spacing w:after="72"/>
      </w:pPr>
      <w:r>
        <w:t>应免除甲方的责任</w:t>
      </w:r>
    </w:p>
    <w:p>
      <w:pPr>
        <w:pStyle w:val="214"/>
        <w:numPr>
          <w:ilvl w:val="2"/>
          <w:numId w:val="10"/>
        </w:numPr>
        <w:tabs>
          <w:tab w:val="left" w:pos="1843"/>
        </w:tabs>
        <w:spacing w:after="72"/>
        <w:ind w:firstLine="0"/>
      </w:pPr>
      <w:r>
        <w:t>乙方应对本项目的设计工作承担全部责任，包括设计的安全性、可靠性、经济性及合理性。甲方对乙方的初步设计或施工图设计的审批不应被视为以任何方式解除乙方在本协议项下的义务。</w:t>
      </w:r>
    </w:p>
    <w:p>
      <w:pPr>
        <w:pStyle w:val="214"/>
        <w:numPr>
          <w:ilvl w:val="2"/>
          <w:numId w:val="10"/>
        </w:numPr>
        <w:tabs>
          <w:tab w:val="left" w:pos="1843"/>
        </w:tabs>
        <w:spacing w:after="72"/>
        <w:ind w:firstLine="0"/>
      </w:pPr>
      <w:r>
        <w:t>若甲方未对初步设计和施工图设计、或任何规范、或对甲方的修改提出反对意见，不代表乙方可以免除本合同项下的项目的设计有关的义务。</w:t>
      </w:r>
    </w:p>
    <w:p>
      <w:pPr>
        <w:pStyle w:val="214"/>
        <w:spacing w:after="72"/>
      </w:pPr>
      <w:r>
        <w:t>甲方根据适用法律的规定，选择有相应资质的工程监理单位，该监理费用由乙方承担，计入项目总投资，监理单位按照适用法律对工程的进度、质量、安全、文明施工、变更等方面进行监理。</w:t>
      </w:r>
    </w:p>
    <w:p>
      <w:pPr>
        <w:pStyle w:val="214"/>
        <w:spacing w:after="72"/>
      </w:pPr>
      <w:r>
        <w:rPr>
          <w:rFonts w:hint="eastAsia"/>
        </w:rPr>
        <w:t>本项目由禹州市审计局对本项目进行全过程跟踪审计（含造价审计），乙方应予以配合。</w:t>
      </w:r>
    </w:p>
    <w:p>
      <w:pPr>
        <w:pStyle w:val="213"/>
        <w:spacing w:after="120"/>
        <w:rPr>
          <w:rFonts w:ascii="Times New Roman" w:hAnsi="Times New Roman"/>
        </w:rPr>
      </w:pPr>
      <w:bookmarkStart w:id="223" w:name="_Toc417373128"/>
      <w:r>
        <w:rPr>
          <w:rFonts w:hint="eastAsia" w:ascii="Times New Roman" w:hAnsi="Times New Roman"/>
        </w:rPr>
        <w:t>污水处理工艺</w:t>
      </w:r>
    </w:p>
    <w:p>
      <w:pPr>
        <w:pStyle w:val="214"/>
        <w:spacing w:after="72"/>
      </w:pPr>
      <w:r>
        <w:rPr>
          <w:rFonts w:hint="eastAsia"/>
        </w:rPr>
        <w:t>乙方可以</w:t>
      </w:r>
      <w:r>
        <w:t>对可研所采用的污水处理工艺进行优化，但污水处理技术须采用“预处理（一级处理）+生化处理（二级处理）+深度处理（三级处理）”相结合的核心路线</w:t>
      </w:r>
      <w:r>
        <w:rPr>
          <w:rFonts w:hint="eastAsia"/>
        </w:rPr>
        <w:t>。</w:t>
      </w:r>
    </w:p>
    <w:p>
      <w:pPr>
        <w:pStyle w:val="214"/>
        <w:spacing w:after="72"/>
      </w:pPr>
      <w:r>
        <w:rPr>
          <w:rFonts w:hint="eastAsia"/>
        </w:rPr>
        <w:t>乙方应</w:t>
      </w:r>
      <w:r>
        <w:t>结合</w:t>
      </w:r>
      <w:r>
        <w:rPr>
          <w:rFonts w:hint="eastAsia"/>
        </w:rPr>
        <w:t>项目</w:t>
      </w:r>
      <w:r>
        <w:t>可研</w:t>
      </w:r>
      <w:r>
        <w:rPr>
          <w:rFonts w:hint="eastAsia"/>
        </w:rPr>
        <w:t>报告等前期资料</w:t>
      </w:r>
      <w:r>
        <w:t>，根据类似项目经验和产业园区进水水质特点设计整个工艺流程，选择成熟、稳定、可靠的工艺方案，确保出水水质稳定达标。</w:t>
      </w:r>
    </w:p>
    <w:p>
      <w:pPr>
        <w:pStyle w:val="213"/>
        <w:spacing w:after="120"/>
        <w:rPr>
          <w:rFonts w:ascii="Times New Roman" w:hAnsi="Times New Roman"/>
        </w:rPr>
      </w:pPr>
      <w:r>
        <w:rPr>
          <w:rFonts w:ascii="Times New Roman" w:hAnsi="Times New Roman"/>
        </w:rPr>
        <w:t>项目建设质量保障</w:t>
      </w:r>
      <w:bookmarkEnd w:id="221"/>
      <w:bookmarkEnd w:id="222"/>
      <w:bookmarkEnd w:id="223"/>
    </w:p>
    <w:p>
      <w:pPr>
        <w:pStyle w:val="214"/>
        <w:spacing w:after="72"/>
      </w:pPr>
      <w:bookmarkStart w:id="224" w:name="_Ref533414875"/>
      <w:r>
        <w:t>乙方在开工日前，须建立一套完整的质量保证和质量控制方案交监理单位初审后报甲方审查确认后执行，并作为验收依据之一。</w:t>
      </w:r>
      <w:bookmarkEnd w:id="224"/>
    </w:p>
    <w:p>
      <w:pPr>
        <w:pStyle w:val="214"/>
        <w:spacing w:after="72"/>
      </w:pPr>
      <w:bookmarkStart w:id="225" w:name="_Ref493002744"/>
      <w:r>
        <w:t>乙方必须根据以下规定和要求组织本项目的施工：</w:t>
      </w:r>
      <w:bookmarkEnd w:id="225"/>
    </w:p>
    <w:p>
      <w:pPr>
        <w:pStyle w:val="214"/>
        <w:numPr>
          <w:ilvl w:val="2"/>
          <w:numId w:val="11"/>
        </w:numPr>
        <w:tabs>
          <w:tab w:val="left" w:pos="1843"/>
        </w:tabs>
        <w:spacing w:after="72"/>
        <w:ind w:firstLine="0"/>
      </w:pPr>
      <w:r>
        <w:t>经批准的初步设计文件和施工图设计文件；</w:t>
      </w:r>
    </w:p>
    <w:p>
      <w:pPr>
        <w:pStyle w:val="214"/>
        <w:numPr>
          <w:ilvl w:val="2"/>
          <w:numId w:val="11"/>
        </w:numPr>
        <w:tabs>
          <w:tab w:val="left" w:pos="1843"/>
        </w:tabs>
        <w:spacing w:after="72"/>
        <w:ind w:firstLine="0"/>
      </w:pPr>
      <w:bookmarkStart w:id="226" w:name="_Ref493002737"/>
      <w:r>
        <w:t>所有适用法律和所有批准的要求；</w:t>
      </w:r>
      <w:bookmarkEnd w:id="226"/>
    </w:p>
    <w:p>
      <w:pPr>
        <w:pStyle w:val="214"/>
        <w:numPr>
          <w:ilvl w:val="2"/>
          <w:numId w:val="11"/>
        </w:numPr>
        <w:tabs>
          <w:tab w:val="left" w:pos="1843"/>
        </w:tabs>
        <w:spacing w:after="72"/>
        <w:ind w:firstLine="0"/>
      </w:pPr>
      <w:r>
        <w:t>本合同的其他约定。</w:t>
      </w:r>
    </w:p>
    <w:p>
      <w:pPr>
        <w:pStyle w:val="214"/>
        <w:tabs>
          <w:tab w:val="left" w:pos="1843"/>
        </w:tabs>
        <w:spacing w:after="72"/>
      </w:pPr>
      <w:r>
        <w:t>项目建设技术标准</w:t>
      </w:r>
    </w:p>
    <w:p>
      <w:pPr>
        <w:pStyle w:val="214"/>
        <w:numPr>
          <w:ilvl w:val="2"/>
          <w:numId w:val="12"/>
        </w:numPr>
        <w:tabs>
          <w:tab w:val="left" w:pos="1843"/>
        </w:tabs>
        <w:spacing w:after="72"/>
        <w:ind w:firstLine="0"/>
      </w:pPr>
      <w:r>
        <w:rPr>
          <w:szCs w:val="32"/>
        </w:rPr>
        <w:t>本项目工程建设须符合国家、河南省等相关法律法规和行业规范</w:t>
      </w:r>
      <w:r>
        <w:rPr>
          <w:rFonts w:hint="eastAsia"/>
          <w:szCs w:val="32"/>
        </w:rPr>
        <w:t>的</w:t>
      </w:r>
      <w:r>
        <w:rPr>
          <w:szCs w:val="32"/>
        </w:rPr>
        <w:t>有关规定</w:t>
      </w:r>
      <w:r>
        <w:rPr>
          <w:rFonts w:hint="eastAsia"/>
          <w:szCs w:val="32"/>
        </w:rPr>
        <w:t>。</w:t>
      </w:r>
    </w:p>
    <w:p>
      <w:pPr>
        <w:pStyle w:val="214"/>
        <w:numPr>
          <w:ilvl w:val="2"/>
          <w:numId w:val="12"/>
        </w:numPr>
        <w:tabs>
          <w:tab w:val="left" w:pos="1843"/>
        </w:tabs>
        <w:spacing w:after="72"/>
        <w:ind w:firstLine="0"/>
      </w:pPr>
      <w:bookmarkStart w:id="227" w:name="_Hlk484639805"/>
      <w:r>
        <w:t>杜绝出现人员死亡事故</w:t>
      </w:r>
      <w:bookmarkEnd w:id="227"/>
      <w:r>
        <w:t>。</w:t>
      </w:r>
    </w:p>
    <w:p>
      <w:pPr>
        <w:pStyle w:val="214"/>
        <w:numPr>
          <w:ilvl w:val="2"/>
          <w:numId w:val="12"/>
        </w:numPr>
        <w:tabs>
          <w:tab w:val="left" w:pos="1843"/>
        </w:tabs>
        <w:spacing w:after="72"/>
        <w:ind w:firstLine="0"/>
      </w:pPr>
      <w:r>
        <w:t>满足按照《建设工程施工现场管理规定》（国务院第15号令）等规定环保标准和要求。</w:t>
      </w:r>
    </w:p>
    <w:p>
      <w:pPr>
        <w:pStyle w:val="214"/>
        <w:spacing w:after="72"/>
      </w:pPr>
      <w:r>
        <w:t>在本项目开始施工后，乙方应严格执行各项质量保证和质量控制方案。甲方有权参加或检查乙方以及分包商的质量控制方案，以确保工程的质量要求。</w:t>
      </w:r>
    </w:p>
    <w:p>
      <w:pPr>
        <w:pStyle w:val="214"/>
        <w:spacing w:after="72"/>
      </w:pPr>
      <w:r>
        <w:t>本项目建设程序应按适用法律执行，适用法律没有规定的根据行业惯例执行。</w:t>
      </w:r>
    </w:p>
    <w:p>
      <w:pPr>
        <w:pStyle w:val="214"/>
        <w:spacing w:after="72"/>
      </w:pPr>
      <w:r>
        <w:t>在不影响乙方履行本合同项下义务的情况下，甲方有权对乙方或承包商履约情况进行检查，以保证乙方工程的任何部分均符合本合同的要求，乙方须对此项检查予以协助。</w:t>
      </w:r>
    </w:p>
    <w:p>
      <w:pPr>
        <w:pStyle w:val="214"/>
        <w:spacing w:after="72"/>
      </w:pPr>
      <w:r>
        <w:t>甲方或其他政府部门有足够的证据证明乙方建设工程或其他任何部分与适用法律及本合同所</w:t>
      </w:r>
      <w:r>
        <w:rPr>
          <w:rFonts w:hint="eastAsia"/>
        </w:rPr>
        <w:t>约定</w:t>
      </w:r>
      <w:r>
        <w:t>的或其他相关部门所规定的质量或安全要求严重不符，甲方或其他政府部门有权立即通知乙方，乙方应按照要求进行整改。若乙方在收到甲方通知后五（5）个工作日内未进行整改，则甲方或其他政府部门有权自己进行或委托第三方进行必要的纠正，一切风险与费用由乙方承担。在这种情况下，乙方须允许甲方、其他政府部门或其委托的第三方为此目的而出入项目建设用地。若乙方拒绝甲方、其他政府部门或其委托的第三方进入项目建设用地进行纠正工作，或未能按照甲方的要求偿还甲方为此而付出的成本与费用，则甲方有权从履约保函项下兑取相应金额。</w:t>
      </w:r>
    </w:p>
    <w:p>
      <w:pPr>
        <w:pStyle w:val="214"/>
        <w:spacing w:after="72"/>
      </w:pPr>
      <w:r>
        <w:t>除本合同另有</w:t>
      </w:r>
      <w:r>
        <w:rPr>
          <w:rFonts w:hint="eastAsia"/>
        </w:rPr>
        <w:t>约</w:t>
      </w:r>
      <w:r>
        <w:t>定外，对乙方提交的质量保证与质量控制方案，甲方的任何作为或不作为，均不会：</w:t>
      </w:r>
    </w:p>
    <w:p>
      <w:pPr>
        <w:pStyle w:val="214"/>
        <w:numPr>
          <w:ilvl w:val="0"/>
          <w:numId w:val="0"/>
        </w:numPr>
        <w:spacing w:after="72"/>
        <w:ind w:left="1418"/>
      </w:pPr>
      <w:r>
        <w:t>(a)减轻或影响乙方遵守本合同或适用法律所要求的与质量保证有关的义务或责任；</w:t>
      </w:r>
    </w:p>
    <w:p>
      <w:pPr>
        <w:pStyle w:val="214"/>
        <w:numPr>
          <w:ilvl w:val="0"/>
          <w:numId w:val="0"/>
        </w:numPr>
        <w:spacing w:after="72"/>
        <w:ind w:left="1418"/>
      </w:pPr>
      <w:r>
        <w:t>(b)被视为甲方应对质量保证与质量控制方案承担任何责任。</w:t>
      </w:r>
    </w:p>
    <w:p>
      <w:pPr>
        <w:pStyle w:val="213"/>
        <w:spacing w:after="120"/>
        <w:rPr>
          <w:rFonts w:ascii="Times New Roman" w:hAnsi="Times New Roman"/>
        </w:rPr>
      </w:pPr>
      <w:bookmarkStart w:id="228" w:name="_Toc417325846"/>
      <w:bookmarkStart w:id="229" w:name="_Toc417373129"/>
      <w:bookmarkStart w:id="230" w:name="_Toc320479520"/>
      <w:r>
        <w:rPr>
          <w:rFonts w:ascii="Times New Roman" w:hAnsi="Times New Roman"/>
        </w:rPr>
        <w:t>项目建设进度保障</w:t>
      </w:r>
      <w:bookmarkEnd w:id="228"/>
      <w:bookmarkEnd w:id="229"/>
      <w:bookmarkEnd w:id="230"/>
    </w:p>
    <w:p>
      <w:pPr>
        <w:pStyle w:val="214"/>
        <w:spacing w:after="72"/>
      </w:pPr>
      <w:bookmarkStart w:id="231" w:name="_Ref448612370"/>
      <w:r>
        <w:t>预计的建设进度计划</w:t>
      </w:r>
      <w:bookmarkEnd w:id="231"/>
    </w:p>
    <w:p>
      <w:pPr>
        <w:pStyle w:val="219"/>
        <w:numPr>
          <w:ilvl w:val="0"/>
          <w:numId w:val="0"/>
        </w:numPr>
        <w:spacing w:after="72"/>
        <w:ind w:left="1418"/>
      </w:pPr>
      <w:r>
        <w:t>除非双方另有约定，双方应在下列有关进度日期当日或之前履行其在本合同项下的义务：</w:t>
      </w:r>
    </w:p>
    <w:tbl>
      <w:tblPr>
        <w:tblStyle w:val="53"/>
        <w:tblW w:w="6854" w:type="dxa"/>
        <w:jc w:val="center"/>
        <w:tblInd w:w="1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3938"/>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919" w:type="dxa"/>
            <w:vAlign w:val="center"/>
          </w:tcPr>
          <w:p>
            <w:pPr>
              <w:pStyle w:val="214"/>
              <w:numPr>
                <w:ilvl w:val="0"/>
                <w:numId w:val="0"/>
              </w:numPr>
              <w:spacing w:afterLines="0" w:line="240" w:lineRule="auto"/>
              <w:jc w:val="center"/>
              <w:rPr>
                <w:rFonts w:cs="黑体"/>
                <w:b/>
              </w:rPr>
            </w:pPr>
            <w:r>
              <w:rPr>
                <w:rFonts w:hint="eastAsia" w:cs="黑体"/>
                <w:b/>
              </w:rPr>
              <w:t>项目</w:t>
            </w:r>
          </w:p>
        </w:tc>
        <w:tc>
          <w:tcPr>
            <w:tcW w:w="3938" w:type="dxa"/>
            <w:vAlign w:val="center"/>
          </w:tcPr>
          <w:p>
            <w:pPr>
              <w:pStyle w:val="214"/>
              <w:numPr>
                <w:ilvl w:val="0"/>
                <w:numId w:val="0"/>
              </w:numPr>
              <w:spacing w:afterLines="0" w:line="240" w:lineRule="auto"/>
              <w:jc w:val="center"/>
              <w:rPr>
                <w:rFonts w:cs="黑体"/>
                <w:b/>
              </w:rPr>
            </w:pPr>
            <w:r>
              <w:rPr>
                <w:rFonts w:hint="eastAsia" w:cs="黑体"/>
                <w:b/>
              </w:rPr>
              <w:t>完成时间</w:t>
            </w:r>
          </w:p>
        </w:tc>
        <w:tc>
          <w:tcPr>
            <w:tcW w:w="997" w:type="dxa"/>
            <w:vAlign w:val="center"/>
          </w:tcPr>
          <w:p>
            <w:pPr>
              <w:pStyle w:val="214"/>
              <w:numPr>
                <w:ilvl w:val="0"/>
                <w:numId w:val="0"/>
              </w:numPr>
              <w:spacing w:afterLines="0" w:line="240" w:lineRule="auto"/>
              <w:jc w:val="center"/>
              <w:rPr>
                <w:rFonts w:cs="黑体"/>
                <w:b/>
              </w:rPr>
            </w:pPr>
            <w:r>
              <w:rPr>
                <w:rFonts w:hint="eastAsia" w:cs="黑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1919" w:type="dxa"/>
            <w:vAlign w:val="center"/>
          </w:tcPr>
          <w:p>
            <w:pPr>
              <w:pStyle w:val="214"/>
              <w:numPr>
                <w:ilvl w:val="0"/>
                <w:numId w:val="0"/>
              </w:numPr>
              <w:spacing w:afterLines="0" w:line="240" w:lineRule="auto"/>
              <w:jc w:val="center"/>
              <w:rPr>
                <w:rFonts w:cs="黑体"/>
              </w:rPr>
            </w:pPr>
            <w:r>
              <w:rPr>
                <w:rFonts w:hint="eastAsia" w:cs="黑体"/>
              </w:rPr>
              <w:t>设计工作</w:t>
            </w:r>
          </w:p>
        </w:tc>
        <w:tc>
          <w:tcPr>
            <w:tcW w:w="3938" w:type="dxa"/>
            <w:vAlign w:val="center"/>
          </w:tcPr>
          <w:p>
            <w:pPr>
              <w:pStyle w:val="214"/>
              <w:numPr>
                <w:ilvl w:val="0"/>
                <w:numId w:val="0"/>
              </w:numPr>
              <w:spacing w:afterLines="0" w:line="240" w:lineRule="auto"/>
              <w:jc w:val="center"/>
              <w:rPr>
                <w:rFonts w:cs="黑体"/>
              </w:rPr>
            </w:pPr>
            <w:r>
              <w:rPr>
                <w:rFonts w:hint="eastAsia" w:cs="黑体"/>
              </w:rPr>
              <w:t>合同生效日后40日</w:t>
            </w:r>
          </w:p>
        </w:tc>
        <w:tc>
          <w:tcPr>
            <w:tcW w:w="997" w:type="dxa"/>
            <w:vAlign w:val="center"/>
          </w:tcPr>
          <w:p>
            <w:pPr>
              <w:pStyle w:val="214"/>
              <w:numPr>
                <w:ilvl w:val="0"/>
                <w:numId w:val="0"/>
              </w:numPr>
              <w:spacing w:afterLines="0" w:line="240" w:lineRule="auto"/>
              <w:jc w:val="center"/>
              <w:rPr>
                <w:rFonts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919" w:type="dxa"/>
            <w:vAlign w:val="center"/>
          </w:tcPr>
          <w:p>
            <w:pPr>
              <w:pStyle w:val="214"/>
              <w:numPr>
                <w:ilvl w:val="0"/>
                <w:numId w:val="0"/>
              </w:numPr>
              <w:spacing w:afterLines="0" w:line="240" w:lineRule="auto"/>
              <w:jc w:val="center"/>
              <w:rPr>
                <w:rFonts w:cs="黑体"/>
              </w:rPr>
            </w:pPr>
            <w:r>
              <w:rPr>
                <w:rFonts w:hint="eastAsia" w:cs="黑体"/>
              </w:rPr>
              <w:t>开工日</w:t>
            </w:r>
          </w:p>
        </w:tc>
        <w:tc>
          <w:tcPr>
            <w:tcW w:w="3938" w:type="dxa"/>
            <w:vAlign w:val="center"/>
          </w:tcPr>
          <w:p>
            <w:pPr>
              <w:pStyle w:val="214"/>
              <w:numPr>
                <w:ilvl w:val="0"/>
                <w:numId w:val="0"/>
              </w:numPr>
              <w:spacing w:afterLines="0" w:line="240" w:lineRule="auto"/>
              <w:jc w:val="center"/>
              <w:rPr>
                <w:rFonts w:cs="黑体"/>
              </w:rPr>
            </w:pPr>
            <w:r>
              <w:rPr>
                <w:rFonts w:hint="eastAsia" w:cs="黑体"/>
              </w:rPr>
              <w:t>总监理工程师发出开工令之日</w:t>
            </w:r>
          </w:p>
        </w:tc>
        <w:tc>
          <w:tcPr>
            <w:tcW w:w="997" w:type="dxa"/>
            <w:vAlign w:val="center"/>
          </w:tcPr>
          <w:p>
            <w:pPr>
              <w:pStyle w:val="214"/>
              <w:numPr>
                <w:ilvl w:val="0"/>
                <w:numId w:val="0"/>
              </w:numPr>
              <w:spacing w:afterLines="0" w:line="240" w:lineRule="auto"/>
              <w:jc w:val="center"/>
              <w:rPr>
                <w:rFonts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919" w:type="dxa"/>
            <w:vAlign w:val="center"/>
          </w:tcPr>
          <w:p>
            <w:pPr>
              <w:pStyle w:val="214"/>
              <w:numPr>
                <w:ilvl w:val="0"/>
                <w:numId w:val="0"/>
              </w:numPr>
              <w:spacing w:afterLines="0" w:line="240" w:lineRule="auto"/>
              <w:jc w:val="center"/>
              <w:rPr>
                <w:rFonts w:cs="黑体"/>
              </w:rPr>
            </w:pPr>
            <w:r>
              <w:rPr>
                <w:rFonts w:hint="eastAsia" w:cs="黑体"/>
              </w:rPr>
              <w:t>试运行日</w:t>
            </w:r>
          </w:p>
        </w:tc>
        <w:tc>
          <w:tcPr>
            <w:tcW w:w="3938" w:type="dxa"/>
            <w:vAlign w:val="center"/>
          </w:tcPr>
          <w:p>
            <w:pPr>
              <w:pStyle w:val="214"/>
              <w:numPr>
                <w:ilvl w:val="0"/>
                <w:numId w:val="0"/>
              </w:numPr>
              <w:spacing w:afterLines="0" w:line="240" w:lineRule="auto"/>
              <w:jc w:val="center"/>
              <w:rPr>
                <w:rFonts w:cs="黑体"/>
              </w:rPr>
            </w:pPr>
            <w:r>
              <w:rPr>
                <w:rFonts w:hint="eastAsia" w:cs="黑体"/>
              </w:rPr>
              <w:t>开工日后日</w:t>
            </w:r>
          </w:p>
        </w:tc>
        <w:tc>
          <w:tcPr>
            <w:tcW w:w="997" w:type="dxa"/>
            <w:vAlign w:val="center"/>
          </w:tcPr>
          <w:p>
            <w:pPr>
              <w:pStyle w:val="214"/>
              <w:numPr>
                <w:ilvl w:val="0"/>
                <w:numId w:val="0"/>
              </w:numPr>
              <w:spacing w:afterLines="0" w:line="240" w:lineRule="auto"/>
              <w:jc w:val="center"/>
              <w:rPr>
                <w:rFonts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919" w:type="dxa"/>
            <w:vAlign w:val="center"/>
          </w:tcPr>
          <w:p>
            <w:pPr>
              <w:pStyle w:val="214"/>
              <w:numPr>
                <w:ilvl w:val="0"/>
                <w:numId w:val="0"/>
              </w:numPr>
              <w:spacing w:afterLines="0" w:line="240" w:lineRule="auto"/>
              <w:jc w:val="center"/>
              <w:rPr>
                <w:rFonts w:cs="黑体"/>
              </w:rPr>
            </w:pPr>
            <w:r>
              <w:rPr>
                <w:rFonts w:hint="eastAsia" w:cs="黑体"/>
              </w:rPr>
              <w:t>竣工验收合格日</w:t>
            </w:r>
          </w:p>
        </w:tc>
        <w:tc>
          <w:tcPr>
            <w:tcW w:w="3938" w:type="dxa"/>
            <w:vAlign w:val="center"/>
          </w:tcPr>
          <w:p>
            <w:pPr>
              <w:pStyle w:val="214"/>
              <w:numPr>
                <w:ilvl w:val="0"/>
                <w:numId w:val="0"/>
              </w:numPr>
              <w:spacing w:afterLines="0" w:line="240" w:lineRule="auto"/>
              <w:jc w:val="center"/>
              <w:rPr>
                <w:rFonts w:cs="黑体"/>
              </w:rPr>
            </w:pPr>
            <w:r>
              <w:rPr>
                <w:rFonts w:hint="eastAsia" w:cs="黑体"/>
              </w:rPr>
              <w:t>开工日后日</w:t>
            </w:r>
          </w:p>
        </w:tc>
        <w:tc>
          <w:tcPr>
            <w:tcW w:w="997" w:type="dxa"/>
            <w:vAlign w:val="center"/>
          </w:tcPr>
          <w:p>
            <w:pPr>
              <w:pStyle w:val="214"/>
              <w:numPr>
                <w:ilvl w:val="0"/>
                <w:numId w:val="0"/>
              </w:numPr>
              <w:spacing w:afterLines="0" w:line="240" w:lineRule="auto"/>
              <w:jc w:val="center"/>
              <w:rPr>
                <w:rFonts w:cs="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919" w:type="dxa"/>
            <w:vAlign w:val="center"/>
          </w:tcPr>
          <w:p>
            <w:pPr>
              <w:pStyle w:val="214"/>
              <w:numPr>
                <w:ilvl w:val="0"/>
                <w:numId w:val="0"/>
              </w:numPr>
              <w:spacing w:afterLines="0" w:line="240" w:lineRule="auto"/>
              <w:jc w:val="center"/>
              <w:rPr>
                <w:rFonts w:cs="黑体"/>
              </w:rPr>
            </w:pPr>
            <w:r>
              <w:rPr>
                <w:rFonts w:hint="eastAsia" w:cs="黑体"/>
              </w:rPr>
              <w:t>正式运行日</w:t>
            </w:r>
          </w:p>
        </w:tc>
        <w:tc>
          <w:tcPr>
            <w:tcW w:w="3938" w:type="dxa"/>
            <w:vAlign w:val="center"/>
          </w:tcPr>
          <w:p>
            <w:pPr>
              <w:pStyle w:val="214"/>
              <w:numPr>
                <w:ilvl w:val="0"/>
                <w:numId w:val="0"/>
              </w:numPr>
              <w:spacing w:afterLines="0" w:line="240" w:lineRule="auto"/>
              <w:jc w:val="center"/>
              <w:rPr>
                <w:rFonts w:cs="黑体"/>
              </w:rPr>
            </w:pPr>
            <w:r>
              <w:rPr>
                <w:rFonts w:hint="eastAsia" w:cs="黑体"/>
              </w:rPr>
              <w:t>满足本合同第9.14.3条款约定的日期</w:t>
            </w:r>
          </w:p>
        </w:tc>
        <w:tc>
          <w:tcPr>
            <w:tcW w:w="997" w:type="dxa"/>
            <w:vAlign w:val="center"/>
          </w:tcPr>
          <w:p>
            <w:pPr>
              <w:pStyle w:val="214"/>
              <w:numPr>
                <w:ilvl w:val="0"/>
                <w:numId w:val="0"/>
              </w:numPr>
              <w:spacing w:afterLines="0" w:line="240" w:lineRule="auto"/>
              <w:jc w:val="center"/>
              <w:rPr>
                <w:rFonts w:cs="黑体"/>
              </w:rPr>
            </w:pPr>
          </w:p>
        </w:tc>
      </w:tr>
    </w:tbl>
    <w:p>
      <w:pPr>
        <w:pStyle w:val="214"/>
        <w:spacing w:after="72"/>
      </w:pPr>
      <w:bookmarkStart w:id="232" w:name="_Ref448660348"/>
      <w:r>
        <w:t>预计进度延误的通知</w:t>
      </w:r>
      <w:bookmarkEnd w:id="232"/>
    </w:p>
    <w:p>
      <w:pPr>
        <w:pStyle w:val="219"/>
        <w:numPr>
          <w:ilvl w:val="0"/>
          <w:numId w:val="0"/>
        </w:numPr>
        <w:spacing w:after="72"/>
        <w:ind w:left="1418"/>
      </w:pPr>
      <w:r>
        <w:t>在任何时候，如果一方合理地预计由该方负责完成的任何事项将导致本项目进度不能如期完成，该方应及时书面通知另一方并合理地详细描述以下情况：</w:t>
      </w:r>
    </w:p>
    <w:p>
      <w:pPr>
        <w:pStyle w:val="214"/>
        <w:numPr>
          <w:ilvl w:val="0"/>
          <w:numId w:val="13"/>
        </w:numPr>
        <w:spacing w:after="72"/>
      </w:pPr>
      <w:r>
        <w:t>明确何种事项将导致项目进度无法如期完成；</w:t>
      </w:r>
    </w:p>
    <w:p>
      <w:pPr>
        <w:pStyle w:val="214"/>
        <w:numPr>
          <w:ilvl w:val="0"/>
          <w:numId w:val="13"/>
        </w:numPr>
        <w:spacing w:after="72"/>
      </w:pPr>
      <w:r>
        <w:t>预计建设进度延误的原因，包括对任何声明为不可抗力的情况的描述；</w:t>
      </w:r>
    </w:p>
    <w:p>
      <w:pPr>
        <w:pStyle w:val="214"/>
        <w:numPr>
          <w:ilvl w:val="0"/>
          <w:numId w:val="13"/>
        </w:numPr>
        <w:spacing w:after="72"/>
      </w:pPr>
      <w:r>
        <w:t>所预计的可能超出建设进度日期的日数和其他可合理预见的对项目不利的影响；</w:t>
      </w:r>
    </w:p>
    <w:p>
      <w:pPr>
        <w:pStyle w:val="214"/>
        <w:numPr>
          <w:ilvl w:val="0"/>
          <w:numId w:val="13"/>
        </w:numPr>
        <w:spacing w:after="72"/>
      </w:pPr>
      <w:r>
        <w:t>该方已经采取或建议采取的解决或减少延误及其影响的措施。</w:t>
      </w:r>
    </w:p>
    <w:p>
      <w:pPr>
        <w:pStyle w:val="214"/>
        <w:numPr>
          <w:ilvl w:val="0"/>
          <w:numId w:val="0"/>
        </w:numPr>
        <w:spacing w:after="72"/>
        <w:ind w:left="1418"/>
      </w:pPr>
      <w:r>
        <w:t>如果一方未向另一方发出上述通知，该方应承担另一方因其未发出此通知而可能遭致的任何直接损失和费用。</w:t>
      </w:r>
    </w:p>
    <w:p>
      <w:pPr>
        <w:pStyle w:val="214"/>
        <w:numPr>
          <w:ilvl w:val="0"/>
          <w:numId w:val="0"/>
        </w:numPr>
        <w:spacing w:after="72"/>
        <w:ind w:left="1418"/>
      </w:pPr>
      <w:r>
        <w:t>发出上述通知不应解除各方在本合同项下的任何义务，包括该方根据本合同应当承担的违约责任。</w:t>
      </w:r>
    </w:p>
    <w:p>
      <w:pPr>
        <w:pStyle w:val="214"/>
        <w:spacing w:after="72"/>
      </w:pPr>
      <w:r>
        <w:t>乙方应向甲方提交详细的建设进度计划，其中应列出计划实施工程的程序、关键性时间节点、建设进度计划目标、保障措施等，且列出的开工日和竣工验收日不应晚于第</w:t>
      </w:r>
      <w:r>
        <w:fldChar w:fldCharType="begin"/>
      </w:r>
      <w:r>
        <w:instrText xml:space="preserve"> REF _Ref448612370 \r \h  \* MERGEFORMAT </w:instrText>
      </w:r>
      <w:r>
        <w:fldChar w:fldCharType="separate"/>
      </w:r>
      <w:r>
        <w:t>9.5.1</w:t>
      </w:r>
      <w:r>
        <w:fldChar w:fldCharType="end"/>
      </w:r>
      <w:r>
        <w:t>条款列明的日期。建设进度计划经甲方同意后执行。若工程实际进度与进度计划不符，甲方可要求乙方以实现如期竣工为前提合理安排建设进度计划并修改建设进度计划。乙方应保证其资本金及项目的融资资金按该建设进度计划及时到位，以确保本项目按期完工。</w:t>
      </w:r>
    </w:p>
    <w:p>
      <w:pPr>
        <w:pStyle w:val="214"/>
        <w:spacing w:after="72"/>
      </w:pPr>
      <w:r>
        <w:t>建设进度报告</w:t>
      </w:r>
    </w:p>
    <w:p>
      <w:pPr>
        <w:pStyle w:val="219"/>
        <w:numPr>
          <w:ilvl w:val="0"/>
          <w:numId w:val="0"/>
        </w:numPr>
        <w:spacing w:after="72"/>
        <w:ind w:left="1418"/>
      </w:pPr>
      <w:r>
        <w:t>乙方应负责编制和上报月度、季度和年度进度报告，并提交一（1）式三（3）份书面报告给甲方。第一份月度、季度和年度进度报告所包含的期间应从开工日起至开工日所在月、季、年的最后一天止，此后每月、季、年均应在该月、季、年最后一天之后的十（10）日内提交月、季、年度进度报告。进度报告应持续至竣工验收日止。</w:t>
      </w:r>
    </w:p>
    <w:p>
      <w:pPr>
        <w:pStyle w:val="219"/>
        <w:numPr>
          <w:ilvl w:val="0"/>
          <w:numId w:val="0"/>
        </w:numPr>
        <w:spacing w:after="72"/>
        <w:ind w:left="1418"/>
      </w:pPr>
      <w:r>
        <w:t>进度报告应详细说明如下事项：</w:t>
      </w:r>
    </w:p>
    <w:p>
      <w:pPr>
        <w:pStyle w:val="214"/>
        <w:numPr>
          <w:ilvl w:val="0"/>
          <w:numId w:val="14"/>
        </w:numPr>
        <w:spacing w:after="72"/>
      </w:pPr>
      <w:r>
        <w:t>工程进度实际完成的百分比与计划完成的百分比的比较；</w:t>
      </w:r>
    </w:p>
    <w:p>
      <w:pPr>
        <w:pStyle w:val="214"/>
        <w:numPr>
          <w:ilvl w:val="0"/>
          <w:numId w:val="14"/>
        </w:numPr>
        <w:spacing w:after="72"/>
      </w:pPr>
      <w:r>
        <w:t>预计本月完成的建设情况及预计建设时间；</w:t>
      </w:r>
    </w:p>
    <w:p>
      <w:pPr>
        <w:pStyle w:val="214"/>
        <w:numPr>
          <w:ilvl w:val="0"/>
          <w:numId w:val="14"/>
        </w:numPr>
        <w:spacing w:after="72"/>
      </w:pPr>
      <w:r>
        <w:t>工程投资完成情况；</w:t>
      </w:r>
    </w:p>
    <w:p>
      <w:pPr>
        <w:pStyle w:val="214"/>
        <w:numPr>
          <w:ilvl w:val="0"/>
          <w:numId w:val="14"/>
        </w:numPr>
        <w:spacing w:after="72"/>
      </w:pPr>
      <w:r>
        <w:t>存在的问题及处理意见，包含与进度计划的差异、原因分析及正在采取的纠正措施。</w:t>
      </w:r>
    </w:p>
    <w:p>
      <w:pPr>
        <w:pStyle w:val="214"/>
        <w:spacing w:after="72"/>
      </w:pPr>
      <w:bookmarkStart w:id="233" w:name="_Ref448612419"/>
      <w:r>
        <w:t>如果出现下述情况，有关建设进度将被顺延或修改：</w:t>
      </w:r>
      <w:bookmarkEnd w:id="233"/>
    </w:p>
    <w:p>
      <w:pPr>
        <w:pStyle w:val="214"/>
        <w:numPr>
          <w:ilvl w:val="0"/>
          <w:numId w:val="15"/>
        </w:numPr>
        <w:spacing w:after="72"/>
      </w:pPr>
      <w:r>
        <w:t>不可抗力事件；</w:t>
      </w:r>
    </w:p>
    <w:p>
      <w:pPr>
        <w:pStyle w:val="214"/>
        <w:numPr>
          <w:ilvl w:val="0"/>
          <w:numId w:val="15"/>
        </w:numPr>
        <w:spacing w:after="72"/>
      </w:pPr>
      <w:r>
        <w:rPr>
          <w:rFonts w:hint="eastAsia"/>
        </w:rPr>
        <w:t>规划调整或征地拆迁延迟导致的延误；</w:t>
      </w:r>
    </w:p>
    <w:p>
      <w:pPr>
        <w:pStyle w:val="214"/>
        <w:numPr>
          <w:ilvl w:val="0"/>
          <w:numId w:val="15"/>
        </w:numPr>
        <w:spacing w:after="72"/>
      </w:pPr>
      <w:r>
        <w:t>建设用地范围内发现有古墓、古建筑或化石等具有考古、地质研究价值的物品；</w:t>
      </w:r>
    </w:p>
    <w:p>
      <w:pPr>
        <w:pStyle w:val="214"/>
        <w:numPr>
          <w:ilvl w:val="0"/>
          <w:numId w:val="15"/>
        </w:numPr>
        <w:spacing w:after="72"/>
      </w:pPr>
      <w:r>
        <w:t>由于政府部门在受理乙方或甲方报批申请后违反适用法律的规定审批迟延而造成延误；</w:t>
      </w:r>
    </w:p>
    <w:p>
      <w:pPr>
        <w:pStyle w:val="214"/>
        <w:numPr>
          <w:ilvl w:val="0"/>
          <w:numId w:val="15"/>
        </w:numPr>
        <w:spacing w:after="72"/>
      </w:pPr>
      <w:r>
        <w:rPr>
          <w:rFonts w:hint="eastAsia"/>
        </w:rPr>
        <w:t>由于地方政策变化等原因造成的延误；</w:t>
      </w:r>
    </w:p>
    <w:p>
      <w:pPr>
        <w:pStyle w:val="214"/>
        <w:numPr>
          <w:ilvl w:val="0"/>
          <w:numId w:val="15"/>
        </w:numPr>
        <w:spacing w:after="72"/>
      </w:pPr>
      <w:r>
        <w:rPr>
          <w:rFonts w:hint="eastAsia"/>
        </w:rPr>
        <w:t>政府方</w:t>
      </w:r>
      <w:r>
        <w:t>违约而造成延误。</w:t>
      </w:r>
    </w:p>
    <w:p>
      <w:pPr>
        <w:pStyle w:val="214"/>
        <w:spacing w:after="72"/>
      </w:pPr>
      <w:bookmarkStart w:id="234" w:name="_Ref527970324"/>
      <w:r>
        <w:t>如果出现下述情况，有关建设进度将</w:t>
      </w:r>
      <w:r>
        <w:rPr>
          <w:rFonts w:hint="eastAsia"/>
        </w:rPr>
        <w:t>不</w:t>
      </w:r>
      <w:r>
        <w:t>被顺延或修改：</w:t>
      </w:r>
      <w:bookmarkEnd w:id="234"/>
    </w:p>
    <w:p>
      <w:pPr>
        <w:pStyle w:val="214"/>
        <w:numPr>
          <w:ilvl w:val="0"/>
          <w:numId w:val="16"/>
        </w:numPr>
        <w:spacing w:after="72"/>
      </w:pPr>
      <w:r>
        <w:t>资金未及时到位导致的完工延误</w:t>
      </w:r>
      <w:r>
        <w:rPr>
          <w:rFonts w:hint="eastAsia"/>
        </w:rPr>
        <w:t>；</w:t>
      </w:r>
    </w:p>
    <w:p>
      <w:pPr>
        <w:pStyle w:val="214"/>
        <w:numPr>
          <w:ilvl w:val="0"/>
          <w:numId w:val="16"/>
        </w:numPr>
        <w:spacing w:after="72"/>
      </w:pPr>
      <w:r>
        <w:t>工程建设质量缺陷导致的完工延误</w:t>
      </w:r>
      <w:r>
        <w:rPr>
          <w:rFonts w:hint="eastAsia"/>
        </w:rPr>
        <w:t>；</w:t>
      </w:r>
    </w:p>
    <w:p>
      <w:pPr>
        <w:pStyle w:val="214"/>
        <w:numPr>
          <w:ilvl w:val="0"/>
          <w:numId w:val="16"/>
        </w:numPr>
        <w:spacing w:after="72"/>
      </w:pPr>
      <w:r>
        <w:rPr>
          <w:rFonts w:hint="eastAsia"/>
        </w:rPr>
        <w:t>中标社会资本或乙方违约导致的延误。</w:t>
      </w:r>
    </w:p>
    <w:p>
      <w:pPr>
        <w:pStyle w:val="214"/>
        <w:spacing w:after="72"/>
      </w:pPr>
      <w:bookmarkStart w:id="235" w:name="_Ref448612491"/>
      <w:r>
        <w:t>如同时满足了以下前提，一方可以在第</w:t>
      </w:r>
      <w:r>
        <w:fldChar w:fldCharType="begin"/>
      </w:r>
      <w:r>
        <w:instrText xml:space="preserve"> REF _Ref448612419 \r \h  \* MERGEFORMAT </w:instrText>
      </w:r>
      <w:r>
        <w:fldChar w:fldCharType="separate"/>
      </w:r>
      <w:r>
        <w:t>9.5.5</w:t>
      </w:r>
      <w:r>
        <w:fldChar w:fldCharType="end"/>
      </w:r>
      <w:r>
        <w:t>条款的事件发生后，要求延长进度日期：</w:t>
      </w:r>
      <w:bookmarkEnd w:id="235"/>
    </w:p>
    <w:p>
      <w:pPr>
        <w:pStyle w:val="214"/>
        <w:numPr>
          <w:ilvl w:val="1"/>
          <w:numId w:val="17"/>
        </w:numPr>
        <w:spacing w:after="72"/>
        <w:ind w:left="1843"/>
      </w:pPr>
      <w:r>
        <w:t>该方（下称“第一方”）在实际发生延误的七（7）个工作日内向另一方（下称“第二方”）提出书面的延期要求，说明对相应的进度日期可能造成的影响；</w:t>
      </w:r>
    </w:p>
    <w:p>
      <w:pPr>
        <w:pStyle w:val="214"/>
        <w:numPr>
          <w:ilvl w:val="1"/>
          <w:numId w:val="17"/>
        </w:numPr>
        <w:spacing w:after="72"/>
        <w:ind w:left="1843"/>
      </w:pPr>
      <w:r>
        <w:t>进度日期的实现实际已经被延误；</w:t>
      </w:r>
    </w:p>
    <w:p>
      <w:pPr>
        <w:pStyle w:val="214"/>
        <w:numPr>
          <w:ilvl w:val="1"/>
          <w:numId w:val="17"/>
        </w:numPr>
        <w:spacing w:after="72"/>
        <w:ind w:left="1843"/>
      </w:pPr>
      <w:r>
        <w:t>第一方已采取所有合理的措施减少延误。</w:t>
      </w:r>
    </w:p>
    <w:p>
      <w:pPr>
        <w:pStyle w:val="219"/>
        <w:numPr>
          <w:ilvl w:val="0"/>
          <w:numId w:val="0"/>
        </w:numPr>
        <w:spacing w:after="72"/>
        <w:ind w:left="1418"/>
      </w:pPr>
      <w:r>
        <w:t>如果第二方在收到书面要求后七（7）个工作日内对要求的延期未书面表示异议，则第二方将被视为对要求的延期已表示同意。第二方对延期要求的同意不解除第一方违约情况下应当承担的违约责任。</w:t>
      </w:r>
    </w:p>
    <w:p>
      <w:pPr>
        <w:pStyle w:val="214"/>
        <w:spacing w:after="72"/>
      </w:pPr>
      <w:r>
        <w:t>如果建设进度因第</w:t>
      </w:r>
      <w:r>
        <w:fldChar w:fldCharType="begin"/>
      </w:r>
      <w:r>
        <w:instrText xml:space="preserve"> REF _Ref448612419 \r \h  \* MERGEFORMAT </w:instrText>
      </w:r>
      <w:r>
        <w:fldChar w:fldCharType="separate"/>
      </w:r>
      <w:r>
        <w:t>9.5.5</w:t>
      </w:r>
      <w:r>
        <w:fldChar w:fldCharType="end"/>
      </w:r>
      <w:r>
        <w:t>条款和第</w:t>
      </w:r>
      <w:r>
        <w:fldChar w:fldCharType="begin"/>
      </w:r>
      <w:r>
        <w:instrText xml:space="preserve"> REF _Ref448612491 \r \h  \* MERGEFORMAT </w:instrText>
      </w:r>
      <w:r>
        <w:fldChar w:fldCharType="separate"/>
      </w:r>
      <w:r>
        <w:t>9.5.7</w:t>
      </w:r>
      <w:r>
        <w:fldChar w:fldCharType="end"/>
      </w:r>
      <w:r>
        <w:t>条款延长，则第</w:t>
      </w:r>
      <w:r>
        <w:fldChar w:fldCharType="begin"/>
      </w:r>
      <w:r>
        <w:instrText xml:space="preserve"> REF _Ref448612527 \r \h  \* MERGEFORMAT </w:instrText>
      </w:r>
      <w:r>
        <w:fldChar w:fldCharType="separate"/>
      </w:r>
      <w:r>
        <w:t>6.3</w:t>
      </w:r>
      <w:r>
        <w:fldChar w:fldCharType="end"/>
      </w:r>
      <w:r>
        <w:t>条款约定的项目</w:t>
      </w:r>
      <w:r>
        <w:rPr>
          <w:rFonts w:hint="eastAsia"/>
        </w:rPr>
        <w:t>建设期</w:t>
      </w:r>
      <w:r>
        <w:t>期应顺延。</w:t>
      </w:r>
    </w:p>
    <w:p>
      <w:pPr>
        <w:pStyle w:val="214"/>
        <w:spacing w:after="72"/>
      </w:pPr>
      <w:r>
        <w:t>如果建设进度因第</w:t>
      </w:r>
      <w:r>
        <w:fldChar w:fldCharType="begin"/>
      </w:r>
      <w:r>
        <w:instrText xml:space="preserve"> REF _Ref527970324 \r \h  \* MERGEFORMAT </w:instrText>
      </w:r>
      <w:r>
        <w:fldChar w:fldCharType="separate"/>
      </w:r>
      <w:r>
        <w:t>9.5.6</w:t>
      </w:r>
      <w:r>
        <w:fldChar w:fldCharType="end"/>
      </w:r>
      <w:r>
        <w:t>条款延长，则项目</w:t>
      </w:r>
      <w:r>
        <w:rPr>
          <w:rFonts w:hint="eastAsia"/>
        </w:rPr>
        <w:t>建设</w:t>
      </w:r>
      <w:r>
        <w:t>期</w:t>
      </w:r>
      <w:r>
        <w:rPr>
          <w:rFonts w:hint="eastAsia"/>
        </w:rPr>
        <w:t>不予</w:t>
      </w:r>
      <w:r>
        <w:t>顺延</w:t>
      </w:r>
      <w:r>
        <w:rPr>
          <w:rFonts w:hint="eastAsia"/>
        </w:rPr>
        <w:t>，同时乙方应按第</w:t>
      </w:r>
      <w:r>
        <w:fldChar w:fldCharType="begin"/>
      </w:r>
      <w:r>
        <w:instrText xml:space="preserve">REF _Ref527476266 \r \h  \* MERGEFORMAT </w:instrText>
      </w:r>
      <w:r>
        <w:fldChar w:fldCharType="separate"/>
      </w:r>
      <w:r>
        <w:t>9.15</w:t>
      </w:r>
      <w:r>
        <w:fldChar w:fldCharType="end"/>
      </w:r>
      <w:r>
        <w:rPr>
          <w:rFonts w:hint="eastAsia"/>
        </w:rPr>
        <w:t>条款的约定向甲方支付工期延误的违约金</w:t>
      </w:r>
      <w:r>
        <w:t>。</w:t>
      </w:r>
    </w:p>
    <w:p>
      <w:pPr>
        <w:pStyle w:val="213"/>
        <w:spacing w:after="120"/>
        <w:rPr>
          <w:rFonts w:ascii="Times New Roman" w:hAnsi="Times New Roman"/>
        </w:rPr>
      </w:pPr>
      <w:bookmarkStart w:id="236" w:name="_Toc320479521"/>
      <w:bookmarkStart w:id="237" w:name="_Toc417373130"/>
      <w:bookmarkStart w:id="238" w:name="_Toc417325847"/>
      <w:r>
        <w:rPr>
          <w:rFonts w:ascii="Times New Roman" w:hAnsi="Times New Roman"/>
        </w:rPr>
        <w:t>文明施工和环境保护</w:t>
      </w:r>
      <w:bookmarkEnd w:id="236"/>
      <w:bookmarkEnd w:id="237"/>
      <w:bookmarkEnd w:id="238"/>
    </w:p>
    <w:p>
      <w:pPr>
        <w:pStyle w:val="214"/>
        <w:spacing w:after="72"/>
      </w:pPr>
      <w:r>
        <w:t>乙方应遵守现场作业过程中所涉及的所有适用法律。从本项目开工日起至该项目竣工验收合格日止，乙方应提供：</w:t>
      </w:r>
    </w:p>
    <w:p>
      <w:pPr>
        <w:pStyle w:val="214"/>
        <w:numPr>
          <w:ilvl w:val="0"/>
          <w:numId w:val="18"/>
        </w:numPr>
        <w:spacing w:after="72"/>
      </w:pPr>
      <w:r>
        <w:t>工程的围栏、照明、防护及看守；</w:t>
      </w:r>
    </w:p>
    <w:p>
      <w:pPr>
        <w:pStyle w:val="214"/>
        <w:numPr>
          <w:ilvl w:val="0"/>
          <w:numId w:val="18"/>
        </w:numPr>
        <w:spacing w:after="72"/>
      </w:pPr>
      <w:r>
        <w:t>为邻近地区的所有者和占有者、公众和其他人员，提供便利和保护所必需的临时道路、人行道、防护及围栏。</w:t>
      </w:r>
    </w:p>
    <w:p>
      <w:pPr>
        <w:pStyle w:val="214"/>
        <w:spacing w:after="72"/>
      </w:pPr>
      <w:r>
        <w:t>乙方应负责项目工程现场内的治安工作，负责阻止与项目工程无关的人员进入现场。</w:t>
      </w:r>
    </w:p>
    <w:p>
      <w:pPr>
        <w:pStyle w:val="214"/>
        <w:spacing w:after="72"/>
      </w:pPr>
      <w:r>
        <w:t>乙方应将其作业限制在工程用地范围内，应采取一切必要的预防措施以保证施工人员与设备处在现场和此类附加区域之内。</w:t>
      </w:r>
    </w:p>
    <w:p>
      <w:pPr>
        <w:pStyle w:val="214"/>
        <w:spacing w:after="72"/>
      </w:pPr>
      <w:r>
        <w:t>在本项目建设期内，乙方应使现场避免出现一切不必要的障碍物，存放并妥善处置乙方的任何设备、材料等。乙方应及时从施工现场清除、运走任何残物、垃圾或不再需要的临时工程。</w:t>
      </w:r>
    </w:p>
    <w:p>
      <w:pPr>
        <w:pStyle w:val="214"/>
        <w:spacing w:after="72"/>
      </w:pPr>
      <w:r>
        <w:t>乙方应保证施工现场处于甲方合理要求的清洁和安全状态。乙方应按适用法律规定处置建筑垃圾和工程渣土，保护好施工区域内的一切管线。</w:t>
      </w:r>
    </w:p>
    <w:p>
      <w:pPr>
        <w:pStyle w:val="214"/>
        <w:spacing w:after="72"/>
      </w:pPr>
      <w:r>
        <w:t>乙方应采取一切合理步骤，保护现场内外的环境，并避免由其施工作业引起的污染、噪音以及其他后果对公众和财产造成的损害和妨碍。乙方应保证在施工期间，现场的气体散发、地面排水及排污不能超过适用法律规定的标准。</w:t>
      </w:r>
    </w:p>
    <w:p>
      <w:pPr>
        <w:pStyle w:val="214"/>
        <w:spacing w:after="72"/>
      </w:pPr>
      <w:r>
        <w:t>甲方或市政府指定的其他机构将对乙方施工过程中的安全生产管理和文明施工进行不定期检查，若发现乙方不符合要求，应及时书面要求乙方进行整改。</w:t>
      </w:r>
    </w:p>
    <w:p>
      <w:pPr>
        <w:pStyle w:val="214"/>
        <w:spacing w:after="72"/>
      </w:pPr>
      <w:r>
        <w:t>乙方应严格执行禹州市交警部门保障社会车辆和人员经过施工现场的交通疏解方案。</w:t>
      </w:r>
    </w:p>
    <w:p>
      <w:pPr>
        <w:pStyle w:val="214"/>
        <w:spacing w:after="72"/>
      </w:pPr>
      <w:r>
        <w:t>在本项目建设期内，在工程现场发现所有古墓、古建筑基础和结构、化石、钱币、有价值的物品或文物、建筑结构以及具有地质或考古价值的其他遗迹或物品，乙方应在发现后四（4）个小时内通知甲方及其他相关单位，并采取合理的保护措施，防止上述物品损毁，且需防止其职员、劳工或其他人员移动或损坏任何此类物品，由此发生的费用由甲方按照</w:t>
      </w:r>
      <w:r>
        <w:fldChar w:fldCharType="begin"/>
      </w:r>
      <w:r>
        <w:instrText xml:space="preserve"> REF _Ref448873391 \r \h  \* MERGEFORMAT </w:instrText>
      </w:r>
      <w:r>
        <w:fldChar w:fldCharType="separate"/>
      </w:r>
      <w:r>
        <w:rPr>
          <w:rFonts w:hint="eastAsia"/>
        </w:rPr>
        <w:t>第19条</w:t>
      </w:r>
      <w:r>
        <w:rPr>
          <w:rFonts w:hint="eastAsia"/>
        </w:rPr>
        <w:fldChar w:fldCharType="end"/>
      </w:r>
      <w:r>
        <w:rPr>
          <w:rFonts w:hint="eastAsia"/>
        </w:rPr>
        <w:t>约</w:t>
      </w:r>
      <w:r>
        <w:t>定进行一般补偿。</w:t>
      </w:r>
    </w:p>
    <w:p>
      <w:pPr>
        <w:pStyle w:val="213"/>
        <w:spacing w:after="120"/>
        <w:rPr>
          <w:rFonts w:ascii="Times New Roman" w:hAnsi="Times New Roman"/>
          <w:b/>
        </w:rPr>
      </w:pPr>
      <w:r>
        <w:rPr>
          <w:rFonts w:hint="eastAsia" w:ascii="Times New Roman" w:hAnsi="Times New Roman"/>
          <w:b/>
        </w:rPr>
        <w:t>工程</w:t>
      </w:r>
      <w:bookmarkStart w:id="239" w:name="_Toc417325848"/>
      <w:bookmarkStart w:id="240" w:name="_Toc417373131"/>
      <w:bookmarkStart w:id="241" w:name="_Toc320479522"/>
      <w:r>
        <w:rPr>
          <w:rFonts w:hint="eastAsia" w:ascii="Times New Roman" w:hAnsi="Times New Roman"/>
          <w:b/>
        </w:rPr>
        <w:t>施工、材料、设备与服务的采购</w:t>
      </w:r>
      <w:bookmarkEnd w:id="239"/>
      <w:bookmarkEnd w:id="240"/>
      <w:bookmarkEnd w:id="241"/>
      <w:r>
        <w:rPr>
          <w:rFonts w:hint="eastAsia"/>
          <w:b/>
        </w:rPr>
        <w:t>★</w:t>
      </w:r>
    </w:p>
    <w:p>
      <w:pPr>
        <w:pStyle w:val="214"/>
        <w:spacing w:after="72"/>
      </w:pPr>
      <w:r>
        <w:rPr>
          <w:rFonts w:hint="eastAsia"/>
        </w:rPr>
        <w:t>经公开招标，本项目</w:t>
      </w:r>
      <w:r>
        <w:t>中标人具有适用法律要求的施工总承包资质，</w:t>
      </w:r>
      <w:r>
        <w:rPr>
          <w:rFonts w:hint="eastAsia"/>
        </w:rPr>
        <w:t>能够满足本项目施工要求，故本项目施工工作由【</w:t>
      </w:r>
      <w:r>
        <w:t>中标人</w:t>
      </w:r>
      <w:r>
        <w:rPr>
          <w:rFonts w:hint="eastAsia"/>
        </w:rPr>
        <w:t>中的施工单位】直接</w:t>
      </w:r>
      <w:r>
        <w:t>承担。</w:t>
      </w:r>
      <w:r>
        <w:rPr>
          <w:rFonts w:hint="eastAsia"/>
        </w:rPr>
        <w:t>未经甲方和相关政府部门同意，本项目范围内的项目工程不得对外分包</w:t>
      </w:r>
      <w:r>
        <w:t>。</w:t>
      </w:r>
    </w:p>
    <w:p>
      <w:pPr>
        <w:pStyle w:val="214"/>
        <w:spacing w:after="72"/>
      </w:pPr>
      <w:r>
        <w:t>乙方应按适用法律和本合同的</w:t>
      </w:r>
      <w:r>
        <w:rPr>
          <w:rFonts w:hint="eastAsia"/>
        </w:rPr>
        <w:t>约</w:t>
      </w:r>
      <w:r>
        <w:t>定采购本项目建设所需要的一切永久性或临时性的设备、材料及其他物品。乙方应根据适用法律的规定，选择有资质的机构作为本项目的设备供应商。如中标人具有生产某种设备的资质、能力，经甲方和有关政府部门审批同意，乙方可以直接向中标人采购该种设备。</w:t>
      </w:r>
    </w:p>
    <w:p>
      <w:pPr>
        <w:pStyle w:val="214"/>
        <w:spacing w:after="72"/>
      </w:pPr>
      <w:r>
        <w:t>乙方采购主要材料、设备之前应当将拟采购的材料、设备的详细资料（包括但不限于材料设备的型号、规格、技术参数、供应商名称及其相关情况、采购价格等情况）提交甲方，甲方如有异议应于收到乙方上述资料之日起十（10）个工作日内向乙方提出。针对甲方提出的异议，乙方应予以充分考虑并将整改措施报告给甲方。</w:t>
      </w:r>
    </w:p>
    <w:p>
      <w:pPr>
        <w:pStyle w:val="214"/>
        <w:spacing w:after="72"/>
      </w:pPr>
      <w:r>
        <w:t>如果从检查、审核或检验的结果看，任何项目设施、工程设备、材料或工艺存在缺陷或不符合本合同的其他</w:t>
      </w:r>
      <w:r>
        <w:rPr>
          <w:rFonts w:hint="eastAsia"/>
        </w:rPr>
        <w:t>约</w:t>
      </w:r>
      <w:r>
        <w:t>定，乙方应立即修复上述缺陷并保证项目设施、工程设备、材料或工艺符合本合同约定。</w:t>
      </w:r>
    </w:p>
    <w:p>
      <w:pPr>
        <w:pStyle w:val="214"/>
        <w:spacing w:after="72"/>
      </w:pPr>
      <w:r>
        <w:t>乙方对承包人的责任</w:t>
      </w:r>
    </w:p>
    <w:p>
      <w:pPr>
        <w:pStyle w:val="219"/>
        <w:spacing w:after="72"/>
      </w:pPr>
      <w:r>
        <w:t>乙方与承包人签订的各项合同或协议不得违反本合同的</w:t>
      </w:r>
      <w:r>
        <w:rPr>
          <w:rFonts w:hint="eastAsia"/>
        </w:rPr>
        <w:t>约</w:t>
      </w:r>
      <w:r>
        <w:t>定，且包含使乙方能够履行本合同项下义务所必需的本合同的条款或具有同等效力的规定。乙方雇佣承包人不应解除乙方对本合同项下的任何义务，乙方应对承包人及其雇员的行为或过失而造成的本合同项下损失承担责任，并承担由于承包人及其雇员的行为或过失所造成的本合同项下的一切损失和赔偿。</w:t>
      </w:r>
    </w:p>
    <w:p>
      <w:pPr>
        <w:pStyle w:val="219"/>
        <w:spacing w:after="72"/>
      </w:pPr>
      <w:r>
        <w:t>乙方应按照本合同约定保证满足项目建设需求的资金，并按照工程进度向承包人足额及时支付工程款，不得拖欠工程款。</w:t>
      </w:r>
    </w:p>
    <w:p>
      <w:pPr>
        <w:pStyle w:val="219"/>
        <w:spacing w:after="72"/>
      </w:pPr>
      <w:r>
        <w:t>乙方应加强对承包人工程款使用情况的监督检查管理，督促承包人不得拖欠分包人的工程款和农民工工资。乙方应加强对承包人使用农民工的管理，对不签订劳动合同、非法使用农民工、拖延和克扣农民工工资以及其他违反国家对农民工相应保障规定的，应予以纠正。承包人拒不纠正的，应及时将有关情况报有关部门调查处理。</w:t>
      </w:r>
    </w:p>
    <w:p>
      <w:pPr>
        <w:pStyle w:val="219"/>
        <w:spacing w:after="72"/>
      </w:pPr>
      <w:r>
        <w:t>乙方应督促施工单位按照《房屋建筑和市政基础设施工程施工分包管理办法》（</w:t>
      </w:r>
      <w:bookmarkStart w:id="242" w:name="OLE_LINK1"/>
      <w:bookmarkStart w:id="243" w:name="OLE_LINK2"/>
      <w:r>
        <w:t>2004 建设部令第124号</w:t>
      </w:r>
      <w:bookmarkEnd w:id="242"/>
      <w:bookmarkEnd w:id="243"/>
      <w:r>
        <w:t>）等法律法规和合同的</w:t>
      </w:r>
      <w:r>
        <w:rPr>
          <w:rFonts w:hint="eastAsia"/>
        </w:rPr>
        <w:t>约定</w:t>
      </w:r>
      <w:r>
        <w:t>对施工分包进行管理，建立健全分包管理制度，负责对分包的合同签订与履行、质量与安全管理、计量支付等活动监督检查，并建立台账，及时制止施工单位的违法分包行为。</w:t>
      </w:r>
    </w:p>
    <w:p>
      <w:pPr>
        <w:pStyle w:val="213"/>
        <w:spacing w:after="120"/>
        <w:rPr>
          <w:rFonts w:ascii="Times New Roman" w:hAnsi="Times New Roman"/>
        </w:rPr>
      </w:pPr>
      <w:bookmarkStart w:id="244" w:name="_Toc417325849"/>
      <w:bookmarkStart w:id="245" w:name="_Toc417373132"/>
      <w:bookmarkStart w:id="246" w:name="_Toc320479523"/>
      <w:r>
        <w:rPr>
          <w:rFonts w:ascii="Times New Roman" w:hAnsi="Times New Roman"/>
        </w:rPr>
        <w:t>甲方对项目建设的协助</w:t>
      </w:r>
      <w:bookmarkEnd w:id="244"/>
      <w:bookmarkEnd w:id="245"/>
      <w:bookmarkEnd w:id="246"/>
    </w:p>
    <w:p>
      <w:pPr>
        <w:pStyle w:val="214"/>
        <w:spacing w:after="72"/>
      </w:pPr>
      <w:r>
        <w:t>甲方应协助乙方协调相关的政府部门，以确保项目建设的顺利进行。如因甲方过失、前期工作延迟完成或相关审批手续未及时批复等原因造成开工时间或建设期延误，甲方应将建设期相应顺延。</w:t>
      </w:r>
    </w:p>
    <w:p>
      <w:pPr>
        <w:pStyle w:val="214"/>
        <w:spacing w:after="72"/>
      </w:pPr>
      <w:r>
        <w:t>甲方应协调相关政府部门采取措施切实保障乙方可根据本合同相关约定选择供应商、承包商，保障项目顺利建设，不受任何单位、个人的非法干扰。</w:t>
      </w:r>
    </w:p>
    <w:p>
      <w:pPr>
        <w:pStyle w:val="213"/>
        <w:spacing w:after="120"/>
        <w:rPr>
          <w:rFonts w:ascii="Times New Roman" w:hAnsi="Times New Roman"/>
        </w:rPr>
      </w:pPr>
      <w:r>
        <w:rPr>
          <w:rFonts w:ascii="Times New Roman" w:hAnsi="Times New Roman"/>
        </w:rPr>
        <w:t>地下设施</w:t>
      </w:r>
    </w:p>
    <w:p>
      <w:pPr>
        <w:pStyle w:val="214"/>
        <w:spacing w:after="72"/>
      </w:pPr>
      <w:r>
        <w:t>乙方应结合可研报告、设计文件和项目实地情况，整理并上报项目用地范围内的地下管线等公共设施情况（如有），甲方应协调政府方进行重置、转移、修改的工作，发生的相关费用由乙方承担。</w:t>
      </w:r>
    </w:p>
    <w:p>
      <w:pPr>
        <w:pStyle w:val="214"/>
        <w:numPr>
          <w:ilvl w:val="0"/>
          <w:numId w:val="0"/>
        </w:numPr>
        <w:spacing w:after="72"/>
        <w:ind w:left="1418"/>
      </w:pPr>
      <w:r>
        <w:t>在项目建设过程中，施工方对地下设施造成损坏的，乙方应当按照不低于原技术标准予以修复，并赔偿在损坏期间造成的损失。</w:t>
      </w:r>
    </w:p>
    <w:p>
      <w:pPr>
        <w:pStyle w:val="214"/>
        <w:spacing w:after="72"/>
      </w:pPr>
      <w:r>
        <w:t>若乙方未履行上述义务，则乙方应向甲方赔偿造成的损失，同时向第三方赔偿造成的经济损失并承担相应的法律责任。</w:t>
      </w:r>
    </w:p>
    <w:p>
      <w:pPr>
        <w:pStyle w:val="213"/>
        <w:spacing w:after="120"/>
        <w:rPr>
          <w:rFonts w:ascii="Times New Roman" w:hAnsi="Times New Roman"/>
          <w:b/>
        </w:rPr>
      </w:pPr>
      <w:bookmarkStart w:id="247" w:name="_Toc417373133"/>
      <w:bookmarkStart w:id="248" w:name="_Toc417325850"/>
      <w:bookmarkStart w:id="249" w:name="_Toc320479524"/>
      <w:r>
        <w:rPr>
          <w:rFonts w:hint="eastAsia" w:ascii="Times New Roman" w:hAnsi="Times New Roman"/>
          <w:b/>
        </w:rPr>
        <w:t>监督检查</w:t>
      </w:r>
      <w:bookmarkEnd w:id="247"/>
      <w:bookmarkEnd w:id="248"/>
      <w:bookmarkEnd w:id="249"/>
      <w:r>
        <w:rPr>
          <w:rFonts w:hint="eastAsia"/>
          <w:b/>
        </w:rPr>
        <w:t>★</w:t>
      </w:r>
    </w:p>
    <w:p>
      <w:pPr>
        <w:pStyle w:val="214"/>
        <w:spacing w:after="72"/>
      </w:pPr>
      <w:r>
        <w:t>本合同生效之日起七（7）个工作日内，乙方应在</w:t>
      </w:r>
      <w:r>
        <w:rPr>
          <w:rFonts w:hint="eastAsia"/>
        </w:rPr>
        <w:t>禹州市</w:t>
      </w:r>
      <w:r>
        <w:t>的商业银行设立工程建设资金专户，专款专用、专户存储。甲方有权查看账户资金情况（具体方式甲、乙双方另行协商确定），乙方应给</w:t>
      </w:r>
      <w:r>
        <w:rPr>
          <w:rFonts w:hint="eastAsia"/>
        </w:rPr>
        <w:t>予</w:t>
      </w:r>
      <w:r>
        <w:t>配合。</w:t>
      </w:r>
    </w:p>
    <w:p>
      <w:pPr>
        <w:pStyle w:val="214"/>
        <w:spacing w:after="72"/>
      </w:pPr>
      <w:r>
        <w:t>乙方必须按月向甲方提供银行对账单等相关资料，以便甲方检查监督乙方建设</w:t>
      </w:r>
      <w:r>
        <w:rPr>
          <w:rFonts w:hint="eastAsia"/>
        </w:rPr>
        <w:t>资金到位和使用情况。</w:t>
      </w:r>
      <w:r>
        <w:t>甲方有权在不影响建设进度的前提下对项目工程的建设情况进行监督和检查，该等监督和检查应在乙方代表参加的情况下进行。甲方应合理地提前通知乙方有关监督和检查的事宜，若通知后，乙方未能派代表参加，不影响上述监督和检查的效力。</w:t>
      </w:r>
    </w:p>
    <w:p>
      <w:pPr>
        <w:pStyle w:val="214"/>
        <w:spacing w:after="72"/>
      </w:pPr>
      <w:r>
        <w:t>乙方及建设承包商应为甲方提供进入建设场地的便利条件，并对甲方就实施本合同项下监督和检查有关的合理要求予以必要协助。乙方应为甲方进行监督检查提供检查所需的、与特定的检查目的相关的所有方案、设计、文件和资料的复印件。</w:t>
      </w:r>
    </w:p>
    <w:p>
      <w:pPr>
        <w:pStyle w:val="214"/>
        <w:spacing w:after="72"/>
      </w:pPr>
      <w:r>
        <w:t>甲方应当自行承担进入工程建设场地进行监督和检查的全部费用。</w:t>
      </w:r>
    </w:p>
    <w:p>
      <w:pPr>
        <w:pStyle w:val="214"/>
        <w:spacing w:after="72"/>
      </w:pPr>
      <w:r>
        <w:t>甲方未监督、检验本项目建设工程的任何部分或甲方未通知乙方在项目建设、设备或材料采购方面严重违约不应视为甲方放弃其在本合同下的任何权利，也不能减免乙方在本合同下的任何义务。</w:t>
      </w:r>
    </w:p>
    <w:p>
      <w:pPr>
        <w:pStyle w:val="214"/>
        <w:spacing w:after="72"/>
      </w:pPr>
      <w:r>
        <w:t>甲方或其指定机构对建设工程的监督和检查不影响其他政府部门依法定职能对建设工程的监督和检查。</w:t>
      </w:r>
    </w:p>
    <w:p>
      <w:pPr>
        <w:pStyle w:val="214"/>
        <w:spacing w:after="72"/>
      </w:pPr>
      <w:bookmarkStart w:id="250" w:name="_Ref448748538"/>
      <w:r>
        <w:t>不符合质量和/或安全要求</w:t>
      </w:r>
      <w:bookmarkEnd w:id="250"/>
    </w:p>
    <w:p>
      <w:pPr>
        <w:pStyle w:val="219"/>
        <w:spacing w:after="72"/>
      </w:pPr>
      <w:r>
        <w:t>本项目合作期内，如果项目工程或其任何部分不符合国家及行业的质量和/或安全标准规定，甲方可以就此给予乙方书面通知，要求其在合理时间纠正缺陷；乙方应遵照执行，如有异议应在收到甲方通知后三（3）个工作日内提出，否则应在收到甲方通知后五（5）日内提出整改措施，报经甲方同意后进行整改和补救，并对由此引起的任何费用的增加和延误负责，该等费用不得计入项目总投资。</w:t>
      </w:r>
    </w:p>
    <w:p>
      <w:pPr>
        <w:pStyle w:val="219"/>
        <w:spacing w:after="72"/>
      </w:pPr>
      <w:r>
        <w:t>如果乙方在收到甲方上述通知后十（10）个工作日内不能或拒绝纠正缺陷，甲方有权自行或委托第三方纠正上述缺陷。在这种情况下，乙方应为此向甲方支付合理且必要的修理费用。如乙方拒绝甲方或其委托的第三方进入项目场地进行纠正工作，或者未能按照甲方的要求支付相应的修理费用，甲方有权兑取履约保函相应款项。如履约保函不足以支付前述修复费用的，甲方有权从应付给乙方的污水处理服务费中扣除相应费用。</w:t>
      </w:r>
    </w:p>
    <w:p>
      <w:pPr>
        <w:pStyle w:val="213"/>
        <w:spacing w:after="120"/>
        <w:rPr>
          <w:rFonts w:ascii="Times New Roman" w:hAnsi="Times New Roman"/>
          <w:b/>
        </w:rPr>
      </w:pPr>
      <w:r>
        <w:rPr>
          <w:rFonts w:hint="eastAsia" w:ascii="Times New Roman" w:hAnsi="Times New Roman"/>
          <w:b/>
        </w:rPr>
        <w:t>工程变更和设计优化</w:t>
      </w:r>
      <w:r>
        <w:rPr>
          <w:rFonts w:hint="eastAsia"/>
          <w:b/>
        </w:rPr>
        <w:t>★</w:t>
      </w:r>
    </w:p>
    <w:p>
      <w:pPr>
        <w:pStyle w:val="214"/>
        <w:spacing w:after="72"/>
      </w:pPr>
      <w:bookmarkStart w:id="251" w:name="_Ref448657478"/>
      <w:bookmarkStart w:id="252" w:name="_Ref483465072"/>
      <w:r>
        <w:t>乙方不得擅自修改已批准的初步设计文件、施工图设计文件，如发生重大变更的，应按《建设工程勘察设计管理条例》、《建设工程质量管理条例》及其他有关规定执行，履行相关审批程序。如建设期内国家、河南省、许昌市、禹州市出台新的有关项目工程变更和概算调整的政策规定，则按新政策规定执行。</w:t>
      </w:r>
      <w:bookmarkEnd w:id="251"/>
      <w:bookmarkEnd w:id="252"/>
    </w:p>
    <w:p>
      <w:pPr>
        <w:pStyle w:val="214"/>
        <w:spacing w:after="72"/>
      </w:pPr>
      <w:r>
        <w:t>甲方要求的变更</w:t>
      </w:r>
    </w:p>
    <w:p>
      <w:pPr>
        <w:pStyle w:val="219"/>
        <w:spacing w:after="72"/>
      </w:pPr>
      <w:r>
        <w:t>在工程施工前或施工期间，甲方认为需要进行项目工程变更的，应书面通知乙方，乙方在收到甲方通知后的十(10)个工作日(或甲方同意的延长期限)内，须就工程变更向甲方作出书面答复。</w:t>
      </w:r>
    </w:p>
    <w:p>
      <w:pPr>
        <w:pStyle w:val="219"/>
        <w:spacing w:after="72"/>
      </w:pPr>
      <w:r>
        <w:t>乙方应根据勤勉尽责的原则准备并向政府部门（或其他有关机构）提交适当的申请及其他相关文件，尽力获得实施变动所必需的任何批准。</w:t>
      </w:r>
    </w:p>
    <w:p>
      <w:pPr>
        <w:pStyle w:val="219"/>
        <w:spacing w:after="72"/>
      </w:pPr>
      <w:r>
        <w:t>乙方应始终尽一切合理的努力，以减轻或降低因变更而花费的支出和可能产生的损失。因甲方要求的变更而导致本项目竣工时间延误的，乙方有权要求甲方延长本项目建设期且不承担违约责任。</w:t>
      </w:r>
    </w:p>
    <w:p>
      <w:pPr>
        <w:pStyle w:val="219"/>
        <w:spacing w:after="72"/>
      </w:pPr>
      <w:r>
        <w:t>因甲方自身要求变化等原因产生的设计变更，由甲方承担相应责任，乙方将就该等原因导致的设计变更所增加的费用计入项目总投资。</w:t>
      </w:r>
    </w:p>
    <w:p>
      <w:pPr>
        <w:pStyle w:val="214"/>
        <w:spacing w:after="72"/>
      </w:pPr>
      <w:bookmarkStart w:id="253" w:name="_Ref428689670"/>
      <w:r>
        <w:t>乙方要求的</w:t>
      </w:r>
      <w:bookmarkEnd w:id="253"/>
      <w:r>
        <w:t>变更</w:t>
      </w:r>
    </w:p>
    <w:p>
      <w:pPr>
        <w:pStyle w:val="219"/>
        <w:spacing w:after="72"/>
      </w:pPr>
      <w:r>
        <w:t>本项目合作期内，乙方可以依据适用法律的规定提出设计变更，并按照第</w:t>
      </w:r>
      <w:r>
        <w:fldChar w:fldCharType="begin"/>
      </w:r>
      <w:r>
        <w:instrText xml:space="preserve"> REF _Ref448657478 \r \h  \* MERGEFORMAT </w:instrText>
      </w:r>
      <w:r>
        <w:fldChar w:fldCharType="separate"/>
      </w:r>
      <w:r>
        <w:t>9.11.1</w:t>
      </w:r>
      <w:r>
        <w:fldChar w:fldCharType="end"/>
      </w:r>
      <w:r>
        <w:t>条款履行审批程序，经批准后方可执行。</w:t>
      </w:r>
    </w:p>
    <w:p>
      <w:pPr>
        <w:pStyle w:val="219"/>
        <w:spacing w:after="72"/>
      </w:pPr>
      <w:r>
        <w:t>乙方应对本项目设计变更中出现的任何缺陷负全部责任。甲方或相关政府部门未对设计变更文件提出异议不应视为甲方放弃其本合同项下的权利。甲方或相关政府部门不因进行审批而对本项目的工程建设质量或工程进度承担责任。</w:t>
      </w:r>
    </w:p>
    <w:p>
      <w:pPr>
        <w:pStyle w:val="219"/>
        <w:spacing w:after="72"/>
      </w:pPr>
      <w:r>
        <w:t>因乙方工作失误等原因所产生的设计变更，由乙方承担责任，乙方应自行支付因该等原因所导致的设计变更所增加的费用，该部分费用不计入项目总投资。</w:t>
      </w:r>
    </w:p>
    <w:p>
      <w:pPr>
        <w:pStyle w:val="219"/>
        <w:spacing w:after="72"/>
      </w:pPr>
      <w:r>
        <w:t>乙方在保证质量和安全并不低于原设计标准的前提下，出于优化方案、节省开支等合理或经济性考虑提出的设计变更，得到甲方的同意后方可实施，工程量增加导致的成本费用增加由乙方自行承担，该部分费用不计入项目总投资。</w:t>
      </w:r>
    </w:p>
    <w:p>
      <w:pPr>
        <w:pStyle w:val="213"/>
        <w:spacing w:after="120"/>
        <w:rPr>
          <w:rFonts w:ascii="Times New Roman" w:hAnsi="Times New Roman"/>
        </w:rPr>
      </w:pPr>
      <w:r>
        <w:rPr>
          <w:rFonts w:ascii="Times New Roman" w:hAnsi="Times New Roman"/>
        </w:rPr>
        <w:t>职员与劳动</w:t>
      </w:r>
    </w:p>
    <w:p>
      <w:pPr>
        <w:pStyle w:val="214"/>
        <w:spacing w:after="72"/>
      </w:pPr>
      <w:r>
        <w:t>乙方人员的变动</w:t>
      </w:r>
    </w:p>
    <w:p>
      <w:pPr>
        <w:pStyle w:val="219"/>
        <w:spacing w:after="72"/>
      </w:pPr>
      <w:r>
        <w:t>乙方的主要管理人员应按本合同签订时所报人员到位，原则上不得变动，特殊情况下需变动时，应</w:t>
      </w:r>
      <w:r>
        <w:rPr>
          <w:rFonts w:hint="eastAsia"/>
        </w:rPr>
        <w:t>及时向甲方进行备案</w:t>
      </w:r>
      <w:r>
        <w:t>；</w:t>
      </w:r>
    </w:p>
    <w:p>
      <w:pPr>
        <w:pStyle w:val="219"/>
        <w:spacing w:after="72"/>
      </w:pPr>
      <w:r>
        <w:t>若乙方的主要管理人员不能胜任履行本合同条件的职责要求，应甲方的要求乙方应及时更换或增加人员。</w:t>
      </w:r>
    </w:p>
    <w:p>
      <w:pPr>
        <w:pStyle w:val="214"/>
        <w:spacing w:after="72"/>
      </w:pPr>
      <w:r>
        <w:t>工资标准与劳动条件</w:t>
      </w:r>
    </w:p>
    <w:p>
      <w:pPr>
        <w:pStyle w:val="214"/>
        <w:numPr>
          <w:ilvl w:val="0"/>
          <w:numId w:val="0"/>
        </w:numPr>
        <w:spacing w:after="72"/>
        <w:ind w:left="1418"/>
      </w:pPr>
      <w:r>
        <w:t>乙方应按照适用法律要求雇佣职员和劳工，所付的工资标准及遵守的劳动条件应不低于其从事工作的地区同行业标准和条件。</w:t>
      </w:r>
    </w:p>
    <w:p>
      <w:pPr>
        <w:pStyle w:val="214"/>
        <w:spacing w:after="72"/>
      </w:pPr>
      <w:r>
        <w:tab/>
      </w:r>
      <w:r>
        <w:t>劳动法</w:t>
      </w:r>
    </w:p>
    <w:p>
      <w:pPr>
        <w:pStyle w:val="219"/>
        <w:numPr>
          <w:ilvl w:val="0"/>
          <w:numId w:val="0"/>
        </w:numPr>
        <w:spacing w:after="72"/>
        <w:ind w:left="1418"/>
      </w:pPr>
      <w:r>
        <w:t>乙方应遵守适用法律规定，按时向职员和劳工合理支付报酬，以及保障他们享有适用法律规定的所有权利，并应要求其全体雇员遵守与安全工作有关的所有适用法律。</w:t>
      </w:r>
    </w:p>
    <w:p>
      <w:pPr>
        <w:pStyle w:val="214"/>
        <w:spacing w:after="72"/>
      </w:pPr>
      <w:r>
        <w:t>为员工提供必要的设施</w:t>
      </w:r>
    </w:p>
    <w:p>
      <w:pPr>
        <w:pStyle w:val="219"/>
        <w:numPr>
          <w:ilvl w:val="0"/>
          <w:numId w:val="0"/>
        </w:numPr>
        <w:spacing w:after="72"/>
        <w:ind w:left="1418"/>
      </w:pPr>
      <w:r>
        <w:t>乙方应为其（及其分包商的）职员和劳工提供并维护所有必须的工作及生活设施，乙方不得允许其任何职员和劳工在构成工程部分的建筑物、构筑物内保留任何临时或永久的居住场所。</w:t>
      </w:r>
    </w:p>
    <w:p>
      <w:pPr>
        <w:pStyle w:val="214"/>
        <w:spacing w:after="72"/>
      </w:pPr>
      <w:r>
        <w:t>健康与安全</w:t>
      </w:r>
    </w:p>
    <w:p>
      <w:pPr>
        <w:pStyle w:val="219"/>
        <w:numPr>
          <w:ilvl w:val="0"/>
          <w:numId w:val="0"/>
        </w:numPr>
        <w:spacing w:after="72"/>
        <w:ind w:left="1418"/>
      </w:pPr>
      <w:r>
        <w:t>乙方应采取预防措施以保证其职员和劳工的健康与安全，与卫生部门合作并按其要求，自始至终在住地和现场确保配备医务人员、急救设施以及救护服务。乙方还应</w:t>
      </w:r>
      <w:r>
        <w:rPr>
          <w:rFonts w:hint="eastAsia"/>
        </w:rPr>
        <w:t>做出</w:t>
      </w:r>
      <w:r>
        <w:t>适当安排，提供所有必要的福利及卫生条件，并防止传染病的发生，并应在现场指派适当数量职员负责现场所有人员的安全并防止事故的发生。该等人员应能胜任此项工作，并有权发布指示及下达预防安全事故发生的具体保护措施。</w:t>
      </w:r>
    </w:p>
    <w:p>
      <w:pPr>
        <w:pStyle w:val="214"/>
        <w:spacing w:after="72"/>
      </w:pPr>
      <w:bookmarkStart w:id="254" w:name="_Ref483520884"/>
      <w:r>
        <w:t>本项目开工日前，乙方确定的施工总承包商应按照相关政策规定缴纳农民工工资保证金。如施工总承包单位未及时足额缴纳农民工工资保证金，乙方应按本合同约定缴纳农民工工资保证金。</w:t>
      </w:r>
      <w:bookmarkEnd w:id="254"/>
    </w:p>
    <w:p>
      <w:pPr>
        <w:pStyle w:val="214"/>
        <w:spacing w:after="72"/>
      </w:pPr>
      <w:r>
        <w:t>若施工总承包单位或乙方未及时支付农民工工资，甲方有权从履约保函中兑取相应金额。</w:t>
      </w:r>
    </w:p>
    <w:p>
      <w:pPr>
        <w:pStyle w:val="213"/>
        <w:spacing w:after="120"/>
        <w:rPr>
          <w:rFonts w:ascii="Times New Roman" w:hAnsi="Times New Roman"/>
        </w:rPr>
      </w:pPr>
      <w:r>
        <w:rPr>
          <w:rFonts w:ascii="Times New Roman" w:hAnsi="Times New Roman"/>
        </w:rPr>
        <w:t>开工、暂停和复工</w:t>
      </w:r>
    </w:p>
    <w:p>
      <w:pPr>
        <w:pStyle w:val="214"/>
        <w:spacing w:after="72"/>
      </w:pPr>
      <w:r>
        <w:t>开工</w:t>
      </w:r>
    </w:p>
    <w:p>
      <w:pPr>
        <w:pStyle w:val="219"/>
        <w:numPr>
          <w:ilvl w:val="0"/>
          <w:numId w:val="0"/>
        </w:numPr>
        <w:spacing w:after="72"/>
        <w:ind w:left="1418"/>
      </w:pPr>
      <w:r>
        <w:t>乙方应在建设进度计划中</w:t>
      </w:r>
      <w:r>
        <w:rPr>
          <w:rFonts w:hint="eastAsia"/>
        </w:rPr>
        <w:t>约</w:t>
      </w:r>
      <w:r>
        <w:t>定的开工日开工。此后，乙方应迅速按经甲方审定的建设进度计划的要求不拖延地开始实施项目工程直至竣工验收。</w:t>
      </w:r>
    </w:p>
    <w:p>
      <w:pPr>
        <w:pStyle w:val="214"/>
        <w:spacing w:after="72"/>
      </w:pPr>
      <w:r>
        <w:t>暂停</w:t>
      </w:r>
    </w:p>
    <w:p>
      <w:pPr>
        <w:pStyle w:val="219"/>
        <w:numPr>
          <w:ilvl w:val="0"/>
          <w:numId w:val="0"/>
        </w:numPr>
        <w:spacing w:after="72"/>
        <w:ind w:left="1418"/>
      </w:pPr>
      <w:r>
        <w:t>甲方可指示乙方暂停进行部分或全部工程。在暂停期间，乙方应保护、保管以及保障该部分或全部工程免遭任何损蚀、损失或损害。若暂时停工是由于甲方原因造成的，则建设进度计划予以顺延，同时甲方应支付乙方由此而产生的有关费用；若暂时停工是由于乙方原因造成的，则建设进度计划不予顺延，同时乙方应向甲方支付相应的违约赔偿金；若暂时停工是由于不可抗力造成的，则参照本合同</w:t>
      </w:r>
      <w:r>
        <w:fldChar w:fldCharType="begin"/>
      </w:r>
      <w:r>
        <w:instrText xml:space="preserve"> REF _Ref448872988 \r \h  \* MERGEFORMAT </w:instrText>
      </w:r>
      <w:r>
        <w:fldChar w:fldCharType="separate"/>
      </w:r>
      <w:r>
        <w:rPr>
          <w:rFonts w:hint="eastAsia"/>
        </w:rPr>
        <w:t>第16条</w:t>
      </w:r>
      <w:r>
        <w:rPr>
          <w:rFonts w:hint="eastAsia"/>
        </w:rPr>
        <w:fldChar w:fldCharType="end"/>
      </w:r>
      <w:r>
        <w:t>款执行。</w:t>
      </w:r>
    </w:p>
    <w:p>
      <w:pPr>
        <w:pStyle w:val="214"/>
        <w:spacing w:after="72"/>
      </w:pPr>
      <w:r>
        <w:tab/>
      </w:r>
      <w:r>
        <w:t>复工</w:t>
      </w:r>
    </w:p>
    <w:p>
      <w:pPr>
        <w:pStyle w:val="219"/>
        <w:numPr>
          <w:ilvl w:val="0"/>
          <w:numId w:val="0"/>
        </w:numPr>
        <w:spacing w:after="72"/>
        <w:ind w:left="1418"/>
      </w:pPr>
      <w:r>
        <w:t>在收到继续施工的许可或指示后，乙方应修复在暂停期间发生在工程或工程设备或材料中的任何损蚀、损失或损害。若此类暂时停工是由于甲方原因造成的，此种修复的费用由甲方承担。若此类暂时停工是由于乙方原因造成的，此种修复的费用由乙方承担。若此类暂时停工是由于不可抗力造成的，则参照</w:t>
      </w:r>
      <w:r>
        <w:fldChar w:fldCharType="begin"/>
      </w:r>
      <w:r>
        <w:instrText xml:space="preserve"> REF _Ref448872988 \r \h  \* MERGEFORMAT </w:instrText>
      </w:r>
      <w:r>
        <w:fldChar w:fldCharType="separate"/>
      </w:r>
      <w:r>
        <w:rPr>
          <w:rFonts w:hint="eastAsia"/>
        </w:rPr>
        <w:t>第16条</w:t>
      </w:r>
      <w:r>
        <w:rPr>
          <w:rFonts w:hint="eastAsia"/>
        </w:rPr>
        <w:fldChar w:fldCharType="end"/>
      </w:r>
      <w:r>
        <w:t>款执行。</w:t>
      </w:r>
    </w:p>
    <w:p>
      <w:pPr>
        <w:pStyle w:val="213"/>
        <w:spacing w:after="120"/>
        <w:rPr>
          <w:rFonts w:ascii="Times New Roman" w:hAnsi="Times New Roman"/>
        </w:rPr>
      </w:pPr>
      <w:r>
        <w:rPr>
          <w:rFonts w:ascii="Times New Roman" w:hAnsi="Times New Roman"/>
        </w:rPr>
        <w:t>检验和完工</w:t>
      </w:r>
    </w:p>
    <w:p>
      <w:pPr>
        <w:pStyle w:val="214"/>
        <w:spacing w:after="72"/>
      </w:pPr>
      <w:bookmarkStart w:id="255" w:name="_Ref533425709"/>
      <w:bookmarkStart w:id="256" w:name="_Ref533425493"/>
      <w:bookmarkStart w:id="257" w:name="_Ref533425503"/>
      <w:bookmarkStart w:id="258" w:name="_Ref533425477"/>
      <w:bookmarkStart w:id="259" w:name="_Ref493006925"/>
      <w:bookmarkStart w:id="260" w:name="_Ref493007002"/>
      <w:bookmarkStart w:id="261" w:name="_Ref493006855"/>
      <w:bookmarkStart w:id="262" w:name="_Ref493006869"/>
      <w:bookmarkStart w:id="263" w:name="_Toc245139551"/>
      <w:bookmarkStart w:id="264" w:name="_Ref111452249"/>
      <w:bookmarkStart w:id="265" w:name="_Toc145319581"/>
      <w:bookmarkStart w:id="266" w:name="_Toc51221510"/>
      <w:bookmarkStart w:id="267" w:name="_Toc50861748"/>
      <w:bookmarkStart w:id="268" w:name="_Toc50861884"/>
      <w:bookmarkStart w:id="269" w:name="_Toc395167855"/>
      <w:bookmarkStart w:id="270" w:name="_Toc50453958"/>
      <w:bookmarkStart w:id="271" w:name="_Toc50860379"/>
      <w:bookmarkStart w:id="272" w:name="_Toc86396053"/>
      <w:bookmarkStart w:id="273" w:name="_Toc86055300"/>
      <w:bookmarkStart w:id="274" w:name="_Toc86205611"/>
      <w:bookmarkStart w:id="275" w:name="_Toc83479299"/>
      <w:r>
        <w:rPr>
          <w:bCs/>
        </w:rPr>
        <w:t>初步性能测试</w:t>
      </w:r>
      <w:r>
        <w:t>和初步完工确认</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214"/>
        <w:numPr>
          <w:ilvl w:val="0"/>
          <w:numId w:val="0"/>
        </w:numPr>
        <w:spacing w:after="72"/>
        <w:ind w:left="1418"/>
      </w:pPr>
      <w:r>
        <w:t>（a）初步性能测试</w:t>
      </w:r>
    </w:p>
    <w:p>
      <w:pPr>
        <w:pStyle w:val="214"/>
        <w:numPr>
          <w:ilvl w:val="0"/>
          <w:numId w:val="0"/>
        </w:numPr>
        <w:spacing w:after="72"/>
        <w:ind w:left="1843"/>
      </w:pPr>
      <w:r>
        <w:t>（i）乙方应至少提前二十（20）个工作日向甲方发出书面通知，告知建设工程预计开始进行初步性能测试的日期。甲方在收到上述通知后，可派代表参加由乙方按照本协议和适用法律组织进行的初步性能测试的全部过程。</w:t>
      </w:r>
    </w:p>
    <w:p>
      <w:pPr>
        <w:pStyle w:val="214"/>
        <w:numPr>
          <w:ilvl w:val="0"/>
          <w:numId w:val="0"/>
        </w:numPr>
        <w:spacing w:after="72"/>
        <w:ind w:left="1843"/>
      </w:pPr>
      <w:r>
        <w:t>（ii）初步性能测试包括以下内容：管道的闭水实验和通畅检验，构筑物的满水试验，设备单机空载试车，设备单机负载试车，设备负载并网试车，清水联动试车等。</w:t>
      </w:r>
    </w:p>
    <w:p>
      <w:pPr>
        <w:pStyle w:val="214"/>
        <w:numPr>
          <w:ilvl w:val="0"/>
          <w:numId w:val="0"/>
        </w:numPr>
        <w:spacing w:after="72"/>
        <w:ind w:left="1843"/>
      </w:pPr>
      <w:r>
        <w:t>（iii）如果初步性能测试表明项目设施不符合本协议或适用法律的要求，甲方应于初步性能测试完成后十（10）个工作日内书面通知乙方并陈述不合格的理由。</w:t>
      </w:r>
    </w:p>
    <w:p>
      <w:pPr>
        <w:pStyle w:val="214"/>
        <w:numPr>
          <w:ilvl w:val="0"/>
          <w:numId w:val="0"/>
        </w:numPr>
        <w:spacing w:after="72"/>
        <w:ind w:left="1418"/>
      </w:pPr>
      <w:r>
        <w:t>（b）不合格的处理</w:t>
      </w:r>
    </w:p>
    <w:p>
      <w:pPr>
        <w:pStyle w:val="214"/>
        <w:numPr>
          <w:ilvl w:val="0"/>
          <w:numId w:val="0"/>
        </w:numPr>
        <w:spacing w:after="72"/>
        <w:ind w:left="1843"/>
      </w:pPr>
      <w:r>
        <w:t>（i）如果初步性能测试不合格，并且甲方按第</w:t>
      </w:r>
      <w:r>
        <w:fldChar w:fldCharType="begin"/>
      </w:r>
      <w:r>
        <w:instrText xml:space="preserve"> REF _Ref533425477 \r \h  \* MERGEFORMAT </w:instrText>
      </w:r>
      <w:r>
        <w:fldChar w:fldCharType="separate"/>
      </w:r>
      <w:r>
        <w:t>9.14.1</w:t>
      </w:r>
      <w:r>
        <w:fldChar w:fldCharType="end"/>
      </w:r>
      <w:r>
        <w:t>（a）条</w:t>
      </w:r>
      <w:r>
        <w:rPr>
          <w:rFonts w:hint="eastAsia"/>
        </w:rPr>
        <w:t>款</w:t>
      </w:r>
      <w:r>
        <w:t>发出书面通知后，乙方应采取所有必要的改正措施补救不合格的情况，并应至少提前五（5）个工作日向甲方发出书面通知，再次组织性能测试。</w:t>
      </w:r>
    </w:p>
    <w:p>
      <w:pPr>
        <w:pStyle w:val="214"/>
        <w:numPr>
          <w:ilvl w:val="0"/>
          <w:numId w:val="0"/>
        </w:numPr>
        <w:spacing w:after="72"/>
        <w:ind w:left="1843"/>
      </w:pPr>
      <w:r>
        <w:t xml:space="preserve">（ii）乙方应对因不合格而导致的费用增加和进度延误承担全部责任。 </w:t>
      </w:r>
    </w:p>
    <w:p>
      <w:pPr>
        <w:pStyle w:val="214"/>
        <w:numPr>
          <w:ilvl w:val="0"/>
          <w:numId w:val="0"/>
        </w:numPr>
        <w:spacing w:after="72"/>
        <w:ind w:left="1418"/>
      </w:pPr>
      <w:r>
        <w:t>（c）</w:t>
      </w:r>
      <w:r>
        <w:rPr>
          <w:rFonts w:hint="eastAsia"/>
        </w:rPr>
        <w:t>法定验收</w:t>
      </w:r>
    </w:p>
    <w:p>
      <w:pPr>
        <w:pStyle w:val="214"/>
        <w:numPr>
          <w:ilvl w:val="0"/>
          <w:numId w:val="0"/>
        </w:numPr>
        <w:spacing w:after="72"/>
        <w:ind w:left="1418"/>
      </w:pPr>
      <w:r>
        <w:t>如果按第</w:t>
      </w:r>
      <w:r>
        <w:fldChar w:fldCharType="begin"/>
      </w:r>
      <w:r>
        <w:instrText xml:space="preserve"> REF _Ref533425493 \r \h  \* MERGEFORMAT </w:instrText>
      </w:r>
      <w:r>
        <w:fldChar w:fldCharType="separate"/>
      </w:r>
      <w:r>
        <w:t>9.14.1</w:t>
      </w:r>
      <w:r>
        <w:fldChar w:fldCharType="end"/>
      </w:r>
      <w:r>
        <w:t>（a）条</w:t>
      </w:r>
      <w:r>
        <w:rPr>
          <w:rFonts w:hint="eastAsia"/>
        </w:rPr>
        <w:t>款</w:t>
      </w:r>
      <w:r>
        <w:t>进行初步性能测试后，或根据第</w:t>
      </w:r>
      <w:r>
        <w:fldChar w:fldCharType="begin"/>
      </w:r>
      <w:r>
        <w:instrText xml:space="preserve"> REF _Ref533425503 \r \h  \* MERGEFORMAT </w:instrText>
      </w:r>
      <w:r>
        <w:fldChar w:fldCharType="separate"/>
      </w:r>
      <w:r>
        <w:t>9.14.1</w:t>
      </w:r>
      <w:r>
        <w:fldChar w:fldCharType="end"/>
      </w:r>
      <w:r>
        <w:t>（b）条</w:t>
      </w:r>
      <w:r>
        <w:rPr>
          <w:rFonts w:hint="eastAsia"/>
        </w:rPr>
        <w:t>款</w:t>
      </w:r>
      <w:r>
        <w:t>重复性能测试后，确认项目设施符合本协议和适用法律的要求，则</w:t>
      </w:r>
      <w:r>
        <w:rPr>
          <w:rFonts w:hint="eastAsia"/>
        </w:rPr>
        <w:t>乙方应</w:t>
      </w:r>
      <w:r>
        <w:t>根据适用法律的规定在建设工程的适当阶段组织进行</w:t>
      </w:r>
      <w:r>
        <w:rPr>
          <w:rFonts w:hint="eastAsia"/>
        </w:rPr>
        <w:t>各项专项</w:t>
      </w:r>
      <w:r>
        <w:t>验收。</w:t>
      </w:r>
    </w:p>
    <w:p>
      <w:pPr>
        <w:pStyle w:val="214"/>
        <w:spacing w:after="72"/>
      </w:pPr>
      <w:bookmarkStart w:id="276" w:name="_Ref493006941"/>
      <w:r>
        <w:t>试运行</w:t>
      </w:r>
      <w:bookmarkEnd w:id="276"/>
    </w:p>
    <w:p>
      <w:pPr>
        <w:pStyle w:val="214"/>
        <w:numPr>
          <w:ilvl w:val="0"/>
          <w:numId w:val="0"/>
        </w:numPr>
        <w:spacing w:after="72"/>
        <w:ind w:left="1418"/>
      </w:pPr>
      <w:r>
        <w:t>（a）建设工程开始试运行的程序</w:t>
      </w:r>
    </w:p>
    <w:p>
      <w:pPr>
        <w:pStyle w:val="214"/>
        <w:numPr>
          <w:ilvl w:val="0"/>
          <w:numId w:val="0"/>
        </w:numPr>
        <w:spacing w:after="72"/>
        <w:ind w:left="1843"/>
      </w:pPr>
      <w:r>
        <w:t>（i）在建设工程初步完工后，乙方应至少提前七（7）个工作日向甲方和禹州市环保行政主管部门（以下简称“环保部门”）发出开始试运行的书面</w:t>
      </w:r>
      <w:r>
        <w:rPr>
          <w:rFonts w:hint="eastAsia"/>
        </w:rPr>
        <w:t>报告</w:t>
      </w:r>
      <w:r>
        <w:t>，</w:t>
      </w:r>
      <w:r>
        <w:rPr>
          <w:rFonts w:hint="eastAsia"/>
        </w:rPr>
        <w:t>申请</w:t>
      </w:r>
      <w:r>
        <w:t>预计开始试运行的日期，并提交能够说明项目设施已具备开始试运行条件的书面材料。</w:t>
      </w:r>
    </w:p>
    <w:p>
      <w:pPr>
        <w:pStyle w:val="214"/>
        <w:numPr>
          <w:ilvl w:val="0"/>
          <w:numId w:val="0"/>
        </w:numPr>
        <w:spacing w:after="72"/>
        <w:ind w:left="1843"/>
      </w:pPr>
      <w:r>
        <w:t>（ii）自初步完工至开始试运行日之前，项目设施须已经连续稳定运行三十（30）日或以上，并且在乙方按照第</w:t>
      </w:r>
      <w:r>
        <w:fldChar w:fldCharType="begin"/>
      </w:r>
      <w:r>
        <w:instrText xml:space="preserve"> REF _Ref493006941 \r \h  \* MERGEFORMAT </w:instrText>
      </w:r>
      <w:r>
        <w:fldChar w:fldCharType="separate"/>
      </w:r>
      <w:r>
        <w:t>9.14.2</w:t>
      </w:r>
      <w:r>
        <w:fldChar w:fldCharType="end"/>
      </w:r>
      <w:r>
        <w:t>（a）（i）条</w:t>
      </w:r>
      <w:r>
        <w:rPr>
          <w:rFonts w:hint="eastAsia"/>
        </w:rPr>
        <w:t>款</w:t>
      </w:r>
      <w:r>
        <w:t>发出通知前连续三（3）日出水水质满足出水质量标准。</w:t>
      </w:r>
    </w:p>
    <w:p>
      <w:pPr>
        <w:pStyle w:val="214"/>
        <w:numPr>
          <w:ilvl w:val="0"/>
          <w:numId w:val="0"/>
        </w:numPr>
        <w:spacing w:after="72"/>
        <w:ind w:left="1843"/>
      </w:pPr>
      <w:r>
        <w:t>（iii）</w:t>
      </w:r>
      <w:r>
        <w:rPr>
          <w:rFonts w:hint="eastAsia"/>
        </w:rPr>
        <w:t>市环保局批准后，乙方方可开始组织项目试运行</w:t>
      </w:r>
      <w:r>
        <w:t>。</w:t>
      </w:r>
      <w:r>
        <w:rPr>
          <w:rFonts w:hint="eastAsia"/>
        </w:rPr>
        <w:t>若</w:t>
      </w:r>
      <w:r>
        <w:t>乙方</w:t>
      </w:r>
      <w:r>
        <w:rPr>
          <w:rFonts w:hint="eastAsia"/>
        </w:rPr>
        <w:t>未取得市环保局的相关批准，乙方</w:t>
      </w:r>
      <w:r>
        <w:t>应按照</w:t>
      </w:r>
      <w:r>
        <w:rPr>
          <w:rFonts w:hint="eastAsia"/>
        </w:rPr>
        <w:t>市环保局</w:t>
      </w:r>
      <w:r>
        <w:t>的意见，尽快纠正其存在的问题，并按照前述规定重新申请试运行。</w:t>
      </w:r>
    </w:p>
    <w:p>
      <w:pPr>
        <w:pStyle w:val="214"/>
        <w:numPr>
          <w:ilvl w:val="0"/>
          <w:numId w:val="0"/>
        </w:numPr>
        <w:spacing w:after="72"/>
        <w:ind w:left="1418"/>
      </w:pPr>
      <w:r>
        <w:t>（b）环保验收</w:t>
      </w:r>
    </w:p>
    <w:p>
      <w:pPr>
        <w:pStyle w:val="214"/>
        <w:numPr>
          <w:ilvl w:val="0"/>
          <w:numId w:val="0"/>
        </w:numPr>
        <w:spacing w:after="72"/>
        <w:ind w:left="1843"/>
      </w:pPr>
      <w:r>
        <w:t>（i）乙方应在持续试运行九十（90）日</w:t>
      </w:r>
      <w:r>
        <w:rPr>
          <w:rFonts w:hint="eastAsia"/>
        </w:rPr>
        <w:t>内</w:t>
      </w:r>
      <w:r>
        <w:t>的适当时间，向环保部门提出环境保护验收申请。建设工程必须通过环保部门的验收，并接到环保部门发出的正式通过验收的通知。如试运行九十（90）日仍不具备环保验收条件的，乙方可向有审批权的环境保护行政主管部门提出延期验收申请，但试运行的最长期限不得超过</w:t>
      </w:r>
      <w:r>
        <w:rPr>
          <w:rFonts w:hint="eastAsia"/>
        </w:rPr>
        <w:t>六</w:t>
      </w:r>
      <w:r>
        <w:t>（</w:t>
      </w:r>
      <w:r>
        <w:rPr>
          <w:rFonts w:hint="eastAsia"/>
        </w:rPr>
        <w:t>6</w:t>
      </w:r>
      <w:r>
        <w:t>）</w:t>
      </w:r>
      <w:r>
        <w:rPr>
          <w:rFonts w:hint="eastAsia"/>
        </w:rPr>
        <w:t>个月</w:t>
      </w:r>
      <w:r>
        <w:t>。乙方须自行承担由此造成的一切费用和损失，运营期不予延长。</w:t>
      </w:r>
    </w:p>
    <w:p>
      <w:pPr>
        <w:pStyle w:val="214"/>
        <w:numPr>
          <w:ilvl w:val="0"/>
          <w:numId w:val="0"/>
        </w:numPr>
        <w:spacing w:after="72"/>
        <w:ind w:left="1843"/>
      </w:pPr>
      <w:r>
        <w:t>（ii）由于</w:t>
      </w:r>
      <w:r>
        <w:rPr>
          <w:rFonts w:hint="eastAsia"/>
        </w:rPr>
        <w:t>乙方</w:t>
      </w:r>
      <w:r>
        <w:t>原因试运行期超过</w:t>
      </w:r>
      <w:r>
        <w:rPr>
          <w:rFonts w:hint="eastAsia"/>
        </w:rPr>
        <w:t>六</w:t>
      </w:r>
      <w:r>
        <w:t>（</w:t>
      </w:r>
      <w:r>
        <w:rPr>
          <w:rFonts w:hint="eastAsia"/>
        </w:rPr>
        <w:t>6</w:t>
      </w:r>
      <w:r>
        <w:t>）</w:t>
      </w:r>
      <w:r>
        <w:rPr>
          <w:rFonts w:hint="eastAsia"/>
        </w:rPr>
        <w:t>个月</w:t>
      </w:r>
      <w:r>
        <w:t>仍然未通过环保验收或试运行期内不能满足</w:t>
      </w:r>
      <w:r>
        <w:rPr>
          <w:rFonts w:hint="eastAsia"/>
        </w:rPr>
        <w:t>三十（</w:t>
      </w:r>
      <w:r>
        <w:t>30</w:t>
      </w:r>
      <w:r>
        <w:rPr>
          <w:rFonts w:hint="eastAsia"/>
        </w:rPr>
        <w:t>）</w:t>
      </w:r>
      <w:r>
        <w:t>日连续稳定达到协议</w:t>
      </w:r>
      <w:r>
        <w:rPr>
          <w:rFonts w:hint="eastAsia"/>
        </w:rPr>
        <w:t>约</w:t>
      </w:r>
      <w:r>
        <w:t>定的条件的，甲方有权终止协议，并兑取全部履约保函。</w:t>
      </w:r>
    </w:p>
    <w:p>
      <w:pPr>
        <w:pStyle w:val="214"/>
        <w:spacing w:after="72"/>
      </w:pPr>
      <w:bookmarkStart w:id="277" w:name="_Ref534836949"/>
      <w:r>
        <w:rPr>
          <w:rFonts w:hint="eastAsia"/>
        </w:rPr>
        <w:t>正式运行</w:t>
      </w:r>
      <w:bookmarkEnd w:id="277"/>
    </w:p>
    <w:p>
      <w:pPr>
        <w:pStyle w:val="214"/>
        <w:numPr>
          <w:ilvl w:val="0"/>
          <w:numId w:val="0"/>
        </w:numPr>
        <w:spacing w:after="72"/>
        <w:ind w:left="1418"/>
      </w:pPr>
      <w:r>
        <w:t>（a）</w:t>
      </w:r>
      <w:r>
        <w:rPr>
          <w:rFonts w:hint="eastAsia"/>
        </w:rPr>
        <w:t>项目</w:t>
      </w:r>
      <w:r>
        <w:t>正式运行的条件</w:t>
      </w:r>
    </w:p>
    <w:p>
      <w:pPr>
        <w:pStyle w:val="214"/>
        <w:numPr>
          <w:ilvl w:val="0"/>
          <w:numId w:val="0"/>
        </w:numPr>
        <w:spacing w:after="72"/>
        <w:ind w:left="1843"/>
      </w:pPr>
      <w:r>
        <w:t>（i）</w:t>
      </w:r>
      <w:r>
        <w:rPr>
          <w:rFonts w:hint="eastAsia"/>
        </w:rPr>
        <w:t>项目</w:t>
      </w:r>
      <w:r>
        <w:t>通过第</w:t>
      </w:r>
      <w:r>
        <w:fldChar w:fldCharType="begin"/>
      </w:r>
      <w:r>
        <w:instrText xml:space="preserve"> REF _Ref533425709 \r \h  \* MERGEFORMAT </w:instrText>
      </w:r>
      <w:r>
        <w:fldChar w:fldCharType="separate"/>
      </w:r>
      <w:r>
        <w:t>9.14.1</w:t>
      </w:r>
      <w:r>
        <w:fldChar w:fldCharType="end"/>
      </w:r>
      <w:r>
        <w:t>（d）条</w:t>
      </w:r>
      <w:r>
        <w:rPr>
          <w:rFonts w:hint="eastAsia"/>
        </w:rPr>
        <w:t>款</w:t>
      </w:r>
      <w:r>
        <w:t>、第</w:t>
      </w:r>
      <w:r>
        <w:fldChar w:fldCharType="begin"/>
      </w:r>
      <w:r>
        <w:instrText xml:space="preserve"> REF _Ref493006941 \r \h  \* MERGEFORMAT </w:instrText>
      </w:r>
      <w:r>
        <w:fldChar w:fldCharType="separate"/>
      </w:r>
      <w:r>
        <w:t>9.14.2</w:t>
      </w:r>
      <w:r>
        <w:fldChar w:fldCharType="end"/>
      </w:r>
      <w:r>
        <w:t>（b）条</w:t>
      </w:r>
      <w:r>
        <w:rPr>
          <w:rFonts w:hint="eastAsia"/>
        </w:rPr>
        <w:t>款</w:t>
      </w:r>
      <w:r>
        <w:t>约定的</w:t>
      </w:r>
      <w:r>
        <w:rPr>
          <w:rFonts w:hint="eastAsia"/>
        </w:rPr>
        <w:t>竣工</w:t>
      </w:r>
      <w:r>
        <w:t>验收和环保验收</w:t>
      </w:r>
      <w:r>
        <w:rPr>
          <w:rFonts w:hint="eastAsia"/>
        </w:rPr>
        <w:t>，</w:t>
      </w:r>
      <w:r>
        <w:t>或</w:t>
      </w:r>
    </w:p>
    <w:p>
      <w:pPr>
        <w:pStyle w:val="214"/>
        <w:numPr>
          <w:ilvl w:val="0"/>
          <w:numId w:val="0"/>
        </w:numPr>
        <w:spacing w:after="72"/>
        <w:ind w:left="1843"/>
      </w:pPr>
      <w:r>
        <w:t>（ii）</w:t>
      </w:r>
      <w:r>
        <w:rPr>
          <w:rFonts w:hint="eastAsia"/>
        </w:rPr>
        <w:t>因进水量不足导致项目无法通过环保验收，但项目</w:t>
      </w:r>
      <w:r>
        <w:t>试运行超过三（3）个月，</w:t>
      </w:r>
      <w:r>
        <w:rPr>
          <w:rFonts w:hint="eastAsia"/>
        </w:rPr>
        <w:t>能够</w:t>
      </w:r>
      <w:r>
        <w:t>稳定运行</w:t>
      </w:r>
      <w:r>
        <w:rPr>
          <w:rFonts w:hint="eastAsia"/>
        </w:rPr>
        <w:t>且出水水质满足本合同第</w:t>
      </w:r>
      <w:r>
        <w:fldChar w:fldCharType="begin"/>
      </w:r>
      <w:r>
        <w:instrText xml:space="preserve">REF _Ref492999660 \r \h  \* MERGEFORMAT </w:instrText>
      </w:r>
      <w:r>
        <w:fldChar w:fldCharType="separate"/>
      </w:r>
      <w:r>
        <w:t>11.2</w:t>
      </w:r>
      <w:r>
        <w:fldChar w:fldCharType="end"/>
      </w:r>
      <w:r>
        <w:rPr>
          <w:rFonts w:hint="eastAsia"/>
        </w:rPr>
        <w:t>条款约定标准</w:t>
      </w:r>
      <w:r>
        <w:t>连续</w:t>
      </w:r>
      <w:r>
        <w:rPr>
          <w:rFonts w:hint="eastAsia"/>
        </w:rPr>
        <w:t>三十</w:t>
      </w:r>
      <w:r>
        <w:t>（</w:t>
      </w:r>
      <w:r>
        <w:rPr>
          <w:rFonts w:hint="eastAsia"/>
        </w:rPr>
        <w:t>3</w:t>
      </w:r>
      <w:r>
        <w:t>0）日或以上。</w:t>
      </w:r>
    </w:p>
    <w:p>
      <w:pPr>
        <w:pStyle w:val="214"/>
        <w:numPr>
          <w:ilvl w:val="0"/>
          <w:numId w:val="0"/>
        </w:numPr>
        <w:spacing w:after="72"/>
        <w:ind w:left="1418"/>
      </w:pPr>
      <w:r>
        <w:t>（b）</w:t>
      </w:r>
      <w:r>
        <w:rPr>
          <w:rFonts w:hint="eastAsia"/>
        </w:rPr>
        <w:t>项目</w:t>
      </w:r>
      <w:r>
        <w:t>正式运行的程序</w:t>
      </w:r>
    </w:p>
    <w:p>
      <w:pPr>
        <w:pStyle w:val="214"/>
        <w:numPr>
          <w:ilvl w:val="0"/>
          <w:numId w:val="0"/>
        </w:numPr>
        <w:spacing w:after="72"/>
        <w:ind w:left="1843"/>
      </w:pPr>
      <w:r>
        <w:t>（i）在满足第</w:t>
      </w:r>
      <w:r>
        <w:fldChar w:fldCharType="begin"/>
      </w:r>
      <w:r>
        <w:instrText xml:space="preserve"> REF _Ref534836949 \r \h </w:instrText>
      </w:r>
      <w:r>
        <w:fldChar w:fldCharType="separate"/>
      </w:r>
      <w:r>
        <w:t>9.14.3</w:t>
      </w:r>
      <w:r>
        <w:fldChar w:fldCharType="end"/>
      </w:r>
      <w:r>
        <w:t>（a）条</w:t>
      </w:r>
      <w:r>
        <w:rPr>
          <w:rFonts w:hint="eastAsia"/>
        </w:rPr>
        <w:t>款约定</w:t>
      </w:r>
      <w:r>
        <w:t>的条件下，乙方应立即书面通知甲方，申请开始正式运行。</w:t>
      </w:r>
    </w:p>
    <w:p>
      <w:pPr>
        <w:pStyle w:val="214"/>
        <w:numPr>
          <w:ilvl w:val="0"/>
          <w:numId w:val="0"/>
        </w:numPr>
        <w:spacing w:after="72"/>
        <w:ind w:left="1843"/>
      </w:pPr>
      <w:r>
        <w:t>（ii）甲方自收到前款所述之书面申请之日后七（7）个工作日内书面通知乙方是否同意乙方开始正式运行（“最终完工通知”），如果不同意须同时书面陈述理由。乙方在收到甲方不同意开始正式运行的书面通知后，应按照甲方的意见，尽快纠正其存在的问题，并按照前述</w:t>
      </w:r>
      <w:r>
        <w:rPr>
          <w:rFonts w:hint="eastAsia"/>
        </w:rPr>
        <w:t>约</w:t>
      </w:r>
      <w:r>
        <w:t>定重新申请正式运行。</w:t>
      </w:r>
    </w:p>
    <w:p>
      <w:pPr>
        <w:pStyle w:val="214"/>
        <w:numPr>
          <w:ilvl w:val="0"/>
          <w:numId w:val="0"/>
        </w:numPr>
        <w:spacing w:after="72"/>
        <w:ind w:left="1843"/>
      </w:pPr>
      <w:r>
        <w:t>（iii）在开始正式运行</w:t>
      </w:r>
      <w:r>
        <w:rPr>
          <w:rFonts w:hint="eastAsia"/>
        </w:rPr>
        <w:t>后</w:t>
      </w:r>
      <w:r>
        <w:t>，甲方应按照第</w:t>
      </w:r>
      <w:r>
        <w:fldChar w:fldCharType="begin"/>
      </w:r>
      <w:r>
        <w:instrText xml:space="preserve"> REF _Ref493007038 \r \h  \* MERGEFORMAT </w:instrText>
      </w:r>
      <w:r>
        <w:fldChar w:fldCharType="separate"/>
      </w:r>
      <w:r>
        <w:t>12.4</w:t>
      </w:r>
      <w:r>
        <w:fldChar w:fldCharType="end"/>
      </w:r>
      <w:r>
        <w:t>条</w:t>
      </w:r>
      <w:r>
        <w:rPr>
          <w:rFonts w:hint="eastAsia"/>
        </w:rPr>
        <w:t>款</w:t>
      </w:r>
      <w:r>
        <w:t>的</w:t>
      </w:r>
      <w:r>
        <w:rPr>
          <w:rFonts w:hint="eastAsia"/>
        </w:rPr>
        <w:t>约定</w:t>
      </w:r>
      <w:r>
        <w:t>向乙方支付污水处理服务费。</w:t>
      </w:r>
    </w:p>
    <w:p>
      <w:pPr>
        <w:pStyle w:val="214"/>
        <w:spacing w:after="72"/>
      </w:pPr>
      <w:r>
        <w:t>交付图纸和技术细节</w:t>
      </w:r>
      <w:bookmarkEnd w:id="272"/>
      <w:bookmarkEnd w:id="273"/>
      <w:bookmarkEnd w:id="274"/>
      <w:bookmarkEnd w:id="275"/>
    </w:p>
    <w:p>
      <w:pPr>
        <w:pStyle w:val="214"/>
        <w:numPr>
          <w:ilvl w:val="0"/>
          <w:numId w:val="0"/>
        </w:numPr>
        <w:spacing w:after="72"/>
        <w:ind w:left="1418"/>
      </w:pPr>
      <w:r>
        <w:t>（a）乙方应按照适用法律编制竣工资料，并在申请竣工验收日前向甲方及其他相关政府部门提交，应包括：</w:t>
      </w:r>
    </w:p>
    <w:p>
      <w:pPr>
        <w:pStyle w:val="214"/>
        <w:numPr>
          <w:ilvl w:val="0"/>
          <w:numId w:val="0"/>
        </w:numPr>
        <w:spacing w:after="72"/>
        <w:ind w:left="1843"/>
      </w:pPr>
      <w:r>
        <w:t>（i）相关项目设施的施工文件和竣工文件，包括作为该等文件一部分或该等文件附件的所有图纸、表格、计算式、技术参数、规程和程序，并应同时提交书面文本和电子文件；</w:t>
      </w:r>
    </w:p>
    <w:p>
      <w:pPr>
        <w:pStyle w:val="214"/>
        <w:numPr>
          <w:ilvl w:val="0"/>
          <w:numId w:val="0"/>
        </w:numPr>
        <w:spacing w:after="72"/>
        <w:ind w:left="1843"/>
      </w:pPr>
      <w:r>
        <w:t>（ii）所有相关项目设施的技术资料和图纸，包括厂区工艺平面图、局部剖面图、结构图、说明书、质量保证书、安装记录、测试记录、质量监督和验收记录等，且乙方有保存保管并应甲方要求随时提供该等文件资料原件的义务；和</w:t>
      </w:r>
    </w:p>
    <w:p>
      <w:pPr>
        <w:pStyle w:val="214"/>
        <w:numPr>
          <w:ilvl w:val="0"/>
          <w:numId w:val="0"/>
        </w:numPr>
        <w:spacing w:after="72"/>
        <w:ind w:left="1843"/>
      </w:pPr>
      <w:r>
        <w:t>（iii）甲方合理要求的与相关建设工程有关的其它技术文件或资料，包括书面文本和电子文件（如有）。</w:t>
      </w:r>
    </w:p>
    <w:p>
      <w:pPr>
        <w:pStyle w:val="214"/>
        <w:numPr>
          <w:ilvl w:val="0"/>
          <w:numId w:val="0"/>
        </w:numPr>
        <w:spacing w:after="72"/>
        <w:ind w:left="1418"/>
      </w:pPr>
      <w:r>
        <w:t>（b）在竣工验收结束后，乙方应将相关补充资料提交给甲方及其他相关政府部门。</w:t>
      </w:r>
    </w:p>
    <w:p>
      <w:pPr>
        <w:pStyle w:val="214"/>
        <w:spacing w:after="72"/>
      </w:pPr>
      <w:r>
        <w:t>甲方对提前完工的权利</w:t>
      </w:r>
    </w:p>
    <w:p>
      <w:pPr>
        <w:pStyle w:val="214"/>
        <w:numPr>
          <w:ilvl w:val="0"/>
          <w:numId w:val="0"/>
        </w:numPr>
        <w:spacing w:after="72"/>
        <w:ind w:left="1418"/>
      </w:pPr>
      <w:r>
        <w:t>未经甲方事先书面同意（甲方可单独作出决定拒绝给予该等同意），项目设施的开始试运行不应在建设工程</w:t>
      </w:r>
      <w:r>
        <w:rPr>
          <w:rFonts w:hint="eastAsia"/>
        </w:rPr>
        <w:t>预计竣工验收</w:t>
      </w:r>
      <w:r>
        <w:t>日之前发生。</w:t>
      </w:r>
    </w:p>
    <w:p>
      <w:pPr>
        <w:pStyle w:val="214"/>
        <w:spacing w:after="72"/>
      </w:pPr>
      <w:r>
        <w:t>不予免责</w:t>
      </w:r>
    </w:p>
    <w:p>
      <w:pPr>
        <w:pStyle w:val="214"/>
        <w:numPr>
          <w:ilvl w:val="0"/>
          <w:numId w:val="0"/>
        </w:numPr>
        <w:spacing w:after="72"/>
        <w:ind w:left="1418"/>
      </w:pPr>
      <w:r>
        <w:t>甲方检查和接收建设工程的全部或任何部分及同意乙方开始正式运行的行为均不得免除乙方由于建设工程的缺陷或预定进度的延误而应承担的任何义务或责任，也不影响其他政府部门依适用法律监督、检查及管理建设工程的权利。</w:t>
      </w:r>
    </w:p>
    <w:p>
      <w:pPr>
        <w:pStyle w:val="213"/>
        <w:spacing w:after="120"/>
        <w:rPr>
          <w:rFonts w:ascii="Times New Roman" w:hAnsi="Times New Roman"/>
        </w:rPr>
      </w:pPr>
      <w:bookmarkStart w:id="278" w:name="_Ref527476266"/>
      <w:r>
        <w:rPr>
          <w:rFonts w:ascii="Times New Roman" w:hAnsi="Times New Roman"/>
        </w:rPr>
        <w:t>工期延误的违约金及其支付</w:t>
      </w:r>
      <w:bookmarkEnd w:id="278"/>
    </w:p>
    <w:p>
      <w:pPr>
        <w:pStyle w:val="214"/>
        <w:spacing w:after="72"/>
      </w:pPr>
      <w:r>
        <w:t>由于</w:t>
      </w:r>
      <w:r>
        <w:rPr>
          <w:rFonts w:hint="eastAsia"/>
        </w:rPr>
        <w:t>乙方</w:t>
      </w:r>
      <w:r>
        <w:t>的原因导致污水厂</w:t>
      </w:r>
      <w:r>
        <w:rPr>
          <w:rFonts w:hint="eastAsia"/>
        </w:rPr>
        <w:t>正式运营日</w:t>
      </w:r>
      <w:r>
        <w:t>延误，</w:t>
      </w:r>
      <w:r>
        <w:rPr>
          <w:rFonts w:hint="eastAsia"/>
        </w:rPr>
        <w:t>乙方</w:t>
      </w:r>
      <w:r>
        <w:t>应支付工期延误的违约金，其中第一个延误</w:t>
      </w:r>
      <w:r>
        <w:rPr>
          <w:rFonts w:hint="eastAsia"/>
        </w:rPr>
        <w:t>三十（</w:t>
      </w:r>
      <w:r>
        <w:t>30</w:t>
      </w:r>
      <w:r>
        <w:rPr>
          <w:rFonts w:hint="eastAsia"/>
        </w:rPr>
        <w:t>）</w:t>
      </w:r>
      <w:r>
        <w:t>日内，每日支付人民币</w:t>
      </w:r>
      <w:r>
        <w:rPr>
          <w:rFonts w:hint="eastAsia"/>
        </w:rPr>
        <w:t>伍仟（</w:t>
      </w:r>
      <w:r>
        <w:t>RMB</w:t>
      </w:r>
      <w:r>
        <w:rPr>
          <w:rFonts w:hint="eastAsia"/>
        </w:rPr>
        <w:t xml:space="preserve"> 5,000）</w:t>
      </w:r>
      <w:r>
        <w:t>元；第二个延误</w:t>
      </w:r>
      <w:r>
        <w:rPr>
          <w:rFonts w:hint="eastAsia"/>
        </w:rPr>
        <w:t>三十（</w:t>
      </w:r>
      <w:r>
        <w:t>30</w:t>
      </w:r>
      <w:r>
        <w:rPr>
          <w:rFonts w:hint="eastAsia"/>
        </w:rPr>
        <w:t>）</w:t>
      </w:r>
      <w:r>
        <w:t>日内，每日支付人民币</w:t>
      </w:r>
      <w:r>
        <w:rPr>
          <w:rFonts w:hint="eastAsia" w:ascii="宋体" w:hAnsi="宋体" w:cs="宋体"/>
        </w:rPr>
        <w:t>捌</w:t>
      </w:r>
      <w:r>
        <w:rPr>
          <w:rFonts w:hint="eastAsia"/>
        </w:rPr>
        <w:t>仟（</w:t>
      </w:r>
      <w:r>
        <w:t>RMB</w:t>
      </w:r>
      <w:r>
        <w:rPr>
          <w:rFonts w:hint="eastAsia"/>
        </w:rPr>
        <w:t xml:space="preserve"> 8,000）</w:t>
      </w:r>
      <w:r>
        <w:t>元；此后延误每日支付人民币</w:t>
      </w:r>
      <w:r>
        <w:rPr>
          <w:rFonts w:hint="eastAsia"/>
        </w:rPr>
        <w:t>壹</w:t>
      </w:r>
      <w:r>
        <w:t>万</w:t>
      </w:r>
      <w:r>
        <w:rPr>
          <w:rFonts w:hint="eastAsia"/>
        </w:rPr>
        <w:t>（</w:t>
      </w:r>
      <w:r>
        <w:t>RMB</w:t>
      </w:r>
      <w:r>
        <w:rPr>
          <w:rFonts w:hint="eastAsia"/>
        </w:rPr>
        <w:t xml:space="preserve"> 10,000）</w:t>
      </w:r>
      <w:r>
        <w:t>元。</w:t>
      </w:r>
    </w:p>
    <w:p>
      <w:pPr>
        <w:pStyle w:val="214"/>
        <w:spacing w:after="72"/>
      </w:pPr>
      <w:r>
        <w:t>上述违约金应在延误总日数的基础上累积，直至</w:t>
      </w:r>
      <w:r>
        <w:rPr>
          <w:rFonts w:hint="eastAsia"/>
        </w:rPr>
        <w:t>项目正式运营</w:t>
      </w:r>
      <w:r>
        <w:t>。工期延误的违约金累计不超过工程投资额的5%。</w:t>
      </w:r>
    </w:p>
    <w:p>
      <w:pPr>
        <w:pStyle w:val="214"/>
        <w:spacing w:after="72"/>
      </w:pPr>
      <w:r>
        <w:t>违约金的支付</w:t>
      </w:r>
    </w:p>
    <w:p>
      <w:pPr>
        <w:pStyle w:val="214"/>
        <w:spacing w:after="72"/>
      </w:pPr>
      <w:r>
        <w:t>乙方应根据第</w:t>
      </w:r>
      <w:r>
        <w:fldChar w:fldCharType="begin"/>
      </w:r>
      <w:r>
        <w:instrText xml:space="preserve"> REF _Ref527476266 \r \h  \* MERGEFORMAT </w:instrText>
      </w:r>
      <w:r>
        <w:fldChar w:fldCharType="separate"/>
      </w:r>
      <w:r>
        <w:t>9.15</w:t>
      </w:r>
      <w:r>
        <w:fldChar w:fldCharType="end"/>
      </w:r>
      <w:r>
        <w:t>条款向甲方支付违约金，经甲方通知后，乙方应在甲方通知发出</w:t>
      </w:r>
      <w:r>
        <w:rPr>
          <w:rFonts w:hint="eastAsia"/>
        </w:rPr>
        <w:t>十（</w:t>
      </w:r>
      <w:r>
        <w:t>10</w:t>
      </w:r>
      <w:r>
        <w:rPr>
          <w:rFonts w:hint="eastAsia"/>
        </w:rPr>
        <w:t>）</w:t>
      </w:r>
      <w:r>
        <w:t>日内向甲方支付相应金额的违约金。若在甲方发出通知</w:t>
      </w:r>
      <w:r>
        <w:rPr>
          <w:rFonts w:hint="eastAsia"/>
        </w:rPr>
        <w:t>十（</w:t>
      </w:r>
      <w:r>
        <w:t>10</w:t>
      </w:r>
      <w:r>
        <w:rPr>
          <w:rFonts w:hint="eastAsia"/>
        </w:rPr>
        <w:t>）</w:t>
      </w:r>
      <w:r>
        <w:t>日内仍未支付，则甲方有权从履约保函中兑取。</w:t>
      </w:r>
    </w:p>
    <w:p>
      <w:pPr>
        <w:pStyle w:val="213"/>
        <w:spacing w:after="120"/>
        <w:rPr>
          <w:rFonts w:ascii="Times New Roman" w:hAnsi="Times New Roman"/>
        </w:rPr>
      </w:pPr>
      <w:r>
        <w:rPr>
          <w:rFonts w:ascii="Times New Roman" w:hAnsi="Times New Roman"/>
        </w:rPr>
        <w:t>投资审定</w:t>
      </w:r>
    </w:p>
    <w:p>
      <w:pPr>
        <w:pStyle w:val="214"/>
        <w:spacing w:after="72"/>
      </w:pPr>
      <w:r>
        <w:t>本项目竣工验收合格以后，乙方应根据本项目竣工验收资料向市审计部门报送项目总投资决算资料。乙方应同时提交一份供甲方备案。</w:t>
      </w:r>
    </w:p>
    <w:p>
      <w:pPr>
        <w:pStyle w:val="214"/>
        <w:spacing w:after="72"/>
      </w:pPr>
      <w:r>
        <w:t>市</w:t>
      </w:r>
      <w:r>
        <w:rPr>
          <w:rFonts w:hint="eastAsia"/>
        </w:rPr>
        <w:t>审计局</w:t>
      </w:r>
      <w:r>
        <w:t>应当按照河南省、许昌市、禹州市及本合同有关</w:t>
      </w:r>
      <w:r>
        <w:rPr>
          <w:rFonts w:hint="eastAsia"/>
        </w:rPr>
        <w:t>约</w:t>
      </w:r>
      <w:r>
        <w:t>定在</w:t>
      </w:r>
      <w:r>
        <w:rPr>
          <w:rFonts w:hint="eastAsia"/>
        </w:rPr>
        <w:t>竣工验收合格后</w:t>
      </w:r>
      <w:r>
        <w:t>三（3）个月内完成</w:t>
      </w:r>
      <w:r>
        <w:rPr>
          <w:rFonts w:hint="eastAsia"/>
        </w:rPr>
        <w:t>项目竣工决算</w:t>
      </w:r>
      <w:r>
        <w:t>审计，出具审计报告。市审计部门因特殊情况不能在规定的时间内完成竣工决算审计的，经过法定程序可以适当延长审计时间，但延长的时间最长不得超过三（3）个月。</w:t>
      </w:r>
    </w:p>
    <w:p>
      <w:pPr>
        <w:pStyle w:val="214"/>
        <w:spacing w:after="72"/>
      </w:pPr>
      <w:r>
        <w:t>乙方应积极配合市</w:t>
      </w:r>
      <w:r>
        <w:rPr>
          <w:rFonts w:hint="eastAsia"/>
        </w:rPr>
        <w:t>审计局</w:t>
      </w:r>
      <w:r>
        <w:t>进行的审计工作，并提供相应的文件和资料。</w:t>
      </w:r>
    </w:p>
    <w:p>
      <w:pPr>
        <w:pStyle w:val="214"/>
        <w:spacing w:after="72"/>
      </w:pPr>
      <w:r>
        <w:t>项目实际投资额以竣工决算结果为准，</w:t>
      </w:r>
      <w:r>
        <w:rPr>
          <w:rFonts w:hint="eastAsia"/>
        </w:rPr>
        <w:t>本项目竣工决算审计范围包括工程费用、工程建设其他费及建设期利息等。</w:t>
      </w:r>
      <w:r>
        <w:t>若由于政府方原因导致建设成本增加，则该部分费用计入项目总投资；若由于乙方原因导致建设成本增加，则该部分费用由乙方自行承担，不计入项目总投资。</w:t>
      </w:r>
    </w:p>
    <w:p>
      <w:pPr>
        <w:pStyle w:val="214"/>
        <w:spacing w:after="72"/>
      </w:pPr>
      <w:r>
        <w:t>若项目实际工程投资额</w:t>
      </w:r>
      <w:r>
        <w:rPr>
          <w:rFonts w:hint="eastAsia"/>
        </w:rPr>
        <w:t>（不包含建设期利息和土地费用）</w:t>
      </w:r>
      <w:r>
        <w:t>相对于本项目招标文件中的工程投资额变动范围不超过10%，污水处理服务费单价不作调整；若实际工程投资额</w:t>
      </w:r>
      <w:r>
        <w:rPr>
          <w:rFonts w:hint="eastAsia"/>
        </w:rPr>
        <w:t>（不包含建设期利息和土地费用）</w:t>
      </w:r>
      <w:r>
        <w:t>相对于中标人投标文件中的测算金额变动范围超过10%，则根据本合同第</w:t>
      </w:r>
      <w:r>
        <w:fldChar w:fldCharType="begin"/>
      </w:r>
      <w:r>
        <w:instrText xml:space="preserve"> REF _Ref528055111 \r \h  \* MERGEFORMAT </w:instrText>
      </w:r>
      <w:r>
        <w:fldChar w:fldCharType="separate"/>
      </w:r>
      <w:r>
        <w:t>12.2.1</w:t>
      </w:r>
      <w:r>
        <w:fldChar w:fldCharType="end"/>
      </w:r>
      <w:r>
        <w:t>条</w:t>
      </w:r>
      <w:r>
        <w:rPr>
          <w:rFonts w:hint="eastAsia"/>
        </w:rPr>
        <w:t>款</w:t>
      </w:r>
      <w:r>
        <w:t>的约定对污水处理服务费单价进行调整。</w:t>
      </w:r>
    </w:p>
    <w:p>
      <w:pPr>
        <w:pStyle w:val="214"/>
        <w:spacing w:after="72"/>
      </w:pPr>
      <w:r>
        <w:t>因本项目竣</w:t>
      </w:r>
      <w:r>
        <w:rPr>
          <w:rFonts w:hint="eastAsia"/>
        </w:rPr>
        <w:t>工验收决算出具的</w:t>
      </w:r>
      <w:r>
        <w:t>时间可能晚于支付第一次（或者第二次）</w:t>
      </w:r>
      <w:r>
        <w:rPr>
          <w:rFonts w:hint="eastAsia"/>
        </w:rPr>
        <w:t>污水处理服务费</w:t>
      </w:r>
      <w:r>
        <w:t>的时间，如支付时间在完成竣工决算之前，则</w:t>
      </w:r>
      <w:r>
        <w:rPr>
          <w:rFonts w:hint="eastAsia"/>
        </w:rPr>
        <w:t>当期污水处理服务费结算单价按照中标价进行结算；待竣工决算报告出具之后，对之前已支付的污水处理服务费按照“多退少补”的原则进行核算，并在下一期的污水处理服务费中进行相应的扣除或增加。</w:t>
      </w:r>
    </w:p>
    <w:p>
      <w:pPr>
        <w:pStyle w:val="213"/>
        <w:spacing w:after="120"/>
        <w:rPr>
          <w:b/>
        </w:rPr>
      </w:pPr>
      <w:bookmarkStart w:id="279" w:name="_Toc514664083"/>
      <w:bookmarkStart w:id="280" w:name="_Ref460977941"/>
      <w:bookmarkStart w:id="281" w:name="_Ref484428497"/>
      <w:r>
        <w:rPr>
          <w:b/>
        </w:rPr>
        <w:t>建设的放弃</w:t>
      </w:r>
      <w:bookmarkEnd w:id="279"/>
      <w:bookmarkEnd w:id="280"/>
      <w:r>
        <w:rPr>
          <w:rFonts w:hint="eastAsia"/>
          <w:b/>
        </w:rPr>
        <w:t>★</w:t>
      </w:r>
    </w:p>
    <w:p>
      <w:pPr>
        <w:pStyle w:val="214"/>
        <w:spacing w:after="72"/>
      </w:pPr>
      <w:bookmarkStart w:id="282" w:name="_Ref460230784"/>
      <w:bookmarkStart w:id="283" w:name="_Ref420490792"/>
      <w:r>
        <w:t>如果除不可抗力或</w:t>
      </w:r>
      <w:r>
        <w:rPr>
          <w:rFonts w:hint="eastAsia"/>
        </w:rPr>
        <w:t>甲方原因</w:t>
      </w:r>
      <w:r>
        <w:t>以外的任何原因，乙方出现下列情况，则建设期提前终止，项目应视为已被放弃：</w:t>
      </w:r>
      <w:bookmarkEnd w:id="282"/>
    </w:p>
    <w:bookmarkEnd w:id="283"/>
    <w:p>
      <w:pPr>
        <w:pStyle w:val="214"/>
        <w:numPr>
          <w:ilvl w:val="0"/>
          <w:numId w:val="19"/>
        </w:numPr>
        <w:spacing w:after="72"/>
      </w:pPr>
      <w:r>
        <w:t>乙方在开工日前以书面形式表示放弃本项目建设；</w:t>
      </w:r>
    </w:p>
    <w:p>
      <w:pPr>
        <w:pStyle w:val="214"/>
        <w:numPr>
          <w:ilvl w:val="0"/>
          <w:numId w:val="19"/>
        </w:numPr>
        <w:spacing w:after="72"/>
      </w:pPr>
      <w:r>
        <w:t>由于乙方原因未能在开工日期之后三十（30）日内开始项目的建设；</w:t>
      </w:r>
    </w:p>
    <w:p>
      <w:pPr>
        <w:pStyle w:val="214"/>
        <w:numPr>
          <w:ilvl w:val="0"/>
          <w:numId w:val="19"/>
        </w:numPr>
        <w:spacing w:after="72"/>
      </w:pPr>
      <w:r>
        <w:t>在本项目施工过程中，乙方书面通知甲方其将停止本项目的建设，且不打算恢复施工；</w:t>
      </w:r>
    </w:p>
    <w:p>
      <w:pPr>
        <w:pStyle w:val="214"/>
        <w:numPr>
          <w:ilvl w:val="0"/>
          <w:numId w:val="19"/>
        </w:numPr>
        <w:spacing w:after="72"/>
      </w:pPr>
      <w:r>
        <w:t>由于乙方原因未能在任何不可抗力事件结束后三十（30）日内恢复项目工程施工；</w:t>
      </w:r>
    </w:p>
    <w:p>
      <w:pPr>
        <w:pStyle w:val="214"/>
        <w:numPr>
          <w:ilvl w:val="0"/>
          <w:numId w:val="19"/>
        </w:numPr>
        <w:spacing w:after="72"/>
      </w:pPr>
      <w:r>
        <w:t>乙方出于任何其他原因在本项目全部完工前事实上停止施工，无论是否书面通知甲方，无论是否直接或通过分包商从施工现场撤走工作人员。</w:t>
      </w:r>
    </w:p>
    <w:p>
      <w:pPr>
        <w:pStyle w:val="214"/>
        <w:spacing w:after="72"/>
      </w:pPr>
      <w:r>
        <w:t>发生第</w:t>
      </w:r>
      <w:r>
        <w:fldChar w:fldCharType="begin"/>
      </w:r>
      <w:r>
        <w:instrText xml:space="preserve"> REF _Ref460230784 \r \h  \* MERGEFORMAT </w:instrText>
      </w:r>
      <w:r>
        <w:fldChar w:fldCharType="separate"/>
      </w:r>
      <w:r>
        <w:t>9.17.1</w:t>
      </w:r>
      <w:r>
        <w:fldChar w:fldCharType="end"/>
      </w:r>
      <w:r>
        <w:t>条款约定情形时，如在甲方书面通知的期限内，乙方仍未消除该等情形，则自甲方书面通知的期限届满之日，本合同自动解除。届时，甲方有权从乙方提交的履约保函中提取全部款项并无偿拥有已建成的在建工程，且甲方无需向乙方做出任何补偿。</w:t>
      </w:r>
    </w:p>
    <w:p>
      <w:pPr>
        <w:pStyle w:val="214"/>
        <w:spacing w:after="72"/>
      </w:pPr>
      <w:r>
        <w:rPr>
          <w:rFonts w:hint="eastAsia"/>
        </w:rPr>
        <w:t>如因甲方</w:t>
      </w:r>
      <w:r>
        <w:t>(</w:t>
      </w:r>
      <w:r>
        <w:rPr>
          <w:rFonts w:hint="eastAsia"/>
        </w:rPr>
        <w:t>或乙方</w:t>
      </w:r>
      <w:r>
        <w:t>)</w:t>
      </w:r>
      <w:r>
        <w:rPr>
          <w:rFonts w:hint="eastAsia"/>
        </w:rPr>
        <w:t>原因导致延误总日数超过九十（</w:t>
      </w:r>
      <w:r>
        <w:t>90</w:t>
      </w:r>
      <w:r>
        <w:rPr>
          <w:rFonts w:hint="eastAsia"/>
        </w:rPr>
        <w:t>）日，则乙方</w:t>
      </w:r>
      <w:r>
        <w:t>(</w:t>
      </w:r>
      <w:r>
        <w:rPr>
          <w:rFonts w:hint="eastAsia"/>
        </w:rPr>
        <w:t>或甲方</w:t>
      </w:r>
      <w:r>
        <w:t>)</w:t>
      </w:r>
      <w:r>
        <w:rPr>
          <w:rFonts w:hint="eastAsia"/>
        </w:rPr>
        <w:t>有权提前终止本合同。</w:t>
      </w:r>
    </w:p>
    <w:bookmarkEnd w:id="281"/>
    <w:p>
      <w:pPr>
        <w:pStyle w:val="213"/>
        <w:spacing w:after="120"/>
        <w:rPr>
          <w:rFonts w:ascii="Times New Roman" w:hAnsi="Times New Roman"/>
        </w:rPr>
      </w:pPr>
      <w:r>
        <w:rPr>
          <w:rFonts w:ascii="Times New Roman" w:hAnsi="Times New Roman"/>
        </w:rPr>
        <w:t>建设期绩效考核</w:t>
      </w:r>
    </w:p>
    <w:p>
      <w:pPr>
        <w:pStyle w:val="214"/>
        <w:spacing w:after="72"/>
      </w:pPr>
      <w:r>
        <w:t>建设期内，甲方通过日常检查与竣工验收检查相结合的方式，按照附件六的</w:t>
      </w:r>
      <w:r>
        <w:rPr>
          <w:rFonts w:hint="eastAsia"/>
        </w:rPr>
        <w:t>约</w:t>
      </w:r>
      <w:r>
        <w:t>定对乙方进行建设期绩效考核。</w:t>
      </w:r>
    </w:p>
    <w:p>
      <w:pPr>
        <w:pStyle w:val="214"/>
        <w:spacing w:after="72"/>
      </w:pPr>
      <w:r>
        <w:t>绩效考核不达标的，乙方须根据绩效考核结果及本合同的</w:t>
      </w:r>
      <w:r>
        <w:rPr>
          <w:rFonts w:hint="eastAsia"/>
        </w:rPr>
        <w:t>约</w:t>
      </w:r>
      <w:r>
        <w:t>定及时整改，并自行承担由此导致的工期延误、成本增加等风险，同时还须按照本合同的</w:t>
      </w:r>
      <w:r>
        <w:rPr>
          <w:rFonts w:hint="eastAsia"/>
        </w:rPr>
        <w:t>约</w:t>
      </w:r>
      <w:r>
        <w:t>定缴纳相应的违约金。</w:t>
      </w:r>
    </w:p>
    <w:p>
      <w:pPr>
        <w:pStyle w:val="212"/>
        <w:spacing w:before="360" w:after="120" w:line="360" w:lineRule="auto"/>
        <w:rPr>
          <w:rFonts w:eastAsia="宋体"/>
          <w:b/>
        </w:rPr>
      </w:pPr>
      <w:bookmarkStart w:id="284" w:name="_Toc483549313"/>
      <w:bookmarkEnd w:id="284"/>
      <w:bookmarkStart w:id="285" w:name="_Toc448848905"/>
      <w:bookmarkEnd w:id="285"/>
      <w:bookmarkStart w:id="286" w:name="_Toc448848563"/>
      <w:bookmarkEnd w:id="286"/>
      <w:bookmarkStart w:id="287" w:name="_Toc448848564"/>
      <w:bookmarkEnd w:id="287"/>
      <w:bookmarkStart w:id="288" w:name="_Toc448848575"/>
      <w:bookmarkEnd w:id="288"/>
      <w:bookmarkStart w:id="289" w:name="_Toc448848915"/>
      <w:bookmarkEnd w:id="289"/>
      <w:bookmarkStart w:id="290" w:name="_Toc483516399"/>
      <w:bookmarkEnd w:id="290"/>
      <w:bookmarkStart w:id="291" w:name="_Toc448849225"/>
      <w:bookmarkEnd w:id="291"/>
      <w:bookmarkStart w:id="292" w:name="_Toc483992324"/>
      <w:bookmarkEnd w:id="292"/>
      <w:bookmarkStart w:id="293" w:name="_Toc483992285"/>
      <w:bookmarkEnd w:id="293"/>
      <w:bookmarkStart w:id="294" w:name="_Toc448849213"/>
      <w:bookmarkEnd w:id="294"/>
      <w:bookmarkStart w:id="295" w:name="_Toc448848908"/>
      <w:bookmarkEnd w:id="295"/>
      <w:bookmarkStart w:id="296" w:name="_Toc448849214"/>
      <w:bookmarkEnd w:id="296"/>
      <w:bookmarkStart w:id="297" w:name="_Toc448848909"/>
      <w:bookmarkEnd w:id="297"/>
      <w:bookmarkStart w:id="298" w:name="_Toc448849215"/>
      <w:bookmarkEnd w:id="298"/>
      <w:bookmarkStart w:id="299" w:name="_Toc448848907"/>
      <w:bookmarkEnd w:id="299"/>
      <w:bookmarkStart w:id="300" w:name="_Toc448848565"/>
      <w:bookmarkEnd w:id="300"/>
      <w:bookmarkStart w:id="301" w:name="_Toc448849216"/>
      <w:bookmarkEnd w:id="301"/>
      <w:bookmarkStart w:id="302" w:name="_Toc448848567"/>
      <w:bookmarkEnd w:id="302"/>
      <w:bookmarkStart w:id="303" w:name="_Toc448849217"/>
      <w:bookmarkEnd w:id="303"/>
      <w:bookmarkStart w:id="304" w:name="_Toc448848911"/>
      <w:bookmarkEnd w:id="304"/>
      <w:bookmarkStart w:id="305" w:name="_Toc448848906"/>
      <w:bookmarkEnd w:id="305"/>
      <w:bookmarkStart w:id="306" w:name="_Toc448848916"/>
      <w:bookmarkEnd w:id="306"/>
      <w:bookmarkStart w:id="307" w:name="_Toc448848914"/>
      <w:bookmarkEnd w:id="307"/>
      <w:bookmarkStart w:id="308" w:name="_Toc448848912"/>
      <w:bookmarkEnd w:id="308"/>
      <w:bookmarkStart w:id="309" w:name="_Toc448849219"/>
      <w:bookmarkEnd w:id="309"/>
      <w:bookmarkStart w:id="310" w:name="_Toc448848574"/>
      <w:bookmarkEnd w:id="310"/>
      <w:bookmarkStart w:id="311" w:name="_Toc448849221"/>
      <w:bookmarkEnd w:id="311"/>
      <w:bookmarkStart w:id="312" w:name="_Toc448849223"/>
      <w:bookmarkEnd w:id="312"/>
      <w:bookmarkStart w:id="313" w:name="_Toc448849224"/>
      <w:bookmarkEnd w:id="313"/>
      <w:bookmarkStart w:id="314" w:name="_Toc448849220"/>
      <w:bookmarkEnd w:id="314"/>
      <w:bookmarkStart w:id="315" w:name="_Toc448848573"/>
      <w:bookmarkEnd w:id="315"/>
      <w:bookmarkStart w:id="316" w:name="_Toc448848572"/>
      <w:bookmarkEnd w:id="316"/>
      <w:bookmarkStart w:id="317" w:name="_Toc448848570"/>
      <w:bookmarkEnd w:id="317"/>
      <w:bookmarkStart w:id="318" w:name="_Toc448848913"/>
      <w:bookmarkEnd w:id="318"/>
      <w:bookmarkStart w:id="319" w:name="_Toc448848910"/>
      <w:bookmarkEnd w:id="319"/>
      <w:bookmarkStart w:id="320" w:name="_Toc448848566"/>
      <w:bookmarkEnd w:id="320"/>
      <w:bookmarkStart w:id="321" w:name="_Toc448849222"/>
      <w:bookmarkEnd w:id="321"/>
      <w:bookmarkStart w:id="322" w:name="_Toc448848568"/>
      <w:bookmarkEnd w:id="322"/>
      <w:bookmarkStart w:id="323" w:name="_Toc448848571"/>
      <w:bookmarkEnd w:id="323"/>
      <w:bookmarkStart w:id="324" w:name="_Toc448848917"/>
      <w:bookmarkEnd w:id="324"/>
      <w:bookmarkStart w:id="325" w:name="_Toc448848569"/>
      <w:bookmarkEnd w:id="325"/>
      <w:bookmarkStart w:id="326" w:name="_Toc448849218"/>
      <w:bookmarkEnd w:id="326"/>
      <w:bookmarkStart w:id="327" w:name="_Toc417325860"/>
      <w:bookmarkStart w:id="328" w:name="_Toc417373145"/>
      <w:bookmarkStart w:id="329" w:name="_Toc448060827"/>
      <w:bookmarkStart w:id="330" w:name="_Toc534891113"/>
      <w:r>
        <w:rPr>
          <w:rFonts w:eastAsia="宋体"/>
          <w:b/>
        </w:rPr>
        <w:t>项目的</w:t>
      </w:r>
      <w:bookmarkEnd w:id="327"/>
      <w:bookmarkEnd w:id="328"/>
      <w:bookmarkEnd w:id="329"/>
      <w:r>
        <w:rPr>
          <w:rFonts w:eastAsia="宋体"/>
          <w:b/>
        </w:rPr>
        <w:t>运营维护</w:t>
      </w:r>
      <w:bookmarkEnd w:id="330"/>
    </w:p>
    <w:p>
      <w:pPr>
        <w:pStyle w:val="213"/>
        <w:spacing w:after="120"/>
        <w:rPr>
          <w:rFonts w:ascii="Times New Roman" w:hAnsi="Times New Roman"/>
        </w:rPr>
      </w:pPr>
      <w:bookmarkStart w:id="331" w:name="_Ref483988394"/>
      <w:bookmarkStart w:id="332" w:name="_Toc417373146"/>
      <w:bookmarkStart w:id="333" w:name="_Toc320479535"/>
      <w:bookmarkStart w:id="334" w:name="_Toc417325861"/>
      <w:r>
        <w:rPr>
          <w:rFonts w:ascii="Times New Roman" w:hAnsi="Times New Roman"/>
        </w:rPr>
        <w:t>运营维护</w:t>
      </w:r>
      <w:bookmarkEnd w:id="331"/>
    </w:p>
    <w:p>
      <w:pPr>
        <w:pStyle w:val="214"/>
        <w:spacing w:after="72"/>
      </w:pPr>
      <w:r>
        <w:t>从运营开始日起，乙方应每日二十四（24）小时，每年三百六十五（365）日（闰年三百六十六（366）日）连续接收并处理污水，将从接收点接入的进水经处理达出水质量标准后，排放至交付点。</w:t>
      </w:r>
    </w:p>
    <w:p>
      <w:pPr>
        <w:pStyle w:val="214"/>
        <w:spacing w:after="72"/>
      </w:pPr>
      <w:r>
        <w:t>污水厂剩余污泥应进行脱水处理，脱水后污泥含水率应小于等于</w:t>
      </w:r>
      <w:r>
        <w:rPr>
          <w:rFonts w:hint="eastAsia"/>
        </w:rPr>
        <w:t>6</w:t>
      </w:r>
      <w:r>
        <w:t>0%</w:t>
      </w:r>
      <w:r>
        <w:rPr>
          <w:rFonts w:hint="eastAsia"/>
        </w:rPr>
        <w:t>，同时乙方须在厂区内建设符合环保要求的污泥堆放场所。脱水后的污泥与栅渣和沉砂等固体废物一并送至甲方指定处置地点，处置地点距污水厂距离不大于</w:t>
      </w:r>
      <w:r>
        <w:t>25</w:t>
      </w:r>
      <w:r>
        <w:rPr>
          <w:rFonts w:hint="eastAsia"/>
        </w:rPr>
        <w:t>公里。运营期内，若污泥运送地点发生变化导致运输距离大于</w:t>
      </w:r>
      <w:r>
        <w:t>25</w:t>
      </w:r>
      <w:r>
        <w:rPr>
          <w:rFonts w:hint="eastAsia"/>
        </w:rPr>
        <w:t>公里，甲方须承担由此增加的污泥运输成本，乙方可根据第</w:t>
      </w:r>
      <w:r>
        <w:fldChar w:fldCharType="begin"/>
      </w:r>
      <w:r>
        <w:instrText xml:space="preserve"> REF _Ref448873355 \r \h  \* MERGEFORMAT </w:instrText>
      </w:r>
      <w:r>
        <w:fldChar w:fldCharType="separate"/>
      </w:r>
      <w:r>
        <w:t>19.1</w:t>
      </w:r>
      <w:r>
        <w:fldChar w:fldCharType="end"/>
      </w:r>
      <w:r>
        <w:rPr>
          <w:rFonts w:hint="eastAsia"/>
        </w:rPr>
        <w:t>条款向甲方申请一般补偿。</w:t>
      </w:r>
    </w:p>
    <w:p>
      <w:pPr>
        <w:pStyle w:val="214"/>
        <w:spacing w:after="72"/>
      </w:pPr>
      <w:r>
        <w:t>乙方应确保在整个运营期内，始终根据下列规定运营并维护项目设施：</w:t>
      </w:r>
    </w:p>
    <w:p>
      <w:pPr>
        <w:pStyle w:val="214"/>
        <w:numPr>
          <w:ilvl w:val="0"/>
          <w:numId w:val="0"/>
        </w:numPr>
        <w:spacing w:after="72"/>
        <w:ind w:left="1418"/>
      </w:pPr>
      <w:r>
        <w:t>（a）</w:t>
      </w:r>
      <w:r>
        <w:tab/>
      </w:r>
      <w:r>
        <w:t>适用法律；</w:t>
      </w:r>
    </w:p>
    <w:p>
      <w:pPr>
        <w:pStyle w:val="214"/>
        <w:numPr>
          <w:ilvl w:val="0"/>
          <w:numId w:val="0"/>
        </w:numPr>
        <w:spacing w:after="72"/>
        <w:ind w:left="1418"/>
      </w:pPr>
      <w:r>
        <w:t>（b）</w:t>
      </w:r>
      <w:r>
        <w:tab/>
      </w:r>
      <w:r>
        <w:t>运营维护手册以及与项目设施有关的设备的制造商提供的一切有关手册、指导和建议；</w:t>
      </w:r>
    </w:p>
    <w:p>
      <w:pPr>
        <w:pStyle w:val="214"/>
        <w:numPr>
          <w:ilvl w:val="0"/>
          <w:numId w:val="0"/>
        </w:numPr>
        <w:spacing w:after="72"/>
        <w:ind w:left="1418"/>
      </w:pPr>
      <w:r>
        <w:t>（c）</w:t>
      </w:r>
      <w:r>
        <w:tab/>
      </w:r>
      <w:r>
        <w:t>本协议的</w:t>
      </w:r>
      <w:r>
        <w:rPr>
          <w:rFonts w:hint="eastAsia"/>
        </w:rPr>
        <w:t>约</w:t>
      </w:r>
      <w:r>
        <w:t>定；</w:t>
      </w:r>
    </w:p>
    <w:p>
      <w:pPr>
        <w:pStyle w:val="214"/>
        <w:numPr>
          <w:ilvl w:val="0"/>
          <w:numId w:val="0"/>
        </w:numPr>
        <w:spacing w:after="72"/>
        <w:ind w:left="1418"/>
      </w:pPr>
      <w:r>
        <w:t>（d）</w:t>
      </w:r>
      <w:r>
        <w:tab/>
      </w:r>
      <w:r>
        <w:t>谨慎运营惯例，除非另有规定。</w:t>
      </w:r>
    </w:p>
    <w:p>
      <w:pPr>
        <w:pStyle w:val="214"/>
        <w:spacing w:after="72"/>
      </w:pPr>
      <w:r>
        <w:t>自运营开始日后第二（2）个月起，乙方应于每月五（5）日前向甲方提交按附件二格式填写的污水处理厂上一月份的运营记录。</w:t>
      </w:r>
    </w:p>
    <w:p>
      <w:pPr>
        <w:pStyle w:val="214"/>
        <w:spacing w:after="72"/>
      </w:pPr>
      <w:r>
        <w:t>乙方应向甲方提交全面反映其经营情况各个方面的下列财务报表和其他报表：</w:t>
      </w:r>
    </w:p>
    <w:p>
      <w:pPr>
        <w:pStyle w:val="214"/>
        <w:numPr>
          <w:ilvl w:val="0"/>
          <w:numId w:val="0"/>
        </w:numPr>
        <w:spacing w:after="72"/>
        <w:ind w:left="1418"/>
      </w:pPr>
      <w:r>
        <w:t>（a）</w:t>
      </w:r>
      <w:r>
        <w:tab/>
      </w:r>
      <w:r>
        <w:t>按适用法律和普遍认可的中国会计制度、准则和惯例编制的经审计的年度财务报表，包括资产负债表、损益表和现金流量表；</w:t>
      </w:r>
    </w:p>
    <w:p>
      <w:pPr>
        <w:pStyle w:val="214"/>
        <w:numPr>
          <w:ilvl w:val="0"/>
          <w:numId w:val="0"/>
        </w:numPr>
        <w:spacing w:after="72"/>
        <w:ind w:left="1418"/>
      </w:pPr>
      <w:r>
        <w:t>（b）</w:t>
      </w:r>
      <w:r>
        <w:tab/>
      </w:r>
      <w:r>
        <w:t>乙方每月成本表和人工、能源及化学品消耗量；以及</w:t>
      </w:r>
    </w:p>
    <w:p>
      <w:pPr>
        <w:pStyle w:val="214"/>
        <w:numPr>
          <w:ilvl w:val="0"/>
          <w:numId w:val="0"/>
        </w:numPr>
        <w:spacing w:after="72"/>
        <w:ind w:left="1418"/>
      </w:pPr>
      <w:r>
        <w:t>（c）</w:t>
      </w:r>
      <w:r>
        <w:tab/>
      </w:r>
      <w:r>
        <w:t>甲方要求的有关乙方财务状况的其它资料。</w:t>
      </w:r>
    </w:p>
    <w:p>
      <w:pPr>
        <w:pStyle w:val="214"/>
        <w:spacing w:after="72"/>
      </w:pPr>
      <w:r>
        <w:t>乙方根据有关公共卫生和安全的适用法律以及本协议的</w:t>
      </w:r>
      <w:r>
        <w:rPr>
          <w:rFonts w:hint="eastAsia"/>
        </w:rPr>
        <w:t>约</w:t>
      </w:r>
      <w:r>
        <w:t>定，确保项目设施的安全管理、运营及维护。</w:t>
      </w:r>
    </w:p>
    <w:p>
      <w:pPr>
        <w:pStyle w:val="213"/>
        <w:spacing w:after="120"/>
        <w:rPr>
          <w:rFonts w:ascii="Times New Roman" w:hAnsi="Times New Roman"/>
          <w:b/>
        </w:rPr>
      </w:pPr>
      <w:r>
        <w:rPr>
          <w:rFonts w:hint="eastAsia" w:ascii="Times New Roman" w:hAnsi="Times New Roman"/>
          <w:b/>
        </w:rPr>
        <w:t>大中修及设备更新</w:t>
      </w:r>
      <w:r>
        <w:rPr>
          <w:rFonts w:hint="eastAsia"/>
          <w:b/>
        </w:rPr>
        <w:t>★</w:t>
      </w:r>
    </w:p>
    <w:p>
      <w:pPr>
        <w:pStyle w:val="214"/>
        <w:spacing w:after="72"/>
      </w:pPr>
      <w:r>
        <w:rPr>
          <w:rFonts w:hint="eastAsia"/>
        </w:rPr>
        <w:t>乙方应根据项目运行情况于</w:t>
      </w:r>
      <w:r>
        <w:t>每年</w:t>
      </w:r>
      <w:r>
        <w:rPr>
          <w:rFonts w:hint="eastAsia"/>
        </w:rPr>
        <w:t>10</w:t>
      </w:r>
      <w:r>
        <w:t>月31日之前提交下一运营年的</w:t>
      </w:r>
      <w:r>
        <w:rPr>
          <w:rFonts w:hint="eastAsia"/>
        </w:rPr>
        <w:t>大中修及设备更新计划。</w:t>
      </w:r>
    </w:p>
    <w:p>
      <w:pPr>
        <w:pStyle w:val="214"/>
        <w:spacing w:after="72"/>
      </w:pPr>
      <w:r>
        <w:rPr>
          <w:rFonts w:hint="eastAsia"/>
        </w:rPr>
        <w:t>运营期内必须的大中修及设备更新工作及费用由乙方承担，财政不再支付除污水处理服务费以外的其他费用。</w:t>
      </w:r>
    </w:p>
    <w:p>
      <w:pPr>
        <w:pStyle w:val="213"/>
        <w:spacing w:after="120"/>
        <w:rPr>
          <w:rFonts w:ascii="Times New Roman" w:hAnsi="Times New Roman"/>
        </w:rPr>
      </w:pPr>
      <w:r>
        <w:rPr>
          <w:rFonts w:ascii="Times New Roman" w:hAnsi="Times New Roman"/>
        </w:rPr>
        <w:t>甲方主要义务</w:t>
      </w:r>
    </w:p>
    <w:p>
      <w:pPr>
        <w:pStyle w:val="214"/>
        <w:numPr>
          <w:ilvl w:val="0"/>
          <w:numId w:val="0"/>
        </w:numPr>
        <w:spacing w:after="72"/>
        <w:ind w:left="567"/>
      </w:pPr>
      <w:r>
        <w:t>甲方应确保整个运营期内为乙方在接收点提供进水</w:t>
      </w:r>
      <w:r>
        <w:rPr>
          <w:rFonts w:hint="eastAsia"/>
        </w:rPr>
        <w:t>，</w:t>
      </w:r>
      <w:r>
        <w:t>并在交付点接收污水处理厂处理后的出水；</w:t>
      </w:r>
      <w:r>
        <w:rPr>
          <w:rFonts w:hint="eastAsia"/>
        </w:rPr>
        <w:t>并</w:t>
      </w:r>
      <w:r>
        <w:t>按本合同约定及时向乙方支付</w:t>
      </w:r>
      <w:r>
        <w:rPr>
          <w:rFonts w:hint="eastAsia"/>
        </w:rPr>
        <w:t>财政补贴</w:t>
      </w:r>
      <w:r>
        <w:t>；</w:t>
      </w:r>
    </w:p>
    <w:p>
      <w:pPr>
        <w:pStyle w:val="213"/>
        <w:spacing w:after="120"/>
        <w:rPr>
          <w:rFonts w:ascii="Times New Roman" w:hAnsi="Times New Roman"/>
        </w:rPr>
      </w:pPr>
      <w:r>
        <w:rPr>
          <w:rFonts w:ascii="Times New Roman" w:hAnsi="Times New Roman"/>
        </w:rPr>
        <w:t>甲方进入项目设施/监督员</w:t>
      </w:r>
    </w:p>
    <w:p>
      <w:pPr>
        <w:pStyle w:val="214"/>
        <w:spacing w:after="72"/>
      </w:pPr>
      <w:r>
        <w:t>甲方有权派出监督员或指定代表在任何时候进入项目设施，以监察项目设施的运营和维护，条件是监督员或甲方代表的进入不得干涉、延误或干扰乙方履行其在本协议项下的权利和义务。</w:t>
      </w:r>
    </w:p>
    <w:p>
      <w:pPr>
        <w:pStyle w:val="214"/>
        <w:spacing w:after="72"/>
      </w:pPr>
      <w:r>
        <w:t>甲方的监督员或指定代表发现问题时有提问和要求回答的权利，并有权检查乙方生产记录、设备检修和检测记录。</w:t>
      </w:r>
    </w:p>
    <w:bookmarkEnd w:id="332"/>
    <w:bookmarkEnd w:id="333"/>
    <w:bookmarkEnd w:id="334"/>
    <w:p>
      <w:pPr>
        <w:pStyle w:val="213"/>
        <w:spacing w:after="120"/>
        <w:rPr>
          <w:rFonts w:ascii="Times New Roman" w:hAnsi="Times New Roman"/>
        </w:rPr>
      </w:pPr>
      <w:bookmarkStart w:id="335" w:name="_Toc417373147"/>
      <w:bookmarkStart w:id="336" w:name="_Toc417325862"/>
      <w:bookmarkStart w:id="337" w:name="_Toc320479536"/>
      <w:r>
        <w:rPr>
          <w:rFonts w:ascii="Times New Roman" w:hAnsi="Times New Roman"/>
        </w:rPr>
        <w:t>运营维护手册</w:t>
      </w:r>
      <w:bookmarkEnd w:id="335"/>
      <w:bookmarkEnd w:id="336"/>
      <w:bookmarkEnd w:id="337"/>
    </w:p>
    <w:p>
      <w:pPr>
        <w:pStyle w:val="214"/>
        <w:spacing w:after="72"/>
      </w:pPr>
      <w:r>
        <w:t>运营维护手册的编制</w:t>
      </w:r>
    </w:p>
    <w:p>
      <w:pPr>
        <w:pStyle w:val="219"/>
        <w:spacing w:after="72"/>
      </w:pPr>
      <w:r>
        <w:t>在本项目运营开始日之前，乙方应根据适用法律和谨慎运营惯例并且按不低于初步设计的内容和要求预测主要设备进行更新或重置的时点、设置更新或重置的标准，并编制污水处理厂工程的运营维护手册；运营维护手册经甲方同意后遵照执行。</w:t>
      </w:r>
    </w:p>
    <w:p>
      <w:pPr>
        <w:pStyle w:val="219"/>
        <w:spacing w:after="72"/>
      </w:pPr>
      <w:r>
        <w:t>运营维护手册应根据项目设施运营维护的实际情况随时进行修改、补充、完善，并经甲方同意后遵照执行。乙方应当就修改的内容书面通知甲方，甲方应在十（10）个工作日内审查确认完毕。如果甲方对运营维护手册的修改内容在</w:t>
      </w:r>
      <w:r>
        <w:rPr>
          <w:rFonts w:hint="eastAsia"/>
        </w:rPr>
        <w:t>约</w:t>
      </w:r>
      <w:r>
        <w:t>定的时间内没有提出意见，则视为认可。</w:t>
      </w:r>
    </w:p>
    <w:p>
      <w:pPr>
        <w:pStyle w:val="219"/>
        <w:spacing w:after="72"/>
      </w:pPr>
      <w:r>
        <w:t>甲方就运营维护手册的修改是否提出异议均不减轻或影响乙方在本合同项下或按照适用法律的规定应承担的责任或义务，亦不减轻或影响甲方依据本合同或适用法律对乙方所享有的权利。</w:t>
      </w:r>
    </w:p>
    <w:p>
      <w:pPr>
        <w:pStyle w:val="214"/>
        <w:spacing w:after="72"/>
      </w:pPr>
      <w:r>
        <w:t>运营维护手册的内容：</w:t>
      </w:r>
    </w:p>
    <w:p>
      <w:pPr>
        <w:pStyle w:val="219"/>
        <w:spacing w:after="72"/>
      </w:pPr>
      <w:r>
        <w:t>运营维护手册应包括污水处理厂进行定期和年度检查、日常运行维护、大修维护的程序和计划，以及调整和改进检验及维护安排的程序和计划，并制定应对突发事件的应急管理预案。</w:t>
      </w:r>
    </w:p>
    <w:p>
      <w:pPr>
        <w:pStyle w:val="219"/>
        <w:spacing w:after="72"/>
      </w:pPr>
      <w:r>
        <w:t>运营维护手册应列明污水处理厂正常运营所需的消耗性备品备件和事故抢修的备品备件。</w:t>
      </w:r>
    </w:p>
    <w:p>
      <w:pPr>
        <w:pStyle w:val="219"/>
        <w:spacing w:after="72"/>
      </w:pPr>
      <w:r>
        <w:t>污水处理厂的运营与维护应符合适用法律和中国国家行业规范、标准（包括《城市污水处理厂运行、维护及其安全技术规程CJJ60-94》）的要求，保障污水处理厂正常运行的生产管理制度、安全生产制度、水质检验制度。</w:t>
      </w:r>
    </w:p>
    <w:p>
      <w:pPr>
        <w:pStyle w:val="214"/>
        <w:spacing w:after="72"/>
      </w:pPr>
      <w:r>
        <w:t>乙方基于运营维护手册的运营维护义务包括但不限于以下内容：</w:t>
      </w:r>
    </w:p>
    <w:p>
      <w:pPr>
        <w:pStyle w:val="219"/>
        <w:spacing w:after="72"/>
      </w:pPr>
      <w:r>
        <w:t>保持整洁。</w:t>
      </w:r>
    </w:p>
    <w:p>
      <w:pPr>
        <w:pStyle w:val="219"/>
        <w:spacing w:after="72"/>
      </w:pPr>
      <w:r>
        <w:t>建立健全维护管理制度，健全安全监控和巡查等安全保障。</w:t>
      </w:r>
    </w:p>
    <w:p>
      <w:pPr>
        <w:pStyle w:val="219"/>
        <w:spacing w:after="72"/>
      </w:pPr>
      <w:r>
        <w:t>负责公用设施设备维护和维修，建立工程维修档案，保证设施设备正常运转。</w:t>
      </w:r>
    </w:p>
    <w:p>
      <w:pPr>
        <w:pStyle w:val="219"/>
        <w:spacing w:after="72"/>
      </w:pPr>
      <w:r>
        <w:t>组织制定应急预案，项目设施内发生险情时，应当采取紧急措施并及时通知相关部门进行抢修。</w:t>
      </w:r>
    </w:p>
    <w:p>
      <w:pPr>
        <w:pStyle w:val="219"/>
        <w:spacing w:after="72"/>
      </w:pPr>
      <w:r>
        <w:t>按照设计文件要求及市政公用工程技术标准组织实施项目的绿化工作。</w:t>
      </w:r>
    </w:p>
    <w:p>
      <w:pPr>
        <w:pStyle w:val="219"/>
        <w:spacing w:after="72"/>
      </w:pPr>
      <w:r>
        <w:t>为保障项目设施安全运行应履行的其他义务。</w:t>
      </w:r>
    </w:p>
    <w:p>
      <w:pPr>
        <w:pStyle w:val="213"/>
        <w:spacing w:after="120"/>
        <w:rPr>
          <w:rFonts w:ascii="Times New Roman" w:hAnsi="Times New Roman"/>
        </w:rPr>
      </w:pPr>
      <w:r>
        <w:rPr>
          <w:rFonts w:ascii="Times New Roman" w:hAnsi="Times New Roman"/>
        </w:rPr>
        <w:t>公共安全</w:t>
      </w:r>
    </w:p>
    <w:p>
      <w:pPr>
        <w:pStyle w:val="214"/>
        <w:spacing w:after="72"/>
      </w:pPr>
      <w:r>
        <w:t>乙方应根据有关公共安全的适用法律以及本合同的</w:t>
      </w:r>
      <w:r>
        <w:rPr>
          <w:rFonts w:hint="eastAsia"/>
        </w:rPr>
        <w:t>约</w:t>
      </w:r>
      <w:r>
        <w:t>定，建立和完善安全生产制度，建立安全生产保证体系，保障项目设施稳定运行，防止责任事故发生。</w:t>
      </w:r>
    </w:p>
    <w:p>
      <w:pPr>
        <w:pStyle w:val="214"/>
        <w:spacing w:after="72"/>
      </w:pPr>
      <w:r>
        <w:t>乙方应按照适用法律和政府部门的要求，对</w:t>
      </w:r>
      <w:r>
        <w:rPr>
          <w:rFonts w:hint="eastAsia"/>
        </w:rPr>
        <w:t>项目</w:t>
      </w:r>
      <w:r>
        <w:t>进行实时监控，确保其处于良好的使用状态，将监控图像和数据等资料上传至指定的地点，并承担系统联网及维护等相关的费用。</w:t>
      </w:r>
    </w:p>
    <w:p>
      <w:pPr>
        <w:pStyle w:val="213"/>
        <w:spacing w:after="120"/>
        <w:rPr>
          <w:rFonts w:ascii="Times New Roman" w:hAnsi="Times New Roman"/>
        </w:rPr>
      </w:pPr>
      <w:r>
        <w:rPr>
          <w:rFonts w:ascii="Times New Roman" w:hAnsi="Times New Roman"/>
        </w:rPr>
        <w:t>应急预案</w:t>
      </w:r>
    </w:p>
    <w:p>
      <w:pPr>
        <w:pStyle w:val="214"/>
        <w:spacing w:after="72"/>
      </w:pPr>
      <w:r>
        <w:t>乙方应完善项目设施的资料图档和设施信息化管理系统，制定并遵守紧急情况下（包括重大事故、突发社会公共事件、不可抗力事件等）的应急预案，设立应急抢修队伍。当发生紧急事件时，乙方应严格执行应急预案，乙方应采取各种应急措施进行补救，尽量减轻事故对公众的影响，协调相关单位进行抢修抢险，尽快恢复运行。</w:t>
      </w:r>
    </w:p>
    <w:p>
      <w:pPr>
        <w:pStyle w:val="214"/>
        <w:spacing w:after="72"/>
      </w:pPr>
      <w:r>
        <w:t>在紧急情况下，甲方应协调相关政府部门给予必要的配合。</w:t>
      </w:r>
    </w:p>
    <w:p>
      <w:pPr>
        <w:pStyle w:val="214"/>
        <w:spacing w:after="72"/>
      </w:pPr>
      <w:r>
        <w:t>出现相关政府部门及其他适用法律规定的重大事故时，乙方必须及时、如实地向甲方和有关政府部门报告，属于乙方责任的，乙方应当进行整改。</w:t>
      </w:r>
    </w:p>
    <w:p>
      <w:pPr>
        <w:pStyle w:val="214"/>
        <w:spacing w:after="72"/>
      </w:pPr>
      <w:r>
        <w:t>甲方应协调相关政府部门加强对乙方应对自然灾害等突发事件的指导，监督乙方完善和落实各类应急预案。在发生危及或可能危及公共利益、公共安全等紧急情况且已超出乙方控制能力时，甲方可采取应急管制措施。</w:t>
      </w:r>
    </w:p>
    <w:p>
      <w:pPr>
        <w:pStyle w:val="213"/>
        <w:spacing w:after="120"/>
        <w:rPr>
          <w:rFonts w:ascii="Times New Roman" w:hAnsi="Times New Roman"/>
        </w:rPr>
      </w:pPr>
      <w:r>
        <w:rPr>
          <w:rFonts w:ascii="Times New Roman" w:hAnsi="Times New Roman"/>
        </w:rPr>
        <w:t>未履行运营维护义务</w:t>
      </w:r>
    </w:p>
    <w:p>
      <w:pPr>
        <w:pStyle w:val="214"/>
        <w:spacing w:after="72"/>
      </w:pPr>
      <w:r>
        <w:tab/>
      </w:r>
      <w:r>
        <w:t>如乙方未能按照适用法律和本合同履行运营维护义务，造成运营维护质量下降或发生安全事故，甲方有权向乙方发出整改通知，责令乙方在限定期限内采取必要措施有效纠正未履行运营维护义务的行为。</w:t>
      </w:r>
    </w:p>
    <w:p>
      <w:pPr>
        <w:pStyle w:val="214"/>
        <w:spacing w:after="72"/>
      </w:pPr>
      <w:r>
        <w:t>如果乙方未在甲方依上款规定发出的整改通知确定的期限内采取必要的措施纠正违约行为或未能在合理的时间内有效纠正违约行为，则甲方有权自行或委托第三方采取必要的纠正措施，乙方应对此予以配合，并承担因此而发生的全部费用。</w:t>
      </w:r>
    </w:p>
    <w:p>
      <w:pPr>
        <w:pStyle w:val="214"/>
        <w:spacing w:after="72"/>
      </w:pPr>
      <w:bookmarkStart w:id="338" w:name="_Ref448754010"/>
      <w:r>
        <w:t>就为采取上述纠正措施而发生的费用，甲方应向乙方开具账单和所发生费用的详细清单，如果乙方在收到该账单后七（7）个工作日内未能全额支付账单所列金额，则甲方有权从运营维护保函中兑取相应款项以支付账单。</w:t>
      </w:r>
      <w:bookmarkEnd w:id="338"/>
      <w:r>
        <w:t>运营维护保函金额不足的，甲方有权从应付乙方的</w:t>
      </w:r>
      <w:r>
        <w:rPr>
          <w:rFonts w:hint="eastAsia"/>
        </w:rPr>
        <w:t>污水处理服务费</w:t>
      </w:r>
      <w:r>
        <w:t>中扣除相应金额。</w:t>
      </w:r>
    </w:p>
    <w:p>
      <w:pPr>
        <w:pStyle w:val="213"/>
        <w:spacing w:after="120"/>
        <w:rPr>
          <w:rFonts w:ascii="Times New Roman" w:hAnsi="Times New Roman"/>
        </w:rPr>
      </w:pPr>
      <w:r>
        <w:rPr>
          <w:rFonts w:ascii="Times New Roman" w:hAnsi="Times New Roman"/>
        </w:rPr>
        <w:t>服务暂停</w:t>
      </w:r>
    </w:p>
    <w:p>
      <w:pPr>
        <w:pStyle w:val="214"/>
        <w:spacing w:after="72"/>
      </w:pPr>
      <w:r>
        <w:t>暂停服务</w:t>
      </w:r>
    </w:p>
    <w:p>
      <w:pPr>
        <w:pStyle w:val="219"/>
        <w:spacing w:after="72"/>
      </w:pPr>
      <w:r>
        <w:t>计划内暂停服务</w:t>
      </w:r>
    </w:p>
    <w:p>
      <w:pPr>
        <w:pStyle w:val="214"/>
        <w:numPr>
          <w:ilvl w:val="0"/>
          <w:numId w:val="0"/>
        </w:numPr>
        <w:spacing w:after="72"/>
        <w:ind w:left="1418"/>
      </w:pPr>
      <w:r>
        <w:t>乙方应于每年12月31日之前提交下一运营年的维护计划，将其重大维护和更新的计划通知甲方和禹州市环保局（下称“市环保局”）。如果有计划内暂停服务，乙方应至少提前一个月将暂停服务的预定日期通知甲方和市环保局。</w:t>
      </w:r>
      <w:r>
        <w:rPr>
          <w:rFonts w:hint="eastAsia"/>
        </w:rPr>
        <w:t>经市环保局及甲方批准后，乙方方可实施</w:t>
      </w:r>
      <w:r>
        <w:t>。</w:t>
      </w:r>
    </w:p>
    <w:p>
      <w:pPr>
        <w:pStyle w:val="214"/>
        <w:numPr>
          <w:ilvl w:val="0"/>
          <w:numId w:val="0"/>
        </w:numPr>
        <w:spacing w:after="72"/>
        <w:ind w:left="1418"/>
      </w:pPr>
      <w:r>
        <w:t>除非本协议另有</w:t>
      </w:r>
      <w:r>
        <w:rPr>
          <w:rFonts w:hint="eastAsia"/>
        </w:rPr>
        <w:t>约</w:t>
      </w:r>
      <w:r>
        <w:t>定，项目设施在计划内暂停服务期间实际处理水量不低于当日实际进水量和设计处理规模的70%水量中的较小值，并且污水厂每一运营年计划内暂停服务累计不得超过</w:t>
      </w:r>
      <w:r>
        <w:rPr>
          <w:rFonts w:hint="eastAsia"/>
        </w:rPr>
        <w:t>十五</w:t>
      </w:r>
      <w:r>
        <w:t>（</w:t>
      </w:r>
      <w:r>
        <w:rPr>
          <w:rFonts w:hint="eastAsia"/>
        </w:rPr>
        <w:t>15</w:t>
      </w:r>
      <w:r>
        <w:t>）日。</w:t>
      </w:r>
    </w:p>
    <w:p>
      <w:pPr>
        <w:pStyle w:val="219"/>
        <w:spacing w:after="72"/>
      </w:pPr>
      <w:r>
        <w:t>计划外暂停服务</w:t>
      </w:r>
    </w:p>
    <w:p>
      <w:pPr>
        <w:pStyle w:val="214"/>
        <w:numPr>
          <w:ilvl w:val="0"/>
          <w:numId w:val="0"/>
        </w:numPr>
        <w:spacing w:after="72"/>
        <w:ind w:left="1418"/>
      </w:pPr>
      <w:r>
        <w:t>如果发生计划外暂停，应立即将此情况通知甲方。乙方应尽其最大努力在发现或通知暂停服务后二十四（24）小时内恢复正常运营。</w:t>
      </w:r>
    </w:p>
    <w:p>
      <w:pPr>
        <w:pStyle w:val="219"/>
        <w:spacing w:after="72"/>
      </w:pPr>
      <w:r>
        <w:t>技术改造暂停服务</w:t>
      </w:r>
    </w:p>
    <w:p>
      <w:pPr>
        <w:pStyle w:val="214"/>
        <w:numPr>
          <w:ilvl w:val="0"/>
          <w:numId w:val="0"/>
        </w:numPr>
        <w:spacing w:after="72"/>
        <w:ind w:left="1418"/>
      </w:pPr>
      <w:r>
        <w:t>乙方应在工程技术改造开始前至少六十（60）日将技术改造暂停服务时间计划通知甲方，该时间计划应符合投标文件中的承诺，且不得长于双方商定的技术改造暂停服务时间。甲方应在收到上述通知三十（30）日内确认批准或不批准提议的技术改造暂停服务。如果甲方没有在收到上述通知三十（30）日内给予书面答复，技术改造暂停服务应被视为未获得批准。</w:t>
      </w:r>
    </w:p>
    <w:p>
      <w:pPr>
        <w:pStyle w:val="214"/>
        <w:numPr>
          <w:ilvl w:val="0"/>
          <w:numId w:val="0"/>
        </w:numPr>
        <w:spacing w:after="72"/>
        <w:ind w:left="1418"/>
      </w:pPr>
      <w:r>
        <w:t>除非本协议另有</w:t>
      </w:r>
      <w:r>
        <w:rPr>
          <w:rFonts w:hint="eastAsia"/>
        </w:rPr>
        <w:t>约</w:t>
      </w:r>
      <w:r>
        <w:t>定，项目设施在技术改造暂停服务期间实际处理水量应不低于当日实际进水量和设计处理规模的70%水量中的较小值。</w:t>
      </w:r>
    </w:p>
    <w:p>
      <w:pPr>
        <w:pStyle w:val="213"/>
        <w:spacing w:after="120"/>
        <w:rPr>
          <w:rFonts w:ascii="Times New Roman" w:hAnsi="Times New Roman"/>
        </w:rPr>
      </w:pPr>
      <w:r>
        <w:rPr>
          <w:rFonts w:hint="eastAsia" w:ascii="Times New Roman" w:hAnsi="Times New Roman"/>
        </w:rPr>
        <w:t>税率调整</w:t>
      </w:r>
    </w:p>
    <w:p>
      <w:pPr>
        <w:pStyle w:val="214"/>
        <w:spacing w:after="72"/>
      </w:pPr>
      <w:r>
        <w:t>本协议生效日起，执行国家税务总局有关污水处理服务的相关税费政策。</w:t>
      </w:r>
    </w:p>
    <w:p>
      <w:pPr>
        <w:pStyle w:val="214"/>
        <w:spacing w:after="72"/>
      </w:pPr>
      <w:r>
        <w:t>经营期内，若国家相关税收政策导致乙方运营成本增加的，乙方可根据本合同约定获得</w:t>
      </w:r>
      <w:r>
        <w:rPr>
          <w:rFonts w:hint="eastAsia"/>
        </w:rPr>
        <w:t>一般</w:t>
      </w:r>
      <w:r>
        <w:t>补偿。</w:t>
      </w:r>
    </w:p>
    <w:p>
      <w:pPr>
        <w:pStyle w:val="214"/>
        <w:spacing w:after="72"/>
      </w:pPr>
      <w:r>
        <w:t>经营期内，若国家相关税收政策导致乙方运营成本</w:t>
      </w:r>
      <w:r>
        <w:rPr>
          <w:rFonts w:hint="eastAsia"/>
        </w:rPr>
        <w:t>减少</w:t>
      </w:r>
      <w:r>
        <w:t>的，</w:t>
      </w:r>
      <w:r>
        <w:rPr>
          <w:rFonts w:hint="eastAsia"/>
        </w:rPr>
        <w:t>甲方</w:t>
      </w:r>
      <w:r>
        <w:t>可</w:t>
      </w:r>
      <w:r>
        <w:rPr>
          <w:rFonts w:hint="eastAsia"/>
        </w:rPr>
        <w:t>从当年污水处理服务费中扣除相应金额</w:t>
      </w:r>
      <w:r>
        <w:t>。</w:t>
      </w:r>
    </w:p>
    <w:p>
      <w:pPr>
        <w:pStyle w:val="213"/>
        <w:spacing w:after="120"/>
        <w:rPr>
          <w:rFonts w:ascii="Times New Roman" w:hAnsi="Times New Roman"/>
        </w:rPr>
      </w:pPr>
      <w:bookmarkStart w:id="339" w:name="_Toc417373150"/>
      <w:bookmarkStart w:id="340" w:name="_Toc417325867"/>
      <w:bookmarkStart w:id="341" w:name="_Toc320479541"/>
      <w:r>
        <w:rPr>
          <w:rFonts w:ascii="Times New Roman" w:hAnsi="Times New Roman"/>
        </w:rPr>
        <w:t>监督、检查</w:t>
      </w:r>
      <w:bookmarkEnd w:id="339"/>
      <w:bookmarkEnd w:id="340"/>
      <w:bookmarkEnd w:id="341"/>
      <w:r>
        <w:rPr>
          <w:rFonts w:ascii="Times New Roman" w:hAnsi="Times New Roman"/>
        </w:rPr>
        <w:t>与评估</w:t>
      </w:r>
    </w:p>
    <w:p>
      <w:pPr>
        <w:pStyle w:val="214"/>
        <w:spacing w:after="72"/>
      </w:pPr>
      <w:r>
        <w:t>甲方有权检查乙方是否按规范建立了运营维护管理体系，包括管理制度、业务流程、作业规范、考核管理办法等。</w:t>
      </w:r>
    </w:p>
    <w:p>
      <w:pPr>
        <w:pStyle w:val="214"/>
        <w:spacing w:after="72"/>
      </w:pPr>
      <w:r>
        <w:t>甲方有权检查监督乙方是否按运营维护手册配备了相应的人员、装备、备品备件、消耗品、专用工程及材料等。</w:t>
      </w:r>
    </w:p>
    <w:p>
      <w:pPr>
        <w:pStyle w:val="214"/>
        <w:spacing w:after="72"/>
      </w:pPr>
      <w:r>
        <w:t>甲方有权定期或不定期地检查乙方的现场作业。</w:t>
      </w:r>
    </w:p>
    <w:p>
      <w:pPr>
        <w:pStyle w:val="214"/>
        <w:spacing w:after="72"/>
      </w:pPr>
      <w:r>
        <w:t>甲方有权指定任何代表在任何时候进入项目设施，以检查项目设施的运营和维护情况，但甲方应尽量减少该等检查对项目设施运营和维护可能产生的干扰。甲方有权派代表随时检查乙方相关的运营维护记录及其他资料，监督运营维护计划实施情况，乙方应对此等检查和监督提供完全的协助，并提供甲方所需的信息和资料。乙方应对甲方指定的代表提出的问题</w:t>
      </w:r>
      <w:r>
        <w:rPr>
          <w:rFonts w:hint="eastAsia"/>
        </w:rPr>
        <w:t>做出</w:t>
      </w:r>
      <w:r>
        <w:t>合理解答。</w:t>
      </w:r>
    </w:p>
    <w:p>
      <w:pPr>
        <w:pStyle w:val="214"/>
        <w:spacing w:after="72"/>
      </w:pPr>
      <w:r>
        <w:t>在本项目合作期内，甲方有权组织专家或外聘第三方机构对乙方项目设施的运营、管理、安全、维护服务情况等进行定期评估，并有权将评估结果向社会公示，接受公众监督。原则上每三（3）到五（5）年评估一次，特殊情况下（如项目实际情况与签订本项目合同时估计情况存在较大偏差）可以实施年度评估，对问题予以处理或纠正。如果定期评估结果表明乙方在本项目合作期内提供的运营维护服务存在缺陷，乙方应在</w:t>
      </w:r>
      <w:r>
        <w:rPr>
          <w:rFonts w:hint="eastAsia"/>
        </w:rPr>
        <w:t>约</w:t>
      </w:r>
      <w:r>
        <w:t>定的时间内进行相应整改，若乙方未能改正或改正的效果未能达到本合同约定的标准的，则甲方有权兑取运营维护保函项下的相应金额。</w:t>
      </w:r>
    </w:p>
    <w:p>
      <w:pPr>
        <w:pStyle w:val="214"/>
        <w:spacing w:after="72"/>
      </w:pPr>
      <w:r>
        <w:t>社会公众有权对本项目进行监督，向有关监管部门投诉，或者向乙方提出意见。乙方应按照适用法律要求，建立公众监督机制，依法公开披露相关信息，接受公众监督。</w:t>
      </w:r>
    </w:p>
    <w:p>
      <w:pPr>
        <w:pStyle w:val="213"/>
        <w:spacing w:after="120"/>
        <w:rPr>
          <w:rFonts w:ascii="Times New Roman" w:hAnsi="Times New Roman"/>
        </w:rPr>
      </w:pPr>
      <w:bookmarkStart w:id="342" w:name="_Toc320479542"/>
      <w:bookmarkStart w:id="343" w:name="_Toc417325868"/>
      <w:bookmarkStart w:id="344" w:name="_Toc417373151"/>
      <w:r>
        <w:rPr>
          <w:rFonts w:ascii="Times New Roman" w:hAnsi="Times New Roman"/>
        </w:rPr>
        <w:t>报告</w:t>
      </w:r>
      <w:bookmarkEnd w:id="342"/>
      <w:bookmarkEnd w:id="343"/>
      <w:bookmarkEnd w:id="344"/>
      <w:r>
        <w:rPr>
          <w:rFonts w:ascii="Times New Roman" w:hAnsi="Times New Roman"/>
        </w:rPr>
        <w:t>与资料</w:t>
      </w:r>
    </w:p>
    <w:p>
      <w:pPr>
        <w:pStyle w:val="214"/>
        <w:spacing w:after="72"/>
      </w:pPr>
      <w:r>
        <w:t>定期报告</w:t>
      </w:r>
    </w:p>
    <w:p>
      <w:pPr>
        <w:pStyle w:val="219"/>
        <w:spacing w:after="72"/>
      </w:pPr>
      <w:r>
        <w:t>乙方应按照甲方的要求，于本项目运营开始日起一（1）个月内向甲方呈报已进入运营期的本项目第一个运营年运营维护计划，此后应于每个运营年10月31日前向甲方提交本项目下一个运营年的运营维护计划。甲方对乙方提交的运营维护计划提出合理修改建议，乙方应按照甲方提出的修改建议对前述计划进行修改。</w:t>
      </w:r>
    </w:p>
    <w:p>
      <w:pPr>
        <w:pStyle w:val="219"/>
        <w:spacing w:after="72"/>
      </w:pPr>
      <w:r>
        <w:t>乙方应详细记录运营维护情况，且甲方有权查阅和复制上述资料。若乙方的上述记录可能包含商业秘密的，甲方应当予以保密。自本项目运营开始日后第二个运营月起，乙方应于每月10日前向甲方提交上一运营月的运营记录。最后一个运营月的运营记录应当在该运营月结束后的七（7）个工作日内提交。</w:t>
      </w:r>
    </w:p>
    <w:p>
      <w:pPr>
        <w:pStyle w:val="219"/>
        <w:spacing w:after="72"/>
        <w:rPr>
          <w:lang w:eastAsia="zh-TW"/>
        </w:rPr>
      </w:pPr>
      <w:r>
        <w:rPr>
          <w:lang w:eastAsia="zh-TW"/>
        </w:rPr>
        <w:t>乙方应建立健全财务管理制度，完善内部经营责任制，严格执行国家规定的各项财务开支范围和标准，如实反映企业财务状况和经营成果，依法缴纳税费，并接受有关机关的检查监督，保证社会资本权益不受侵犯。</w:t>
      </w:r>
    </w:p>
    <w:p>
      <w:pPr>
        <w:pStyle w:val="219"/>
        <w:spacing w:after="72"/>
      </w:pPr>
      <w:r>
        <w:t>每年5月30日之前，提交上一年度按适用法律和普遍认可的中国会计准则、制度和惯例编制的经审计的年度财务报表，包括资产负债表、损益表和现金流量表。</w:t>
      </w:r>
    </w:p>
    <w:p>
      <w:pPr>
        <w:pStyle w:val="219"/>
        <w:spacing w:after="72"/>
      </w:pPr>
      <w:r>
        <w:t>每</w:t>
      </w:r>
      <w:r>
        <w:rPr>
          <w:rFonts w:hint="eastAsia"/>
        </w:rPr>
        <w:t>月、季</w:t>
      </w:r>
      <w:r>
        <w:t>度之后的十（10）日之前，提交上一个运营</w:t>
      </w:r>
      <w:r>
        <w:rPr>
          <w:rFonts w:hint="eastAsia"/>
        </w:rPr>
        <w:t>月</w:t>
      </w:r>
      <w:r>
        <w:t>度本项目的运营维护成本表。</w:t>
      </w:r>
    </w:p>
    <w:p>
      <w:pPr>
        <w:pStyle w:val="219"/>
        <w:spacing w:after="72"/>
      </w:pPr>
      <w:r>
        <w:t>每个运营年结束后四十（40）日内，乙方应向甲方提交上一运营年的运营维护情况报告、运营维护成本表、年度工作总结。</w:t>
      </w:r>
    </w:p>
    <w:p>
      <w:pPr>
        <w:pStyle w:val="219"/>
        <w:spacing w:after="72"/>
      </w:pPr>
      <w:r>
        <w:t>甲方为监督乙方遵守适用法律和本合同，合理要求乙方出具有关乙方财务状况的其它资料。</w:t>
      </w:r>
    </w:p>
    <w:p>
      <w:pPr>
        <w:pStyle w:val="214"/>
        <w:spacing w:after="72"/>
      </w:pPr>
      <w:r>
        <w:t>临时报告</w:t>
      </w:r>
    </w:p>
    <w:p>
      <w:pPr>
        <w:pStyle w:val="220"/>
        <w:spacing w:before="50" w:afterLines="50"/>
      </w:pPr>
      <w:r>
        <w:t>乙方应当在下列事项出现后五（5）个工作日内向甲方提交书面报告及相关材料供甲方备案，甲方应对乙方报告事项涉及的乙方商业秘密采取必要的保密措施：</w:t>
      </w:r>
    </w:p>
    <w:p>
      <w:pPr>
        <w:pStyle w:val="219"/>
        <w:spacing w:after="72"/>
      </w:pPr>
      <w:r>
        <w:t>乙方的法定代表人、高级管理人员的确定或变更；</w:t>
      </w:r>
    </w:p>
    <w:p>
      <w:pPr>
        <w:pStyle w:val="219"/>
        <w:spacing w:after="72"/>
      </w:pPr>
      <w:r>
        <w:t>乙方在本项目合作期内的任何形式的经营范围、公司住址、法定代表人或股东的变更登记；</w:t>
      </w:r>
    </w:p>
    <w:p>
      <w:pPr>
        <w:pStyle w:val="219"/>
        <w:spacing w:after="72"/>
      </w:pPr>
      <w:r>
        <w:t>发生影响项目运营维护的安全、技术、质量、服务的重大事项；</w:t>
      </w:r>
    </w:p>
    <w:p>
      <w:pPr>
        <w:pStyle w:val="219"/>
        <w:spacing w:after="72"/>
      </w:pPr>
      <w:r>
        <w:t>与乙方有关的重大诉讼事项或群体性事件；</w:t>
      </w:r>
    </w:p>
    <w:p>
      <w:pPr>
        <w:pStyle w:val="219"/>
        <w:spacing w:after="72"/>
      </w:pPr>
      <w:r>
        <w:t>其它可能会危害到公共安全和公共利益的重大事项。</w:t>
      </w:r>
    </w:p>
    <w:p>
      <w:pPr>
        <w:pStyle w:val="213"/>
        <w:spacing w:after="120"/>
        <w:rPr>
          <w:rFonts w:ascii="Times New Roman" w:hAnsi="Times New Roman"/>
        </w:rPr>
      </w:pPr>
      <w:bookmarkStart w:id="345" w:name="_Ref448763127"/>
      <w:r>
        <w:rPr>
          <w:rFonts w:ascii="Times New Roman" w:hAnsi="Times New Roman"/>
        </w:rPr>
        <w:t>运维绩效考核</w:t>
      </w:r>
    </w:p>
    <w:p>
      <w:pPr>
        <w:pStyle w:val="214"/>
        <w:spacing w:after="72"/>
      </w:pPr>
      <w:r>
        <w:t>运营内，甲方通过采取日常考核和抽检抽查相结合的方式，按照附件六的</w:t>
      </w:r>
      <w:r>
        <w:rPr>
          <w:rFonts w:hint="eastAsia"/>
        </w:rPr>
        <w:t>约</w:t>
      </w:r>
      <w:r>
        <w:t>定对乙方进行运维绩效考核。</w:t>
      </w:r>
    </w:p>
    <w:p>
      <w:pPr>
        <w:pStyle w:val="214"/>
        <w:spacing w:after="72"/>
      </w:pPr>
      <w:r>
        <w:rPr>
          <w:rFonts w:hint="eastAsia"/>
        </w:rPr>
        <w:t>甲方可根据绩效考核结果对乙方进行违约处罚，相应违约金从下一季度污水处理服务费中扣除。</w:t>
      </w:r>
    </w:p>
    <w:p>
      <w:pPr>
        <w:pStyle w:val="213"/>
        <w:spacing w:after="120"/>
        <w:rPr>
          <w:rFonts w:ascii="Times New Roman" w:hAnsi="Times New Roman"/>
        </w:rPr>
      </w:pPr>
      <w:r>
        <w:rPr>
          <w:rFonts w:ascii="Times New Roman" w:hAnsi="Times New Roman"/>
        </w:rPr>
        <w:t>临时接管</w:t>
      </w:r>
      <w:bookmarkEnd w:id="345"/>
    </w:p>
    <w:p>
      <w:pPr>
        <w:pStyle w:val="214"/>
        <w:spacing w:after="72"/>
      </w:pPr>
      <w:r>
        <w:t>本项目合作期内，出现以下情况，甲方有权实施临时接管：</w:t>
      </w:r>
    </w:p>
    <w:p>
      <w:pPr>
        <w:pStyle w:val="219"/>
        <w:spacing w:after="72"/>
      </w:pPr>
      <w:r>
        <w:t>政治性紧急事件，如骚乱、动乱、叛乱、恐怖袭击等；</w:t>
      </w:r>
    </w:p>
    <w:p>
      <w:pPr>
        <w:pStyle w:val="219"/>
        <w:spacing w:after="72"/>
      </w:pPr>
      <w:r>
        <w:t>社会性紧急事件，如重大自然灾害、重大事故灾难、重大公共安全事件等；</w:t>
      </w:r>
    </w:p>
    <w:p>
      <w:pPr>
        <w:pStyle w:val="219"/>
        <w:spacing w:after="72"/>
      </w:pPr>
      <w:r>
        <w:t>乙方因管理不善，发生重大质量、生产安全事故的；</w:t>
      </w:r>
    </w:p>
    <w:p>
      <w:pPr>
        <w:pStyle w:val="219"/>
        <w:spacing w:after="72"/>
      </w:pPr>
      <w:r>
        <w:t>未经甲方允许，乙方转让、出租经营权的；</w:t>
      </w:r>
    </w:p>
    <w:p>
      <w:pPr>
        <w:pStyle w:val="219"/>
        <w:spacing w:after="72"/>
      </w:pPr>
      <w:r>
        <w:t>未经甲方允许，乙方将项目设施和土地使用权进行处置或抵押的或将经营权予以质押的；</w:t>
      </w:r>
    </w:p>
    <w:p>
      <w:pPr>
        <w:pStyle w:val="219"/>
        <w:spacing w:after="72"/>
      </w:pPr>
      <w:r>
        <w:t>乙方擅自停工或停止维护或运营；</w:t>
      </w:r>
    </w:p>
    <w:p>
      <w:pPr>
        <w:pStyle w:val="219"/>
        <w:spacing w:after="72"/>
      </w:pPr>
      <w:r>
        <w:t>影响到社会公共利益和安全的；</w:t>
      </w:r>
    </w:p>
    <w:p>
      <w:pPr>
        <w:pStyle w:val="219"/>
        <w:spacing w:after="72"/>
      </w:pPr>
      <w:r>
        <w:t>适用法律规定甲方有权实施临时接管的其他行为。</w:t>
      </w:r>
    </w:p>
    <w:p>
      <w:pPr>
        <w:pStyle w:val="214"/>
        <w:spacing w:after="72"/>
      </w:pPr>
      <w:r>
        <w:t>甲方有权在决定临时接管之日起指定第三方临时提供本合同项下的运营维护服务。临时接管期间乙方无权获得运营维护服务费，并且此期间发生的成本、费用等均由乙方承担。</w:t>
      </w:r>
    </w:p>
    <w:p>
      <w:pPr>
        <w:pStyle w:val="214"/>
        <w:spacing w:after="72"/>
      </w:pPr>
      <w:r>
        <w:t>乙方纠正引致临时接管的违约行为后，经乙方书面申请，甲方核定属实后，应当五（5）个工作日内，终止临时接管，恢复乙方的经营权。</w:t>
      </w:r>
    </w:p>
    <w:p>
      <w:pPr>
        <w:pStyle w:val="214"/>
        <w:spacing w:after="72"/>
      </w:pPr>
      <w:r>
        <w:t>临时接管持续超过六十（60）日，甲方有权按</w:t>
      </w:r>
      <w:r>
        <w:fldChar w:fldCharType="begin"/>
      </w:r>
      <w:r>
        <w:instrText xml:space="preserve"> REF _Ref448740050 \r \h  \* MERGEFORMAT </w:instrText>
      </w:r>
      <w:r>
        <w:fldChar w:fldCharType="separate"/>
      </w:r>
      <w:r>
        <w:rPr>
          <w:rFonts w:hint="eastAsia"/>
        </w:rPr>
        <w:t>第17条</w:t>
      </w:r>
      <w:r>
        <w:rPr>
          <w:rFonts w:hint="eastAsia"/>
        </w:rPr>
        <w:fldChar w:fldCharType="end"/>
      </w:r>
      <w:r>
        <w:rPr>
          <w:rFonts w:hint="eastAsia"/>
        </w:rPr>
        <w:t>约定</w:t>
      </w:r>
      <w:r>
        <w:t>提前终止本合同，收回乙方的经营权。</w:t>
      </w:r>
    </w:p>
    <w:p>
      <w:pPr>
        <w:pStyle w:val="212"/>
        <w:spacing w:before="360" w:after="120" w:line="360" w:lineRule="auto"/>
        <w:rPr>
          <w:rFonts w:eastAsia="宋体"/>
          <w:b/>
        </w:rPr>
      </w:pPr>
      <w:bookmarkStart w:id="346" w:name="_Toc448848930"/>
      <w:bookmarkEnd w:id="346"/>
      <w:bookmarkStart w:id="347" w:name="_Toc448848928"/>
      <w:bookmarkEnd w:id="347"/>
      <w:bookmarkStart w:id="348" w:name="_Toc448848586"/>
      <w:bookmarkEnd w:id="348"/>
      <w:bookmarkStart w:id="349" w:name="_Toc448849232"/>
      <w:bookmarkEnd w:id="349"/>
      <w:bookmarkStart w:id="350" w:name="_Toc448849234"/>
      <w:bookmarkEnd w:id="350"/>
      <w:bookmarkStart w:id="351" w:name="_Toc448848583"/>
      <w:bookmarkEnd w:id="351"/>
      <w:bookmarkStart w:id="352" w:name="_Toc448848925"/>
      <w:bookmarkEnd w:id="352"/>
      <w:bookmarkStart w:id="353" w:name="_Toc448848585"/>
      <w:bookmarkEnd w:id="353"/>
      <w:bookmarkStart w:id="354" w:name="_Toc448848927"/>
      <w:bookmarkEnd w:id="354"/>
      <w:bookmarkStart w:id="355" w:name="_Toc448849228"/>
      <w:bookmarkEnd w:id="355"/>
      <w:bookmarkStart w:id="356" w:name="_Toc448849236"/>
      <w:bookmarkEnd w:id="356"/>
      <w:bookmarkStart w:id="357" w:name="_Toc448849235"/>
      <w:bookmarkEnd w:id="357"/>
      <w:bookmarkStart w:id="358" w:name="_Toc448849238"/>
      <w:bookmarkEnd w:id="358"/>
      <w:bookmarkStart w:id="359" w:name="_Toc448849237"/>
      <w:bookmarkEnd w:id="359"/>
      <w:bookmarkStart w:id="360" w:name="_Toc448848587"/>
      <w:bookmarkEnd w:id="360"/>
      <w:bookmarkStart w:id="361" w:name="_Toc448848929"/>
      <w:bookmarkEnd w:id="361"/>
      <w:bookmarkStart w:id="362" w:name="_Toc448848588"/>
      <w:bookmarkEnd w:id="362"/>
      <w:bookmarkStart w:id="363" w:name="_Toc448848926"/>
      <w:bookmarkEnd w:id="363"/>
      <w:bookmarkStart w:id="364" w:name="_Toc448848584"/>
      <w:bookmarkEnd w:id="364"/>
      <w:bookmarkStart w:id="365" w:name="_Toc448849233"/>
      <w:bookmarkEnd w:id="365"/>
      <w:bookmarkStart w:id="366" w:name="_Toc448848581"/>
      <w:bookmarkEnd w:id="366"/>
      <w:bookmarkStart w:id="367" w:name="_Toc448848923"/>
      <w:bookmarkEnd w:id="367"/>
      <w:bookmarkStart w:id="368" w:name="_Toc448848582"/>
      <w:bookmarkEnd w:id="368"/>
      <w:bookmarkStart w:id="369" w:name="_Toc448849231"/>
      <w:bookmarkEnd w:id="369"/>
      <w:bookmarkStart w:id="370" w:name="_Toc448849230"/>
      <w:bookmarkEnd w:id="370"/>
      <w:bookmarkStart w:id="371" w:name="_Toc448848922"/>
      <w:bookmarkEnd w:id="371"/>
      <w:bookmarkStart w:id="372" w:name="_Toc448848580"/>
      <w:bookmarkEnd w:id="372"/>
      <w:bookmarkStart w:id="373" w:name="_Toc448848921"/>
      <w:bookmarkEnd w:id="373"/>
      <w:bookmarkStart w:id="374" w:name="_Toc448849229"/>
      <w:bookmarkEnd w:id="374"/>
      <w:bookmarkStart w:id="375" w:name="_Toc448848579"/>
      <w:bookmarkEnd w:id="375"/>
      <w:bookmarkStart w:id="376" w:name="_Toc448848924"/>
      <w:bookmarkEnd w:id="376"/>
      <w:bookmarkStart w:id="377" w:name="_Toc448848920"/>
      <w:bookmarkEnd w:id="377"/>
      <w:bookmarkStart w:id="378" w:name="_Toc448848578"/>
      <w:bookmarkEnd w:id="378"/>
      <w:bookmarkStart w:id="379" w:name="_Toc448849227"/>
      <w:bookmarkEnd w:id="379"/>
      <w:bookmarkStart w:id="380" w:name="_Toc448848919"/>
      <w:bookmarkEnd w:id="380"/>
      <w:bookmarkStart w:id="381" w:name="_Toc448848577"/>
      <w:bookmarkEnd w:id="381"/>
      <w:bookmarkStart w:id="382" w:name="_Ref493004321"/>
      <w:bookmarkStart w:id="383" w:name="_Toc448060828"/>
      <w:bookmarkStart w:id="384" w:name="_Toc534891114"/>
      <w:r>
        <w:rPr>
          <w:rFonts w:hint="eastAsia" w:eastAsia="宋体"/>
          <w:b/>
        </w:rPr>
        <w:t>污水厂水质质量标准和检测机制</w:t>
      </w:r>
      <w:bookmarkEnd w:id="382"/>
      <w:bookmarkEnd w:id="383"/>
      <w:r>
        <w:rPr>
          <w:rFonts w:hint="eastAsia" w:ascii="宋体" w:hAnsi="宋体" w:eastAsia="宋体"/>
          <w:b/>
        </w:rPr>
        <w:t>★</w:t>
      </w:r>
      <w:bookmarkEnd w:id="384"/>
    </w:p>
    <w:p>
      <w:pPr>
        <w:pStyle w:val="213"/>
        <w:spacing w:after="120"/>
        <w:rPr>
          <w:rFonts w:ascii="Times New Roman" w:hAnsi="Times New Roman"/>
        </w:rPr>
      </w:pPr>
      <w:bookmarkStart w:id="385" w:name="_Ref448407023"/>
      <w:bookmarkStart w:id="386" w:name="_Toc417373155"/>
      <w:bookmarkStart w:id="387" w:name="_Toc417325873"/>
      <w:r>
        <w:rPr>
          <w:rFonts w:ascii="Times New Roman" w:hAnsi="Times New Roman"/>
        </w:rPr>
        <w:t>污水进水</w:t>
      </w:r>
    </w:p>
    <w:p>
      <w:pPr>
        <w:pStyle w:val="214"/>
        <w:spacing w:after="72"/>
      </w:pPr>
      <w:r>
        <w:t>合作期内，甲方应负责将污水免费输送至项目设施的接收点。</w:t>
      </w:r>
    </w:p>
    <w:p>
      <w:pPr>
        <w:pStyle w:val="214"/>
        <w:spacing w:after="72"/>
      </w:pPr>
      <w:r>
        <w:t>如果因为污水厂污水收集范围内的进水水质超标而造成乙方的生产经营受到严重影响的，按照本协议</w:t>
      </w:r>
      <w:r>
        <w:fldChar w:fldCharType="begin"/>
      </w:r>
      <w:r>
        <w:instrText xml:space="preserve"> REF _Ref448873391 \r \h  \* MERGEFORMAT </w:instrText>
      </w:r>
      <w:r>
        <w:fldChar w:fldCharType="separate"/>
      </w:r>
      <w:r>
        <w:rPr>
          <w:rFonts w:hint="eastAsia"/>
        </w:rPr>
        <w:t>第19条</w:t>
      </w:r>
      <w:r>
        <w:rPr>
          <w:rFonts w:hint="eastAsia"/>
        </w:rPr>
        <w:fldChar w:fldCharType="end"/>
      </w:r>
      <w:r>
        <w:t>的</w:t>
      </w:r>
      <w:r>
        <w:rPr>
          <w:rFonts w:hint="eastAsia"/>
        </w:rPr>
        <w:t>约</w:t>
      </w:r>
      <w:r>
        <w:t>定对乙方进行一般补偿。</w:t>
      </w:r>
    </w:p>
    <w:bookmarkEnd w:id="385"/>
    <w:p>
      <w:pPr>
        <w:pStyle w:val="213"/>
        <w:spacing w:after="120"/>
        <w:rPr>
          <w:rFonts w:ascii="Times New Roman" w:hAnsi="Times New Roman"/>
        </w:rPr>
      </w:pPr>
      <w:bookmarkStart w:id="388" w:name="_Ref492999660"/>
      <w:r>
        <w:rPr>
          <w:rFonts w:ascii="Times New Roman" w:hAnsi="Times New Roman"/>
        </w:rPr>
        <w:t>进水、出水水质标准</w:t>
      </w:r>
      <w:bookmarkEnd w:id="388"/>
    </w:p>
    <w:p>
      <w:pPr>
        <w:pStyle w:val="214"/>
        <w:spacing w:after="72"/>
      </w:pPr>
      <w:bookmarkStart w:id="389" w:name="_Ref452400486"/>
      <w:r>
        <w:t>本项目的污水进水、出水水质如下表所示：</w:t>
      </w:r>
    </w:p>
    <w:tbl>
      <w:tblPr>
        <w:tblStyle w:val="52"/>
        <w:tblW w:w="78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176"/>
        <w:gridCol w:w="1176"/>
        <w:gridCol w:w="1176"/>
        <w:gridCol w:w="1176"/>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02" w:type="dxa"/>
            <w:vAlign w:val="center"/>
          </w:tcPr>
          <w:p>
            <w:pPr>
              <w:jc w:val="center"/>
              <w:rPr>
                <w:rFonts w:eastAsia="仿宋"/>
                <w:szCs w:val="21"/>
              </w:rPr>
            </w:pPr>
            <w:r>
              <w:rPr>
                <w:rFonts w:eastAsia="仿宋"/>
                <w:szCs w:val="21"/>
              </w:rPr>
              <w:t>项目</w:t>
            </w:r>
          </w:p>
          <w:p>
            <w:pPr>
              <w:jc w:val="center"/>
              <w:rPr>
                <w:rFonts w:eastAsia="仿宋"/>
                <w:szCs w:val="21"/>
              </w:rPr>
            </w:pPr>
            <w:r>
              <w:rPr>
                <w:rFonts w:eastAsia="仿宋"/>
                <w:szCs w:val="21"/>
              </w:rPr>
              <w:t>名称</w:t>
            </w:r>
          </w:p>
        </w:tc>
        <w:tc>
          <w:tcPr>
            <w:tcW w:w="1176" w:type="dxa"/>
            <w:vAlign w:val="center"/>
          </w:tcPr>
          <w:p>
            <w:pPr>
              <w:jc w:val="center"/>
              <w:rPr>
                <w:rFonts w:eastAsia="仿宋"/>
                <w:szCs w:val="21"/>
              </w:rPr>
            </w:pPr>
            <w:r>
              <w:rPr>
                <w:rFonts w:eastAsia="仿宋"/>
                <w:szCs w:val="21"/>
              </w:rPr>
              <w:t>COD</w:t>
            </w:r>
            <w:r>
              <w:rPr>
                <w:rFonts w:eastAsia="仿宋"/>
                <w:szCs w:val="21"/>
                <w:vertAlign w:val="subscript"/>
              </w:rPr>
              <w:t>cr</w:t>
            </w:r>
          </w:p>
          <w:p>
            <w:pPr>
              <w:jc w:val="center"/>
              <w:rPr>
                <w:rFonts w:eastAsia="仿宋"/>
                <w:szCs w:val="21"/>
              </w:rPr>
            </w:pPr>
            <w:r>
              <w:rPr>
                <w:rFonts w:eastAsia="仿宋"/>
                <w:szCs w:val="21"/>
              </w:rPr>
              <w:t>（mg/L）</w:t>
            </w:r>
          </w:p>
        </w:tc>
        <w:tc>
          <w:tcPr>
            <w:tcW w:w="1176" w:type="dxa"/>
            <w:vAlign w:val="center"/>
          </w:tcPr>
          <w:p>
            <w:pPr>
              <w:jc w:val="center"/>
              <w:rPr>
                <w:rFonts w:eastAsia="仿宋"/>
                <w:szCs w:val="21"/>
              </w:rPr>
            </w:pPr>
            <w:r>
              <w:rPr>
                <w:rFonts w:eastAsia="仿宋"/>
                <w:smallCaps/>
                <w:szCs w:val="21"/>
              </w:rPr>
              <w:t>BOD</w:t>
            </w:r>
            <w:r>
              <w:rPr>
                <w:rFonts w:eastAsia="仿宋"/>
                <w:smallCaps/>
                <w:szCs w:val="21"/>
                <w:vertAlign w:val="subscript"/>
              </w:rPr>
              <w:t>5</w:t>
            </w:r>
          </w:p>
          <w:p>
            <w:pPr>
              <w:jc w:val="center"/>
              <w:rPr>
                <w:rFonts w:eastAsia="仿宋"/>
                <w:szCs w:val="21"/>
              </w:rPr>
            </w:pPr>
            <w:r>
              <w:rPr>
                <w:rFonts w:eastAsia="仿宋"/>
                <w:szCs w:val="21"/>
              </w:rPr>
              <w:t>（mg/L）</w:t>
            </w:r>
          </w:p>
        </w:tc>
        <w:tc>
          <w:tcPr>
            <w:tcW w:w="1176" w:type="dxa"/>
            <w:vAlign w:val="center"/>
          </w:tcPr>
          <w:p>
            <w:pPr>
              <w:jc w:val="center"/>
              <w:rPr>
                <w:rFonts w:eastAsia="仿宋"/>
                <w:szCs w:val="21"/>
              </w:rPr>
            </w:pPr>
            <w:r>
              <w:rPr>
                <w:rFonts w:eastAsia="仿宋"/>
                <w:szCs w:val="21"/>
              </w:rPr>
              <w:t>SS</w:t>
            </w:r>
          </w:p>
          <w:p>
            <w:pPr>
              <w:jc w:val="center"/>
              <w:rPr>
                <w:rFonts w:eastAsia="仿宋"/>
                <w:szCs w:val="21"/>
              </w:rPr>
            </w:pPr>
            <w:r>
              <w:rPr>
                <w:rFonts w:eastAsia="仿宋"/>
                <w:szCs w:val="21"/>
              </w:rPr>
              <w:t>（mg/L）</w:t>
            </w:r>
          </w:p>
        </w:tc>
        <w:tc>
          <w:tcPr>
            <w:tcW w:w="1176" w:type="dxa"/>
            <w:vAlign w:val="center"/>
          </w:tcPr>
          <w:p>
            <w:pPr>
              <w:jc w:val="center"/>
              <w:rPr>
                <w:rFonts w:eastAsia="仿宋"/>
                <w:szCs w:val="21"/>
              </w:rPr>
            </w:pPr>
            <w:r>
              <w:rPr>
                <w:rFonts w:eastAsia="仿宋"/>
                <w:szCs w:val="21"/>
              </w:rPr>
              <w:t>TN</w:t>
            </w:r>
          </w:p>
          <w:p>
            <w:pPr>
              <w:jc w:val="center"/>
              <w:rPr>
                <w:rFonts w:eastAsia="仿宋"/>
                <w:szCs w:val="21"/>
              </w:rPr>
            </w:pPr>
            <w:r>
              <w:rPr>
                <w:rFonts w:eastAsia="仿宋"/>
                <w:szCs w:val="21"/>
              </w:rPr>
              <w:t>（mg/L）</w:t>
            </w:r>
          </w:p>
        </w:tc>
        <w:tc>
          <w:tcPr>
            <w:tcW w:w="1175" w:type="dxa"/>
            <w:vAlign w:val="center"/>
          </w:tcPr>
          <w:p>
            <w:pPr>
              <w:jc w:val="center"/>
              <w:rPr>
                <w:rFonts w:eastAsia="仿宋"/>
                <w:szCs w:val="21"/>
              </w:rPr>
            </w:pPr>
            <w:r>
              <w:rPr>
                <w:rFonts w:eastAsia="仿宋"/>
                <w:szCs w:val="21"/>
              </w:rPr>
              <w:t>N</w:t>
            </w:r>
            <w:r>
              <w:rPr>
                <w:rFonts w:eastAsia="仿宋"/>
                <w:smallCaps/>
                <w:szCs w:val="21"/>
              </w:rPr>
              <w:t>H</w:t>
            </w:r>
            <w:r>
              <w:rPr>
                <w:rFonts w:eastAsia="仿宋"/>
                <w:smallCaps/>
                <w:szCs w:val="21"/>
                <w:vertAlign w:val="subscript"/>
              </w:rPr>
              <w:t>3</w:t>
            </w:r>
            <w:r>
              <w:rPr>
                <w:rFonts w:eastAsia="仿宋"/>
                <w:szCs w:val="21"/>
              </w:rPr>
              <w:t>-N</w:t>
            </w:r>
          </w:p>
          <w:p>
            <w:pPr>
              <w:jc w:val="center"/>
              <w:rPr>
                <w:rFonts w:eastAsia="仿宋"/>
                <w:szCs w:val="21"/>
              </w:rPr>
            </w:pPr>
            <w:r>
              <w:rPr>
                <w:rFonts w:eastAsia="仿宋"/>
                <w:szCs w:val="21"/>
              </w:rPr>
              <w:t>（mg/L）</w:t>
            </w:r>
          </w:p>
        </w:tc>
        <w:tc>
          <w:tcPr>
            <w:tcW w:w="1175" w:type="dxa"/>
            <w:vAlign w:val="center"/>
          </w:tcPr>
          <w:p>
            <w:pPr>
              <w:jc w:val="center"/>
              <w:rPr>
                <w:rFonts w:eastAsia="仿宋"/>
                <w:szCs w:val="21"/>
              </w:rPr>
            </w:pPr>
            <w:r>
              <w:rPr>
                <w:rFonts w:eastAsia="仿宋"/>
                <w:szCs w:val="21"/>
              </w:rPr>
              <w:t>TP</w:t>
            </w:r>
          </w:p>
          <w:p>
            <w:pPr>
              <w:jc w:val="center"/>
              <w:rPr>
                <w:rFonts w:eastAsia="仿宋"/>
                <w:szCs w:val="21"/>
              </w:rPr>
            </w:pPr>
            <w:r>
              <w:rPr>
                <w:rFonts w:eastAsia="仿宋"/>
                <w:szCs w:val="21"/>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02" w:type="dxa"/>
            <w:vAlign w:val="center"/>
          </w:tcPr>
          <w:p>
            <w:pPr>
              <w:jc w:val="center"/>
              <w:rPr>
                <w:rFonts w:eastAsia="仿宋"/>
                <w:szCs w:val="21"/>
              </w:rPr>
            </w:pPr>
            <w:r>
              <w:rPr>
                <w:rFonts w:eastAsia="仿宋"/>
                <w:szCs w:val="21"/>
              </w:rPr>
              <w:t>进水</w:t>
            </w:r>
          </w:p>
        </w:tc>
        <w:tc>
          <w:tcPr>
            <w:tcW w:w="1176" w:type="dxa"/>
            <w:vAlign w:val="center"/>
          </w:tcPr>
          <w:p>
            <w:pPr>
              <w:jc w:val="center"/>
              <w:rPr>
                <w:rFonts w:eastAsia="仿宋"/>
                <w:szCs w:val="21"/>
              </w:rPr>
            </w:pPr>
            <w:r>
              <w:rPr>
                <w:rFonts w:hint="eastAsia" w:eastAsia="仿宋"/>
                <w:szCs w:val="21"/>
              </w:rPr>
              <w:t>≤</w:t>
            </w:r>
            <w:r>
              <w:rPr>
                <w:rFonts w:eastAsia="仿宋"/>
                <w:szCs w:val="21"/>
              </w:rPr>
              <w:t>380</w:t>
            </w:r>
          </w:p>
        </w:tc>
        <w:tc>
          <w:tcPr>
            <w:tcW w:w="1176" w:type="dxa"/>
            <w:vAlign w:val="center"/>
          </w:tcPr>
          <w:p>
            <w:pPr>
              <w:jc w:val="center"/>
              <w:rPr>
                <w:rFonts w:eastAsia="仿宋"/>
                <w:szCs w:val="21"/>
              </w:rPr>
            </w:pPr>
            <w:r>
              <w:rPr>
                <w:rFonts w:hint="eastAsia" w:eastAsia="仿宋"/>
                <w:szCs w:val="21"/>
              </w:rPr>
              <w:t>≤</w:t>
            </w:r>
            <w:r>
              <w:rPr>
                <w:rFonts w:eastAsia="仿宋"/>
                <w:szCs w:val="21"/>
              </w:rPr>
              <w:t>250</w:t>
            </w:r>
          </w:p>
        </w:tc>
        <w:tc>
          <w:tcPr>
            <w:tcW w:w="1176" w:type="dxa"/>
            <w:vAlign w:val="center"/>
          </w:tcPr>
          <w:p>
            <w:pPr>
              <w:jc w:val="center"/>
              <w:rPr>
                <w:rFonts w:eastAsia="仿宋"/>
                <w:szCs w:val="21"/>
              </w:rPr>
            </w:pPr>
            <w:r>
              <w:rPr>
                <w:rFonts w:hint="eastAsia" w:eastAsia="仿宋"/>
                <w:szCs w:val="21"/>
              </w:rPr>
              <w:t>≤</w:t>
            </w:r>
            <w:r>
              <w:rPr>
                <w:rFonts w:eastAsia="仿宋"/>
                <w:szCs w:val="21"/>
              </w:rPr>
              <w:t>300</w:t>
            </w:r>
          </w:p>
        </w:tc>
        <w:tc>
          <w:tcPr>
            <w:tcW w:w="1176" w:type="dxa"/>
            <w:vAlign w:val="center"/>
          </w:tcPr>
          <w:p>
            <w:pPr>
              <w:jc w:val="center"/>
              <w:rPr>
                <w:rFonts w:eastAsia="仿宋"/>
                <w:szCs w:val="21"/>
              </w:rPr>
            </w:pPr>
            <w:r>
              <w:rPr>
                <w:rFonts w:hint="eastAsia" w:eastAsia="仿宋"/>
                <w:szCs w:val="21"/>
              </w:rPr>
              <w:t>≤</w:t>
            </w:r>
            <w:r>
              <w:rPr>
                <w:rFonts w:eastAsia="仿宋"/>
                <w:szCs w:val="21"/>
              </w:rPr>
              <w:t>60</w:t>
            </w:r>
          </w:p>
        </w:tc>
        <w:tc>
          <w:tcPr>
            <w:tcW w:w="1175" w:type="dxa"/>
            <w:vAlign w:val="center"/>
          </w:tcPr>
          <w:p>
            <w:pPr>
              <w:jc w:val="center"/>
              <w:rPr>
                <w:rFonts w:eastAsia="仿宋"/>
                <w:szCs w:val="21"/>
              </w:rPr>
            </w:pPr>
            <w:r>
              <w:rPr>
                <w:rFonts w:hint="eastAsia" w:eastAsia="仿宋"/>
                <w:szCs w:val="21"/>
              </w:rPr>
              <w:t>≤</w:t>
            </w:r>
            <w:r>
              <w:rPr>
                <w:rFonts w:eastAsia="仿宋"/>
                <w:szCs w:val="21"/>
              </w:rPr>
              <w:t>35</w:t>
            </w:r>
          </w:p>
        </w:tc>
        <w:tc>
          <w:tcPr>
            <w:tcW w:w="1175" w:type="dxa"/>
            <w:vAlign w:val="center"/>
          </w:tcPr>
          <w:p>
            <w:pPr>
              <w:jc w:val="center"/>
              <w:rPr>
                <w:rFonts w:eastAsia="仿宋"/>
                <w:szCs w:val="21"/>
              </w:rPr>
            </w:pPr>
            <w:r>
              <w:rPr>
                <w:rFonts w:hint="eastAsia" w:eastAsia="仿宋"/>
                <w:szCs w:val="21"/>
              </w:rPr>
              <w:t>≤</w:t>
            </w:r>
            <w:r>
              <w:rPr>
                <w:rFonts w:eastAsia="仿宋"/>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02" w:type="dxa"/>
            <w:vAlign w:val="center"/>
          </w:tcPr>
          <w:p>
            <w:pPr>
              <w:jc w:val="center"/>
              <w:rPr>
                <w:rFonts w:eastAsia="仿宋"/>
                <w:szCs w:val="21"/>
              </w:rPr>
            </w:pPr>
            <w:r>
              <w:rPr>
                <w:rFonts w:eastAsia="仿宋"/>
                <w:szCs w:val="21"/>
              </w:rPr>
              <w:t>出水</w:t>
            </w:r>
          </w:p>
        </w:tc>
        <w:tc>
          <w:tcPr>
            <w:tcW w:w="1176" w:type="dxa"/>
            <w:vAlign w:val="center"/>
          </w:tcPr>
          <w:p>
            <w:pPr>
              <w:jc w:val="center"/>
              <w:rPr>
                <w:rFonts w:eastAsia="仿宋"/>
                <w:szCs w:val="21"/>
              </w:rPr>
            </w:pPr>
            <w:r>
              <w:rPr>
                <w:rFonts w:hint="eastAsia" w:eastAsia="仿宋"/>
                <w:szCs w:val="21"/>
              </w:rPr>
              <w:t>≤</w:t>
            </w:r>
            <w:r>
              <w:rPr>
                <w:rFonts w:eastAsia="仿宋"/>
                <w:szCs w:val="21"/>
              </w:rPr>
              <w:t>50</w:t>
            </w:r>
          </w:p>
        </w:tc>
        <w:tc>
          <w:tcPr>
            <w:tcW w:w="1176" w:type="dxa"/>
            <w:vAlign w:val="center"/>
          </w:tcPr>
          <w:p>
            <w:pPr>
              <w:jc w:val="center"/>
              <w:rPr>
                <w:rFonts w:eastAsia="仿宋"/>
                <w:szCs w:val="21"/>
              </w:rPr>
            </w:pPr>
            <w:r>
              <w:rPr>
                <w:rFonts w:hint="eastAsia" w:eastAsia="仿宋"/>
                <w:szCs w:val="21"/>
              </w:rPr>
              <w:t>≤</w:t>
            </w:r>
            <w:r>
              <w:rPr>
                <w:rFonts w:eastAsia="仿宋"/>
                <w:szCs w:val="21"/>
              </w:rPr>
              <w:t>10</w:t>
            </w:r>
          </w:p>
        </w:tc>
        <w:tc>
          <w:tcPr>
            <w:tcW w:w="1176" w:type="dxa"/>
            <w:vAlign w:val="center"/>
          </w:tcPr>
          <w:p>
            <w:pPr>
              <w:jc w:val="center"/>
              <w:rPr>
                <w:rFonts w:eastAsia="仿宋"/>
                <w:szCs w:val="21"/>
              </w:rPr>
            </w:pPr>
            <w:r>
              <w:rPr>
                <w:rFonts w:hint="eastAsia" w:eastAsia="仿宋"/>
                <w:szCs w:val="21"/>
              </w:rPr>
              <w:t>≤</w:t>
            </w:r>
            <w:r>
              <w:rPr>
                <w:rFonts w:eastAsia="仿宋"/>
                <w:szCs w:val="21"/>
              </w:rPr>
              <w:t>10</w:t>
            </w:r>
          </w:p>
        </w:tc>
        <w:tc>
          <w:tcPr>
            <w:tcW w:w="1176" w:type="dxa"/>
            <w:vAlign w:val="center"/>
          </w:tcPr>
          <w:p>
            <w:pPr>
              <w:jc w:val="center"/>
              <w:rPr>
                <w:rFonts w:eastAsia="仿宋"/>
                <w:szCs w:val="21"/>
              </w:rPr>
            </w:pPr>
            <w:r>
              <w:rPr>
                <w:rFonts w:hint="eastAsia" w:eastAsia="仿宋"/>
                <w:szCs w:val="21"/>
              </w:rPr>
              <w:t>≤</w:t>
            </w:r>
            <w:r>
              <w:rPr>
                <w:rFonts w:eastAsia="仿宋"/>
                <w:szCs w:val="21"/>
              </w:rPr>
              <w:t>15</w:t>
            </w:r>
          </w:p>
        </w:tc>
        <w:tc>
          <w:tcPr>
            <w:tcW w:w="1175" w:type="dxa"/>
            <w:vAlign w:val="center"/>
          </w:tcPr>
          <w:p>
            <w:pPr>
              <w:jc w:val="center"/>
              <w:rPr>
                <w:rFonts w:eastAsia="仿宋"/>
                <w:szCs w:val="21"/>
              </w:rPr>
            </w:pPr>
            <w:r>
              <w:rPr>
                <w:rFonts w:hint="eastAsia" w:eastAsia="仿宋"/>
                <w:szCs w:val="21"/>
              </w:rPr>
              <w:t>≤</w:t>
            </w:r>
            <w:r>
              <w:rPr>
                <w:rFonts w:eastAsia="仿宋"/>
                <w:szCs w:val="21"/>
              </w:rPr>
              <w:t>5</w:t>
            </w:r>
            <w:r>
              <w:rPr>
                <w:rFonts w:hint="eastAsia" w:eastAsia="仿宋"/>
                <w:szCs w:val="21"/>
              </w:rPr>
              <w:t>（</w:t>
            </w:r>
            <w:r>
              <w:rPr>
                <w:rFonts w:eastAsia="仿宋"/>
                <w:szCs w:val="21"/>
              </w:rPr>
              <w:t>8</w:t>
            </w:r>
            <w:r>
              <w:rPr>
                <w:rFonts w:hint="eastAsia" w:eastAsia="仿宋"/>
                <w:szCs w:val="21"/>
              </w:rPr>
              <w:t>）</w:t>
            </w:r>
          </w:p>
        </w:tc>
        <w:tc>
          <w:tcPr>
            <w:tcW w:w="1175" w:type="dxa"/>
            <w:vAlign w:val="center"/>
          </w:tcPr>
          <w:p>
            <w:pPr>
              <w:jc w:val="center"/>
              <w:rPr>
                <w:rFonts w:eastAsia="仿宋"/>
                <w:szCs w:val="21"/>
              </w:rPr>
            </w:pPr>
            <w:r>
              <w:rPr>
                <w:rFonts w:hint="eastAsia" w:eastAsia="仿宋"/>
                <w:szCs w:val="21"/>
              </w:rPr>
              <w:t>≤</w:t>
            </w:r>
            <w:r>
              <w:rPr>
                <w:rFonts w:eastAsia="仿宋"/>
                <w:szCs w:val="21"/>
              </w:rPr>
              <w:t>0.5</w:t>
            </w:r>
          </w:p>
        </w:tc>
      </w:tr>
    </w:tbl>
    <w:p>
      <w:pPr>
        <w:pStyle w:val="214"/>
        <w:spacing w:after="72"/>
      </w:pPr>
      <w:r>
        <w:t>乙方处理后的污水出水所有权归甲方，未经甲方的事先书面同意，乙方不得将处理后的污水出水提供给任何第三方。</w:t>
      </w:r>
      <w:bookmarkEnd w:id="389"/>
    </w:p>
    <w:p>
      <w:pPr>
        <w:pStyle w:val="213"/>
        <w:spacing w:after="120"/>
        <w:rPr>
          <w:rFonts w:ascii="Times New Roman" w:hAnsi="Times New Roman"/>
        </w:rPr>
      </w:pPr>
      <w:bookmarkStart w:id="390" w:name="_Ref483630925"/>
      <w:r>
        <w:rPr>
          <w:rFonts w:ascii="Times New Roman" w:hAnsi="Times New Roman"/>
        </w:rPr>
        <w:t>污水处理厂污染物排放标准</w:t>
      </w:r>
    </w:p>
    <w:p>
      <w:pPr>
        <w:pStyle w:val="214"/>
        <w:spacing w:after="72"/>
      </w:pPr>
      <w:r>
        <w:t>污水处理厂出水水质必须满足《城镇污水处理厂污染物排放标准》（GB18918-2002）一级A标准。如果发生法律变更，污水处理厂出水标准进行相应调整并满足适用法律的规定。</w:t>
      </w:r>
    </w:p>
    <w:p>
      <w:pPr>
        <w:pStyle w:val="214"/>
        <w:spacing w:after="72"/>
      </w:pPr>
      <w:bookmarkStart w:id="391" w:name="_Ref491883717"/>
      <w:r>
        <w:t>污水处理厂厂界恶臭污染物浓度应符合《城镇污水处理厂污染物排放标准》（GB18918-2002）二级标准和《恶臭污染物排放标准》（GB14554-93）的要求。</w:t>
      </w:r>
      <w:bookmarkEnd w:id="391"/>
    </w:p>
    <w:p>
      <w:pPr>
        <w:pStyle w:val="214"/>
        <w:spacing w:after="72"/>
      </w:pPr>
      <w:r>
        <w:t>污水处理厂厂界噪声应符合《工业企业厂界环境噪声排放标准》（GB12348-2008）中1类标准要求。建设期噪声应满足《建筑施工场界噪声限值》（GB12523-90）标准要求。</w:t>
      </w:r>
    </w:p>
    <w:bookmarkEnd w:id="390"/>
    <w:p>
      <w:pPr>
        <w:pStyle w:val="213"/>
        <w:spacing w:after="120"/>
        <w:rPr>
          <w:rFonts w:ascii="Times New Roman" w:hAnsi="Times New Roman"/>
        </w:rPr>
      </w:pPr>
      <w:bookmarkStart w:id="392" w:name="_Ref448754779"/>
      <w:r>
        <w:rPr>
          <w:rFonts w:ascii="Times New Roman" w:hAnsi="Times New Roman"/>
        </w:rPr>
        <w:t>水质检测</w:t>
      </w:r>
    </w:p>
    <w:p>
      <w:pPr>
        <w:pStyle w:val="218"/>
        <w:spacing w:after="72"/>
      </w:pPr>
      <w:r>
        <w:t>任一运营日乙方应对项目设施的进出水水质进行在线检测和人工检测。在线检测仅检测CODcr、总氮、氨氮和总磷</w:t>
      </w:r>
      <w:r>
        <w:rPr>
          <w:rFonts w:hint="eastAsia"/>
        </w:rPr>
        <w:t>四</w:t>
      </w:r>
      <w:r>
        <w:t>项指标，人工检测按照附件三中列明的项目和周期进行检测。</w:t>
      </w:r>
    </w:p>
    <w:p>
      <w:pPr>
        <w:pStyle w:val="214"/>
        <w:spacing w:after="72"/>
      </w:pPr>
      <w:r>
        <w:t>在线监测</w:t>
      </w:r>
    </w:p>
    <w:p>
      <w:pPr>
        <w:pStyle w:val="219"/>
        <w:spacing w:after="72"/>
      </w:pPr>
      <w:r>
        <w:t>乙方应保证在项目设施接收点和交付点处安装的在线检测装置符合环保部门要求。该装置应至少具备检测CODcr、总氮、氨氮、总磷</w:t>
      </w:r>
      <w:r>
        <w:rPr>
          <w:rFonts w:hint="eastAsia"/>
        </w:rPr>
        <w:t>四项</w:t>
      </w:r>
      <w:r>
        <w:t>指标和</w:t>
      </w:r>
      <w:r>
        <w:rPr>
          <w:rFonts w:hint="eastAsia"/>
        </w:rPr>
        <w:t>监测</w:t>
      </w:r>
      <w:r>
        <w:t>水量的功能。乙方应按照《水污染源在线检测系统运行与考核技术规范（试行）》（HJ/T355-2007）</w:t>
      </w:r>
      <w:r>
        <w:rPr>
          <w:rFonts w:hint="eastAsia"/>
        </w:rPr>
        <w:t>、</w:t>
      </w:r>
      <w:r>
        <w:t>《水污染源在线检测系统数据有效性判别技术规范（试行）》（HJ/ T356-2007）</w:t>
      </w:r>
      <w:r>
        <w:rPr>
          <w:rFonts w:hint="eastAsia"/>
        </w:rPr>
        <w:t>及其他水污染源在线检测最新规范标准</w:t>
      </w:r>
      <w:r>
        <w:t xml:space="preserve">和国家相关技术规范使用计量认证合格的在线检测设备对进水、出水水质和水量进行监测和计量，并与市环保部门联网。 </w:t>
      </w:r>
    </w:p>
    <w:p>
      <w:pPr>
        <w:pStyle w:val="219"/>
        <w:spacing w:after="72"/>
      </w:pPr>
      <w:r>
        <w:t>在线检测装置交由甲方/市环保局委托的具有相应资质的检测机构进行运营，检测费用及在线监测装置的维护费用由乙方承担。</w:t>
      </w:r>
    </w:p>
    <w:p>
      <w:pPr>
        <w:pStyle w:val="219"/>
        <w:spacing w:after="72"/>
      </w:pPr>
      <w:bookmarkStart w:id="393" w:name="_Ref492999621"/>
      <w:r>
        <w:t>乙方应按照有关规定对在线检测设备定期进行检验和校准，不得擅自拆除、闲置或损毁。如在线检测装置出现故障，并且无法合理追溯确认水质检测结果时，水质检测结果以人工检测结果为准。同时，必须立即启动运行应急服务预案，并在两小时内报告甲方和环保部门以及相关部门。</w:t>
      </w:r>
      <w:bookmarkEnd w:id="393"/>
    </w:p>
    <w:p>
      <w:pPr>
        <w:pStyle w:val="214"/>
        <w:spacing w:after="72"/>
      </w:pPr>
      <w:r>
        <w:t>人工监测</w:t>
      </w:r>
    </w:p>
    <w:p>
      <w:pPr>
        <w:pStyle w:val="219"/>
        <w:spacing w:after="72"/>
      </w:pPr>
      <w:bookmarkStart w:id="394" w:name="_Ref147764077"/>
      <w:r>
        <w:t>水样采集</w:t>
      </w:r>
      <w:bookmarkEnd w:id="394"/>
    </w:p>
    <w:p>
      <w:pPr>
        <w:numPr>
          <w:ilvl w:val="0"/>
          <w:numId w:val="20"/>
        </w:numPr>
        <w:spacing w:before="50" w:after="50" w:line="360" w:lineRule="auto"/>
        <w:ind w:left="1701" w:hanging="2"/>
        <w:rPr>
          <w:szCs w:val="21"/>
        </w:rPr>
      </w:pPr>
      <w:bookmarkStart w:id="395" w:name="_Ref145947800"/>
      <w:r>
        <w:rPr>
          <w:szCs w:val="21"/>
        </w:rPr>
        <w:t>每日提取的混合水样应分装A和B两瓶，A瓶用于乙方自行检测，B瓶留作备用水样。每瓶备用水样应不少于二千（2000）毫升，瓶上须明确标明采样人、采样日期和采样点，进水和出水的备用水样须分开在4</w:t>
      </w:r>
      <w:r>
        <w:rPr>
          <w:rFonts w:hint="eastAsia" w:ascii="宋体" w:hAnsi="宋体" w:cs="宋体"/>
          <w:szCs w:val="21"/>
        </w:rPr>
        <w:t>℃</w:t>
      </w:r>
      <w:r>
        <w:rPr>
          <w:szCs w:val="21"/>
        </w:rPr>
        <w:t>保存，保存时限为四十八（48）小时。</w:t>
      </w:r>
      <w:bookmarkEnd w:id="395"/>
    </w:p>
    <w:p>
      <w:pPr>
        <w:numPr>
          <w:ilvl w:val="0"/>
          <w:numId w:val="20"/>
        </w:numPr>
        <w:spacing w:before="50" w:after="50" w:line="360" w:lineRule="auto"/>
        <w:ind w:left="1701" w:hanging="2"/>
        <w:rPr>
          <w:szCs w:val="21"/>
        </w:rPr>
      </w:pPr>
      <w:r>
        <w:rPr>
          <w:szCs w:val="21"/>
        </w:rPr>
        <w:t>用于检测水质的进水水样和出水水样应分别在接收点和交付点采集。</w:t>
      </w:r>
    </w:p>
    <w:p>
      <w:pPr>
        <w:numPr>
          <w:ilvl w:val="0"/>
          <w:numId w:val="20"/>
        </w:numPr>
        <w:spacing w:before="50" w:after="50" w:line="360" w:lineRule="auto"/>
        <w:ind w:left="1701" w:hanging="2"/>
        <w:rPr>
          <w:szCs w:val="21"/>
        </w:rPr>
      </w:pPr>
      <w:r>
        <w:rPr>
          <w:szCs w:val="21"/>
        </w:rPr>
        <w:t>水样的采集应满足国家标准《水质采样方案设计技术规定》（GB 12997-91）和国家标准《水质采样技术指导》（GB 12998-91）以及《地表水和污水监测技术规范》（HJ/T91-2002）的要求，今后发生法律变更时应满足按照当时适用法律规定要求。</w:t>
      </w:r>
    </w:p>
    <w:p>
      <w:pPr>
        <w:numPr>
          <w:ilvl w:val="0"/>
          <w:numId w:val="20"/>
        </w:numPr>
        <w:spacing w:before="50" w:after="50" w:line="360" w:lineRule="auto"/>
        <w:ind w:left="1701" w:hanging="2"/>
        <w:rPr>
          <w:szCs w:val="21"/>
        </w:rPr>
      </w:pPr>
      <w:r>
        <w:rPr>
          <w:szCs w:val="21"/>
        </w:rPr>
        <w:t>水样储存应满足国家标准《水质采样样品的保存和管理技术规定》（GB 12999-91）的要求，今后发生法律变更时应满足按照当时适用法律规定要求。</w:t>
      </w:r>
    </w:p>
    <w:p>
      <w:pPr>
        <w:pStyle w:val="219"/>
        <w:spacing w:after="72"/>
        <w:ind w:left="0" w:firstLine="1239" w:firstLineChars="590"/>
      </w:pPr>
      <w:r>
        <w:t>指标检测</w:t>
      </w:r>
    </w:p>
    <w:p>
      <w:pPr>
        <w:numPr>
          <w:ilvl w:val="0"/>
          <w:numId w:val="21"/>
        </w:numPr>
        <w:spacing w:before="50" w:after="50" w:line="360" w:lineRule="auto"/>
        <w:ind w:left="1701" w:firstLine="0"/>
        <w:rPr>
          <w:szCs w:val="21"/>
        </w:rPr>
      </w:pPr>
      <w:r>
        <w:rPr>
          <w:szCs w:val="21"/>
        </w:rPr>
        <w:t>各种水质指标的检测分析方法现按《城镇污水处理厂污染物排放标准》（GB18918-2002）规定进行，今后发生法律变更时按照当时适用法律规定进行；</w:t>
      </w:r>
    </w:p>
    <w:p>
      <w:pPr>
        <w:numPr>
          <w:ilvl w:val="0"/>
          <w:numId w:val="21"/>
        </w:numPr>
        <w:spacing w:before="50" w:after="50" w:line="360" w:lineRule="auto"/>
        <w:ind w:left="1701" w:hanging="2"/>
        <w:rPr>
          <w:szCs w:val="21"/>
        </w:rPr>
      </w:pPr>
      <w:r>
        <w:rPr>
          <w:szCs w:val="21"/>
        </w:rPr>
        <w:t>乙方应按《中华人民共和国强制检定的工作计量器具检定管理办法》（国发[1987]31号）对水质检测设备进行校验，今后发生法律变更时按照当时适用法律规定进行校验。</w:t>
      </w:r>
    </w:p>
    <w:p>
      <w:pPr>
        <w:pStyle w:val="214"/>
        <w:spacing w:after="72"/>
      </w:pPr>
      <w:r>
        <w:rPr>
          <w:szCs w:val="28"/>
        </w:rPr>
        <w:t>水质检测结果：</w:t>
      </w:r>
    </w:p>
    <w:p>
      <w:pPr>
        <w:pStyle w:val="219"/>
        <w:spacing w:after="72"/>
        <w:ind w:left="1239" w:leftChars="589" w:hanging="2"/>
      </w:pPr>
      <w:r>
        <w:t>在线检测指标的数据收集于每日上午9：00开始，每隔二（2）小时收集一次，计算每日收集的CODcr、总氮、氨氮和总磷</w:t>
      </w:r>
      <w:r>
        <w:rPr>
          <w:rFonts w:hint="eastAsia"/>
        </w:rPr>
        <w:t>四</w:t>
      </w:r>
      <w:r>
        <w:t>项指标的12组数据的平均值，以该</w:t>
      </w:r>
      <w:r>
        <w:rPr>
          <w:rFonts w:hint="eastAsia"/>
        </w:rPr>
        <w:t>四</w:t>
      </w:r>
      <w:r>
        <w:t>项指标的平均值作为该日该</w:t>
      </w:r>
      <w:r>
        <w:rPr>
          <w:rFonts w:hint="eastAsia"/>
        </w:rPr>
        <w:t>四</w:t>
      </w:r>
      <w:r>
        <w:t>项指标的在线检测结果。</w:t>
      </w:r>
    </w:p>
    <w:p>
      <w:pPr>
        <w:pStyle w:val="219"/>
        <w:spacing w:after="72"/>
        <w:ind w:left="1241" w:leftChars="590" w:hanging="2"/>
      </w:pPr>
      <w:r>
        <w:t>检测机构将按照甲方的要求将收集到的在线检测指标数据发送到甲方及其指定机构的监测平台。</w:t>
      </w:r>
    </w:p>
    <w:p>
      <w:pPr>
        <w:pStyle w:val="219"/>
        <w:spacing w:after="72"/>
        <w:ind w:left="1241" w:leftChars="590" w:hanging="2"/>
      </w:pPr>
      <w:r>
        <w:t>受限于第</w:t>
      </w:r>
      <w:r>
        <w:fldChar w:fldCharType="begin"/>
      </w:r>
      <w:r>
        <w:instrText xml:space="preserve"> REF _Ref492999621 \r \h  \* MERGEFORMAT </w:instrText>
      </w:r>
      <w:r>
        <w:fldChar w:fldCharType="separate"/>
      </w:r>
      <w:r>
        <w:t>11.4.1(c)</w:t>
      </w:r>
      <w:r>
        <w:fldChar w:fldCharType="end"/>
      </w:r>
      <w:r>
        <w:t>条款，除CODcr、总氮、氨氮和总磷</w:t>
      </w:r>
      <w:r>
        <w:rPr>
          <w:rFonts w:hint="eastAsia"/>
        </w:rPr>
        <w:t>四</w:t>
      </w:r>
      <w:r>
        <w:t>项指标之外的其他水质检测指标的检测结果以人工检测所得的检测结果为准。</w:t>
      </w:r>
    </w:p>
    <w:p>
      <w:pPr>
        <w:pStyle w:val="219"/>
        <w:spacing w:after="72"/>
        <w:ind w:left="1241" w:leftChars="590" w:hanging="2"/>
      </w:pPr>
      <w:r>
        <w:t>乙方应如实记录每一运营日的计算结果，将人工检测所得的水质检测结果按附件二</w:t>
      </w:r>
      <w:r>
        <w:rPr>
          <w:rFonts w:hint="eastAsia"/>
        </w:rPr>
        <w:t>约</w:t>
      </w:r>
      <w:r>
        <w:t>定的格式填写，作为该日水质检测结果，且在任何出水水质指标超标或进水水质指标超标时，乙方应立即通知甲方。</w:t>
      </w:r>
    </w:p>
    <w:p>
      <w:pPr>
        <w:pStyle w:val="214"/>
        <w:spacing w:after="72"/>
      </w:pPr>
      <w:r>
        <w:rPr>
          <w:szCs w:val="28"/>
        </w:rPr>
        <w:t>甲方/相关政府部门的核实和抽查</w:t>
      </w:r>
    </w:p>
    <w:p>
      <w:pPr>
        <w:pStyle w:val="219"/>
        <w:spacing w:after="72"/>
        <w:ind w:left="1241" w:leftChars="590" w:hanging="2"/>
      </w:pPr>
      <w:r>
        <w:t>甲方/相关政府部门有权指定代表在任何时候对乙方的检测程序、结果、设备和仪器进行现场检查和检测。</w:t>
      </w:r>
    </w:p>
    <w:p>
      <w:pPr>
        <w:pStyle w:val="219"/>
        <w:spacing w:after="72"/>
        <w:ind w:left="1241" w:leftChars="590" w:hanging="2"/>
      </w:pPr>
      <w:r>
        <w:t>甲方/相关政府部门有权随时亲自或委托一家具有正式资格的水质检测机构在采样点按第</w:t>
      </w:r>
      <w:r>
        <w:fldChar w:fldCharType="begin"/>
      </w:r>
      <w:r>
        <w:instrText xml:space="preserve"> REF _Ref147764077 \r \h  \* MERGEFORMAT </w:instrText>
      </w:r>
      <w:r>
        <w:fldChar w:fldCharType="separate"/>
      </w:r>
      <w:r>
        <w:t>11.4.2(a)</w:t>
      </w:r>
      <w:r>
        <w:fldChar w:fldCharType="end"/>
      </w:r>
      <w:r>
        <w:t>条款约定自行采取水样，对附件三中列明的指标进行抽查，以核实乙方提供的结果。甲方/主管部门抽查采样时须有乙方人员在场。经通知后，乙方人员拒不到场的，不影响抽查结果的有效性。</w:t>
      </w:r>
    </w:p>
    <w:p>
      <w:pPr>
        <w:pStyle w:val="219"/>
        <w:spacing w:after="72"/>
        <w:ind w:left="1241" w:leftChars="590" w:hanging="2"/>
      </w:pPr>
      <w:r>
        <w:t>乙方出具的水质检测结果只能作为其企业管理依据，甲方/相关政府部门核实或抽查的结果与乙方自检结果不一致时，以甲方/相关政府部门检测结果为准。如果乙方对此有异议，甲方可以另行委托有资质的独立的第三方专业检测机构进行检测，该检测结果双方均应认可。</w:t>
      </w:r>
    </w:p>
    <w:p>
      <w:pPr>
        <w:pStyle w:val="219"/>
        <w:spacing w:after="72"/>
        <w:ind w:left="1241" w:leftChars="590" w:hanging="2"/>
      </w:pPr>
      <w:r>
        <w:t>甲方/相关政府部门应按上述规定对乙方的水质数据至少</w:t>
      </w:r>
      <w:r>
        <w:rPr>
          <w:rFonts w:hint="eastAsia"/>
        </w:rPr>
        <w:t>每月</w:t>
      </w:r>
      <w:r>
        <w:t>抽查一（1）次，并以双方认可的数据作为校核在线检测设备的依据对在线检测设备进行校核。</w:t>
      </w:r>
    </w:p>
    <w:p>
      <w:pPr>
        <w:pStyle w:val="213"/>
        <w:spacing w:after="120"/>
        <w:rPr>
          <w:rFonts w:ascii="Times New Roman" w:hAnsi="Times New Roman"/>
        </w:rPr>
      </w:pPr>
      <w:r>
        <w:rPr>
          <w:rFonts w:ascii="Times New Roman" w:hAnsi="Times New Roman"/>
        </w:rPr>
        <w:t>进水、出水水质超标</w:t>
      </w:r>
    </w:p>
    <w:p>
      <w:pPr>
        <w:pStyle w:val="214"/>
        <w:spacing w:after="72"/>
        <w:rPr>
          <w:szCs w:val="28"/>
        </w:rPr>
      </w:pPr>
      <w:r>
        <w:rPr>
          <w:szCs w:val="28"/>
        </w:rPr>
        <w:t>在经营期内，若进水水质中任何一项指标超出第</w:t>
      </w:r>
      <w:r>
        <w:fldChar w:fldCharType="begin"/>
      </w:r>
      <w:r>
        <w:instrText xml:space="preserve"> REF _Ref492999660 \r \h  \* MERGEFORMAT </w:instrText>
      </w:r>
      <w:r>
        <w:fldChar w:fldCharType="separate"/>
      </w:r>
      <w:r>
        <w:rPr>
          <w:szCs w:val="28"/>
        </w:rPr>
        <w:t>11.2</w:t>
      </w:r>
      <w:r>
        <w:rPr>
          <w:szCs w:val="28"/>
        </w:rPr>
        <w:fldChar w:fldCharType="end"/>
      </w:r>
      <w:r>
        <w:rPr>
          <w:szCs w:val="28"/>
        </w:rPr>
        <w:t>条款所列标准，则视为进水水质超标。若进水水质超标，按附件三作出相应处理。</w:t>
      </w:r>
    </w:p>
    <w:p>
      <w:pPr>
        <w:pStyle w:val="214"/>
        <w:spacing w:after="72"/>
        <w:rPr>
          <w:szCs w:val="28"/>
        </w:rPr>
      </w:pPr>
      <w:r>
        <w:rPr>
          <w:szCs w:val="28"/>
        </w:rPr>
        <w:t>出水水质超标和超标日数的计算</w:t>
      </w:r>
    </w:p>
    <w:p>
      <w:pPr>
        <w:pStyle w:val="219"/>
        <w:numPr>
          <w:ilvl w:val="0"/>
          <w:numId w:val="0"/>
        </w:numPr>
        <w:spacing w:after="72"/>
        <w:ind w:left="1418"/>
      </w:pPr>
      <w:r>
        <w:t>如果任何一种出水水质指标</w:t>
      </w:r>
      <w:r>
        <w:rPr>
          <w:rFonts w:hint="eastAsia"/>
        </w:rPr>
        <w:t>日均值</w:t>
      </w:r>
      <w:r>
        <w:t>超过出水质量标准，当日出水应视为超标，出水水质超标日数应按一（1）日计算。</w:t>
      </w:r>
    </w:p>
    <w:p>
      <w:pPr>
        <w:pStyle w:val="214"/>
        <w:spacing w:after="72"/>
        <w:rPr>
          <w:szCs w:val="28"/>
        </w:rPr>
      </w:pPr>
      <w:r>
        <w:rPr>
          <w:szCs w:val="28"/>
        </w:rPr>
        <w:t>水质超标的通知</w:t>
      </w:r>
    </w:p>
    <w:p>
      <w:pPr>
        <w:pStyle w:val="219"/>
        <w:numPr>
          <w:ilvl w:val="0"/>
          <w:numId w:val="0"/>
        </w:numPr>
        <w:spacing w:after="72"/>
        <w:ind w:left="1814" w:hanging="396"/>
      </w:pPr>
      <w:r>
        <w:t>乙方在水质监测中发现下列任何情况，应立即书面通知甲方：</w:t>
      </w:r>
    </w:p>
    <w:p>
      <w:pPr>
        <w:pStyle w:val="219"/>
        <w:spacing w:after="72"/>
      </w:pPr>
      <w:r>
        <w:t>任何一种进水水质指标超标；或</w:t>
      </w:r>
    </w:p>
    <w:p>
      <w:pPr>
        <w:pStyle w:val="219"/>
        <w:spacing w:after="72"/>
      </w:pPr>
      <w:r>
        <w:t xml:space="preserve">任何一种出水水质指标超标。 </w:t>
      </w:r>
    </w:p>
    <w:p>
      <w:pPr>
        <w:pStyle w:val="219"/>
        <w:spacing w:after="72"/>
      </w:pPr>
      <w:r>
        <w:t>上述通知应包括所有有关测试结果以及就此等超标情况所作的其他有关调查的结果的详情，还应包括乙方对超标情况可能持续的期限所作的最佳预测，以及引起此等状况的原因，包括乙方声称的任何有关不可抗力的详情和所采取的补救措施的详细描述。</w:t>
      </w:r>
    </w:p>
    <w:p>
      <w:pPr>
        <w:pStyle w:val="213"/>
        <w:spacing w:after="120"/>
        <w:rPr>
          <w:rFonts w:ascii="Times New Roman" w:hAnsi="Times New Roman"/>
        </w:rPr>
      </w:pPr>
      <w:bookmarkStart w:id="396" w:name="_Ref493000033"/>
      <w:r>
        <w:rPr>
          <w:rFonts w:ascii="Times New Roman" w:hAnsi="Times New Roman"/>
        </w:rPr>
        <w:t>出水水质超标的违约金及其支付</w:t>
      </w:r>
      <w:bookmarkEnd w:id="392"/>
      <w:bookmarkEnd w:id="396"/>
    </w:p>
    <w:bookmarkEnd w:id="386"/>
    <w:bookmarkEnd w:id="387"/>
    <w:p>
      <w:pPr>
        <w:pStyle w:val="214"/>
        <w:spacing w:after="72"/>
        <w:rPr>
          <w:szCs w:val="28"/>
        </w:rPr>
      </w:pPr>
      <w:bookmarkStart w:id="397" w:name="_Toc395258197"/>
      <w:bookmarkStart w:id="398" w:name="_Toc144196996"/>
      <w:bookmarkStart w:id="399" w:name="_Ref238723280"/>
      <w:r>
        <w:rPr>
          <w:szCs w:val="28"/>
        </w:rPr>
        <w:t>出水水质超标的违约金</w:t>
      </w:r>
      <w:bookmarkEnd w:id="397"/>
      <w:bookmarkEnd w:id="398"/>
      <w:bookmarkEnd w:id="399"/>
    </w:p>
    <w:p>
      <w:pPr>
        <w:pStyle w:val="218"/>
        <w:spacing w:after="72"/>
      </w:pPr>
      <w:r>
        <w:t>出水水质超标，以污染物排放量和污染物的当量值为标准进行计算。某一污染物当量数的计算：</w:t>
      </w:r>
    </w:p>
    <w:p>
      <w:pPr>
        <w:pStyle w:val="221"/>
        <w:spacing w:beforeLines="50" w:afterLines="50" w:line="360" w:lineRule="auto"/>
        <w:rPr>
          <w:rFonts w:cs="Times New Roman"/>
        </w:rPr>
      </w:pPr>
      <w:r>
        <w:rPr>
          <w:rFonts w:hint="eastAsia" w:cs="Times New Roman"/>
        </w:rPr>
        <w:t>污染当量数</w:t>
      </w:r>
      <w:r>
        <w:rPr>
          <w:rFonts w:cs="Times New Roman"/>
        </w:rPr>
        <w:t>=</w:t>
      </w:r>
      <w:r>
        <w:rPr>
          <w:rFonts w:hint="eastAsia" w:cs="Times New Roman"/>
        </w:rPr>
        <w:t>该污染物排放量（千克）</w:t>
      </w:r>
      <w:r>
        <w:rPr>
          <w:rFonts w:cs="Times New Roman"/>
        </w:rPr>
        <w:t>÷</w:t>
      </w:r>
      <w:r>
        <w:rPr>
          <w:rFonts w:hint="eastAsia" w:cs="Times New Roman"/>
        </w:rPr>
        <w:t>该污染物的污染当量值（千克）</w:t>
      </w:r>
    </w:p>
    <w:p>
      <w:pPr>
        <w:pStyle w:val="221"/>
        <w:spacing w:beforeLines="50" w:afterLines="50" w:line="360" w:lineRule="auto"/>
        <w:rPr>
          <w:rFonts w:cs="Times New Roman"/>
        </w:rPr>
      </w:pPr>
      <w:r>
        <w:rPr>
          <w:rFonts w:hint="eastAsia" w:cs="Times New Roman"/>
        </w:rPr>
        <w:t>其中：污染物的排放量</w:t>
      </w:r>
      <w:r>
        <w:rPr>
          <w:rFonts w:cs="Times New Roman"/>
        </w:rPr>
        <w:t>=</w:t>
      </w:r>
      <w:r>
        <w:rPr>
          <w:rFonts w:hint="eastAsia" w:cs="Times New Roman"/>
        </w:rPr>
        <w:t>（出水污染物的实际浓度－出水水质允许达标排放的浓度）</w:t>
      </w:r>
      <w:r>
        <w:rPr>
          <w:rFonts w:cs="Times New Roman"/>
        </w:rPr>
        <w:t>×</w:t>
      </w:r>
      <w:r>
        <w:rPr>
          <w:rFonts w:hint="eastAsia" w:cs="Times New Roman"/>
        </w:rPr>
        <w:t>当日出水水量</w:t>
      </w:r>
    </w:p>
    <w:p>
      <w:pPr>
        <w:pStyle w:val="221"/>
        <w:spacing w:beforeLines="50" w:afterLines="50" w:line="360" w:lineRule="auto"/>
        <w:rPr>
          <w:rFonts w:cs="Times New Roman"/>
        </w:rPr>
      </w:pPr>
      <w:r>
        <w:rPr>
          <w:rFonts w:cs="Times New Roman"/>
        </w:rPr>
        <w:t>各种污染物的污染当量值见下表：</w:t>
      </w:r>
    </w:p>
    <w:tbl>
      <w:tblPr>
        <w:tblStyle w:val="52"/>
        <w:tblW w:w="7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690"/>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rFonts w:hint="eastAsia"/>
                <w:szCs w:val="21"/>
              </w:rPr>
              <w:t>序号</w:t>
            </w:r>
          </w:p>
        </w:tc>
        <w:tc>
          <w:tcPr>
            <w:tcW w:w="2690" w:type="dxa"/>
            <w:vAlign w:val="center"/>
          </w:tcPr>
          <w:p>
            <w:pPr>
              <w:jc w:val="center"/>
              <w:rPr>
                <w:szCs w:val="21"/>
              </w:rPr>
            </w:pPr>
            <w:r>
              <w:rPr>
                <w:rFonts w:hint="eastAsia"/>
                <w:szCs w:val="21"/>
              </w:rPr>
              <w:t>污染物</w:t>
            </w:r>
          </w:p>
        </w:tc>
        <w:tc>
          <w:tcPr>
            <w:tcW w:w="3167" w:type="dxa"/>
            <w:vAlign w:val="center"/>
          </w:tcPr>
          <w:p>
            <w:pPr>
              <w:jc w:val="center"/>
              <w:rPr>
                <w:szCs w:val="21"/>
              </w:rPr>
            </w:pPr>
            <w:r>
              <w:rPr>
                <w:rFonts w:hint="eastAsia"/>
                <w:szCs w:val="21"/>
              </w:rPr>
              <w:t>污染当量值（千克）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1</w:t>
            </w:r>
          </w:p>
        </w:tc>
        <w:tc>
          <w:tcPr>
            <w:tcW w:w="2690" w:type="dxa"/>
            <w:vAlign w:val="center"/>
          </w:tcPr>
          <w:p>
            <w:pPr>
              <w:jc w:val="center"/>
              <w:rPr>
                <w:szCs w:val="21"/>
              </w:rPr>
            </w:pPr>
            <w:r>
              <w:rPr>
                <w:rFonts w:hint="eastAsia"/>
                <w:szCs w:val="21"/>
              </w:rPr>
              <w:t>化学需氧量（</w:t>
            </w:r>
            <w:r>
              <w:rPr>
                <w:szCs w:val="21"/>
              </w:rPr>
              <w:t>COD</w:t>
            </w:r>
            <w:r>
              <w:rPr>
                <w:szCs w:val="21"/>
                <w:vertAlign w:val="subscript"/>
              </w:rPr>
              <w:t>cr</w:t>
            </w:r>
            <w:r>
              <w:rPr>
                <w:rFonts w:hint="eastAsia"/>
                <w:szCs w:val="21"/>
              </w:rPr>
              <w:t>）</w:t>
            </w:r>
          </w:p>
        </w:tc>
        <w:tc>
          <w:tcPr>
            <w:tcW w:w="3167" w:type="dxa"/>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2</w:t>
            </w:r>
          </w:p>
        </w:tc>
        <w:tc>
          <w:tcPr>
            <w:tcW w:w="2690" w:type="dxa"/>
            <w:vAlign w:val="center"/>
          </w:tcPr>
          <w:p>
            <w:pPr>
              <w:jc w:val="center"/>
              <w:rPr>
                <w:szCs w:val="21"/>
              </w:rPr>
            </w:pPr>
            <w:r>
              <w:rPr>
                <w:rFonts w:hint="eastAsia"/>
                <w:szCs w:val="21"/>
              </w:rPr>
              <w:t>生物需氧量（</w:t>
            </w:r>
            <w:r>
              <w:rPr>
                <w:szCs w:val="21"/>
              </w:rPr>
              <w:t>BOD</w:t>
            </w:r>
            <w:r>
              <w:rPr>
                <w:szCs w:val="21"/>
                <w:vertAlign w:val="subscript"/>
              </w:rPr>
              <w:t>5</w:t>
            </w:r>
            <w:r>
              <w:rPr>
                <w:rFonts w:hint="eastAsia"/>
                <w:szCs w:val="21"/>
              </w:rPr>
              <w:t>）</w:t>
            </w:r>
          </w:p>
        </w:tc>
        <w:tc>
          <w:tcPr>
            <w:tcW w:w="3167" w:type="dxa"/>
            <w:vAlign w:val="center"/>
          </w:tcPr>
          <w:p>
            <w:pPr>
              <w:jc w:val="center"/>
              <w:rPr>
                <w:szCs w:val="21"/>
              </w:rPr>
            </w:pP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3</w:t>
            </w:r>
          </w:p>
        </w:tc>
        <w:tc>
          <w:tcPr>
            <w:tcW w:w="2690" w:type="dxa"/>
            <w:vAlign w:val="center"/>
          </w:tcPr>
          <w:p>
            <w:pPr>
              <w:jc w:val="center"/>
              <w:rPr>
                <w:szCs w:val="21"/>
              </w:rPr>
            </w:pPr>
            <w:r>
              <w:rPr>
                <w:rFonts w:hint="eastAsia"/>
                <w:szCs w:val="21"/>
              </w:rPr>
              <w:t>悬浮物（</w:t>
            </w:r>
            <w:r>
              <w:rPr>
                <w:szCs w:val="21"/>
              </w:rPr>
              <w:t>SS</w:t>
            </w:r>
            <w:r>
              <w:rPr>
                <w:rFonts w:hint="eastAsia"/>
                <w:szCs w:val="21"/>
              </w:rPr>
              <w:t>）</w:t>
            </w:r>
          </w:p>
        </w:tc>
        <w:tc>
          <w:tcPr>
            <w:tcW w:w="3167" w:type="dxa"/>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4</w:t>
            </w:r>
          </w:p>
        </w:tc>
        <w:tc>
          <w:tcPr>
            <w:tcW w:w="2690" w:type="dxa"/>
            <w:vAlign w:val="center"/>
          </w:tcPr>
          <w:p>
            <w:pPr>
              <w:jc w:val="center"/>
              <w:rPr>
                <w:szCs w:val="21"/>
              </w:rPr>
            </w:pPr>
            <w:r>
              <w:rPr>
                <w:rFonts w:hint="eastAsia"/>
                <w:szCs w:val="21"/>
              </w:rPr>
              <w:t>总氮（</w:t>
            </w:r>
            <w:r>
              <w:rPr>
                <w:szCs w:val="21"/>
              </w:rPr>
              <w:t>TN</w:t>
            </w:r>
            <w:r>
              <w:rPr>
                <w:rFonts w:hint="eastAsia"/>
                <w:szCs w:val="21"/>
              </w:rPr>
              <w:t>）</w:t>
            </w:r>
          </w:p>
        </w:tc>
        <w:tc>
          <w:tcPr>
            <w:tcW w:w="3167" w:type="dxa"/>
            <w:vAlign w:val="center"/>
          </w:tcPr>
          <w:p>
            <w:pPr>
              <w:jc w:val="center"/>
              <w:rPr>
                <w:szCs w:val="21"/>
              </w:rPr>
            </w:pP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5</w:t>
            </w:r>
          </w:p>
        </w:tc>
        <w:tc>
          <w:tcPr>
            <w:tcW w:w="2690" w:type="dxa"/>
            <w:vAlign w:val="center"/>
          </w:tcPr>
          <w:p>
            <w:pPr>
              <w:jc w:val="center"/>
              <w:rPr>
                <w:szCs w:val="21"/>
              </w:rPr>
            </w:pPr>
            <w:r>
              <w:rPr>
                <w:rFonts w:hint="eastAsia"/>
                <w:szCs w:val="21"/>
              </w:rPr>
              <w:t>氨氮</w:t>
            </w:r>
          </w:p>
        </w:tc>
        <w:tc>
          <w:tcPr>
            <w:tcW w:w="3167" w:type="dxa"/>
            <w:vAlign w:val="center"/>
          </w:tcPr>
          <w:p>
            <w:pPr>
              <w:jc w:val="center"/>
              <w:rPr>
                <w:szCs w:val="21"/>
              </w:rPr>
            </w:pP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69" w:type="dxa"/>
            <w:vAlign w:val="center"/>
          </w:tcPr>
          <w:p>
            <w:pPr>
              <w:jc w:val="center"/>
              <w:rPr>
                <w:szCs w:val="21"/>
              </w:rPr>
            </w:pPr>
            <w:r>
              <w:rPr>
                <w:szCs w:val="21"/>
              </w:rPr>
              <w:t>6</w:t>
            </w:r>
          </w:p>
        </w:tc>
        <w:tc>
          <w:tcPr>
            <w:tcW w:w="2690" w:type="dxa"/>
            <w:vAlign w:val="center"/>
          </w:tcPr>
          <w:p>
            <w:pPr>
              <w:jc w:val="center"/>
              <w:rPr>
                <w:szCs w:val="21"/>
              </w:rPr>
            </w:pPr>
            <w:r>
              <w:rPr>
                <w:rFonts w:hint="eastAsia"/>
                <w:szCs w:val="21"/>
              </w:rPr>
              <w:t>总磷</w:t>
            </w:r>
          </w:p>
        </w:tc>
        <w:tc>
          <w:tcPr>
            <w:tcW w:w="3167" w:type="dxa"/>
            <w:vAlign w:val="center"/>
          </w:tcPr>
          <w:p>
            <w:pPr>
              <w:jc w:val="center"/>
              <w:rPr>
                <w:szCs w:val="21"/>
              </w:rPr>
            </w:pPr>
            <w:r>
              <w:rPr>
                <w:szCs w:val="21"/>
              </w:rPr>
              <w:t>0.25</w:t>
            </w:r>
          </w:p>
        </w:tc>
      </w:tr>
    </w:tbl>
    <w:p>
      <w:pPr>
        <w:pStyle w:val="214"/>
        <w:spacing w:after="72"/>
        <w:rPr>
          <w:szCs w:val="28"/>
        </w:rPr>
      </w:pPr>
      <w:r>
        <w:rPr>
          <w:szCs w:val="28"/>
        </w:rPr>
        <w:t>出水水质超标违约金</w:t>
      </w:r>
    </w:p>
    <w:p>
      <w:pPr>
        <w:pStyle w:val="218"/>
        <w:spacing w:after="72"/>
      </w:pPr>
      <w:r>
        <w:t>除总氮（TN）外的任一出水水质指标超标违约金＝污水处理服务费单价×前三项（从大到小排列）污染物当量数之和×</w:t>
      </w:r>
      <w:r>
        <w:rPr>
          <w:rFonts w:hint="eastAsia"/>
        </w:rPr>
        <w:t>2</w:t>
      </w:r>
    </w:p>
    <w:p>
      <w:pPr>
        <w:pStyle w:val="218"/>
        <w:spacing w:after="72"/>
      </w:pPr>
      <w:r>
        <w:t>总氮（TN）指标超标的违约金=污水处理服务费单价×TN污染物当量数×</w:t>
      </w:r>
      <w:r>
        <w:rPr>
          <w:rFonts w:hint="eastAsia"/>
        </w:rPr>
        <w:t>2</w:t>
      </w:r>
    </w:p>
    <w:p>
      <w:pPr>
        <w:pStyle w:val="214"/>
        <w:spacing w:after="72"/>
        <w:rPr>
          <w:szCs w:val="28"/>
        </w:rPr>
      </w:pPr>
      <w:r>
        <w:rPr>
          <w:szCs w:val="28"/>
        </w:rPr>
        <w:t>违约金的支付</w:t>
      </w:r>
    </w:p>
    <w:p>
      <w:pPr>
        <w:pStyle w:val="218"/>
        <w:spacing w:after="72"/>
      </w:pPr>
      <w:r>
        <w:t>乙方应根据第</w:t>
      </w:r>
      <w:r>
        <w:fldChar w:fldCharType="begin"/>
      </w:r>
      <w:r>
        <w:instrText xml:space="preserve"> REF _Ref493000033 \r \h  \* MERGEFORMAT </w:instrText>
      </w:r>
      <w:r>
        <w:fldChar w:fldCharType="separate"/>
      </w:r>
      <w:r>
        <w:t>11.6</w:t>
      </w:r>
      <w:r>
        <w:fldChar w:fldCharType="end"/>
      </w:r>
      <w:r>
        <w:t>条款向甲方支付违约金，经甲方通知后，乙方应向甲方开具当前账单时将所承担的违约金从</w:t>
      </w:r>
      <w:r>
        <w:rPr>
          <w:rFonts w:hint="eastAsia"/>
        </w:rPr>
        <w:t>当季</w:t>
      </w:r>
      <w:r>
        <w:t>污水处理服务费总额中扣减</w:t>
      </w:r>
      <w:r>
        <w:rPr>
          <w:rFonts w:hint="eastAsia"/>
        </w:rPr>
        <w:t>，扣完为止</w:t>
      </w:r>
      <w:r>
        <w:t>。</w:t>
      </w:r>
    </w:p>
    <w:p>
      <w:pPr>
        <w:pStyle w:val="213"/>
        <w:spacing w:after="120"/>
        <w:rPr>
          <w:rFonts w:ascii="Times New Roman" w:hAnsi="Times New Roman"/>
        </w:rPr>
      </w:pPr>
      <w:r>
        <w:rPr>
          <w:rFonts w:ascii="Times New Roman" w:hAnsi="Times New Roman"/>
        </w:rPr>
        <w:t>污泥标准（污水厂产生的污泥）</w:t>
      </w:r>
    </w:p>
    <w:p>
      <w:pPr>
        <w:pStyle w:val="218"/>
        <w:spacing w:after="72"/>
      </w:pPr>
      <w:r>
        <w:t>乙方对所有产生的污泥应进行污泥脱水处理，脱水后的污泥含水率应小于</w:t>
      </w:r>
      <w:r>
        <w:rPr>
          <w:rFonts w:hint="eastAsia"/>
        </w:rPr>
        <w:t>6</w:t>
      </w:r>
      <w:r>
        <w:t>0％，并出具相应的检测报告报甲方备案。在经营期内，乙方负责将项目设施产生的污泥</w:t>
      </w:r>
      <w:r>
        <w:rPr>
          <w:rFonts w:hint="eastAsia"/>
        </w:rPr>
        <w:t>交由</w:t>
      </w:r>
      <w:r>
        <w:t>甲方</w:t>
      </w:r>
      <w:r>
        <w:rPr>
          <w:rFonts w:hint="eastAsia"/>
        </w:rPr>
        <w:t>处理</w:t>
      </w:r>
      <w:r>
        <w:t>。</w:t>
      </w:r>
    </w:p>
    <w:p>
      <w:pPr>
        <w:pStyle w:val="213"/>
        <w:spacing w:after="120"/>
        <w:rPr>
          <w:rFonts w:ascii="Times New Roman" w:hAnsi="Times New Roman"/>
        </w:rPr>
      </w:pPr>
      <w:r>
        <w:rPr>
          <w:rFonts w:ascii="Times New Roman" w:hAnsi="Times New Roman"/>
        </w:rPr>
        <w:t>环保部门的处罚</w:t>
      </w:r>
    </w:p>
    <w:p>
      <w:pPr>
        <w:pStyle w:val="218"/>
        <w:spacing w:after="72"/>
      </w:pPr>
      <w:r>
        <w:t>乙方因出水超标承担本协议项下的责任，不免除其承担在适用法律或第三方合同项下应承担的其他责任，包括环保部门根据适用法律的规定进行的处罚。</w:t>
      </w:r>
    </w:p>
    <w:p>
      <w:pPr>
        <w:pStyle w:val="212"/>
        <w:spacing w:before="360" w:after="120" w:line="360" w:lineRule="auto"/>
        <w:rPr>
          <w:rFonts w:eastAsia="宋体"/>
          <w:b/>
        </w:rPr>
      </w:pPr>
      <w:bookmarkStart w:id="400" w:name="_Ref493006965"/>
      <w:bookmarkStart w:id="401" w:name="_Toc534891115"/>
      <w:bookmarkStart w:id="402" w:name="_Ref491885984"/>
      <w:r>
        <w:rPr>
          <w:rFonts w:hint="eastAsia" w:eastAsia="宋体"/>
          <w:b/>
        </w:rPr>
        <w:t>水量、水价和污水处理服务费</w:t>
      </w:r>
      <w:bookmarkEnd w:id="400"/>
      <w:r>
        <w:rPr>
          <w:rFonts w:hint="eastAsia" w:ascii="宋体" w:hAnsi="宋体" w:eastAsia="宋体"/>
          <w:b/>
        </w:rPr>
        <w:t>★</w:t>
      </w:r>
      <w:bookmarkEnd w:id="401"/>
    </w:p>
    <w:p>
      <w:pPr>
        <w:pStyle w:val="213"/>
        <w:spacing w:after="120"/>
        <w:rPr>
          <w:rFonts w:ascii="Times New Roman" w:hAnsi="Times New Roman"/>
        </w:rPr>
      </w:pPr>
      <w:bookmarkStart w:id="403" w:name="_Ref243317118"/>
      <w:r>
        <w:rPr>
          <w:rFonts w:ascii="Times New Roman" w:hAnsi="Times New Roman"/>
        </w:rPr>
        <w:t>基本水量</w:t>
      </w:r>
      <w:bookmarkEnd w:id="403"/>
    </w:p>
    <w:p>
      <w:pPr>
        <w:pStyle w:val="214"/>
        <w:spacing w:after="72"/>
      </w:pPr>
      <w:r>
        <w:t>第一个运营年10500m</w:t>
      </w:r>
      <w:r>
        <w:rPr>
          <w:vertAlign w:val="superscript"/>
        </w:rPr>
        <w:t>3</w:t>
      </w:r>
      <w:r>
        <w:t>/d，第二个运营年10500m</w:t>
      </w:r>
      <w:r>
        <w:rPr>
          <w:vertAlign w:val="superscript"/>
        </w:rPr>
        <w:t>3</w:t>
      </w:r>
      <w:r>
        <w:t>/d，第三个运营年12000m</w:t>
      </w:r>
      <w:r>
        <w:rPr>
          <w:vertAlign w:val="superscript"/>
        </w:rPr>
        <w:t>3</w:t>
      </w:r>
      <w:r>
        <w:t>/d，第四个运营年13500m</w:t>
      </w:r>
      <w:r>
        <w:rPr>
          <w:vertAlign w:val="superscript"/>
        </w:rPr>
        <w:t>3</w:t>
      </w:r>
      <w:r>
        <w:t>/d，第五个运营年起至合作期结束的基本水量为15000m</w:t>
      </w:r>
      <w:r>
        <w:rPr>
          <w:vertAlign w:val="superscript"/>
        </w:rPr>
        <w:t>3</w:t>
      </w:r>
      <w:r>
        <w:t>/d。</w:t>
      </w:r>
    </w:p>
    <w:p>
      <w:pPr>
        <w:pStyle w:val="214"/>
        <w:spacing w:after="72"/>
      </w:pPr>
      <w:r>
        <w:t>乙方应使用符合适用法律要求的，并且经过甲方确认的流量计连续测量、计算和记录进水水量和出水水量。污水处理量按日计量，乙方每日记录的出水水量作为乙方处理的实际水量并经甲方核准，以进水水量校核出水水量。双方共同对流量计进行监督和管理。</w:t>
      </w:r>
    </w:p>
    <w:p>
      <w:pPr>
        <w:pStyle w:val="213"/>
        <w:spacing w:after="120"/>
        <w:rPr>
          <w:rFonts w:ascii="Times New Roman" w:hAnsi="Times New Roman"/>
        </w:rPr>
      </w:pPr>
      <w:bookmarkStart w:id="404" w:name="_Toc393042157"/>
      <w:bookmarkEnd w:id="404"/>
      <w:bookmarkStart w:id="405" w:name="_Toc392338799"/>
      <w:bookmarkEnd w:id="405"/>
      <w:bookmarkStart w:id="406" w:name="_Toc392334699"/>
      <w:bookmarkEnd w:id="406"/>
      <w:bookmarkStart w:id="407" w:name="_Toc392173490"/>
      <w:bookmarkEnd w:id="407"/>
      <w:bookmarkStart w:id="408" w:name="_Toc392085753"/>
      <w:bookmarkEnd w:id="408"/>
      <w:bookmarkStart w:id="409" w:name="_Toc392076564"/>
      <w:bookmarkEnd w:id="409"/>
      <w:bookmarkStart w:id="410" w:name="_Toc392338798"/>
      <w:bookmarkEnd w:id="410"/>
      <w:bookmarkStart w:id="411" w:name="_Toc392334698"/>
      <w:bookmarkEnd w:id="411"/>
      <w:bookmarkStart w:id="412" w:name="_Toc392173489"/>
      <w:bookmarkEnd w:id="412"/>
      <w:bookmarkStart w:id="413" w:name="_Toc392085752"/>
      <w:bookmarkEnd w:id="413"/>
      <w:bookmarkStart w:id="414" w:name="_Toc392076563"/>
      <w:bookmarkEnd w:id="414"/>
      <w:bookmarkStart w:id="415" w:name="_Toc392338797"/>
      <w:bookmarkEnd w:id="415"/>
      <w:bookmarkStart w:id="416" w:name="_Toc392085751"/>
      <w:bookmarkEnd w:id="416"/>
      <w:bookmarkStart w:id="417" w:name="_Toc392334697"/>
      <w:bookmarkEnd w:id="417"/>
      <w:bookmarkStart w:id="418" w:name="_Toc392173488"/>
      <w:bookmarkEnd w:id="418"/>
      <w:bookmarkStart w:id="419" w:name="_Toc392076562"/>
      <w:bookmarkEnd w:id="419"/>
      <w:bookmarkStart w:id="420" w:name="_Ref527969501"/>
      <w:bookmarkStart w:id="421" w:name="_Toc395258202"/>
      <w:bookmarkStart w:id="422" w:name="_Toc144197001"/>
      <w:r>
        <w:rPr>
          <w:rFonts w:ascii="Times New Roman" w:hAnsi="Times New Roman"/>
        </w:rPr>
        <w:t>污水处理服务费单价及其调整</w:t>
      </w:r>
      <w:bookmarkEnd w:id="420"/>
      <w:bookmarkEnd w:id="421"/>
    </w:p>
    <w:bookmarkEnd w:id="422"/>
    <w:p>
      <w:pPr>
        <w:pStyle w:val="218"/>
        <w:spacing w:after="72"/>
      </w:pPr>
      <w:r>
        <w:t>针对本项目，在招标文件中的</w:t>
      </w:r>
      <w:r>
        <w:rPr>
          <w:rFonts w:hint="eastAsia"/>
        </w:rPr>
        <w:t>项目静态投资额（不含建设期利息和土地费用）</w:t>
      </w:r>
      <w:r>
        <w:t>为6464.44万元，在生效日，污水处理服务费单价为</w:t>
      </w:r>
      <w:r>
        <w:rPr>
          <w:rFonts w:hint="eastAsia"/>
          <w:i/>
          <w:u w:val="single"/>
        </w:rPr>
        <w:t>【】</w:t>
      </w:r>
      <w:r>
        <w:t>元/立方米。</w:t>
      </w:r>
    </w:p>
    <w:p>
      <w:pPr>
        <w:pStyle w:val="218"/>
        <w:spacing w:after="72"/>
      </w:pPr>
      <w:r>
        <w:t>污水处理服务费单价在运营期调整方式如下：</w:t>
      </w:r>
    </w:p>
    <w:p>
      <w:pPr>
        <w:pStyle w:val="214"/>
        <w:spacing w:after="72"/>
      </w:pPr>
      <w:bookmarkStart w:id="423" w:name="_Ref528055111"/>
      <w:r>
        <w:t>运营期初调整</w:t>
      </w:r>
      <w:bookmarkEnd w:id="423"/>
    </w:p>
    <w:p>
      <w:pPr>
        <w:pStyle w:val="218"/>
        <w:spacing w:after="72"/>
      </w:pPr>
      <w:r>
        <w:t>项目</w:t>
      </w:r>
      <w:r>
        <w:rPr>
          <w:rFonts w:hint="eastAsia"/>
        </w:rPr>
        <w:t>实际工程投资额（不含建设期利息和土地费用）</w:t>
      </w:r>
      <w:r>
        <w:t>以项目全过程跟踪审计的禹州</w:t>
      </w:r>
      <w:r>
        <w:rPr>
          <w:rFonts w:hint="eastAsia"/>
        </w:rPr>
        <w:t>市审计局</w:t>
      </w:r>
      <w:r>
        <w:t>的</w:t>
      </w:r>
      <w:r>
        <w:rPr>
          <w:rFonts w:hint="eastAsia"/>
        </w:rPr>
        <w:t>出具的竣工决算</w:t>
      </w:r>
      <w:r>
        <w:t>审计结果为准，若</w:t>
      </w:r>
      <w:r>
        <w:rPr>
          <w:rFonts w:hint="eastAsia"/>
        </w:rPr>
        <w:t>项目实际工程投资额（不含建设期利息和土地费用）</w:t>
      </w:r>
      <w:r>
        <w:t>相对于本项目招标文件中的</w:t>
      </w:r>
      <w:r>
        <w:rPr>
          <w:rFonts w:hint="eastAsia"/>
        </w:rPr>
        <w:t>项目静态</w:t>
      </w:r>
      <w:r>
        <w:t>投资额变动范围不超过10%，污水处理服务费单价不作调整；若实际工程投资额</w:t>
      </w:r>
      <w:r>
        <w:rPr>
          <w:rFonts w:hint="eastAsia"/>
        </w:rPr>
        <w:t>（不包含建设期利息和土地费用）</w:t>
      </w:r>
      <w:r>
        <w:t>相对于中标人投标文件中的</w:t>
      </w:r>
      <w:r>
        <w:rPr>
          <w:rFonts w:hint="eastAsia"/>
        </w:rPr>
        <w:t>项目静态投资额</w:t>
      </w:r>
      <w:r>
        <w:t>变动范围超过10%，则根据</w:t>
      </w:r>
      <w:r>
        <w:rPr>
          <w:rFonts w:hint="eastAsia"/>
        </w:rPr>
        <w:t>公式（一）</w:t>
      </w:r>
      <w:r>
        <w:t>的约定对污水处理服务费单价进行调整。已按调整前单价多支付</w:t>
      </w:r>
      <w:r>
        <w:rPr>
          <w:rFonts w:hint="eastAsia"/>
        </w:rPr>
        <w:t>或少支付</w:t>
      </w:r>
      <w:r>
        <w:t>给乙方的污水处理服务费在未来的污水处理服务费中</w:t>
      </w:r>
      <w:r>
        <w:rPr>
          <w:rFonts w:hint="eastAsia"/>
        </w:rPr>
        <w:t>相应</w:t>
      </w:r>
      <w:r>
        <w:t>扣减</w:t>
      </w:r>
      <w:r>
        <w:rPr>
          <w:rFonts w:hint="eastAsia"/>
        </w:rPr>
        <w:t>或增加</w:t>
      </w:r>
      <w:r>
        <w:t>。</w:t>
      </w:r>
    </w:p>
    <w:p>
      <w:pPr>
        <w:pStyle w:val="218"/>
        <w:spacing w:after="72"/>
      </w:pPr>
      <w:r>
        <w:t>污水处理服务费单价调整公式具体如下：</w:t>
      </w:r>
    </w:p>
    <w:p>
      <w:pPr>
        <w:pStyle w:val="218"/>
        <w:spacing w:after="72"/>
      </w:pPr>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T</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d>
            <m:ctrlPr>
              <w:rPr>
                <w:rFonts w:ascii="Cambria Math" w:hAnsi="Cambria Math"/>
              </w:rPr>
            </m:ctrlPr>
          </m:num>
          <m:den>
            <m:r>
              <m:rPr>
                <m:sty m:val="p"/>
              </m:rPr>
              <w:rPr>
                <w:rFonts w:ascii="Cambria Math" w:hAnsi="Cambria Math"/>
              </w:rPr>
              <m:t>200</m:t>
            </m:r>
            <m:ctrlPr>
              <w:rPr>
                <w:rFonts w:ascii="Cambria Math" w:hAnsi="Cambria Math"/>
              </w:rPr>
            </m:ctrlPr>
          </m:den>
        </m:f>
        <m:r>
          <m:rPr>
            <m:sty m:val="p"/>
          </m:rPr>
          <w:rPr>
            <w:rFonts w:ascii="Cambria Math" w:hAnsi="Cambria Math"/>
          </w:rPr>
          <m:t>×0.035元/立方米</m:t>
        </m:r>
      </m:oMath>
      <w:r>
        <w:t xml:space="preserve">         公式（一）</w:t>
      </w:r>
    </w:p>
    <w:p>
      <w:pPr>
        <w:pStyle w:val="218"/>
        <w:spacing w:after="72"/>
      </w:pPr>
      <w:r>
        <w:t>其中：</w:t>
      </w:r>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1</m:t>
            </m:r>
            <m:ctrlPr>
              <w:rPr>
                <w:rFonts w:ascii="Cambria Math" w:hAnsi="Cambria Math"/>
              </w:rPr>
            </m:ctrlPr>
          </m:sub>
        </m:sSub>
      </m:oMath>
      <w:r>
        <w:t>为投资人中标污水处理服务费单价；</w:t>
      </w:r>
    </w:p>
    <w:p>
      <w:pPr>
        <w:pStyle w:val="218"/>
        <w:spacing w:after="72"/>
      </w:pPr>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Sub>
      </m:oMath>
      <w:r>
        <w:t>为根据竣工决算审计结果调整后的污水处理服务费单价，</w:t>
      </w:r>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2</m:t>
            </m:r>
            <m:ctrlPr>
              <w:rPr>
                <w:rFonts w:ascii="Cambria Math" w:hAnsi="Cambria Math"/>
              </w:rPr>
            </m:ctrlPr>
          </m:sub>
        </m:sSub>
      </m:oMath>
      <w:r>
        <w:t>按照四舍五入的原则保留两位小数；</w:t>
      </w:r>
    </w:p>
    <w:p>
      <w:pPr>
        <w:pStyle w:val="218"/>
        <w:spacing w:after="72"/>
      </w:pPr>
      <m:oMath>
        <m:sSub>
          <m:sSubPr>
            <m:ctrlPr>
              <w:rPr>
                <w:rFonts w:ascii="Cambria Math" w:hAnsi="Cambria Math"/>
              </w:rPr>
            </m:ctrlPr>
          </m:sSubPr>
          <m:e>
            <m:r>
              <m:rPr>
                <m:sty m:val="p"/>
              </m:rPr>
              <w:rPr>
                <w:rFonts w:ascii="Cambria Math" w:hAnsi="Cambria Math"/>
              </w:rPr>
              <m:t>T</m:t>
            </m:r>
            <m:ctrlPr>
              <w:rPr>
                <w:rFonts w:ascii="Cambria Math" w:hAnsi="Cambria Math"/>
              </w:rPr>
            </m:ctrlPr>
          </m:e>
          <m:sub>
            <m:r>
              <m:rPr>
                <m:sty m:val="p"/>
              </m:rPr>
              <w:rPr>
                <w:rFonts w:ascii="Cambria Math" w:hAnsi="Cambria Math"/>
              </w:rPr>
              <m:t>1</m:t>
            </m:r>
            <m:ctrlPr>
              <w:rPr>
                <w:rFonts w:ascii="Cambria Math" w:hAnsi="Cambria Math"/>
              </w:rPr>
            </m:ctrlPr>
          </m:sub>
        </m:sSub>
      </m:oMath>
      <w:r>
        <w:t>为投资人投标时</w:t>
      </w:r>
      <w:r>
        <w:rPr>
          <w:rFonts w:hint="eastAsia"/>
        </w:rPr>
        <w:t>项目静态投资额</w:t>
      </w:r>
      <w:r>
        <w:t>；</w:t>
      </w:r>
    </w:p>
    <w:p>
      <w:pPr>
        <w:pStyle w:val="218"/>
        <w:spacing w:after="72"/>
      </w:pPr>
      <m:oMath>
        <m:sSub>
          <m:sSubPr>
            <m:ctrlPr>
              <w:rPr>
                <w:rFonts w:ascii="Cambria Math" w:hAnsi="Cambria Math"/>
              </w:rPr>
            </m:ctrlPr>
          </m:sSubPr>
          <m:e>
            <m:r>
              <m:rPr>
                <m:sty m:val="p"/>
              </m:rPr>
              <w:rPr>
                <w:rFonts w:ascii="Cambria Math" w:hAnsi="Cambria Math"/>
              </w:rPr>
              <m:t>T</m:t>
            </m:r>
            <m:ctrlPr>
              <w:rPr>
                <w:rFonts w:ascii="Cambria Math" w:hAnsi="Cambria Math"/>
              </w:rPr>
            </m:ctrlPr>
          </m:e>
          <m:sub>
            <m:r>
              <m:rPr>
                <m:sty m:val="p"/>
              </m:rPr>
              <w:rPr>
                <w:rFonts w:ascii="Cambria Math" w:hAnsi="Cambria Math"/>
              </w:rPr>
              <m:t>2</m:t>
            </m:r>
            <m:ctrlPr>
              <w:rPr>
                <w:rFonts w:ascii="Cambria Math" w:hAnsi="Cambria Math"/>
              </w:rPr>
            </m:ctrlPr>
          </m:sub>
        </m:sSub>
      </m:oMath>
      <w:r>
        <w:t>为经竣工决算审计的</w:t>
      </w:r>
      <w:r>
        <w:rPr>
          <w:rFonts w:hint="eastAsia"/>
        </w:rPr>
        <w:t>项目</w:t>
      </w:r>
      <w:r>
        <w:t>实际工程投资额。</w:t>
      </w:r>
    </w:p>
    <w:p>
      <w:pPr>
        <w:pStyle w:val="214"/>
        <w:spacing w:after="72"/>
      </w:pPr>
      <w:r>
        <w:t>运营期中调整</w:t>
      </w:r>
    </w:p>
    <w:p>
      <w:pPr>
        <w:pStyle w:val="218"/>
        <w:spacing w:after="72"/>
      </w:pPr>
      <w:r>
        <w:t>在合作期内，乙方可以根据合理经营成本及税费的变动造成的收益下降，向甲方和市价格行政主管部门提出污水处理服务费价格调整申请（下称“调价申请”），调价申请应包括调价原因、调整幅度、乙方的经营成本分析、经营成本和税费的变动对乙方合理收益的影响、物价总水平的变动情况分析以及甲方和市价格行政主管部门认为有必要提供的其他资料。</w:t>
      </w:r>
    </w:p>
    <w:p>
      <w:pPr>
        <w:pStyle w:val="218"/>
        <w:spacing w:after="72"/>
      </w:pPr>
      <w:r>
        <w:t>在合作期内，自第四个运营年开始将根据第</w:t>
      </w:r>
      <w:r>
        <w:fldChar w:fldCharType="begin"/>
      </w:r>
      <w:r>
        <w:instrText xml:space="preserve"> REF _Ref528055081 \r \h  \* MERGEFORMAT </w:instrText>
      </w:r>
      <w:r>
        <w:fldChar w:fldCharType="separate"/>
      </w:r>
      <w:r>
        <w:t>12.2.3</w:t>
      </w:r>
      <w:r>
        <w:fldChar w:fldCharType="end"/>
      </w:r>
      <w:r>
        <w:t>条约定的调价公式对污水处理服务费单价进行调整，此后污水处理服务费单价每三年调整一次。每次调价工作自价格调整年前一年的10月1日开始，并于该年的12月31日之前确定调整后的污水处理服务费单价。届时，乙方可按照调价公式向甲方提出调价申请，并接受价格主管部门的监审。甲方会同财政部门和发改部门审核其申请，就价格调整做出决定，乙方应遵照执行。</w:t>
      </w:r>
    </w:p>
    <w:p>
      <w:pPr>
        <w:pStyle w:val="214"/>
        <w:spacing w:after="72"/>
      </w:pPr>
      <w:bookmarkStart w:id="424" w:name="_Ref528055081"/>
      <w:r>
        <w:t>运营期中调价公式</w:t>
      </w:r>
      <w:bookmarkEnd w:id="424"/>
    </w:p>
    <w:p>
      <w:pPr>
        <w:widowControl/>
        <w:spacing w:line="360" w:lineRule="auto"/>
        <w:ind w:firstLine="420" w:firstLineChars="200"/>
      </w:pPr>
      <w:r>
        <w:t>在满足下列两个条件的情况下：</w:t>
      </w:r>
    </w:p>
    <w:p>
      <w:pPr>
        <w:widowControl/>
        <w:spacing w:line="360" w:lineRule="auto"/>
        <w:ind w:firstLine="420" w:firstLineChars="200"/>
      </w:pPr>
      <w:r>
        <w:t>（a）申请调价时的污水处理服务费价格执行至少已满三年；或</w:t>
      </w:r>
    </w:p>
    <w:p>
      <w:pPr>
        <w:widowControl/>
        <w:spacing w:line="360" w:lineRule="auto"/>
        <w:ind w:firstLine="420" w:firstLineChars="200"/>
      </w:pPr>
      <w:r>
        <w:t>（b）发生重大突发事件导致运营成本大幅上升；</w:t>
      </w:r>
    </w:p>
    <w:p>
      <w:pPr>
        <w:widowControl/>
        <w:spacing w:line="360" w:lineRule="auto"/>
        <w:ind w:firstLine="420" w:firstLineChars="200"/>
      </w:pPr>
      <w:r>
        <w:t>污水处理服务费单价将按照下列调价公式进行调价：</w:t>
      </w:r>
    </w:p>
    <w:p>
      <w:pPr>
        <w:widowControl/>
        <w:spacing w:line="360" w:lineRule="auto"/>
        <w:ind w:firstLine="420" w:firstLineChars="200"/>
      </w:pPr>
      <w:r>
        <w:t>P</w:t>
      </w:r>
      <w:r>
        <w:rPr>
          <w:vertAlign w:val="subscript"/>
        </w:rPr>
        <w:t>n</w:t>
      </w:r>
      <w:r>
        <w:t>= K×P</w:t>
      </w:r>
      <w:r>
        <w:rPr>
          <w:vertAlign w:val="subscript"/>
        </w:rPr>
        <w:t>n-3</w:t>
      </w:r>
    </w:p>
    <w:p>
      <w:pPr>
        <w:widowControl/>
        <w:spacing w:line="360" w:lineRule="auto"/>
        <w:ind w:firstLine="420" w:firstLineChars="200"/>
      </w:pPr>
      <w:r>
        <w:t>P</w:t>
      </w:r>
      <w:r>
        <w:rPr>
          <w:vertAlign w:val="subscript"/>
        </w:rPr>
        <w:t>n</w:t>
      </w:r>
      <w:r>
        <w:t>为运营期第n年调整后的污水处理服务费单价;</w:t>
      </w:r>
    </w:p>
    <w:p>
      <w:pPr>
        <w:widowControl/>
        <w:spacing w:line="360" w:lineRule="auto"/>
        <w:ind w:firstLine="420" w:firstLineChars="200"/>
      </w:pPr>
      <w:r>
        <w:t>P</w:t>
      </w:r>
      <w:r>
        <w:rPr>
          <w:vertAlign w:val="subscript"/>
        </w:rPr>
        <w:t>n-3</w:t>
      </w:r>
      <w:r>
        <w:t>为运营期第n-3年的污水处理服务费单价，本项目运营期第一年初始基准污水处理服务费单价为</w:t>
      </w:r>
      <w:r>
        <w:rPr>
          <w:rFonts w:hint="eastAsia"/>
          <w:i/>
          <w:u w:val="single"/>
        </w:rPr>
        <w:t xml:space="preserve"> 【   】</w:t>
      </w:r>
      <w:r>
        <w:t>元/立方米；</w:t>
      </w:r>
    </w:p>
    <w:p>
      <w:pPr>
        <w:widowControl/>
        <w:spacing w:line="360" w:lineRule="auto"/>
        <w:ind w:firstLine="420" w:firstLineChars="200"/>
      </w:pPr>
      <w:r>
        <w:t>K为调价系数：</w:t>
      </w:r>
    </w:p>
    <w:p>
      <w:pPr>
        <w:widowControl/>
        <w:spacing w:line="360" w:lineRule="auto"/>
        <w:ind w:firstLine="420" w:firstLineChars="200"/>
      </w:pPr>
      <w:r>
        <w:t>K＝a（E</w:t>
      </w:r>
      <w:r>
        <w:rPr>
          <w:vertAlign w:val="subscript"/>
        </w:rPr>
        <w:t>n</w:t>
      </w:r>
      <w:r>
        <w:t>/E</w:t>
      </w:r>
      <w:r>
        <w:rPr>
          <w:vertAlign w:val="subscript"/>
        </w:rPr>
        <w:t>n-</w:t>
      </w:r>
      <w:r>
        <w:t>3）＋bL</w:t>
      </w:r>
      <w:r>
        <w:rPr>
          <w:vertAlign w:val="subscript"/>
        </w:rPr>
        <w:t>n</w:t>
      </w:r>
      <w:r>
        <w:t>＋c×Ch</w:t>
      </w:r>
      <w:r>
        <w:rPr>
          <w:vertAlign w:val="subscript"/>
        </w:rPr>
        <w:t>n</w:t>
      </w:r>
      <w:r>
        <w:t>＋d(Tax</w:t>
      </w:r>
      <w:r>
        <w:rPr>
          <w:vertAlign w:val="subscript"/>
        </w:rPr>
        <w:t>n</w:t>
      </w:r>
      <w:r>
        <w:t>/Tax</w:t>
      </w:r>
      <w:r>
        <w:rPr>
          <w:vertAlign w:val="subscript"/>
        </w:rPr>
        <w:t>n-3</w:t>
      </w:r>
      <w:r>
        <w:t>)＋e</w:t>
      </w:r>
    </w:p>
    <w:p>
      <w:pPr>
        <w:widowControl/>
        <w:spacing w:line="360" w:lineRule="auto"/>
        <w:ind w:firstLine="420" w:firstLineChars="200"/>
      </w:pPr>
      <w:r>
        <w:t>其中：</w:t>
      </w:r>
    </w:p>
    <w:p>
      <w:pPr>
        <w:widowControl/>
        <w:spacing w:line="360" w:lineRule="auto"/>
        <w:ind w:firstLine="420" w:firstLineChars="200"/>
      </w:pPr>
      <w:r>
        <w:t>a＝电度电费在P</w:t>
      </w:r>
      <w:r>
        <w:rPr>
          <w:vertAlign w:val="subscript"/>
        </w:rPr>
        <w:t>n-3</w:t>
      </w:r>
      <w:r>
        <w:t>中所占比例</w:t>
      </w:r>
    </w:p>
    <w:p>
      <w:pPr>
        <w:widowControl/>
        <w:spacing w:line="360" w:lineRule="auto"/>
        <w:ind w:firstLine="420" w:firstLineChars="200"/>
      </w:pPr>
      <w:r>
        <w:t>b＝人工费在P</w:t>
      </w:r>
      <w:r>
        <w:rPr>
          <w:vertAlign w:val="subscript"/>
        </w:rPr>
        <w:t>n-3</w:t>
      </w:r>
      <w:r>
        <w:t>中所占比例</w:t>
      </w:r>
    </w:p>
    <w:p>
      <w:pPr>
        <w:widowControl/>
        <w:spacing w:line="360" w:lineRule="auto"/>
        <w:ind w:firstLine="420" w:firstLineChars="200"/>
      </w:pPr>
      <w:r>
        <w:t>c＝药剂费在P</w:t>
      </w:r>
      <w:r>
        <w:rPr>
          <w:vertAlign w:val="subscript"/>
        </w:rPr>
        <w:t>n-3</w:t>
      </w:r>
      <w:r>
        <w:t>中所占比例</w:t>
      </w:r>
    </w:p>
    <w:p>
      <w:pPr>
        <w:widowControl/>
        <w:spacing w:line="360" w:lineRule="auto"/>
        <w:ind w:firstLine="420" w:firstLineChars="200"/>
      </w:pPr>
      <w:r>
        <w:t>d＝企业所得税在P</w:t>
      </w:r>
      <w:r>
        <w:rPr>
          <w:vertAlign w:val="subscript"/>
        </w:rPr>
        <w:t>n-3</w:t>
      </w:r>
      <w:r>
        <w:t>中所占的比例</w:t>
      </w:r>
    </w:p>
    <w:p>
      <w:pPr>
        <w:widowControl/>
        <w:spacing w:line="360" w:lineRule="auto"/>
        <w:ind w:firstLine="420" w:firstLineChars="200"/>
      </w:pPr>
      <w:r>
        <w:t>e＝P</w:t>
      </w:r>
      <w:r>
        <w:rPr>
          <w:vertAlign w:val="subscript"/>
        </w:rPr>
        <w:t>n-3</w:t>
      </w:r>
      <w:r>
        <w:t>构成中除电度电费、人工费、药剂费、企业所得税以外的其他因素所占比例</w:t>
      </w:r>
    </w:p>
    <w:p>
      <w:pPr>
        <w:widowControl/>
        <w:spacing w:line="360" w:lineRule="auto"/>
        <w:ind w:firstLine="420" w:firstLineChars="200"/>
        <w:rPr>
          <w:rFonts w:eastAsiaTheme="minorEastAsia"/>
        </w:rPr>
      </w:pPr>
      <w:r>
        <w:t>a＋b＋c＋d+e＝100%（于生效日期时，a、b、c、d、e取值以中标人投标报价为基础，并经过甲方审核调整后认定。运营期内，每次调价后根据各项成本占调价</w:t>
      </w:r>
      <w:r>
        <w:rPr>
          <w:rFonts w:eastAsiaTheme="minorEastAsia"/>
        </w:rPr>
        <w:t>后污水处理服务费单价的比例进行调整）</w:t>
      </w:r>
    </w:p>
    <w:p>
      <w:pPr>
        <w:pStyle w:val="222"/>
        <w:spacing w:before="156" w:after="120" w:line="240" w:lineRule="auto"/>
        <w:ind w:firstLine="482"/>
        <w:jc w:val="center"/>
        <w:rPr>
          <w:rFonts w:ascii="Times New Roman" w:hAnsi="Times New Roman" w:eastAsiaTheme="minorEastAsia"/>
          <w:b/>
          <w:szCs w:val="24"/>
        </w:rPr>
      </w:pPr>
      <w:r>
        <w:rPr>
          <w:rFonts w:ascii="Times New Roman" w:hAnsi="Times New Roman" w:eastAsiaTheme="minorEastAsia"/>
          <w:b/>
          <w:szCs w:val="24"/>
        </w:rPr>
        <w:t>表1  调价公式各参数注释</w:t>
      </w:r>
    </w:p>
    <w:tbl>
      <w:tblPr>
        <w:tblStyle w:val="52"/>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020" w:type="dxa"/>
            <w:vAlign w:val="center"/>
          </w:tcPr>
          <w:p>
            <w:pPr>
              <w:pStyle w:val="223"/>
              <w:rPr>
                <w:rFonts w:eastAsiaTheme="minorEastAsia"/>
              </w:rPr>
            </w:pPr>
            <w:r>
              <w:rPr>
                <w:rFonts w:eastAsiaTheme="minorEastAsia"/>
              </w:rPr>
              <w:t>n</w:t>
            </w:r>
          </w:p>
        </w:tc>
        <w:tc>
          <w:tcPr>
            <w:tcW w:w="7334" w:type="dxa"/>
            <w:vAlign w:val="center"/>
          </w:tcPr>
          <w:p>
            <w:pPr>
              <w:pStyle w:val="223"/>
              <w:jc w:val="both"/>
              <w:rPr>
                <w:rFonts w:eastAsiaTheme="minorEastAsia"/>
              </w:rPr>
            </w:pPr>
            <w:r>
              <w:rPr>
                <w:rFonts w:eastAsiaTheme="minorEastAsia"/>
              </w:rPr>
              <w:t>第n年是污水处理服务费单价进行调整的当年。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020" w:type="dxa"/>
            <w:vAlign w:val="center"/>
          </w:tcPr>
          <w:p>
            <w:pPr>
              <w:pStyle w:val="223"/>
              <w:rPr>
                <w:rFonts w:eastAsiaTheme="minorEastAsia"/>
              </w:rPr>
            </w:pPr>
            <w:r>
              <w:rPr>
                <w:rFonts w:eastAsiaTheme="minorEastAsia"/>
              </w:rPr>
              <w:t>En、En-3</w:t>
            </w:r>
          </w:p>
        </w:tc>
        <w:tc>
          <w:tcPr>
            <w:tcW w:w="7334" w:type="dxa"/>
            <w:vAlign w:val="center"/>
          </w:tcPr>
          <w:p>
            <w:pPr>
              <w:pStyle w:val="223"/>
              <w:jc w:val="both"/>
              <w:rPr>
                <w:rFonts w:eastAsiaTheme="minorEastAsia"/>
              </w:rPr>
            </w:pPr>
            <w:r>
              <w:rPr>
                <w:rFonts w:eastAsiaTheme="minorEastAsia"/>
              </w:rPr>
              <w:t>第n年和第n-3年份许昌市电网销售电价表中1-10KV大工业用电电度电价。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1020" w:type="dxa"/>
            <w:vAlign w:val="center"/>
          </w:tcPr>
          <w:p>
            <w:pPr>
              <w:pStyle w:val="223"/>
              <w:rPr>
                <w:rFonts w:eastAsiaTheme="minorEastAsia"/>
              </w:rPr>
            </w:pPr>
            <w:r>
              <w:rPr>
                <w:rFonts w:eastAsiaTheme="minorEastAsia"/>
              </w:rPr>
              <w:t>Ln</w:t>
            </w:r>
          </w:p>
        </w:tc>
        <w:tc>
          <w:tcPr>
            <w:tcW w:w="7334" w:type="dxa"/>
            <w:vAlign w:val="center"/>
          </w:tcPr>
          <w:p>
            <w:pPr>
              <w:pStyle w:val="223"/>
              <w:jc w:val="both"/>
              <w:rPr>
                <w:rFonts w:eastAsiaTheme="minorEastAsia"/>
              </w:rPr>
            </w:pPr>
            <w:r>
              <w:rPr>
                <w:rFonts w:eastAsiaTheme="minorEastAsia"/>
              </w:rPr>
              <w:t>禹州市统计局编制的《第n-1年禹州统计年鉴》中公布的“《劳动工资》</w:t>
            </w:r>
            <w:r>
              <w:rPr>
                <w:rFonts w:eastAsiaTheme="minorEastAsia"/>
              </w:rPr>
              <w:noBreakHyphen/>
            </w:r>
            <w:r>
              <w:rPr>
                <w:rFonts w:eastAsiaTheme="minorEastAsia"/>
              </w:rPr>
              <w:t>水利、环境和公共设施管理业”对应的第n-1年的在岗职工年平均工资除以禹州市统计局编制的《第n-3年禹州统计年鉴》中公布的“《劳动工资》</w:t>
            </w:r>
            <w:r>
              <w:rPr>
                <w:rFonts w:eastAsiaTheme="minorEastAsia"/>
              </w:rPr>
              <w:noBreakHyphen/>
            </w:r>
            <w:r>
              <w:rPr>
                <w:rFonts w:eastAsiaTheme="minorEastAsia"/>
              </w:rPr>
              <w:t>水利、环境和公共设施管理业”对应的第n-3年的在岗职工年平均工资。Ln大于109%时，按109%计。L小于91%时，按91%计。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020" w:type="dxa"/>
            <w:vAlign w:val="center"/>
          </w:tcPr>
          <w:p>
            <w:pPr>
              <w:pStyle w:val="223"/>
              <w:rPr>
                <w:rFonts w:eastAsiaTheme="minorEastAsia"/>
              </w:rPr>
            </w:pPr>
            <w:r>
              <w:rPr>
                <w:rFonts w:eastAsiaTheme="minorEastAsia"/>
              </w:rPr>
              <w:t>Chn</w:t>
            </w:r>
          </w:p>
        </w:tc>
        <w:tc>
          <w:tcPr>
            <w:tcW w:w="7334" w:type="dxa"/>
            <w:vAlign w:val="center"/>
          </w:tcPr>
          <w:p>
            <w:pPr>
              <w:pStyle w:val="223"/>
              <w:jc w:val="both"/>
              <w:rPr>
                <w:rFonts w:eastAsiaTheme="minorEastAsia"/>
              </w:rPr>
            </w:pPr>
            <w:r>
              <w:rPr>
                <w:rFonts w:eastAsiaTheme="minorEastAsia"/>
              </w:rPr>
              <w:t>禹州市统计局编制的《第n-1年禹州市统计公报》中公布的“</w:t>
            </w:r>
            <w:r>
              <w:rPr>
                <w:rFonts w:eastAsiaTheme="minorEastAsia"/>
                <w:bCs/>
                <w:szCs w:val="24"/>
              </w:rPr>
              <w:t>《</w:t>
            </w:r>
            <w:r>
              <w:rPr>
                <w:rFonts w:eastAsiaTheme="minorEastAsia"/>
                <w:szCs w:val="24"/>
                <w:shd w:val="clear" w:color="auto" w:fill="FFFFFF"/>
              </w:rPr>
              <w:t>工业生产者购进价格指数</w:t>
            </w:r>
            <w:r>
              <w:rPr>
                <w:rFonts w:eastAsiaTheme="minorEastAsia"/>
                <w:bCs/>
                <w:szCs w:val="24"/>
              </w:rPr>
              <w:t>》-化工原料类</w:t>
            </w:r>
            <w:r>
              <w:rPr>
                <w:rFonts w:eastAsiaTheme="minorEastAsia"/>
              </w:rPr>
              <w:t>”对应的价格指数乘以禹州市统计局编制的《第n-2年禹州统计年鉴》中公布的“</w:t>
            </w:r>
            <w:r>
              <w:rPr>
                <w:rFonts w:eastAsiaTheme="minorEastAsia"/>
                <w:bCs/>
                <w:szCs w:val="24"/>
              </w:rPr>
              <w:t>《</w:t>
            </w:r>
            <w:r>
              <w:rPr>
                <w:rFonts w:eastAsiaTheme="minorEastAsia"/>
                <w:szCs w:val="24"/>
                <w:shd w:val="clear" w:color="auto" w:fill="FFFFFF"/>
              </w:rPr>
              <w:t>工业生产者购进价格指数</w:t>
            </w:r>
            <w:r>
              <w:rPr>
                <w:rFonts w:eastAsiaTheme="minorEastAsia"/>
                <w:bCs/>
                <w:szCs w:val="24"/>
              </w:rPr>
              <w:t>》-化工原料类</w:t>
            </w:r>
            <w:r>
              <w:rPr>
                <w:rFonts w:eastAsiaTheme="minorEastAsia"/>
              </w:rPr>
              <w:t>”对应的第n-2年价格指数乘以禹州市统计局编制的《第n-3年禹州统计年鉴》中公布的“</w:t>
            </w:r>
            <w:r>
              <w:rPr>
                <w:rFonts w:eastAsiaTheme="minorEastAsia"/>
                <w:bCs/>
                <w:szCs w:val="24"/>
              </w:rPr>
              <w:t>《</w:t>
            </w:r>
            <w:r>
              <w:rPr>
                <w:rFonts w:eastAsiaTheme="minorEastAsia"/>
                <w:szCs w:val="24"/>
                <w:shd w:val="clear" w:color="auto" w:fill="FFFFFF"/>
              </w:rPr>
              <w:t>工业生产者购进价格指数</w:t>
            </w:r>
            <w:r>
              <w:rPr>
                <w:rFonts w:eastAsiaTheme="minorEastAsia"/>
                <w:bCs/>
                <w:szCs w:val="24"/>
              </w:rPr>
              <w:t>》-化工原料类</w:t>
            </w:r>
            <w:r>
              <w:rPr>
                <w:rFonts w:eastAsiaTheme="minorEastAsia"/>
              </w:rPr>
              <w:t>”对应的第n-3年价格指数除以1000000；Chn大于109%时，按109%计。Chn小于91%时，按91%计。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1020" w:type="dxa"/>
            <w:vAlign w:val="center"/>
          </w:tcPr>
          <w:p>
            <w:pPr>
              <w:pStyle w:val="223"/>
              <w:rPr>
                <w:rFonts w:eastAsiaTheme="minorEastAsia"/>
              </w:rPr>
            </w:pPr>
            <w:r>
              <w:rPr>
                <w:rFonts w:eastAsiaTheme="minorEastAsia"/>
              </w:rPr>
              <w:t>Taxn、Taxn-3</w:t>
            </w:r>
          </w:p>
        </w:tc>
        <w:tc>
          <w:tcPr>
            <w:tcW w:w="7334" w:type="dxa"/>
            <w:vAlign w:val="center"/>
          </w:tcPr>
          <w:p>
            <w:pPr>
              <w:pStyle w:val="223"/>
              <w:jc w:val="both"/>
              <w:rPr>
                <w:rFonts w:eastAsiaTheme="minorEastAsia"/>
              </w:rPr>
            </w:pPr>
            <w:r>
              <w:rPr>
                <w:rFonts w:eastAsiaTheme="minorEastAsia"/>
              </w:rPr>
              <w:t>第n年、第n-3年乙方适用的所得税税率（该税率是指乙方一般适用的企业所得税正常税率，不考虑适用法律规定的减免或其他优惠情况，即污水处理服务费单价不因乙方是否处于所得税减免优惠期而做任何调整）</w:t>
            </w:r>
          </w:p>
        </w:tc>
      </w:tr>
    </w:tbl>
    <w:p>
      <w:pPr>
        <w:pStyle w:val="218"/>
        <w:spacing w:after="72"/>
      </w:pPr>
      <w:r>
        <w:t>注：若《禹州市统计年鉴》中没有上述相关数据，则参考《许昌市统计年鉴》进行调整。</w:t>
      </w:r>
    </w:p>
    <w:p>
      <w:pPr>
        <w:pStyle w:val="213"/>
        <w:spacing w:after="120"/>
        <w:rPr>
          <w:rFonts w:ascii="Times New Roman" w:hAnsi="Times New Roman"/>
        </w:rPr>
      </w:pPr>
      <w:bookmarkStart w:id="425" w:name="_Toc144197065"/>
      <w:bookmarkEnd w:id="425"/>
      <w:bookmarkStart w:id="426" w:name="_Toc144197067"/>
      <w:bookmarkEnd w:id="426"/>
      <w:bookmarkStart w:id="427" w:name="_Toc144197066"/>
      <w:bookmarkEnd w:id="427"/>
      <w:bookmarkStart w:id="428" w:name="_Toc144197062"/>
      <w:bookmarkEnd w:id="428"/>
      <w:bookmarkStart w:id="429" w:name="_Toc144197063"/>
      <w:bookmarkEnd w:id="429"/>
      <w:bookmarkStart w:id="430" w:name="_Toc144197061"/>
      <w:bookmarkEnd w:id="430"/>
      <w:bookmarkStart w:id="431" w:name="_Toc144197058"/>
      <w:bookmarkEnd w:id="431"/>
      <w:bookmarkStart w:id="432" w:name="_Toc144197060"/>
      <w:bookmarkEnd w:id="432"/>
      <w:bookmarkStart w:id="433" w:name="_Toc144197057"/>
      <w:bookmarkEnd w:id="433"/>
      <w:bookmarkStart w:id="434" w:name="_Toc144197059"/>
      <w:bookmarkEnd w:id="434"/>
      <w:bookmarkStart w:id="435" w:name="_Toc144197008"/>
      <w:bookmarkEnd w:id="435"/>
      <w:bookmarkStart w:id="436" w:name="_Toc144197006"/>
      <w:bookmarkEnd w:id="436"/>
      <w:bookmarkStart w:id="437" w:name="_Toc144197007"/>
      <w:bookmarkEnd w:id="437"/>
      <w:bookmarkStart w:id="438" w:name="_Toc144197005"/>
      <w:bookmarkEnd w:id="438"/>
      <w:bookmarkStart w:id="439" w:name="_Toc144197004"/>
      <w:bookmarkEnd w:id="439"/>
      <w:bookmarkStart w:id="440" w:name="_Toc144197003"/>
      <w:bookmarkEnd w:id="440"/>
      <w:bookmarkStart w:id="441" w:name="_Toc144197002"/>
      <w:bookmarkEnd w:id="441"/>
      <w:bookmarkStart w:id="442" w:name="_Toc393042159"/>
      <w:bookmarkEnd w:id="442"/>
      <w:bookmarkStart w:id="443" w:name="_Toc392754514"/>
      <w:bookmarkEnd w:id="443"/>
      <w:bookmarkStart w:id="444" w:name="_Toc144197064"/>
      <w:bookmarkEnd w:id="444"/>
      <w:bookmarkStart w:id="445" w:name="_Ref493000523"/>
      <w:bookmarkStart w:id="446" w:name="_Ref534714273"/>
      <w:bookmarkStart w:id="447" w:name="_Toc395258203"/>
      <w:bookmarkStart w:id="448" w:name="_Toc144197068"/>
      <w:r>
        <w:rPr>
          <w:rFonts w:ascii="Times New Roman" w:hAnsi="Times New Roman"/>
        </w:rPr>
        <w:t>污水处理服务费的计算</w:t>
      </w:r>
      <w:bookmarkEnd w:id="445"/>
      <w:bookmarkEnd w:id="446"/>
      <w:bookmarkEnd w:id="447"/>
    </w:p>
    <w:p>
      <w:pPr>
        <w:pStyle w:val="218"/>
        <w:spacing w:after="72"/>
      </w:pPr>
      <w:r>
        <w:t>污水处理服务费计算采用“按日计量，</w:t>
      </w:r>
      <w:r>
        <w:rPr>
          <w:rFonts w:hint="eastAsia"/>
        </w:rPr>
        <w:t>按月结算，</w:t>
      </w:r>
      <w:r>
        <w:t>按</w:t>
      </w:r>
      <w:r>
        <w:rPr>
          <w:rFonts w:hint="eastAsia"/>
        </w:rPr>
        <w:t>季</w:t>
      </w:r>
      <w:r>
        <w:t>付费”</w:t>
      </w:r>
      <w:r>
        <w:rPr>
          <w:rFonts w:hint="eastAsia"/>
        </w:rPr>
        <w:t>的</w:t>
      </w:r>
      <w:r>
        <w:t>方式。</w:t>
      </w:r>
    </w:p>
    <w:p>
      <w:pPr>
        <w:pStyle w:val="218"/>
        <w:spacing w:after="72"/>
      </w:pPr>
      <w:r>
        <w:t>考虑到污水处理过程中污水的耗损和蒸发，若该期间的实际处理水量大于等于该期间的进水水量的某一百分比（乙方开始正式商业运营后，由甲方和乙方依据正常运营的记录，共同协商确定该进水水量与出水水量的合理偏差范围），视同实际处理水量等于该期间的进水水量；若该期间的实际处理水量小于该期间的进水水量的某一百分比，视同实际处理水量小于该期间的进水水量。</w:t>
      </w:r>
    </w:p>
    <w:p>
      <w:pPr>
        <w:pStyle w:val="219"/>
        <w:spacing w:after="72"/>
        <w:ind w:hanging="1105"/>
      </w:pPr>
      <w:r>
        <w:t>月度</w:t>
      </w:r>
      <w:r>
        <w:rPr>
          <w:rFonts w:hint="eastAsia"/>
        </w:rPr>
        <w:t>污水处理服务费</w:t>
      </w:r>
      <w:r>
        <w:t>金额计算</w:t>
      </w:r>
    </w:p>
    <w:p>
      <w:pPr>
        <w:pStyle w:val="221"/>
        <w:spacing w:beforeLines="50" w:afterLines="50" w:line="360" w:lineRule="auto"/>
        <w:rPr>
          <w:rFonts w:cs="Times New Roman"/>
        </w:rPr>
      </w:pPr>
      <w:r>
        <w:rPr>
          <w:rFonts w:cs="Times New Roman"/>
        </w:rPr>
        <w:t>合作期内，乙方的处理量按日计量：</w:t>
      </w:r>
    </w:p>
    <w:p>
      <w:pPr>
        <w:pStyle w:val="221"/>
        <w:spacing w:beforeLines="50" w:afterLines="50" w:line="360" w:lineRule="auto"/>
        <w:ind w:left="993"/>
        <w:rPr>
          <w:rFonts w:cs="Times New Roman"/>
        </w:rPr>
      </w:pPr>
      <w:r>
        <w:rPr>
          <w:rFonts w:cs="Times New Roman"/>
        </w:rPr>
        <w:t xml:space="preserve"> (i)</w:t>
      </w:r>
      <w:r>
        <w:rPr>
          <w:rFonts w:cs="Times New Roman"/>
        </w:rPr>
        <w:tab/>
      </w:r>
      <w:r>
        <w:rPr>
          <w:rFonts w:cs="Times New Roman"/>
        </w:rPr>
        <w:t>当乙方月实际处理量≤</w:t>
      </w:r>
      <w:r>
        <w:rPr>
          <w:rFonts w:hint="eastAsia" w:cs="Times New Roman"/>
        </w:rPr>
        <w:t>月</w:t>
      </w:r>
      <w:r>
        <w:rPr>
          <w:rFonts w:cs="Times New Roman"/>
        </w:rPr>
        <w:t>基本水量时，月污水处理服务费=月实际处理量×污水处理服务费单价</w:t>
      </w:r>
      <w:r>
        <w:rPr>
          <w:rFonts w:hint="eastAsia" w:cs="Times New Roman"/>
        </w:rPr>
        <w:t>+</w:t>
      </w:r>
      <w:r>
        <w:rPr>
          <w:rFonts w:cs="Times New Roman"/>
        </w:rPr>
        <w:t>（月基本水量-月实际处理量）×污水处理服务费单价×75%；</w:t>
      </w:r>
    </w:p>
    <w:p>
      <w:pPr>
        <w:pStyle w:val="221"/>
        <w:spacing w:beforeLines="50" w:afterLines="50" w:line="360" w:lineRule="auto"/>
        <w:ind w:left="993"/>
        <w:rPr>
          <w:rFonts w:cs="Times New Roman"/>
        </w:rPr>
      </w:pPr>
      <w:r>
        <w:rPr>
          <w:rFonts w:cs="Times New Roman"/>
        </w:rPr>
        <w:t>(ii)</w:t>
      </w:r>
      <w:r>
        <w:rPr>
          <w:rFonts w:cs="Times New Roman"/>
        </w:rPr>
        <w:tab/>
      </w:r>
      <w:r>
        <w:rPr>
          <w:rFonts w:cs="Times New Roman"/>
        </w:rPr>
        <w:t>当</w:t>
      </w:r>
      <w:r>
        <w:rPr>
          <w:rFonts w:hint="eastAsia" w:cs="Times New Roman"/>
        </w:rPr>
        <w:t>月</w:t>
      </w:r>
      <w:r>
        <w:rPr>
          <w:rFonts w:cs="Times New Roman"/>
        </w:rPr>
        <w:t>设计处理量≥月实际处理量≥月基本水量时，月污水处理服务费=月污水实际处理量×污水处理服务费单价。</w:t>
      </w:r>
    </w:p>
    <w:p>
      <w:pPr>
        <w:pStyle w:val="221"/>
        <w:spacing w:beforeLines="50" w:afterLines="50" w:line="360" w:lineRule="auto"/>
        <w:ind w:left="993"/>
        <w:rPr>
          <w:rFonts w:cs="Times New Roman"/>
        </w:rPr>
      </w:pPr>
      <w:r>
        <w:rPr>
          <w:rFonts w:cs="Times New Roman"/>
        </w:rPr>
        <w:t>(iii)</w:t>
      </w:r>
      <w:r>
        <w:rPr>
          <w:rFonts w:cs="Times New Roman"/>
        </w:rPr>
        <w:tab/>
      </w:r>
      <w:r>
        <w:rPr>
          <w:rFonts w:cs="Times New Roman"/>
        </w:rPr>
        <w:t>当月实际处理量超过</w:t>
      </w:r>
      <w:r>
        <w:rPr>
          <w:rFonts w:hint="eastAsia" w:cs="Times New Roman"/>
        </w:rPr>
        <w:t>月</w:t>
      </w:r>
      <w:r>
        <w:rPr>
          <w:rFonts w:cs="Times New Roman"/>
        </w:rPr>
        <w:t>设计处理规模但不超过设计的最大处理负荷，则超设计水量污水处理服务费＝超设计水量×污水处理服务费单价*50%，其中超出设计处理规模部分为“超设计水量”。同时，乙方应及时向甲方汇报。</w:t>
      </w:r>
    </w:p>
    <w:p>
      <w:pPr>
        <w:pStyle w:val="219"/>
        <w:spacing w:after="72"/>
        <w:ind w:left="709" w:firstLine="0"/>
      </w:pPr>
      <w:r>
        <w:t>发生自然灾害、社会异常事件的不可抗力期间，计划内暂停期间和乙方原因导致的计划外暂停期间，该期间污水处理服务费＝该期间实际处理水量×污水处理服务费单价</w:t>
      </w:r>
    </w:p>
    <w:p>
      <w:pPr>
        <w:pStyle w:val="219"/>
        <w:spacing w:after="72"/>
        <w:ind w:left="709" w:firstLine="0"/>
      </w:pPr>
      <w:r>
        <w:t>发生政府征用行为、法律变更的不可抗力期间和非乙方原因导致的计划外暂停期间，该期间污水处理服务费＝设计污水处理规模×65%×污水处理服务费单价</w:t>
      </w:r>
    </w:p>
    <w:p>
      <w:pPr>
        <w:pStyle w:val="219"/>
        <w:spacing w:after="72"/>
        <w:ind w:left="709" w:firstLine="0"/>
      </w:pPr>
      <w:r>
        <w:t>若某运营日实际进水量超过设计的最大处理负荷，乙方应立即通知甲方，并启动紧急应急预案，根据甲方要求进行处理。</w:t>
      </w:r>
    </w:p>
    <w:p>
      <w:pPr>
        <w:pStyle w:val="219"/>
        <w:numPr>
          <w:ilvl w:val="0"/>
          <w:numId w:val="0"/>
        </w:numPr>
        <w:spacing w:after="72"/>
        <w:ind w:left="709"/>
      </w:pPr>
      <w:r>
        <w:t>注：月实际进水水量和月实际处理量的计量均不包括当月发生不可抗力、计划内暂停和/或计划外暂停期间的实际进水量和实际处理量</w:t>
      </w:r>
      <w:r>
        <w:rPr>
          <w:rFonts w:hint="eastAsia"/>
        </w:rPr>
        <w:t>；月基本水量为第</w:t>
      </w:r>
      <w:r>
        <w:fldChar w:fldCharType="begin"/>
      </w:r>
      <w:r>
        <w:instrText xml:space="preserve">REF _Ref243317118 \r \h  \* MERGEFORMAT </w:instrText>
      </w:r>
      <w:r>
        <w:fldChar w:fldCharType="separate"/>
      </w:r>
      <w:r>
        <w:t>12.1</w:t>
      </w:r>
      <w:r>
        <w:fldChar w:fldCharType="end"/>
      </w:r>
      <w:r>
        <w:rPr>
          <w:rFonts w:hint="eastAsia"/>
        </w:rPr>
        <w:t>条约定的每日基本水量乘以当月天数。</w:t>
      </w:r>
    </w:p>
    <w:p>
      <w:pPr>
        <w:pStyle w:val="213"/>
        <w:spacing w:after="120"/>
        <w:rPr>
          <w:rFonts w:ascii="Times New Roman" w:hAnsi="Times New Roman"/>
        </w:rPr>
      </w:pPr>
      <w:bookmarkStart w:id="449" w:name="_Ref493007038"/>
      <w:r>
        <w:rPr>
          <w:rFonts w:ascii="Times New Roman" w:hAnsi="Times New Roman"/>
        </w:rPr>
        <w:t>污水处理服务费的支付</w:t>
      </w:r>
      <w:bookmarkEnd w:id="449"/>
    </w:p>
    <w:p>
      <w:pPr>
        <w:pStyle w:val="221"/>
        <w:spacing w:beforeLines="50" w:afterLines="50" w:line="360" w:lineRule="auto"/>
        <w:rPr>
          <w:rFonts w:cs="Times New Roman"/>
        </w:rPr>
      </w:pPr>
      <w:r>
        <w:rPr>
          <w:rFonts w:cs="Times New Roman"/>
        </w:rPr>
        <w:t>污水处理服务费的“按月结算、按</w:t>
      </w:r>
      <w:r>
        <w:rPr>
          <w:rFonts w:hint="eastAsia" w:cs="Times New Roman"/>
        </w:rPr>
        <w:t>季</w:t>
      </w:r>
      <w:r>
        <w:rPr>
          <w:rFonts w:cs="Times New Roman"/>
        </w:rPr>
        <w:t>支付”：</w:t>
      </w:r>
    </w:p>
    <w:p>
      <w:pPr>
        <w:pStyle w:val="221"/>
        <w:spacing w:beforeLines="50" w:afterLines="50" w:line="360" w:lineRule="auto"/>
        <w:ind w:left="993"/>
        <w:rPr>
          <w:rFonts w:cs="Times New Roman"/>
        </w:rPr>
      </w:pPr>
      <w:r>
        <w:rPr>
          <w:rFonts w:hint="eastAsia" w:cs="Times New Roman"/>
        </w:rPr>
        <w:t>（i）</w:t>
      </w:r>
      <w:r>
        <w:rPr>
          <w:rFonts w:cs="Times New Roman"/>
        </w:rPr>
        <w:t>乙方应在每</w:t>
      </w:r>
      <w:r>
        <w:rPr>
          <w:rFonts w:hint="eastAsia" w:cs="Times New Roman"/>
        </w:rPr>
        <w:t>季度第一个月的</w:t>
      </w:r>
      <w:r>
        <w:rPr>
          <w:rFonts w:cs="Times New Roman"/>
        </w:rPr>
        <w:t>5日前，向甲方提交上个</w:t>
      </w:r>
      <w:r>
        <w:rPr>
          <w:rFonts w:hint="eastAsia" w:cs="Times New Roman"/>
        </w:rPr>
        <w:t>季</w:t>
      </w:r>
      <w:r>
        <w:rPr>
          <w:rFonts w:cs="Times New Roman"/>
        </w:rPr>
        <w:t>度的污水处理量确认单及污水处理服务费数额的书面报告</w:t>
      </w:r>
      <w:r>
        <w:rPr>
          <w:rFonts w:hint="eastAsia" w:cs="Times New Roman"/>
        </w:rPr>
        <w:t>及当季水质检测报告和环保部门例行监督检测报告</w:t>
      </w:r>
      <w:r>
        <w:rPr>
          <w:rFonts w:cs="Times New Roman"/>
        </w:rPr>
        <w:t>；</w:t>
      </w:r>
    </w:p>
    <w:p>
      <w:pPr>
        <w:pStyle w:val="221"/>
        <w:spacing w:beforeLines="50" w:afterLines="50" w:line="360" w:lineRule="auto"/>
        <w:ind w:left="993"/>
        <w:rPr>
          <w:rFonts w:cs="Times New Roman"/>
        </w:rPr>
      </w:pPr>
      <w:r>
        <w:rPr>
          <w:rFonts w:hint="eastAsia" w:cs="Times New Roman"/>
        </w:rPr>
        <w:t>（</w:t>
      </w:r>
      <w:r>
        <w:rPr>
          <w:rFonts w:cs="Times New Roman"/>
        </w:rPr>
        <w:t>ii</w:t>
      </w:r>
      <w:r>
        <w:rPr>
          <w:rFonts w:hint="eastAsia" w:cs="Times New Roman"/>
        </w:rPr>
        <w:t>）甲方接到乙方季度污水处理服务费账单后，结合当季污水处理费收取情况，将审核无异议的财政补贴金额通知市财政局；若甲方对乙方污水处理服务费数额有异议，则在按上述额度支付后到下次支付前双方确认解决；</w:t>
      </w:r>
    </w:p>
    <w:p>
      <w:pPr>
        <w:pStyle w:val="221"/>
        <w:spacing w:beforeLines="50" w:afterLines="50" w:line="360" w:lineRule="auto"/>
        <w:ind w:left="993"/>
      </w:pPr>
      <w:r>
        <w:rPr>
          <w:rFonts w:hint="eastAsia" w:cs="Times New Roman"/>
        </w:rPr>
        <w:t>（iii）本项目污水处理费由甲方或政府指定的其他机构代为收取，并根据当季污水处理达标情况按时足额拨付给乙方。</w:t>
      </w:r>
    </w:p>
    <w:p>
      <w:pPr>
        <w:pStyle w:val="221"/>
        <w:spacing w:beforeLines="50" w:afterLines="50" w:line="360" w:lineRule="auto"/>
        <w:ind w:left="993"/>
        <w:rPr>
          <w:rFonts w:cs="Times New Roman"/>
        </w:rPr>
      </w:pPr>
      <w:r>
        <w:rPr>
          <w:rFonts w:hint="eastAsia" w:cs="Times New Roman"/>
        </w:rPr>
        <w:t>（iv）市财政局收到甲方的书面报告后，确认报告无异议，将根据当季实际污水处理费收取情况，将相应的污水处理费与污水处理服务费之间的差额部分拨款到乙方指定账户。</w:t>
      </w:r>
    </w:p>
    <w:p>
      <w:pPr>
        <w:pStyle w:val="221"/>
        <w:spacing w:beforeLines="50" w:afterLines="50" w:line="360" w:lineRule="auto"/>
        <w:ind w:left="993"/>
        <w:rPr>
          <w:rFonts w:cs="Times New Roman"/>
        </w:rPr>
      </w:pPr>
      <w:r>
        <w:rPr>
          <w:rFonts w:cs="Times New Roman"/>
        </w:rPr>
        <w:t>（v）乙方首次提交上个</w:t>
      </w:r>
      <w:r>
        <w:rPr>
          <w:rFonts w:hint="eastAsia" w:cs="Times New Roman"/>
        </w:rPr>
        <w:t>季</w:t>
      </w:r>
      <w:r>
        <w:rPr>
          <w:rFonts w:cs="Times New Roman"/>
        </w:rPr>
        <w:t>度的污水处理量确认单及应付的污水处理服务费数额的书面报告和甲方首次支付污水处理服务费是在项目正式商业运营一个</w:t>
      </w:r>
      <w:r>
        <w:rPr>
          <w:rFonts w:hint="eastAsia" w:cs="Times New Roman"/>
        </w:rPr>
        <w:t>季度</w:t>
      </w:r>
      <w:r>
        <w:rPr>
          <w:rFonts w:cs="Times New Roman"/>
        </w:rPr>
        <w:t>后的次月。</w:t>
      </w:r>
    </w:p>
    <w:p>
      <w:pPr>
        <w:pStyle w:val="221"/>
        <w:spacing w:beforeLines="50" w:afterLines="50" w:line="360" w:lineRule="auto"/>
        <w:rPr>
          <w:rFonts w:cs="Times New Roman"/>
        </w:rPr>
      </w:pPr>
      <w:r>
        <w:rPr>
          <w:rFonts w:cs="Times New Roman"/>
        </w:rPr>
        <w:t>甲方协助禹州市财政部门将支付给乙方的</w:t>
      </w:r>
      <w:r>
        <w:rPr>
          <w:rFonts w:hint="eastAsia" w:cs="Times New Roman"/>
        </w:rPr>
        <w:t>财政补贴</w:t>
      </w:r>
      <w:r>
        <w:rPr>
          <w:rFonts w:cs="Times New Roman"/>
        </w:rPr>
        <w:t>列入政府财政预算，以保障向乙方及时足额支付</w:t>
      </w:r>
      <w:r>
        <w:rPr>
          <w:rFonts w:hint="eastAsia" w:cs="Times New Roman"/>
        </w:rPr>
        <w:t>财政补贴</w:t>
      </w:r>
      <w:r>
        <w:rPr>
          <w:rFonts w:cs="Times New Roman"/>
        </w:rPr>
        <w:t>。</w:t>
      </w:r>
    </w:p>
    <w:bookmarkEnd w:id="448"/>
    <w:p>
      <w:pPr>
        <w:pStyle w:val="213"/>
        <w:spacing w:after="120"/>
        <w:rPr>
          <w:rFonts w:ascii="Times New Roman" w:hAnsi="Times New Roman"/>
        </w:rPr>
      </w:pPr>
      <w:bookmarkStart w:id="450" w:name="_污水处理服务费"/>
      <w:bookmarkEnd w:id="450"/>
      <w:bookmarkStart w:id="451" w:name="_处理水量不足违约金"/>
      <w:bookmarkEnd w:id="451"/>
      <w:bookmarkStart w:id="452" w:name="_Toc121041652"/>
      <w:bookmarkStart w:id="453" w:name="_Ref238722537"/>
      <w:bookmarkStart w:id="454" w:name="_Ref244358521"/>
      <w:bookmarkStart w:id="455" w:name="_Toc144197069"/>
      <w:bookmarkStart w:id="456" w:name="_Toc395258205"/>
      <w:bookmarkStart w:id="457" w:name="_Ref534714199"/>
      <w:r>
        <w:rPr>
          <w:rFonts w:ascii="Times New Roman" w:hAnsi="Times New Roman"/>
        </w:rPr>
        <w:t>处理水量不足的违约金</w:t>
      </w:r>
      <w:bookmarkEnd w:id="452"/>
      <w:bookmarkEnd w:id="453"/>
      <w:bookmarkEnd w:id="454"/>
      <w:bookmarkEnd w:id="455"/>
      <w:bookmarkEnd w:id="456"/>
      <w:r>
        <w:rPr>
          <w:rFonts w:ascii="Times New Roman" w:hAnsi="Times New Roman"/>
        </w:rPr>
        <w:t>及其支付</w:t>
      </w:r>
      <w:bookmarkEnd w:id="457"/>
    </w:p>
    <w:p>
      <w:pPr>
        <w:pStyle w:val="214"/>
        <w:spacing w:after="72"/>
      </w:pPr>
      <w:bookmarkStart w:id="458" w:name="_Toc395258206"/>
      <w:bookmarkStart w:id="459" w:name="_Ref238716926"/>
      <w:r>
        <w:t>计划内暂停期间（非</w:t>
      </w:r>
      <w:r>
        <w:rPr>
          <w:rFonts w:hint="eastAsia"/>
        </w:rPr>
        <w:t>乙方</w:t>
      </w:r>
      <w:r>
        <w:t>原因导致的除外）的任一运营日，若实际处理水量小于计划内暂停期间保底处理量，视为处理量不足，非</w:t>
      </w:r>
      <w:r>
        <w:rPr>
          <w:rFonts w:hint="eastAsia"/>
        </w:rPr>
        <w:t>乙方</w:t>
      </w:r>
      <w:r>
        <w:t>原因导致的除外。</w:t>
      </w:r>
    </w:p>
    <w:p>
      <w:pPr>
        <w:pStyle w:val="214"/>
        <w:numPr>
          <w:ilvl w:val="0"/>
          <w:numId w:val="0"/>
        </w:numPr>
        <w:spacing w:after="72"/>
        <w:ind w:left="1418"/>
      </w:pPr>
      <w:r>
        <w:t>处理量不足违约金＝（计划内暂停期间保底处理量－当日实际处理水量）×污水处理服务费单价×2；</w:t>
      </w:r>
    </w:p>
    <w:p>
      <w:pPr>
        <w:pStyle w:val="214"/>
        <w:numPr>
          <w:ilvl w:val="0"/>
          <w:numId w:val="0"/>
        </w:numPr>
        <w:spacing w:after="72"/>
        <w:ind w:left="1418"/>
      </w:pPr>
      <w:r>
        <w:t>其中，计划内暂停期间保底处理量为当日实际进水量和设计处理规模的70%水量中的较小值。</w:t>
      </w:r>
    </w:p>
    <w:bookmarkEnd w:id="458"/>
    <w:bookmarkEnd w:id="459"/>
    <w:p>
      <w:pPr>
        <w:pStyle w:val="214"/>
        <w:spacing w:after="72"/>
      </w:pPr>
      <w:r>
        <w:t>乙方应根据第</w:t>
      </w:r>
      <w:r>
        <w:fldChar w:fldCharType="begin"/>
      </w:r>
      <w:r>
        <w:instrText xml:space="preserve"> REF _Ref534714199 \r \h  \* MERGEFORMAT </w:instrText>
      </w:r>
      <w:r>
        <w:fldChar w:fldCharType="separate"/>
      </w:r>
      <w:r>
        <w:t>12.5</w:t>
      </w:r>
      <w:r>
        <w:fldChar w:fldCharType="end"/>
      </w:r>
      <w:r>
        <w:t>条款向甲方支付违约金。经甲方通知后，乙方根据</w:t>
      </w:r>
      <w:r>
        <w:fldChar w:fldCharType="begin"/>
      </w:r>
      <w:r>
        <w:instrText xml:space="preserve"> REF _Ref493004321 \r \h  \* MERGEFORMAT </w:instrText>
      </w:r>
      <w:r>
        <w:fldChar w:fldCharType="separate"/>
      </w:r>
      <w:r>
        <w:rPr>
          <w:rFonts w:hint="eastAsia"/>
        </w:rPr>
        <w:t>第11条</w:t>
      </w:r>
      <w:r>
        <w:rPr>
          <w:rFonts w:hint="eastAsia"/>
        </w:rPr>
        <w:fldChar w:fldCharType="end"/>
      </w:r>
      <w:r>
        <w:rPr>
          <w:rFonts w:hint="eastAsia"/>
        </w:rPr>
        <w:t>条</w:t>
      </w:r>
      <w:r>
        <w:t>向甲方开具当期账单时应将所承担的违约金从</w:t>
      </w:r>
      <w:r>
        <w:rPr>
          <w:rFonts w:hint="eastAsia"/>
        </w:rPr>
        <w:t>当季</w:t>
      </w:r>
      <w:r>
        <w:t>污水处理服务费总额中扣减</w:t>
      </w:r>
      <w:r>
        <w:rPr>
          <w:rFonts w:hint="eastAsia"/>
        </w:rPr>
        <w:t>，扣完为止</w:t>
      </w:r>
      <w:r>
        <w:t>。</w:t>
      </w:r>
    </w:p>
    <w:p>
      <w:pPr>
        <w:pStyle w:val="214"/>
        <w:spacing w:after="72"/>
      </w:pPr>
      <w:r>
        <w:t>根据本协议</w:t>
      </w:r>
      <w:r>
        <w:fldChar w:fldCharType="begin"/>
      </w:r>
      <w:r>
        <w:instrText xml:space="preserve"> REF _Ref448872988 \r \h  \* MERGEFORMAT </w:instrText>
      </w:r>
      <w:r>
        <w:fldChar w:fldCharType="separate"/>
      </w:r>
      <w:r>
        <w:rPr>
          <w:rFonts w:hint="eastAsia"/>
        </w:rPr>
        <w:t>第16条</w:t>
      </w:r>
      <w:r>
        <w:rPr>
          <w:rFonts w:hint="eastAsia"/>
        </w:rPr>
        <w:fldChar w:fldCharType="end"/>
      </w:r>
      <w:r>
        <w:rPr>
          <w:rFonts w:hint="eastAsia"/>
        </w:rPr>
        <w:t>约</w:t>
      </w:r>
      <w:r>
        <w:t>定的不可抗力期间，甲方应免除乙方的处理水量不足违约金和出水水质超标违约金。</w:t>
      </w:r>
    </w:p>
    <w:p>
      <w:pPr>
        <w:pStyle w:val="213"/>
        <w:spacing w:after="120"/>
        <w:rPr>
          <w:rFonts w:ascii="Times New Roman" w:hAnsi="Times New Roman"/>
        </w:rPr>
      </w:pPr>
      <w:bookmarkStart w:id="460" w:name="_Ref493006980"/>
      <w:bookmarkStart w:id="461" w:name="_Ref533433572"/>
      <w:bookmarkStart w:id="462" w:name="_Toc144197071"/>
      <w:bookmarkStart w:id="463" w:name="_Ref238722565"/>
      <w:bookmarkStart w:id="464" w:name="_Toc395258207"/>
      <w:bookmarkStart w:id="465" w:name="_Ref533433550"/>
      <w:r>
        <w:rPr>
          <w:rFonts w:ascii="Times New Roman" w:hAnsi="Times New Roman"/>
        </w:rPr>
        <w:t>开票和付款</w:t>
      </w:r>
      <w:bookmarkEnd w:id="460"/>
      <w:bookmarkEnd w:id="461"/>
      <w:bookmarkEnd w:id="462"/>
      <w:bookmarkEnd w:id="463"/>
      <w:bookmarkEnd w:id="464"/>
      <w:bookmarkEnd w:id="465"/>
    </w:p>
    <w:p>
      <w:pPr>
        <w:pStyle w:val="214"/>
        <w:spacing w:after="72"/>
      </w:pPr>
      <w:bookmarkStart w:id="466" w:name="_Toc144197072"/>
      <w:bookmarkStart w:id="467" w:name="_Toc50368745"/>
      <w:bookmarkStart w:id="468" w:name="_Toc50860413"/>
      <w:bookmarkStart w:id="469" w:name="_Toc50453991"/>
      <w:bookmarkStart w:id="470" w:name="_Toc50861918"/>
      <w:bookmarkStart w:id="471" w:name="_Toc87807928"/>
      <w:bookmarkStart w:id="472" w:name="_Toc51225661"/>
      <w:bookmarkStart w:id="473" w:name="_Toc50861782"/>
      <w:bookmarkStart w:id="474" w:name="_Toc51213983"/>
      <w:bookmarkStart w:id="475" w:name="_Toc395258208"/>
      <w:bookmarkStart w:id="476" w:name="_Ref244358858"/>
      <w:bookmarkStart w:id="477" w:name="_Ref243819128"/>
      <w:bookmarkStart w:id="478" w:name="_Ref243819081"/>
      <w:r>
        <w:t>账单和发票</w:t>
      </w:r>
      <w:bookmarkEnd w:id="466"/>
      <w:bookmarkEnd w:id="467"/>
      <w:bookmarkEnd w:id="468"/>
      <w:bookmarkEnd w:id="469"/>
      <w:bookmarkEnd w:id="470"/>
      <w:bookmarkEnd w:id="471"/>
      <w:bookmarkEnd w:id="472"/>
      <w:bookmarkEnd w:id="473"/>
      <w:bookmarkEnd w:id="474"/>
      <w:bookmarkEnd w:id="475"/>
      <w:bookmarkEnd w:id="476"/>
      <w:bookmarkEnd w:id="477"/>
      <w:bookmarkEnd w:id="478"/>
    </w:p>
    <w:p>
      <w:pPr>
        <w:pStyle w:val="219"/>
        <w:spacing w:after="72"/>
      </w:pPr>
      <w:bookmarkStart w:id="479" w:name="_Ref243239740"/>
      <w:r>
        <w:t>乙方应在每个运营</w:t>
      </w:r>
      <w:r>
        <w:rPr>
          <w:rFonts w:hint="eastAsia"/>
        </w:rPr>
        <w:t>季度</w:t>
      </w:r>
      <w:r>
        <w:t>结束后三（3）个工作日内，按照第</w:t>
      </w:r>
      <w:r>
        <w:fldChar w:fldCharType="begin"/>
      </w:r>
      <w:r>
        <w:instrText xml:space="preserve"> REF _Ref534714273 \r \h  \* MERGEFORMAT </w:instrText>
      </w:r>
      <w:r>
        <w:fldChar w:fldCharType="separate"/>
      </w:r>
      <w:r>
        <w:t>12.3</w:t>
      </w:r>
      <w:r>
        <w:fldChar w:fldCharType="end"/>
      </w:r>
      <w:r>
        <w:t>条款计算该运营</w:t>
      </w:r>
      <w:r>
        <w:rPr>
          <w:rFonts w:hint="eastAsia"/>
        </w:rPr>
        <w:t>季度</w:t>
      </w:r>
      <w:r>
        <w:t>的污水处理服务费并扣除依据本协议计算的相应违约金金额，向甲方开具账单（付款通知），同时应提供所有相应的证明记录和资料包括附件二和附件三所列报表的复印件以便甲方能够核实上述计算。</w:t>
      </w:r>
      <w:bookmarkEnd w:id="479"/>
      <w:r>
        <w:t>甲方应在收到账单后五（5）个工作日内将经审核后无争议的</w:t>
      </w:r>
      <w:r>
        <w:rPr>
          <w:rFonts w:hint="eastAsia"/>
        </w:rPr>
        <w:t>财政补贴金额</w:t>
      </w:r>
      <w:r>
        <w:t>通知财政局（下称“财政局”），财政局在收到通知后五（5）个工作日内将经审核后的款项支付给乙方。</w:t>
      </w:r>
    </w:p>
    <w:p>
      <w:pPr>
        <w:pStyle w:val="219"/>
        <w:spacing w:after="72"/>
      </w:pPr>
      <w:r>
        <w:t>乙方应在每次收款前</w:t>
      </w:r>
      <w:r>
        <w:rPr>
          <w:rFonts w:hint="eastAsia"/>
        </w:rPr>
        <w:t>向甲方</w:t>
      </w:r>
      <w:r>
        <w:t>出具合法的收款凭证，乙方不出具合法的收款凭证，甲方有权拒绝付款。</w:t>
      </w:r>
    </w:p>
    <w:p>
      <w:pPr>
        <w:pStyle w:val="219"/>
        <w:spacing w:after="72"/>
      </w:pPr>
      <w:r>
        <w:t>甲方对账单如有任何争议，应在收到账单后七（7）个工作日内通知乙方，相应款项的支付时间顺延。</w:t>
      </w:r>
    </w:p>
    <w:p>
      <w:pPr>
        <w:pStyle w:val="219"/>
        <w:spacing w:after="72"/>
      </w:pPr>
      <w:bookmarkStart w:id="480" w:name="_如果市公用局对账单的任何部分有争议，项目公司应当给予解答，双方应为解决争议进行"/>
      <w:bookmarkEnd w:id="480"/>
      <w:r>
        <w:t>如果甲方对账单的任何部分有争议，乙方应当及时给予解答，双方应为解决争议进行协商。</w:t>
      </w:r>
    </w:p>
    <w:p>
      <w:pPr>
        <w:pStyle w:val="214"/>
        <w:spacing w:after="72"/>
      </w:pPr>
      <w:bookmarkStart w:id="481" w:name="_Toc50368746"/>
      <w:bookmarkStart w:id="482" w:name="_Toc51213984"/>
      <w:bookmarkStart w:id="483" w:name="_Toc50453992"/>
      <w:bookmarkStart w:id="484" w:name="_Toc87807929"/>
      <w:bookmarkStart w:id="485" w:name="_Toc50861919"/>
      <w:bookmarkStart w:id="486" w:name="_Toc50860414"/>
      <w:bookmarkStart w:id="487" w:name="_Toc395258209"/>
      <w:bookmarkStart w:id="488" w:name="_Toc50861783"/>
      <w:bookmarkStart w:id="489" w:name="_Toc51225662"/>
      <w:bookmarkStart w:id="490" w:name="_Toc144197073"/>
      <w:r>
        <w:t>逾期付款</w:t>
      </w:r>
      <w:bookmarkEnd w:id="481"/>
      <w:bookmarkEnd w:id="482"/>
      <w:bookmarkEnd w:id="483"/>
      <w:bookmarkEnd w:id="484"/>
      <w:bookmarkEnd w:id="485"/>
      <w:bookmarkEnd w:id="486"/>
      <w:bookmarkEnd w:id="487"/>
      <w:bookmarkEnd w:id="488"/>
      <w:bookmarkEnd w:id="489"/>
      <w:bookmarkEnd w:id="490"/>
    </w:p>
    <w:p>
      <w:pPr>
        <w:pStyle w:val="219"/>
        <w:spacing w:after="72"/>
      </w:pPr>
      <w:r>
        <w:t>按照</w:t>
      </w:r>
      <w:r>
        <w:rPr>
          <w:rFonts w:hint="eastAsia"/>
        </w:rPr>
        <w:t>约</w:t>
      </w:r>
      <w:r>
        <w:t>定的逾期未付款项，甲方可以同乙方协商延长付款期，但最长不能超过六十（60）日；如果超过六十（60）日，甲方</w:t>
      </w:r>
      <w:r>
        <w:rPr>
          <w:rFonts w:hint="eastAsia"/>
        </w:rPr>
        <w:t>按照违约利率</w:t>
      </w:r>
      <w:r>
        <w:t>向乙方支付延期付款利息。</w:t>
      </w:r>
    </w:p>
    <w:p>
      <w:pPr>
        <w:pStyle w:val="219"/>
        <w:spacing w:after="72"/>
      </w:pPr>
      <w:r>
        <w:t>任何有争议的款项，经双方达成一致意见或根据</w:t>
      </w:r>
      <w:r>
        <w:fldChar w:fldCharType="begin"/>
      </w:r>
      <w:r>
        <w:instrText xml:space="preserve"> REF _Ref493000546 \r \h  \* MERGEFORMAT </w:instrText>
      </w:r>
      <w:r>
        <w:fldChar w:fldCharType="separate"/>
      </w:r>
      <w:r>
        <w:rPr>
          <w:rFonts w:hint="eastAsia"/>
        </w:rPr>
        <w:t>第22条</w:t>
      </w:r>
      <w:r>
        <w:rPr>
          <w:rFonts w:hint="eastAsia"/>
        </w:rPr>
        <w:fldChar w:fldCharType="end"/>
      </w:r>
      <w:r>
        <w:t>作出有约束力终局仲裁，实属到期应付的，甲方通知财政局支付给乙方相应金额，并从原到期应付之日起计息；不属到期应付的，如已由财政局支付，则乙方应立即归还给财政局，或由甲方选择通知财政局从</w:t>
      </w:r>
      <w:r>
        <w:rPr>
          <w:rFonts w:hint="eastAsia"/>
        </w:rPr>
        <w:t>应付</w:t>
      </w:r>
      <w:r>
        <w:t>的</w:t>
      </w:r>
      <w:r>
        <w:rPr>
          <w:rFonts w:hint="eastAsia"/>
        </w:rPr>
        <w:t>财政补贴</w:t>
      </w:r>
      <w:r>
        <w:t>中扣除，并应从财政局支付之日起到返还或扣除差额之日止计息。</w:t>
      </w:r>
    </w:p>
    <w:p>
      <w:pPr>
        <w:pStyle w:val="214"/>
        <w:spacing w:after="72"/>
      </w:pPr>
      <w:bookmarkStart w:id="491" w:name="_Toc395258210"/>
      <w:bookmarkStart w:id="492" w:name="_Toc50861920"/>
      <w:bookmarkStart w:id="493" w:name="_Toc87807930"/>
      <w:bookmarkStart w:id="494" w:name="_Toc51225663"/>
      <w:bookmarkStart w:id="495" w:name="_Toc144197074"/>
      <w:bookmarkStart w:id="496" w:name="_Toc51213985"/>
      <w:bookmarkStart w:id="497" w:name="_Toc50368747"/>
      <w:bookmarkStart w:id="498" w:name="_Toc50453993"/>
      <w:bookmarkStart w:id="499" w:name="_Toc50860415"/>
      <w:bookmarkStart w:id="500" w:name="_Toc50861784"/>
      <w:r>
        <w:t>地点</w:t>
      </w:r>
      <w:bookmarkEnd w:id="491"/>
      <w:bookmarkEnd w:id="492"/>
      <w:bookmarkEnd w:id="493"/>
      <w:bookmarkEnd w:id="494"/>
      <w:bookmarkEnd w:id="495"/>
      <w:bookmarkEnd w:id="496"/>
      <w:bookmarkEnd w:id="497"/>
      <w:bookmarkEnd w:id="498"/>
      <w:bookmarkEnd w:id="499"/>
      <w:bookmarkEnd w:id="500"/>
    </w:p>
    <w:p>
      <w:pPr>
        <w:pStyle w:val="219"/>
        <w:spacing w:after="72"/>
      </w:pPr>
      <w:r>
        <w:t>一方根据本协议向另一方支付的所有款项，应汇入对方为此而通知指定的机构或银行账户。乙方和甲方应在生效日后三十（30）个工作日内告知对方收取污水处理服务费或本协议项下其他款项的银行账号。</w:t>
      </w:r>
    </w:p>
    <w:p>
      <w:pPr>
        <w:pStyle w:val="219"/>
        <w:spacing w:after="72"/>
      </w:pPr>
      <w:r>
        <w:t>乙方指定账户开户行的处所应在禹州市，一方如需改变账户，应至少提前十（10）个工作日通知对方。</w:t>
      </w:r>
    </w:p>
    <w:p>
      <w:pPr>
        <w:pStyle w:val="214"/>
        <w:spacing w:after="72"/>
      </w:pPr>
      <w:bookmarkStart w:id="501" w:name="_Toc178485608"/>
      <w:bookmarkEnd w:id="501"/>
      <w:bookmarkStart w:id="502" w:name="_Toc144660057"/>
      <w:bookmarkEnd w:id="502"/>
      <w:bookmarkStart w:id="503" w:name="_Toc243319498"/>
      <w:bookmarkEnd w:id="503"/>
      <w:bookmarkStart w:id="504" w:name="_Toc147316067"/>
      <w:bookmarkEnd w:id="504"/>
      <w:bookmarkStart w:id="505" w:name="_Toc243319499"/>
      <w:bookmarkEnd w:id="505"/>
      <w:bookmarkStart w:id="506" w:name="_Toc147315963"/>
      <w:bookmarkEnd w:id="506"/>
      <w:bookmarkStart w:id="507" w:name="_Toc178485606"/>
      <w:bookmarkEnd w:id="507"/>
      <w:bookmarkStart w:id="508" w:name="_Toc178485607"/>
      <w:bookmarkEnd w:id="508"/>
      <w:bookmarkStart w:id="509" w:name="_Toc243319497"/>
      <w:bookmarkEnd w:id="509"/>
      <w:bookmarkStart w:id="510" w:name="_污水处理费支付保函"/>
      <w:bookmarkEnd w:id="510"/>
      <w:bookmarkStart w:id="511" w:name="_Toc144659966"/>
      <w:bookmarkEnd w:id="511"/>
      <w:bookmarkStart w:id="512" w:name="_Toc87807932"/>
      <w:bookmarkStart w:id="513" w:name="_Toc144197076"/>
      <w:bookmarkStart w:id="514" w:name="_Toc395258211"/>
      <w:r>
        <w:t>货币</w:t>
      </w:r>
      <w:bookmarkEnd w:id="512"/>
      <w:bookmarkEnd w:id="513"/>
      <w:bookmarkEnd w:id="514"/>
    </w:p>
    <w:p>
      <w:pPr>
        <w:pStyle w:val="20"/>
        <w:spacing w:before="24" w:after="120"/>
      </w:pPr>
      <w:r>
        <w:t>本协议下的任何应付款项，一律以人民币支付。</w:t>
      </w:r>
    </w:p>
    <w:p>
      <w:pPr>
        <w:pStyle w:val="212"/>
        <w:spacing w:before="360" w:after="120" w:line="360" w:lineRule="auto"/>
        <w:rPr>
          <w:rFonts w:eastAsia="宋体"/>
          <w:b/>
        </w:rPr>
      </w:pPr>
      <w:bookmarkStart w:id="515" w:name="_Toc534891116"/>
      <w:bookmarkStart w:id="516" w:name="_Ref483652126"/>
      <w:bookmarkStart w:id="517" w:name="_Ref528069037"/>
      <w:bookmarkStart w:id="518" w:name="_Ref527530791"/>
      <w:bookmarkStart w:id="519" w:name="_Ref528067239"/>
      <w:bookmarkStart w:id="520" w:name="_Ref527530853"/>
      <w:bookmarkStart w:id="521" w:name="_Ref528069023"/>
      <w:r>
        <w:rPr>
          <w:rFonts w:eastAsia="宋体"/>
          <w:b/>
        </w:rPr>
        <w:t>本项目合作期限届满的移交</w:t>
      </w:r>
      <w:bookmarkEnd w:id="515"/>
      <w:bookmarkEnd w:id="516"/>
    </w:p>
    <w:p>
      <w:pPr>
        <w:pStyle w:val="213"/>
        <w:spacing w:after="120"/>
        <w:rPr>
          <w:rFonts w:ascii="Times New Roman" w:hAnsi="Times New Roman"/>
        </w:rPr>
      </w:pPr>
      <w:bookmarkStart w:id="522" w:name="_Ref448872054"/>
      <w:r>
        <w:rPr>
          <w:rFonts w:ascii="Times New Roman" w:hAnsi="Times New Roman"/>
        </w:rPr>
        <w:t>移交范围</w:t>
      </w:r>
      <w:bookmarkEnd w:id="522"/>
    </w:p>
    <w:p>
      <w:pPr>
        <w:pStyle w:val="214"/>
        <w:spacing w:after="72"/>
      </w:pPr>
      <w:r>
        <w:t>在本项目移交日，乙方应向甲方或市政府指定的其他机构无偿移交：</w:t>
      </w:r>
    </w:p>
    <w:p>
      <w:pPr>
        <w:pStyle w:val="219"/>
        <w:spacing w:after="72"/>
      </w:pPr>
      <w:r>
        <w:t>使用本项目设施所占有土地的权利；</w:t>
      </w:r>
    </w:p>
    <w:p>
      <w:pPr>
        <w:pStyle w:val="219"/>
        <w:spacing w:after="72"/>
      </w:pPr>
      <w:r>
        <w:t>乙方对本项目设施的所有权益，包括：</w:t>
      </w:r>
    </w:p>
    <w:p>
      <w:pPr>
        <w:pStyle w:val="219"/>
        <w:numPr>
          <w:ilvl w:val="0"/>
          <w:numId w:val="0"/>
        </w:numPr>
        <w:spacing w:after="72"/>
        <w:ind w:left="1814"/>
      </w:pPr>
      <w:r>
        <w:t>(i)  本项目设施；</w:t>
      </w:r>
    </w:p>
    <w:p>
      <w:pPr>
        <w:pStyle w:val="219"/>
        <w:numPr>
          <w:ilvl w:val="0"/>
          <w:numId w:val="0"/>
        </w:numPr>
        <w:spacing w:after="72"/>
        <w:ind w:left="1814"/>
      </w:pPr>
      <w:r>
        <w:t>(ii)  与本项目设施相关的所有设备及备品备件等；</w:t>
      </w:r>
    </w:p>
    <w:p>
      <w:pPr>
        <w:pStyle w:val="219"/>
        <w:numPr>
          <w:ilvl w:val="0"/>
          <w:numId w:val="0"/>
        </w:numPr>
        <w:spacing w:after="72"/>
        <w:ind w:left="1814"/>
      </w:pPr>
      <w:r>
        <w:t>(iii)  与本项目设施相关的所有尚未到期的保证、保险和其它协议的利益（只要这些是可以转让的）。</w:t>
      </w:r>
    </w:p>
    <w:p>
      <w:pPr>
        <w:pStyle w:val="219"/>
        <w:spacing w:after="72"/>
      </w:pPr>
      <w:r>
        <w:t>管理和运营维护本项目设施所必需的技术和技术诀窍，以及所有技术文件、运营维护手册、运营维护记录、工程档案、质量保修书等有关资料，以使其能够直接或经由其指定机构继续管理、运营维护项目设施；</w:t>
      </w:r>
    </w:p>
    <w:p>
      <w:pPr>
        <w:pStyle w:val="219"/>
        <w:spacing w:after="72"/>
      </w:pPr>
      <w:r>
        <w:t>为移交本项目设施的所有权所需的文件；</w:t>
      </w:r>
    </w:p>
    <w:p>
      <w:pPr>
        <w:pStyle w:val="219"/>
        <w:spacing w:after="72"/>
      </w:pPr>
      <w:r>
        <w:t>本项目设施资产清册；</w:t>
      </w:r>
    </w:p>
    <w:p>
      <w:pPr>
        <w:pStyle w:val="219"/>
        <w:spacing w:after="72"/>
      </w:pPr>
      <w:r>
        <w:t>甲方合理要求的其它物品与资料。</w:t>
      </w:r>
    </w:p>
    <w:p>
      <w:pPr>
        <w:pStyle w:val="214"/>
        <w:spacing w:after="72"/>
      </w:pPr>
      <w:r>
        <w:t>上述移交不应附带任何负债或违约、侵权责任，不应设有任何抵押、质押等担保权益或产权约束，亦不得存在任何种类和性质的索赔权。所有与移交的设施、权益、文件等有关的负债、违约、侵权责任、抵押、质押等担保权益、产权约束或索赔权，应由乙方全部清偿、赔偿或解除完毕。</w:t>
      </w:r>
    </w:p>
    <w:p>
      <w:pPr>
        <w:pStyle w:val="213"/>
        <w:spacing w:before="240" w:after="120"/>
        <w:rPr>
          <w:rFonts w:ascii="Times New Roman" w:hAnsi="Times New Roman"/>
        </w:rPr>
      </w:pPr>
      <w:r>
        <w:rPr>
          <w:rFonts w:ascii="Times New Roman" w:hAnsi="Times New Roman"/>
        </w:rPr>
        <w:t>移交委员会</w:t>
      </w:r>
    </w:p>
    <w:p>
      <w:pPr>
        <w:pStyle w:val="214"/>
        <w:spacing w:after="72"/>
      </w:pPr>
      <w:r>
        <w:t>本项目合作期届满前的十二（12）个月作为过渡期，甲方和乙方应各派三人成立移交委员会，移交委员会负责人由甲方委派。若本合同提前终止的，移交委员会应在本合同提前终止后五（5）个工作日内成立。</w:t>
      </w:r>
    </w:p>
    <w:p>
      <w:pPr>
        <w:pStyle w:val="214"/>
        <w:spacing w:after="72"/>
      </w:pPr>
      <w:r>
        <w:t>移交委员会成立后一（1）个月内应举行会谈并确定下列事宜的具体实施方案，乙方应提供移交必要的文件、记录、报告等数据，作为移交委员会制定方案的参考：</w:t>
      </w:r>
    </w:p>
    <w:p>
      <w:pPr>
        <w:pStyle w:val="219"/>
        <w:spacing w:after="72"/>
      </w:pPr>
      <w:r>
        <w:t>项目设施移交的详尽程序；</w:t>
      </w:r>
    </w:p>
    <w:p>
      <w:pPr>
        <w:pStyle w:val="219"/>
        <w:spacing w:after="72"/>
      </w:pPr>
      <w:r>
        <w:t>最终恢复性</w:t>
      </w:r>
      <w:r>
        <w:rPr>
          <w:rFonts w:hint="eastAsia"/>
        </w:rPr>
        <w:t>检</w:t>
      </w:r>
      <w:r>
        <w:t>修计划；</w:t>
      </w:r>
    </w:p>
    <w:p>
      <w:pPr>
        <w:pStyle w:val="219"/>
        <w:spacing w:after="72"/>
      </w:pPr>
      <w:r>
        <w:t>商定移交项目设施清单（包括备品备件的详细清单）；</w:t>
      </w:r>
    </w:p>
    <w:p>
      <w:pPr>
        <w:pStyle w:val="219"/>
        <w:spacing w:after="72"/>
      </w:pPr>
      <w:r>
        <w:t>就移交向第三方进行公告的方式；</w:t>
      </w:r>
    </w:p>
    <w:p>
      <w:pPr>
        <w:pStyle w:val="219"/>
        <w:spacing w:after="72"/>
      </w:pPr>
      <w:r>
        <w:t>移交仪式的准备。</w:t>
      </w:r>
    </w:p>
    <w:p>
      <w:pPr>
        <w:pStyle w:val="214"/>
        <w:spacing w:after="72"/>
      </w:pPr>
      <w:r>
        <w:t>无论本合同是否已经终止，在完成本项目设施移交程序前，乙方应按照运营维护手册继续谨慎运营维护项目，甲方应给予配合和协助。</w:t>
      </w:r>
    </w:p>
    <w:p>
      <w:pPr>
        <w:pStyle w:val="214"/>
        <w:spacing w:after="72"/>
      </w:pPr>
      <w:r>
        <w:t>如甲方与乙方在移交过程中对于移交标准产生争议的，则由移交委员会聘请第三方机构进行评定。</w:t>
      </w:r>
    </w:p>
    <w:p>
      <w:pPr>
        <w:pStyle w:val="214"/>
        <w:spacing w:after="72"/>
      </w:pPr>
      <w:r>
        <w:t>移交完成后，移交委员会应将本项目移交信息在市级报和市政府公众信息网上刊登，向社会公告。</w:t>
      </w:r>
    </w:p>
    <w:p>
      <w:pPr>
        <w:pStyle w:val="213"/>
        <w:spacing w:after="120"/>
        <w:rPr>
          <w:rFonts w:ascii="Times New Roman" w:hAnsi="Times New Roman"/>
        </w:rPr>
      </w:pPr>
      <w:r>
        <w:rPr>
          <w:rFonts w:ascii="Times New Roman" w:hAnsi="Times New Roman"/>
        </w:rPr>
        <w:t>最后恢复性检修</w:t>
      </w:r>
    </w:p>
    <w:p>
      <w:pPr>
        <w:pStyle w:val="214"/>
        <w:spacing w:after="72"/>
      </w:pPr>
      <w:r>
        <w:t>在本项目移交日之前</w:t>
      </w:r>
      <w:r>
        <w:rPr>
          <w:rFonts w:hint="eastAsia"/>
        </w:rPr>
        <w:t>九</w:t>
      </w:r>
      <w:r>
        <w:t>（</w:t>
      </w:r>
      <w:r>
        <w:rPr>
          <w:rFonts w:hint="eastAsia"/>
        </w:rPr>
        <w:t>9</w:t>
      </w:r>
      <w:r>
        <w:t>）</w:t>
      </w:r>
      <w:r>
        <w:rPr>
          <w:rFonts w:hint="eastAsia"/>
        </w:rPr>
        <w:t>个月</w:t>
      </w:r>
      <w:r>
        <w:t>，乙方应对项目设施进行一次最后恢复性检修，但此</w:t>
      </w:r>
      <w:r>
        <w:rPr>
          <w:rFonts w:hint="eastAsia"/>
        </w:rPr>
        <w:t>检</w:t>
      </w:r>
      <w:r>
        <w:t>修应不迟于本项目移交日前</w:t>
      </w:r>
      <w:r>
        <w:rPr>
          <w:rFonts w:hint="eastAsia"/>
        </w:rPr>
        <w:t>三</w:t>
      </w:r>
      <w:r>
        <w:t>（</w:t>
      </w:r>
      <w:r>
        <w:rPr>
          <w:rFonts w:hint="eastAsia"/>
        </w:rPr>
        <w:t>3</w:t>
      </w:r>
      <w:r>
        <w:t>）个月完成。</w:t>
      </w:r>
      <w:r>
        <w:rPr>
          <w:rFonts w:hint="eastAsia"/>
        </w:rPr>
        <w:t>检</w:t>
      </w:r>
      <w:r>
        <w:t>修的具体时间和内容应于移交日前由移交委员会核准。</w:t>
      </w:r>
    </w:p>
    <w:p>
      <w:pPr>
        <w:pStyle w:val="214"/>
        <w:spacing w:after="72"/>
      </w:pPr>
      <w:r>
        <w:t>最后恢复性检修应包括：核查设备制造厂商的手册提出的标准项目；消除项目设施实际存在的缺陷，包括但不限于设施设备、建筑物等；检修、探伤、检测及易损易耗件更换等；甲方合理提出的其他检修项目。</w:t>
      </w:r>
    </w:p>
    <w:p>
      <w:pPr>
        <w:pStyle w:val="214"/>
        <w:spacing w:after="72"/>
      </w:pPr>
      <w:r>
        <w:t>最后恢复性检修应在行业主管部门的监督下，由双方共同组织验收。验收标准应按照届时有效的适用法律执行，如果适用法律没有规定的，双方依据本合同及诚实信用的原则协商。如果乙方不能根据本合同约定进行最后恢复性检修，甲方可以自行进行</w:t>
      </w:r>
      <w:r>
        <w:rPr>
          <w:rFonts w:hint="eastAsia"/>
        </w:rPr>
        <w:t>检修</w:t>
      </w:r>
      <w:r>
        <w:t>，由乙方承担费用和风险。甲方有权兑取运营维护保函，以补偿甲方自行最终恢复性检修所产生的费用。在此情况下，甲方应向乙方提供所发生的支出的详细记录。</w:t>
      </w:r>
    </w:p>
    <w:p>
      <w:pPr>
        <w:pStyle w:val="213"/>
        <w:spacing w:after="120"/>
        <w:rPr>
          <w:rFonts w:ascii="Times New Roman" w:hAnsi="Times New Roman"/>
        </w:rPr>
      </w:pPr>
      <w:bookmarkStart w:id="523" w:name="_Ref448873068"/>
      <w:r>
        <w:rPr>
          <w:rFonts w:ascii="Times New Roman" w:hAnsi="Times New Roman"/>
        </w:rPr>
        <w:t>移交标准和缺陷修复</w:t>
      </w:r>
      <w:bookmarkEnd w:id="523"/>
    </w:p>
    <w:p>
      <w:pPr>
        <w:pStyle w:val="214"/>
        <w:spacing w:after="72"/>
      </w:pPr>
      <w:r>
        <w:t>移交标准</w:t>
      </w:r>
    </w:p>
    <w:p>
      <w:pPr>
        <w:pStyle w:val="219"/>
        <w:spacing w:after="72"/>
      </w:pPr>
      <w:r>
        <w:t>在本项目移交日，乙方应保证本项目设施处于良好的管理、运营维护状况（正常损耗除外）、处于正常使用状态、符合适用法律和本合同所</w:t>
      </w:r>
      <w:r>
        <w:rPr>
          <w:rFonts w:hint="eastAsia"/>
        </w:rPr>
        <w:t>约</w:t>
      </w:r>
      <w:r>
        <w:t>定的安全、质量和环境等有关标准。</w:t>
      </w:r>
    </w:p>
    <w:p>
      <w:pPr>
        <w:pStyle w:val="219"/>
        <w:spacing w:after="72"/>
      </w:pPr>
      <w:r>
        <w:t>乙方应确保本项目合作期最后一年的绩效考核指标按照本合同要求达到移交标准。</w:t>
      </w:r>
    </w:p>
    <w:p>
      <w:pPr>
        <w:pStyle w:val="214"/>
        <w:spacing w:after="72"/>
      </w:pPr>
      <w:r>
        <w:t>设施设备的性能测试</w:t>
      </w:r>
    </w:p>
    <w:p>
      <w:pPr>
        <w:pStyle w:val="219"/>
        <w:spacing w:after="72"/>
      </w:pPr>
      <w:r>
        <w:t>乙方应当在本项目移交日前十（10）日内向甲方或其授权机构发出性能测试通知，邀请甲方或其授权机构在性能测试通知指定的日期参与项目设施的性能检测，如果甲方或其授权机构明确以书面方式谢绝该邀请，或者在性能测试通知指定的日期怠于答复，乙方可以在甲方或其授权机构缺席的情况下进行性能测试。</w:t>
      </w:r>
    </w:p>
    <w:p>
      <w:pPr>
        <w:pStyle w:val="219"/>
        <w:spacing w:after="72"/>
      </w:pPr>
      <w:r>
        <w:t>乙方应确保所有项目设施状况良好，性能测试所得各项性能参数都能符合相关技术规范的要求。</w:t>
      </w:r>
    </w:p>
    <w:p>
      <w:pPr>
        <w:pStyle w:val="214"/>
        <w:spacing w:after="72"/>
      </w:pPr>
      <w:bookmarkStart w:id="524" w:name="_Ref479788859"/>
      <w:r>
        <w:t>缺陷修复</w:t>
      </w:r>
      <w:bookmarkEnd w:id="524"/>
    </w:p>
    <w:p>
      <w:pPr>
        <w:pStyle w:val="219"/>
        <w:spacing w:after="72"/>
      </w:pPr>
      <w:r>
        <w:t>如发现存在缺陷、未能达到移交标准的，则乙方应及时修复。如乙方拒绝修复，则甲方有权全额兑取移交保函。如任一方对是否达到移交标准有异议的，则由移交委员会聘请第三方机构进行评定。如果评定结果达到移交标准，聘请费用由甲方承担；如果评定结果未达到移交标准，则聘请费用由乙方承担。</w:t>
      </w:r>
    </w:p>
    <w:p>
      <w:pPr>
        <w:pStyle w:val="219"/>
        <w:spacing w:after="72"/>
      </w:pPr>
      <w:r>
        <w:t>如果未能达到验收标准（含异议情形下，经第三方机构认定未能达到验收标准的），且乙方不能自前次验收日起三十（30）日或双方同意的更长时间内修复任何上述缺陷，则甲方可以自行修正，由乙方承担风险和费用。甲方应有权从应付给乙方的污水处理服务费中扣除相应费用以补偿修复上述缺陷的支出，但是需将发生的详细支出记录提交给乙方。如</w:t>
      </w:r>
      <w:r>
        <w:rPr>
          <w:rFonts w:hint="eastAsia"/>
        </w:rPr>
        <w:t>无数处理服务费</w:t>
      </w:r>
      <w:r>
        <w:t>不足以支付前述修复缺陷支出的，甲方有权兑取移交保函，如移交保函不足的，乙方应以现金形式予以补足。</w:t>
      </w:r>
    </w:p>
    <w:p>
      <w:pPr>
        <w:pStyle w:val="213"/>
        <w:spacing w:after="120"/>
        <w:rPr>
          <w:rFonts w:ascii="Times New Roman" w:hAnsi="Times New Roman"/>
        </w:rPr>
      </w:pPr>
      <w:r>
        <w:rPr>
          <w:rFonts w:ascii="Times New Roman" w:hAnsi="Times New Roman"/>
        </w:rPr>
        <w:t>备品备件的移交</w:t>
      </w:r>
    </w:p>
    <w:p>
      <w:pPr>
        <w:pStyle w:val="214"/>
        <w:spacing w:after="72"/>
      </w:pPr>
      <w:r>
        <w:t>乙方应向甲方或市政府指定的其他机构无偿移交项目正常维护需要的消耗性备件和事故修理备品备件。消耗性备件应根据运营维护手册确定。提供的事故抢修备品备件应与乙方向设备生产商购买设备时所获得的随机备品备件水平相同（水平相同系指规格一致，且质量不低于、数量不少于随机配件）。</w:t>
      </w:r>
    </w:p>
    <w:p>
      <w:pPr>
        <w:pStyle w:val="214"/>
        <w:spacing w:after="72"/>
      </w:pPr>
      <w:r>
        <w:t>在本项目移交日之前，甲方可以向乙方提出一份在移交范围之外的备品备件清单。乙方应尽最大努力以其可以从供应商处得到的同样优惠的价格提供，由甲方支付费用。</w:t>
      </w:r>
    </w:p>
    <w:p>
      <w:pPr>
        <w:pStyle w:val="213"/>
        <w:spacing w:after="120"/>
        <w:rPr>
          <w:rFonts w:ascii="Times New Roman" w:hAnsi="Times New Roman"/>
        </w:rPr>
      </w:pPr>
      <w:r>
        <w:rPr>
          <w:rFonts w:ascii="Times New Roman" w:hAnsi="Times New Roman"/>
        </w:rPr>
        <w:t>保险和承包商保证的转让</w:t>
      </w:r>
    </w:p>
    <w:p>
      <w:pPr>
        <w:pStyle w:val="218"/>
        <w:spacing w:afterLines="50"/>
      </w:pPr>
      <w:r>
        <w:t>在本项目移交时，乙方应将本项目所有承包商和供应商提供的尚未期满的担保及保证无偿转让给甲方或市政府指定的其他机构，并且将所有保险单、暂保单和保险单批单转让给甲方或市政府指定的其他机构。甲方或市政府指定的其他机构应支付或退还上述移交之后保险期间的保险费。</w:t>
      </w:r>
    </w:p>
    <w:p>
      <w:pPr>
        <w:pStyle w:val="213"/>
        <w:spacing w:after="120"/>
        <w:rPr>
          <w:rFonts w:ascii="Times New Roman" w:hAnsi="Times New Roman"/>
        </w:rPr>
      </w:pPr>
      <w:r>
        <w:rPr>
          <w:rFonts w:ascii="Times New Roman" w:hAnsi="Times New Roman"/>
        </w:rPr>
        <w:t>技术转让</w:t>
      </w:r>
    </w:p>
    <w:p>
      <w:pPr>
        <w:pStyle w:val="218"/>
        <w:spacing w:afterLines="50"/>
      </w:pPr>
      <w:r>
        <w:t>乙方应在本项目移交日将届时对本项目使用的管理和维护项目设施所需要的所有技术和技术诀窍（包括以任何许可方式取得的），全部无偿移交给甲方或市政府指定的其他机构，并确保甲方或市政府指定的其他机构不会因使用这些技术或技术诀窍而遭受侵权索赔。如果上述技术和技术诀窍的使用权到本项目工程移交日已期满，乙方有义务协助甲方以不高于乙方取得此等技术和技术诀窍时所付出的代价取得这些技术和技术诀窍的使用权。</w:t>
      </w:r>
    </w:p>
    <w:p>
      <w:pPr>
        <w:pStyle w:val="213"/>
        <w:spacing w:after="120"/>
        <w:rPr>
          <w:rFonts w:ascii="Times New Roman" w:hAnsi="Times New Roman"/>
        </w:rPr>
      </w:pPr>
      <w:r>
        <w:rPr>
          <w:rFonts w:ascii="Times New Roman" w:hAnsi="Times New Roman"/>
        </w:rPr>
        <w:t>雇员的接收与培训</w:t>
      </w:r>
    </w:p>
    <w:p>
      <w:pPr>
        <w:pStyle w:val="214"/>
        <w:spacing w:after="72"/>
      </w:pPr>
      <w:r>
        <w:t>本项目合作期结束的六（6）个月之前，乙方应提交一份当时乙方的雇员名单，包括每个雇员的资格、职位和收入的细节。乙方还应说明在本项目移交日之后这些雇员将可以被甲方或市政府指定的其他机构聘用。</w:t>
      </w:r>
    </w:p>
    <w:p>
      <w:pPr>
        <w:pStyle w:val="214"/>
        <w:spacing w:after="72"/>
      </w:pPr>
      <w:r>
        <w:t>甲方或市政府指定的其他机构如需在本项目移交日之前派驻人员进行培训或学习的，应不迟于本项目移交日前六（6）个月向乙方说明情况，并提供拟派驻人员名单及简历，乙方应免费负责为上述人员提供培训。本项目移交日之前，甲方或市政府指定的其他机构和乙方将组织对上述人员进行考核，以确定乙方的培训目标是否完成。</w:t>
      </w:r>
    </w:p>
    <w:p>
      <w:pPr>
        <w:pStyle w:val="214"/>
        <w:spacing w:after="72"/>
      </w:pPr>
      <w:r>
        <w:t>乙方应允许甲方或市政府指定的其他机构在合理情况下与这些雇员进行面谈和面试。甲方或市政府指定的其他机构有权自主选择在本项目移交日之后其愿意聘用的雇员，而无义务聘用全部或任何的乙方雇员。</w:t>
      </w:r>
    </w:p>
    <w:p>
      <w:pPr>
        <w:pStyle w:val="214"/>
        <w:spacing w:after="72"/>
      </w:pPr>
      <w:r>
        <w:t>如果甲方或市政府指定的其他机构有意聘用部分乙方雇员，乙方应积极予以协助配合，并根据适用法律支付该等雇员的经济补偿金。</w:t>
      </w:r>
    </w:p>
    <w:p>
      <w:pPr>
        <w:pStyle w:val="213"/>
        <w:spacing w:after="120"/>
        <w:rPr>
          <w:rFonts w:ascii="Times New Roman" w:hAnsi="Times New Roman"/>
        </w:rPr>
      </w:pPr>
      <w:r>
        <w:rPr>
          <w:rFonts w:ascii="Times New Roman" w:hAnsi="Times New Roman"/>
        </w:rPr>
        <w:t>协议的取消、转让</w:t>
      </w:r>
    </w:p>
    <w:p>
      <w:pPr>
        <w:pStyle w:val="218"/>
        <w:spacing w:afterLines="50"/>
      </w:pPr>
      <w:r>
        <w:t>如果甲方要求，乙方应解除或终止其签订的、于移交日仍有效的运营维护协议、设备协议、供货协议和所有其他协议。甲方对于解除或终止协议所发生的任何费用不负任何责任，同时乙方应确保甲方使之不为此受到损害。</w:t>
      </w:r>
    </w:p>
    <w:p>
      <w:pPr>
        <w:pStyle w:val="213"/>
        <w:spacing w:after="120"/>
        <w:rPr>
          <w:rFonts w:ascii="Times New Roman" w:hAnsi="Times New Roman"/>
        </w:rPr>
      </w:pPr>
      <w:r>
        <w:rPr>
          <w:rFonts w:ascii="Times New Roman" w:hAnsi="Times New Roman"/>
        </w:rPr>
        <w:t>移走乙方相关的物品</w:t>
      </w:r>
    </w:p>
    <w:p>
      <w:pPr>
        <w:pStyle w:val="218"/>
        <w:spacing w:afterLines="50"/>
      </w:pPr>
      <w:r>
        <w:t>除非双方另有协议，乙方应于本项目移交日之后六十（60）日内，自费从场地移走乙方雇员的个人用品以及与项目运营维护无关的物品，如果乙方在上述时间内没有移走这些物品，甲方在通知乙方之后，可以移走并将物品转运至适当的地点以便安全保管。在此情形下，甲方搬移、运输和保管的合理费用和风险均由乙方承担，甲方有权从移交保函中扣除上述费用。</w:t>
      </w:r>
    </w:p>
    <w:p>
      <w:pPr>
        <w:pStyle w:val="213"/>
        <w:spacing w:after="120"/>
        <w:rPr>
          <w:rFonts w:ascii="Times New Roman" w:hAnsi="Times New Roman"/>
        </w:rPr>
      </w:pPr>
      <w:bookmarkStart w:id="525" w:name="_Ref534715233"/>
      <w:r>
        <w:rPr>
          <w:rFonts w:ascii="Times New Roman" w:hAnsi="Times New Roman"/>
        </w:rPr>
        <w:t>缺陷责任期</w:t>
      </w:r>
      <w:bookmarkEnd w:id="525"/>
    </w:p>
    <w:p>
      <w:pPr>
        <w:pStyle w:val="214"/>
        <w:spacing w:after="72"/>
      </w:pPr>
      <w:r>
        <w:t>本项目设施缺陷责任期为本项目移交日后十二（12）个月。缺陷责任期内，乙方须按国家规定履行保修义务（因接受移交的单位使用不当造成的损坏除外），修复项目设施的任何部分在本项目合作期内出现的任何缺陷或损坏，并提供满足正常生产需要的技术咨询服务。</w:t>
      </w:r>
    </w:p>
    <w:p>
      <w:pPr>
        <w:pStyle w:val="214"/>
        <w:spacing w:after="72"/>
      </w:pPr>
      <w:r>
        <w:t>甲方发现任何上述缺陷或损坏后应及时通知乙方。在任何情况下，甲方必须最迟于缺陷责任期结束前通知乙方。收到该通知后，乙方应尽快自费修正缺陷或损坏。</w:t>
      </w:r>
    </w:p>
    <w:p>
      <w:pPr>
        <w:pStyle w:val="214"/>
        <w:spacing w:after="72"/>
      </w:pPr>
      <w:r>
        <w:t>如果乙方在收到甲方上述通知后合理的时间内不能或拒绝修正缺陷，甲方有权自行或请第三方修正上述缺陷。在这种情况下，乙方应为此向甲方支付合理且必要的修理费用，否则甲方有权从移交保函中兑取相应金额以补偿该等修理费用，不足部分应由乙方承担。</w:t>
      </w:r>
    </w:p>
    <w:p>
      <w:pPr>
        <w:pStyle w:val="213"/>
        <w:spacing w:after="120"/>
        <w:rPr>
          <w:rFonts w:ascii="Times New Roman" w:hAnsi="Times New Roman"/>
        </w:rPr>
      </w:pPr>
      <w:r>
        <w:rPr>
          <w:rFonts w:ascii="Times New Roman" w:hAnsi="Times New Roman"/>
        </w:rPr>
        <w:t>风险转移</w:t>
      </w:r>
    </w:p>
    <w:p>
      <w:pPr>
        <w:pStyle w:val="218"/>
        <w:spacing w:after="72"/>
      </w:pPr>
      <w:r>
        <w:t>乙方应承担本项目移交日前的全部或部分损失或损坏的风险，除损失或损坏是由甲方的违约所致外。</w:t>
      </w:r>
    </w:p>
    <w:p>
      <w:pPr>
        <w:pStyle w:val="213"/>
        <w:spacing w:after="120"/>
        <w:rPr>
          <w:rFonts w:ascii="Times New Roman" w:hAnsi="Times New Roman"/>
        </w:rPr>
      </w:pPr>
      <w:r>
        <w:rPr>
          <w:rFonts w:ascii="Times New Roman" w:hAnsi="Times New Roman"/>
        </w:rPr>
        <w:t>移交费用和批准</w:t>
      </w:r>
    </w:p>
    <w:p>
      <w:pPr>
        <w:pStyle w:val="214"/>
        <w:spacing w:after="72"/>
      </w:pPr>
      <w:r>
        <w:t>除非本合同另有</w:t>
      </w:r>
      <w:r>
        <w:rPr>
          <w:rFonts w:hint="eastAsia"/>
        </w:rPr>
        <w:t>约</w:t>
      </w:r>
      <w:r>
        <w:t>定，对于依据本条款所进行的向甲方或市政府指定的其他机构移交和转让项目有关的承包商的保险、保证、技术和供应协议，甲方和/或市政府指定的其他机构无须向乙方支付任何补偿或收购费用。</w:t>
      </w:r>
    </w:p>
    <w:p>
      <w:pPr>
        <w:pStyle w:val="214"/>
        <w:spacing w:after="72"/>
      </w:pPr>
      <w:r>
        <w:t>乙方和甲方应各自承担因移交和转让发生的费用和支出。甲方应自费获得所有的批准或使之生效，并采取其他可能为移交和转让所必需的行动，并且应支付与移交和转让有关的所有印花税、税收、收费和类似的费用。如果乙方未按本条款约定的范围和内容进行移交，甲方为此发生支出或遭受损失，甲方有权从移交保函中扣除。</w:t>
      </w:r>
    </w:p>
    <w:p>
      <w:pPr>
        <w:pStyle w:val="213"/>
        <w:spacing w:after="120"/>
        <w:rPr>
          <w:rFonts w:ascii="Times New Roman" w:hAnsi="Times New Roman"/>
        </w:rPr>
      </w:pPr>
      <w:r>
        <w:rPr>
          <w:rFonts w:ascii="Times New Roman" w:hAnsi="Times New Roman"/>
        </w:rPr>
        <w:t>移交效力</w:t>
      </w:r>
    </w:p>
    <w:p>
      <w:pPr>
        <w:pStyle w:val="214"/>
        <w:spacing w:after="72"/>
      </w:pPr>
      <w:r>
        <w:t>自本项目移交日起，乙方在本合同项下本项目的经营权即行终止，乙方无权取得自移交日起的污水处理费。</w:t>
      </w:r>
    </w:p>
    <w:p>
      <w:pPr>
        <w:pStyle w:val="214"/>
        <w:spacing w:after="72"/>
      </w:pPr>
      <w:r>
        <w:t>自本项目移交日起，本项目设施的相关权益均转移给甲方或其指定的机构。</w:t>
      </w:r>
    </w:p>
    <w:p>
      <w:pPr>
        <w:pStyle w:val="214"/>
        <w:spacing w:after="72"/>
      </w:pPr>
      <w:r>
        <w:t>自本项目移交日起，由甲方或市政府指定的其他机构全面负责本项目设施的管理、运营维护。</w:t>
      </w:r>
    </w:p>
    <w:p>
      <w:pPr>
        <w:pStyle w:val="214"/>
        <w:spacing w:after="72"/>
      </w:pPr>
      <w:r>
        <w:tab/>
      </w:r>
      <w:r>
        <w:t>双方在本合同项下未履行完毕的其他权利和义务应当继续履行。</w:t>
      </w:r>
    </w:p>
    <w:p>
      <w:pPr>
        <w:pStyle w:val="214"/>
        <w:spacing w:after="72"/>
      </w:pPr>
      <w:r>
        <w:t>双方于本项目合作期限届满之前发生及未付的债务不得移交。</w:t>
      </w:r>
    </w:p>
    <w:p>
      <w:pPr>
        <w:pStyle w:val="213"/>
        <w:spacing w:after="120"/>
        <w:rPr>
          <w:rFonts w:ascii="Times New Roman" w:hAnsi="Times New Roman"/>
        </w:rPr>
      </w:pPr>
      <w:r>
        <w:rPr>
          <w:rFonts w:ascii="Times New Roman" w:hAnsi="Times New Roman"/>
        </w:rPr>
        <w:t>移交绩效考核</w:t>
      </w:r>
    </w:p>
    <w:p>
      <w:pPr>
        <w:pStyle w:val="214"/>
        <w:numPr>
          <w:ilvl w:val="0"/>
          <w:numId w:val="0"/>
        </w:numPr>
        <w:spacing w:after="72"/>
        <w:ind w:left="567"/>
      </w:pPr>
      <w:r>
        <w:t>移交完成后，甲方按照附件六的</w:t>
      </w:r>
      <w:r>
        <w:rPr>
          <w:rFonts w:hint="eastAsia"/>
        </w:rPr>
        <w:t>约</w:t>
      </w:r>
      <w:r>
        <w:t>定对移交过程进行移交绩效考核。甲方有权根据移交绩效考核结果向乙方收取违约金或提取移交维修保函的相应金额。</w:t>
      </w:r>
    </w:p>
    <w:p>
      <w:pPr>
        <w:pStyle w:val="212"/>
        <w:spacing w:before="360" w:after="120" w:line="360" w:lineRule="auto"/>
        <w:rPr>
          <w:rFonts w:eastAsia="宋体"/>
          <w:b/>
        </w:rPr>
      </w:pPr>
      <w:bookmarkStart w:id="526" w:name="_Ref534832469"/>
      <w:bookmarkStart w:id="527" w:name="_Toc534891117"/>
      <w:r>
        <w:rPr>
          <w:rFonts w:hint="eastAsia" w:eastAsia="宋体"/>
          <w:b/>
        </w:rPr>
        <w:t>履约保函</w:t>
      </w:r>
      <w:bookmarkEnd w:id="402"/>
      <w:bookmarkEnd w:id="517"/>
      <w:bookmarkEnd w:id="518"/>
      <w:bookmarkEnd w:id="519"/>
      <w:bookmarkEnd w:id="520"/>
      <w:bookmarkEnd w:id="521"/>
      <w:bookmarkEnd w:id="526"/>
      <w:r>
        <w:rPr>
          <w:rFonts w:hint="eastAsia" w:ascii="宋体" w:hAnsi="宋体" w:eastAsia="宋体"/>
          <w:b/>
        </w:rPr>
        <w:t>★</w:t>
      </w:r>
      <w:bookmarkEnd w:id="527"/>
    </w:p>
    <w:p>
      <w:pPr>
        <w:pStyle w:val="213"/>
        <w:spacing w:after="120"/>
        <w:rPr>
          <w:rFonts w:ascii="Times New Roman" w:hAnsi="Times New Roman"/>
        </w:rPr>
      </w:pPr>
      <w:bookmarkStart w:id="528" w:name="_Ref460976513"/>
      <w:r>
        <w:rPr>
          <w:rFonts w:ascii="Times New Roman" w:hAnsi="Times New Roman"/>
        </w:rPr>
        <w:t>履约保函的开具</w:t>
      </w:r>
      <w:bookmarkEnd w:id="528"/>
    </w:p>
    <w:p>
      <w:pPr>
        <w:pStyle w:val="214"/>
        <w:numPr>
          <w:ilvl w:val="0"/>
          <w:numId w:val="22"/>
        </w:numPr>
        <w:spacing w:after="72"/>
        <w:ind w:left="567" w:firstLine="0"/>
      </w:pPr>
      <w:r>
        <w:rPr>
          <w:rFonts w:hint="eastAsia"/>
        </w:rPr>
        <w:t>本合同生效日起六十（</w:t>
      </w:r>
      <w:r>
        <w:t>60</w:t>
      </w:r>
      <w:r>
        <w:rPr>
          <w:rFonts w:hint="eastAsia"/>
        </w:rPr>
        <w:t>）日内，中标人或乙方应向甲方提交按照“附件四”的格式出具的以甲方作为受益人的建设期履约保函或经甲方认可的银行格式版本的履约保函，以保证乙方按照本合同的条款和条件履行本合同项下的各项义务；</w:t>
      </w:r>
    </w:p>
    <w:p>
      <w:pPr>
        <w:pStyle w:val="214"/>
        <w:numPr>
          <w:ilvl w:val="0"/>
          <w:numId w:val="22"/>
        </w:numPr>
        <w:spacing w:after="72"/>
        <w:ind w:left="567" w:firstLine="0"/>
      </w:pPr>
      <w:r>
        <w:t>如乙方未在前款</w:t>
      </w:r>
      <w:r>
        <w:rPr>
          <w:rFonts w:hint="eastAsia"/>
        </w:rPr>
        <w:t>约定</w:t>
      </w:r>
      <w:r>
        <w:t>期限内开具本项目履约保函，每逾期一天，乙方应按相应乙方履约保函所载之金额，按</w:t>
      </w:r>
      <w:r>
        <w:rPr>
          <w:rFonts w:hint="eastAsia"/>
        </w:rPr>
        <w:t>违约利率</w:t>
      </w:r>
      <w:r>
        <w:t>标准，向</w:t>
      </w:r>
      <w:r>
        <w:rPr>
          <w:rFonts w:hint="eastAsia"/>
        </w:rPr>
        <w:t>甲</w:t>
      </w:r>
      <w:r>
        <w:t>方支付违约金至乙方实际开具该乙方履约保函之日或甲方解除本合同之日。如乙方逾期超过</w:t>
      </w:r>
      <w:r>
        <w:rPr>
          <w:rFonts w:hint="eastAsia"/>
        </w:rPr>
        <w:t>十五</w:t>
      </w:r>
      <w:r>
        <w:t>（15</w:t>
      </w:r>
      <w:r>
        <w:rPr>
          <w:rFonts w:hint="eastAsia"/>
        </w:rPr>
        <w:t>）日</w:t>
      </w:r>
      <w:r>
        <w:t>仍未开具该乙方履约保函则甲方有权随时书面通知乙方解除本合同。</w:t>
      </w:r>
    </w:p>
    <w:p>
      <w:pPr>
        <w:pStyle w:val="213"/>
        <w:spacing w:after="120"/>
        <w:rPr>
          <w:rFonts w:ascii="Times New Roman" w:hAnsi="Times New Roman"/>
        </w:rPr>
      </w:pPr>
      <w:bookmarkStart w:id="529" w:name="_Ref460976398"/>
      <w:r>
        <w:rPr>
          <w:rFonts w:ascii="Times New Roman" w:hAnsi="Times New Roman"/>
        </w:rPr>
        <w:t>履约保函类型及金额</w:t>
      </w:r>
      <w:bookmarkEnd w:id="529"/>
    </w:p>
    <w:p>
      <w:pPr>
        <w:numPr>
          <w:ilvl w:val="0"/>
          <w:numId w:val="23"/>
        </w:numPr>
        <w:spacing w:after="72" w:line="360" w:lineRule="auto"/>
        <w:ind w:left="567" w:firstLine="0"/>
      </w:pPr>
      <w:r>
        <w:rPr>
          <w:rFonts w:hint="eastAsia"/>
        </w:rPr>
        <w:t>本项目建设期履约保函，担保金额为伍佰万元（</w:t>
      </w:r>
      <w:r>
        <w:t>RMB5,000,000</w:t>
      </w:r>
      <w:r>
        <w:rPr>
          <w:rFonts w:hint="eastAsia"/>
        </w:rPr>
        <w:t>），有效期限为该保函开立日至本项目工程竣工验收合格之日；</w:t>
      </w:r>
    </w:p>
    <w:p>
      <w:pPr>
        <w:numPr>
          <w:ilvl w:val="0"/>
          <w:numId w:val="23"/>
        </w:numPr>
        <w:spacing w:after="72" w:line="360" w:lineRule="auto"/>
        <w:ind w:left="567" w:firstLine="0"/>
      </w:pPr>
      <w:r>
        <w:rPr>
          <w:rFonts w:hint="eastAsia"/>
        </w:rPr>
        <w:t>本项目运营维护履约保函，担保金额为肆佰万元（</w:t>
      </w:r>
      <w:r>
        <w:t>RMB</w:t>
      </w:r>
      <w:r>
        <w:rPr>
          <w:rFonts w:hint="eastAsia"/>
        </w:rPr>
        <w:t>4,</w:t>
      </w:r>
      <w:r>
        <w:t>000,000</w:t>
      </w:r>
      <w:r>
        <w:rPr>
          <w:rFonts w:hint="eastAsia"/>
        </w:rPr>
        <w:t>），有效期限为本项目工程竣工验收合格之日至本项目合作期限全部终止前一（</w:t>
      </w:r>
      <w:r>
        <w:t>1</w:t>
      </w:r>
      <w:r>
        <w:rPr>
          <w:rFonts w:hint="eastAsia"/>
        </w:rPr>
        <w:t>）年之日；</w:t>
      </w:r>
    </w:p>
    <w:p>
      <w:pPr>
        <w:numPr>
          <w:ilvl w:val="0"/>
          <w:numId w:val="23"/>
        </w:numPr>
        <w:spacing w:after="72" w:line="360" w:lineRule="auto"/>
        <w:ind w:left="567" w:firstLine="0"/>
      </w:pPr>
      <w:r>
        <w:rPr>
          <w:rFonts w:hint="eastAsia"/>
        </w:rPr>
        <w:t>本项目移交履约保函，担保金额为捌佰万元（</w:t>
      </w:r>
      <w:r>
        <w:t>RMB</w:t>
      </w:r>
      <w:r>
        <w:rPr>
          <w:rFonts w:hint="eastAsia"/>
        </w:rPr>
        <w:t>8</w:t>
      </w:r>
      <w:r>
        <w:t>,000,000</w:t>
      </w:r>
      <w:r>
        <w:rPr>
          <w:rFonts w:hint="eastAsia"/>
        </w:rPr>
        <w:t>），有效期限为本项目合作期限全部终止前一（</w:t>
      </w:r>
      <w:r>
        <w:t>1</w:t>
      </w:r>
      <w:r>
        <w:rPr>
          <w:rFonts w:hint="eastAsia"/>
        </w:rPr>
        <w:t>）年之日至本项目运维设施缺陷责任期全部终止之日。</w:t>
      </w:r>
    </w:p>
    <w:p>
      <w:pPr>
        <w:pStyle w:val="213"/>
        <w:spacing w:after="120"/>
        <w:rPr>
          <w:rFonts w:ascii="Times New Roman" w:hAnsi="Times New Roman"/>
        </w:rPr>
      </w:pPr>
      <w:bookmarkStart w:id="530" w:name="_Ref185213500"/>
      <w:r>
        <w:rPr>
          <w:rFonts w:ascii="Times New Roman" w:hAnsi="Times New Roman"/>
        </w:rPr>
        <w:t>乙方履约保函有效期</w:t>
      </w:r>
      <w:bookmarkEnd w:id="530"/>
    </w:p>
    <w:p>
      <w:pPr>
        <w:numPr>
          <w:ilvl w:val="0"/>
          <w:numId w:val="24"/>
        </w:numPr>
        <w:spacing w:after="72" w:line="360" w:lineRule="auto"/>
        <w:ind w:left="567" w:firstLine="0"/>
      </w:pPr>
      <w:r>
        <w:rPr>
          <w:rFonts w:hint="eastAsia"/>
        </w:rPr>
        <w:t>乙方应保证所提供的三类履约保函在自第一份开立日起至本项目运维设施缺陷责任期全部终止之日期间内不间断的持续有效；</w:t>
      </w:r>
    </w:p>
    <w:p>
      <w:pPr>
        <w:numPr>
          <w:ilvl w:val="0"/>
          <w:numId w:val="24"/>
        </w:numPr>
        <w:spacing w:after="72" w:line="360" w:lineRule="auto"/>
        <w:ind w:left="567" w:firstLine="0"/>
      </w:pPr>
      <w:r>
        <w:rPr>
          <w:rFonts w:hint="eastAsia"/>
        </w:rPr>
        <w:t>对于第</w:t>
      </w:r>
      <w:r>
        <w:fldChar w:fldCharType="begin"/>
      </w:r>
      <w:r>
        <w:instrText xml:space="preserve"> REF _Ref460976398 \r \h  \* MERGEFORMAT </w:instrText>
      </w:r>
      <w:r>
        <w:fldChar w:fldCharType="separate"/>
      </w:r>
      <w:r>
        <w:t>14.2</w:t>
      </w:r>
      <w:r>
        <w:fldChar w:fldCharType="end"/>
      </w:r>
      <w:r>
        <w:rPr>
          <w:rFonts w:hint="eastAsia"/>
        </w:rPr>
        <w:t>条款约定的三类乙方履约保函，乙方均可以开立多份生效日首尾相连的履约保函，但每份履约保函的有效期不得低于十二（</w:t>
      </w:r>
      <w:r>
        <w:t>12</w:t>
      </w:r>
      <w:r>
        <w:rPr>
          <w:rFonts w:hint="eastAsia"/>
        </w:rPr>
        <w:t>）个月。每份履约保函（下称旧履约保函）有效期届满前至少三十（</w:t>
      </w:r>
      <w:r>
        <w:t>30</w:t>
      </w:r>
      <w:r>
        <w:rPr>
          <w:rFonts w:hint="eastAsia"/>
        </w:rPr>
        <w:t>）日乙方应向甲方提交一份金额符合第</w:t>
      </w:r>
      <w:r>
        <w:fldChar w:fldCharType="begin"/>
      </w:r>
      <w:r>
        <w:instrText xml:space="preserve"> REF _Ref460976398 \r \h  \* MERGEFORMAT </w:instrText>
      </w:r>
      <w:r>
        <w:fldChar w:fldCharType="separate"/>
      </w:r>
      <w:r>
        <w:t>14.2</w:t>
      </w:r>
      <w:r>
        <w:fldChar w:fldCharType="end"/>
      </w:r>
      <w:r>
        <w:rPr>
          <w:rFonts w:hint="eastAsia"/>
        </w:rPr>
        <w:t>条款约定的用以替换旧履约保函的新履约保函，新履约保函自旧履约保函有效期届满日次日起生效；</w:t>
      </w:r>
    </w:p>
    <w:p>
      <w:pPr>
        <w:numPr>
          <w:ilvl w:val="0"/>
          <w:numId w:val="24"/>
        </w:numPr>
        <w:spacing w:after="72" w:line="360" w:lineRule="auto"/>
        <w:ind w:left="567" w:firstLine="0"/>
      </w:pPr>
      <w:r>
        <w:rPr>
          <w:rFonts w:hint="eastAsia"/>
        </w:rPr>
        <w:t>在合作期限正常结束的情况下，最后一份保函的有效期应至第</w:t>
      </w:r>
      <w:r>
        <w:fldChar w:fldCharType="begin"/>
      </w:r>
      <w:r>
        <w:instrText xml:space="preserve"> REF _Ref534715233 \r \h  \* MERGEFORMAT </w:instrText>
      </w:r>
      <w:r>
        <w:fldChar w:fldCharType="separate"/>
      </w:r>
      <w:r>
        <w:t>13.11</w:t>
      </w:r>
      <w:r>
        <w:fldChar w:fldCharType="end"/>
      </w:r>
      <w:r>
        <w:rPr>
          <w:rFonts w:hint="eastAsia"/>
        </w:rPr>
        <w:t>条款约定的运维设施缺陷责任期结束之时止。在根据本合同</w:t>
      </w:r>
      <w:r>
        <w:fldChar w:fldCharType="begin"/>
      </w:r>
      <w:r>
        <w:instrText xml:space="preserve"> REF _Ref448740050 \r \h  \* MERGEFORMAT </w:instrText>
      </w:r>
      <w:r>
        <w:fldChar w:fldCharType="separate"/>
      </w:r>
      <w:r>
        <w:rPr>
          <w:rFonts w:hint="eastAsia"/>
        </w:rPr>
        <w:t>第17条</w:t>
      </w:r>
      <w:r>
        <w:rPr>
          <w:rFonts w:hint="eastAsia"/>
        </w:rPr>
        <w:fldChar w:fldCharType="end"/>
      </w:r>
      <w:r>
        <w:rPr>
          <w:rFonts w:hint="eastAsia"/>
        </w:rPr>
        <w:t>的约定被提前终止的情况下，乙方应根据第</w:t>
      </w:r>
      <w:r>
        <w:fldChar w:fldCharType="begin"/>
      </w:r>
      <w:r>
        <w:instrText xml:space="preserve"> REF _Ref534715296 \r \h  \* MERGEFORMAT </w:instrText>
      </w:r>
      <w:r>
        <w:fldChar w:fldCharType="separate"/>
      </w:r>
      <w:r>
        <w:t>17.10</w:t>
      </w:r>
      <w:r>
        <w:fldChar w:fldCharType="end"/>
      </w:r>
      <w:r>
        <w:rPr>
          <w:rFonts w:hint="eastAsia"/>
        </w:rPr>
        <w:t>条款提交一份新的履约保函；</w:t>
      </w:r>
    </w:p>
    <w:p>
      <w:pPr>
        <w:numPr>
          <w:ilvl w:val="0"/>
          <w:numId w:val="24"/>
        </w:numPr>
        <w:spacing w:after="72" w:line="360" w:lineRule="auto"/>
        <w:ind w:left="567" w:firstLine="0"/>
      </w:pPr>
      <w:r>
        <w:rPr>
          <w:rFonts w:hint="eastAsia"/>
        </w:rPr>
        <w:t>本合同依照法律规定或甲、乙双方约定而被提前解除，从而导致合作期限提前终止时，乙方须向甲方提交一份新履约保函，其金额为捌佰万元（</w:t>
      </w:r>
      <w:r>
        <w:t>RMB</w:t>
      </w:r>
      <w:r>
        <w:rPr>
          <w:rFonts w:hint="eastAsia"/>
        </w:rPr>
        <w:t>8</w:t>
      </w:r>
      <w:r>
        <w:t>,000,000</w:t>
      </w:r>
      <w:r>
        <w:rPr>
          <w:rFonts w:hint="eastAsia"/>
        </w:rPr>
        <w:t>），有效期限为开立日至本合同解除之日起满十二（</w:t>
      </w:r>
      <w:r>
        <w:t>12</w:t>
      </w:r>
      <w:r>
        <w:rPr>
          <w:rFonts w:hint="eastAsia"/>
        </w:rPr>
        <w:t>）个月之日。乙方此前已开具的相关旧履约保函继续有效至该保函确定有效期满之日；</w:t>
      </w:r>
    </w:p>
    <w:p>
      <w:pPr>
        <w:numPr>
          <w:ilvl w:val="0"/>
          <w:numId w:val="24"/>
        </w:numPr>
        <w:spacing w:after="72" w:line="360" w:lineRule="auto"/>
        <w:ind w:left="567" w:firstLine="0"/>
      </w:pPr>
      <w:r>
        <w:rPr>
          <w:rFonts w:hint="eastAsia"/>
        </w:rPr>
        <w:t>如果乙方未按照上述约定及时更换保函或者延长最后一份旧履约保函的有效期，甲方有权全额提取旧履约保函或最后一份履约保函的全部金额，并视具体情况自行决定单方解除本合同。</w:t>
      </w:r>
    </w:p>
    <w:p>
      <w:pPr>
        <w:pStyle w:val="213"/>
        <w:spacing w:after="120"/>
        <w:rPr>
          <w:rFonts w:ascii="Times New Roman" w:hAnsi="Times New Roman"/>
        </w:rPr>
      </w:pPr>
      <w:bookmarkStart w:id="531" w:name="_Ref423946463"/>
      <w:r>
        <w:rPr>
          <w:rFonts w:ascii="Times New Roman" w:hAnsi="Times New Roman"/>
        </w:rPr>
        <w:t>乙方履约保函的</w:t>
      </w:r>
      <w:bookmarkEnd w:id="531"/>
      <w:r>
        <w:rPr>
          <w:rFonts w:ascii="Times New Roman" w:hAnsi="Times New Roman"/>
        </w:rPr>
        <w:t>提取</w:t>
      </w:r>
    </w:p>
    <w:p>
      <w:pPr>
        <w:numPr>
          <w:ilvl w:val="0"/>
          <w:numId w:val="25"/>
        </w:numPr>
        <w:spacing w:after="72" w:line="360" w:lineRule="auto"/>
        <w:ind w:left="567" w:firstLine="0"/>
      </w:pPr>
      <w:r>
        <w:rPr>
          <w:rFonts w:hint="eastAsia"/>
        </w:rPr>
        <w:t>除非本合同另有特殊约定，如果发生因乙方未全部或部分履行其在本合同项下的义务，且在甲方要求的期限内未予补正，或未按本合同的约定承担违约责任，甲方有权提取乙方履约保函的全部或部分金额；</w:t>
      </w:r>
    </w:p>
    <w:p>
      <w:pPr>
        <w:numPr>
          <w:ilvl w:val="0"/>
          <w:numId w:val="25"/>
        </w:numPr>
        <w:spacing w:after="72" w:line="360" w:lineRule="auto"/>
        <w:ind w:left="567" w:firstLine="0"/>
      </w:pPr>
      <w:r>
        <w:rPr>
          <w:rFonts w:hint="eastAsia"/>
        </w:rPr>
        <w:t>如果乙方未按照第</w:t>
      </w:r>
      <w:r>
        <w:fldChar w:fldCharType="begin"/>
      </w:r>
      <w:r>
        <w:instrText xml:space="preserve"> REF _Ref185213427 \r \h  \* MERGEFORMAT </w:instrText>
      </w:r>
      <w:r>
        <w:fldChar w:fldCharType="separate"/>
      </w:r>
      <w:r>
        <w:t>14.5</w:t>
      </w:r>
      <w:r>
        <w:fldChar w:fldCharType="end"/>
      </w:r>
      <w:r>
        <w:rPr>
          <w:rFonts w:hint="eastAsia"/>
        </w:rPr>
        <w:t>条款的约定按时补充履约保函的金额，甲方有权提取乙方履约保函届时所剩余的全部金额；</w:t>
      </w:r>
    </w:p>
    <w:p>
      <w:pPr>
        <w:numPr>
          <w:ilvl w:val="0"/>
          <w:numId w:val="25"/>
        </w:numPr>
        <w:spacing w:after="72" w:line="360" w:lineRule="auto"/>
        <w:ind w:left="567" w:firstLine="0"/>
      </w:pPr>
      <w:r>
        <w:rPr>
          <w:rFonts w:hint="eastAsia"/>
        </w:rPr>
        <w:t>如果乙方未按照第</w:t>
      </w:r>
      <w:r>
        <w:fldChar w:fldCharType="begin"/>
      </w:r>
      <w:r>
        <w:instrText xml:space="preserve"> REF _Ref185213500 \r \h  \* MERGEFORMAT </w:instrText>
      </w:r>
      <w:r>
        <w:fldChar w:fldCharType="separate"/>
      </w:r>
      <w:r>
        <w:t>14.3</w:t>
      </w:r>
      <w:r>
        <w:fldChar w:fldCharType="end"/>
      </w:r>
      <w:r>
        <w:rPr>
          <w:rFonts w:hint="eastAsia"/>
        </w:rPr>
        <w:t>条款约定采取措施以保障乙方履约保函效力的连续性，甲方有权提取乙方履约保函的金额，并视具体情况自行决定单方解除本合同；</w:t>
      </w:r>
    </w:p>
    <w:p>
      <w:pPr>
        <w:numPr>
          <w:ilvl w:val="0"/>
          <w:numId w:val="25"/>
        </w:numPr>
        <w:spacing w:after="72" w:line="360" w:lineRule="auto"/>
        <w:ind w:left="567" w:firstLine="0"/>
      </w:pPr>
      <w:r>
        <w:rPr>
          <w:rFonts w:hint="eastAsia"/>
        </w:rPr>
        <w:t>甲方在根据本条款提取履约保函任何金额之前，应向乙方发出书面通知并告知甲方提取的理由和拟提取的金额；</w:t>
      </w:r>
    </w:p>
    <w:p>
      <w:pPr>
        <w:numPr>
          <w:ilvl w:val="0"/>
          <w:numId w:val="25"/>
        </w:numPr>
        <w:spacing w:after="72" w:line="360" w:lineRule="auto"/>
        <w:ind w:left="567" w:firstLine="0"/>
      </w:pPr>
      <w:r>
        <w:rPr>
          <w:rFonts w:hint="eastAsia"/>
        </w:rPr>
        <w:t>甲方行使提取乙方履约保函的权利不损害甲方在本合同项下的其他权利，并且不解除乙方履行本合同项下义务的责任。</w:t>
      </w:r>
    </w:p>
    <w:p>
      <w:pPr>
        <w:pStyle w:val="213"/>
        <w:spacing w:after="120"/>
        <w:rPr>
          <w:rFonts w:ascii="Times New Roman" w:hAnsi="Times New Roman"/>
        </w:rPr>
      </w:pPr>
      <w:bookmarkStart w:id="532" w:name="_Ref185213427"/>
      <w:r>
        <w:rPr>
          <w:rFonts w:ascii="Times New Roman" w:hAnsi="Times New Roman"/>
        </w:rPr>
        <w:t>恢复履约保函的金额</w:t>
      </w:r>
      <w:bookmarkEnd w:id="532"/>
    </w:p>
    <w:p>
      <w:pPr>
        <w:pStyle w:val="218"/>
        <w:spacing w:afterLines="50"/>
      </w:pPr>
      <w:r>
        <w:t>若甲方在合作期限内根据本合同的</w:t>
      </w:r>
      <w:r>
        <w:rPr>
          <w:rFonts w:hint="eastAsia"/>
        </w:rPr>
        <w:t>约定提取</w:t>
      </w:r>
      <w:r>
        <w:t>乙方履约保函项下的金额，乙方应在乙方履约保函被</w:t>
      </w:r>
      <w:r>
        <w:rPr>
          <w:rFonts w:hint="eastAsia"/>
        </w:rPr>
        <w:t>提取</w:t>
      </w:r>
      <w:r>
        <w:t>之日起的</w:t>
      </w:r>
      <w:r>
        <w:rPr>
          <w:rFonts w:hint="eastAsia"/>
        </w:rPr>
        <w:t>三十</w:t>
      </w:r>
      <w:r>
        <w:t>（30</w:t>
      </w:r>
      <w:r>
        <w:rPr>
          <w:rFonts w:hint="eastAsia"/>
        </w:rPr>
        <w:t>）</w:t>
      </w:r>
      <w:r>
        <w:t>日内出具新履约保函，将履约保函金额补充至第</w:t>
      </w:r>
      <w:r>
        <w:fldChar w:fldCharType="begin"/>
      </w:r>
      <w:r>
        <w:instrText xml:space="preserve"> REF _Ref460976398 \r \h  \* MERGEFORMAT </w:instrText>
      </w:r>
      <w:r>
        <w:fldChar w:fldCharType="separate"/>
      </w:r>
      <w:r>
        <w:t>14.2</w:t>
      </w:r>
      <w:r>
        <w:fldChar w:fldCharType="end"/>
      </w:r>
      <w:r>
        <w:t>条款中</w:t>
      </w:r>
      <w:r>
        <w:rPr>
          <w:rFonts w:hint="eastAsia"/>
        </w:rPr>
        <w:t>约定</w:t>
      </w:r>
      <w:r>
        <w:t>的金额，并向甲方出示其已经恢复履约保函金额的证明。否则，甲方有权参照第</w:t>
      </w:r>
      <w:r>
        <w:fldChar w:fldCharType="begin"/>
      </w:r>
      <w:r>
        <w:instrText xml:space="preserve"> REF _Ref460976513 \r \h  \* MERGEFORMAT </w:instrText>
      </w:r>
      <w:r>
        <w:fldChar w:fldCharType="separate"/>
      </w:r>
      <w:r>
        <w:t>14.1</w:t>
      </w:r>
      <w:r>
        <w:fldChar w:fldCharType="end"/>
      </w:r>
      <w:r>
        <w:t>条款</w:t>
      </w:r>
      <w:r>
        <w:rPr>
          <w:rFonts w:hint="eastAsia"/>
        </w:rPr>
        <w:t>约定</w:t>
      </w:r>
      <w:r>
        <w:t>追究乙方的违约责任。</w:t>
      </w:r>
    </w:p>
    <w:p>
      <w:pPr>
        <w:pStyle w:val="213"/>
        <w:spacing w:after="120"/>
        <w:rPr>
          <w:rFonts w:ascii="Times New Roman" w:hAnsi="Times New Roman"/>
        </w:rPr>
      </w:pPr>
      <w:bookmarkStart w:id="533" w:name="_Toc26166963"/>
      <w:bookmarkStart w:id="534" w:name="_Toc29693799"/>
      <w:bookmarkStart w:id="535" w:name="_Ref394937591"/>
      <w:bookmarkStart w:id="536" w:name="_Ref86829572"/>
      <w:bookmarkStart w:id="537" w:name="_Toc30298512"/>
      <w:r>
        <w:rPr>
          <w:rFonts w:ascii="Times New Roman" w:hAnsi="Times New Roman"/>
        </w:rPr>
        <w:t>乙方履约保函的解除</w:t>
      </w:r>
      <w:bookmarkEnd w:id="533"/>
      <w:bookmarkEnd w:id="534"/>
      <w:bookmarkEnd w:id="535"/>
      <w:bookmarkEnd w:id="536"/>
      <w:bookmarkEnd w:id="537"/>
    </w:p>
    <w:p>
      <w:pPr>
        <w:pStyle w:val="218"/>
        <w:spacing w:afterLines="50"/>
      </w:pPr>
      <w:r>
        <w:t>在各份乙方履约保函有效期届满之日，在甲方根据本合同相关约定</w:t>
      </w:r>
      <w:r>
        <w:rPr>
          <w:rFonts w:hint="eastAsia"/>
        </w:rPr>
        <w:t>提取</w:t>
      </w:r>
      <w:r>
        <w:t>完由该份乙方履约保函担保的所有款项，并清偿完该份乙方履约保函有效期届满之日前乙方根据本合同</w:t>
      </w:r>
      <w:r>
        <w:rPr>
          <w:rFonts w:hint="eastAsia"/>
        </w:rPr>
        <w:t>约定</w:t>
      </w:r>
      <w:r>
        <w:t>应支付的所有款项后，甲方应同意解除该份乙方履约保函届时未提取的余额。</w:t>
      </w:r>
    </w:p>
    <w:p>
      <w:pPr>
        <w:pStyle w:val="213"/>
        <w:spacing w:after="120"/>
        <w:rPr>
          <w:rFonts w:ascii="Times New Roman" w:hAnsi="Times New Roman"/>
        </w:rPr>
      </w:pPr>
      <w:r>
        <w:rPr>
          <w:rFonts w:hint="eastAsia" w:ascii="Times New Roman" w:hAnsi="Times New Roman"/>
        </w:rPr>
        <w:t>不当提取保函</w:t>
      </w:r>
    </w:p>
    <w:p>
      <w:pPr>
        <w:pStyle w:val="218"/>
        <w:spacing w:afterLines="50"/>
      </w:pPr>
      <w:r>
        <w:rPr>
          <w:rFonts w:hint="eastAsia"/>
        </w:rPr>
        <w:t>如甲方提取履约保函下的金额属不当提取（含提取金额过大且超过其遭受的损失和支付的费用），甲方应在接到乙方通知后及时退还提取的不当款项，并从接到乙方通知之日起，由甲方支付不当提取额度对应的违约利率给乙方作为补偿。</w:t>
      </w:r>
    </w:p>
    <w:p>
      <w:pPr>
        <w:pStyle w:val="212"/>
        <w:spacing w:before="360" w:after="120" w:line="360" w:lineRule="auto"/>
        <w:rPr>
          <w:rFonts w:eastAsia="宋体"/>
          <w:b/>
        </w:rPr>
      </w:pPr>
      <w:bookmarkStart w:id="538" w:name="_Toc448848618"/>
      <w:bookmarkEnd w:id="538"/>
      <w:bookmarkStart w:id="539" w:name="_Toc448848962"/>
      <w:bookmarkEnd w:id="539"/>
      <w:bookmarkStart w:id="540" w:name="_Toc448848932"/>
      <w:bookmarkEnd w:id="540"/>
      <w:bookmarkStart w:id="541" w:name="_Toc448849240"/>
      <w:bookmarkEnd w:id="541"/>
      <w:bookmarkStart w:id="542" w:name="_Toc448848590"/>
      <w:bookmarkEnd w:id="542"/>
      <w:bookmarkStart w:id="543" w:name="_Toc448849268"/>
      <w:bookmarkEnd w:id="543"/>
      <w:bookmarkStart w:id="544" w:name="_Toc448848933"/>
      <w:bookmarkEnd w:id="544"/>
      <w:bookmarkStart w:id="545" w:name="_Toc448849267"/>
      <w:bookmarkEnd w:id="545"/>
      <w:bookmarkStart w:id="546" w:name="_Toc448848621"/>
      <w:bookmarkEnd w:id="546"/>
      <w:bookmarkStart w:id="547" w:name="_Toc448848613"/>
      <w:bookmarkEnd w:id="547"/>
      <w:bookmarkStart w:id="548" w:name="_Toc448849269"/>
      <w:bookmarkEnd w:id="548"/>
      <w:bookmarkStart w:id="549" w:name="_Toc448848619"/>
      <w:bookmarkEnd w:id="549"/>
      <w:bookmarkStart w:id="550" w:name="_Toc448848955"/>
      <w:bookmarkEnd w:id="550"/>
      <w:bookmarkStart w:id="551" w:name="_Toc448849271"/>
      <w:bookmarkEnd w:id="551"/>
      <w:bookmarkStart w:id="552" w:name="_Toc448849270"/>
      <w:bookmarkEnd w:id="552"/>
      <w:bookmarkStart w:id="553" w:name="_Toc448848591"/>
      <w:bookmarkEnd w:id="553"/>
      <w:bookmarkStart w:id="554" w:name="_Toc448848615"/>
      <w:bookmarkEnd w:id="554"/>
      <w:bookmarkStart w:id="555" w:name="_Toc448848957"/>
      <w:bookmarkEnd w:id="555"/>
      <w:bookmarkStart w:id="556" w:name="_Toc448849265"/>
      <w:bookmarkEnd w:id="556"/>
      <w:bookmarkStart w:id="557" w:name="_Toc448849264"/>
      <w:bookmarkEnd w:id="557"/>
      <w:bookmarkStart w:id="558" w:name="_Toc448848961"/>
      <w:bookmarkEnd w:id="558"/>
      <w:bookmarkStart w:id="559" w:name="_Toc448849263"/>
      <w:bookmarkEnd w:id="559"/>
      <w:bookmarkStart w:id="560" w:name="_Toc448848963"/>
      <w:bookmarkEnd w:id="560"/>
      <w:bookmarkStart w:id="561" w:name="_Toc448848958"/>
      <w:bookmarkEnd w:id="561"/>
      <w:bookmarkStart w:id="562" w:name="_Toc448848616"/>
      <w:bookmarkEnd w:id="562"/>
      <w:bookmarkStart w:id="563" w:name="_Toc448848959"/>
      <w:bookmarkEnd w:id="563"/>
      <w:bookmarkStart w:id="564" w:name="_Toc448848617"/>
      <w:bookmarkEnd w:id="564"/>
      <w:bookmarkStart w:id="565" w:name="_Toc448848956"/>
      <w:bookmarkEnd w:id="565"/>
      <w:bookmarkStart w:id="566" w:name="_Toc448849266"/>
      <w:bookmarkEnd w:id="566"/>
      <w:bookmarkStart w:id="567" w:name="_Toc448848960"/>
      <w:bookmarkEnd w:id="567"/>
      <w:bookmarkStart w:id="568" w:name="_Toc448848948"/>
      <w:bookmarkEnd w:id="568"/>
      <w:bookmarkStart w:id="569" w:name="_Toc448848943"/>
      <w:bookmarkEnd w:id="569"/>
      <w:bookmarkStart w:id="570" w:name="_Toc448849253"/>
      <w:bookmarkEnd w:id="570"/>
      <w:bookmarkStart w:id="571" w:name="_Toc448848953"/>
      <w:bookmarkEnd w:id="571"/>
      <w:bookmarkStart w:id="572" w:name="_Toc448848620"/>
      <w:bookmarkEnd w:id="572"/>
      <w:bookmarkStart w:id="573" w:name="_Toc448848612"/>
      <w:bookmarkEnd w:id="573"/>
      <w:bookmarkStart w:id="574" w:name="_Toc448849257"/>
      <w:bookmarkEnd w:id="574"/>
      <w:bookmarkStart w:id="575" w:name="_Toc448849261"/>
      <w:bookmarkEnd w:id="575"/>
      <w:bookmarkStart w:id="576" w:name="_Toc448849241"/>
      <w:bookmarkEnd w:id="576"/>
      <w:bookmarkStart w:id="577" w:name="_Toc448848593"/>
      <w:bookmarkEnd w:id="577"/>
      <w:bookmarkStart w:id="578" w:name="_Toc448848611"/>
      <w:bookmarkEnd w:id="578"/>
      <w:bookmarkStart w:id="579" w:name="_Toc448848954"/>
      <w:bookmarkEnd w:id="579"/>
      <w:bookmarkStart w:id="580" w:name="_Toc448849250"/>
      <w:bookmarkEnd w:id="580"/>
      <w:bookmarkStart w:id="581" w:name="_Toc448848595"/>
      <w:bookmarkEnd w:id="581"/>
      <w:bookmarkStart w:id="582" w:name="_Toc448848939"/>
      <w:bookmarkEnd w:id="582"/>
      <w:bookmarkStart w:id="583" w:name="_Toc448848600"/>
      <w:bookmarkEnd w:id="583"/>
      <w:bookmarkStart w:id="584" w:name="_Toc448849243"/>
      <w:bookmarkEnd w:id="584"/>
      <w:bookmarkStart w:id="585" w:name="_Toc448849260"/>
      <w:bookmarkEnd w:id="585"/>
      <w:bookmarkStart w:id="586" w:name="_Toc448849262"/>
      <w:bookmarkEnd w:id="586"/>
      <w:bookmarkStart w:id="587" w:name="_Toc448849255"/>
      <w:bookmarkEnd w:id="587"/>
      <w:bookmarkStart w:id="588" w:name="_Toc448848614"/>
      <w:bookmarkEnd w:id="588"/>
      <w:bookmarkStart w:id="589" w:name="_Toc448848607"/>
      <w:bookmarkEnd w:id="589"/>
      <w:bookmarkStart w:id="590" w:name="_Toc448848598"/>
      <w:bookmarkEnd w:id="590"/>
      <w:bookmarkStart w:id="591" w:name="_Toc448848605"/>
      <w:bookmarkEnd w:id="591"/>
      <w:bookmarkStart w:id="592" w:name="_Toc448848936"/>
      <w:bookmarkEnd w:id="592"/>
      <w:bookmarkStart w:id="593" w:name="_Toc448848952"/>
      <w:bookmarkEnd w:id="593"/>
      <w:bookmarkStart w:id="594" w:name="_Toc448848938"/>
      <w:bookmarkEnd w:id="594"/>
      <w:bookmarkStart w:id="595" w:name="_Toc448849251"/>
      <w:bookmarkEnd w:id="595"/>
      <w:bookmarkStart w:id="596" w:name="_Toc448848601"/>
      <w:bookmarkEnd w:id="596"/>
      <w:bookmarkStart w:id="597" w:name="_Toc448848949"/>
      <w:bookmarkEnd w:id="597"/>
      <w:bookmarkStart w:id="598" w:name="_Toc448849259"/>
      <w:bookmarkEnd w:id="598"/>
      <w:bookmarkStart w:id="599" w:name="_Toc448848946"/>
      <w:bookmarkEnd w:id="599"/>
      <w:bookmarkStart w:id="600" w:name="_Toc448848942"/>
      <w:bookmarkEnd w:id="600"/>
      <w:bookmarkStart w:id="601" w:name="_Toc448848599"/>
      <w:bookmarkEnd w:id="601"/>
      <w:bookmarkStart w:id="602" w:name="_Toc448849246"/>
      <w:bookmarkEnd w:id="602"/>
      <w:bookmarkStart w:id="603" w:name="_Toc448848608"/>
      <w:bookmarkEnd w:id="603"/>
      <w:bookmarkStart w:id="604" w:name="_Toc448849249"/>
      <w:bookmarkEnd w:id="604"/>
      <w:bookmarkStart w:id="605" w:name="_Toc448849256"/>
      <w:bookmarkEnd w:id="605"/>
      <w:bookmarkStart w:id="606" w:name="_Toc448849247"/>
      <w:bookmarkEnd w:id="606"/>
      <w:bookmarkStart w:id="607" w:name="_Toc448848937"/>
      <w:bookmarkEnd w:id="607"/>
      <w:bookmarkStart w:id="608" w:name="_Toc448848940"/>
      <w:bookmarkEnd w:id="608"/>
      <w:bookmarkStart w:id="609" w:name="_Toc448848951"/>
      <w:bookmarkEnd w:id="609"/>
      <w:bookmarkStart w:id="610" w:name="_Toc448848606"/>
      <w:bookmarkEnd w:id="610"/>
      <w:bookmarkStart w:id="611" w:name="_Toc448848594"/>
      <w:bookmarkEnd w:id="611"/>
      <w:bookmarkStart w:id="612" w:name="_Toc448848935"/>
      <w:bookmarkEnd w:id="612"/>
      <w:bookmarkStart w:id="613" w:name="_Toc448849244"/>
      <w:bookmarkEnd w:id="613"/>
      <w:bookmarkStart w:id="614" w:name="_Toc448849242"/>
      <w:bookmarkEnd w:id="614"/>
      <w:bookmarkStart w:id="615" w:name="_Toc448848934"/>
      <w:bookmarkEnd w:id="615"/>
      <w:bookmarkStart w:id="616" w:name="_Toc448848596"/>
      <w:bookmarkEnd w:id="616"/>
      <w:bookmarkStart w:id="617" w:name="_Toc448849254"/>
      <w:bookmarkEnd w:id="617"/>
      <w:bookmarkStart w:id="618" w:name="_Toc448848947"/>
      <w:bookmarkEnd w:id="618"/>
      <w:bookmarkStart w:id="619" w:name="_Toc448848592"/>
      <w:bookmarkEnd w:id="619"/>
      <w:bookmarkStart w:id="620" w:name="_Toc448848945"/>
      <w:bookmarkEnd w:id="620"/>
      <w:bookmarkStart w:id="621" w:name="_Toc448848610"/>
      <w:bookmarkEnd w:id="621"/>
      <w:bookmarkStart w:id="622" w:name="_Toc448849258"/>
      <w:bookmarkEnd w:id="622"/>
      <w:bookmarkStart w:id="623" w:name="_Toc448849245"/>
      <w:bookmarkEnd w:id="623"/>
      <w:bookmarkStart w:id="624" w:name="_Toc448849248"/>
      <w:bookmarkEnd w:id="624"/>
      <w:bookmarkStart w:id="625" w:name="_Toc448848609"/>
      <w:bookmarkEnd w:id="625"/>
      <w:bookmarkStart w:id="626" w:name="_Toc448849252"/>
      <w:bookmarkEnd w:id="626"/>
      <w:bookmarkStart w:id="627" w:name="_Toc448848950"/>
      <w:bookmarkEnd w:id="627"/>
      <w:bookmarkStart w:id="628" w:name="_Toc448848603"/>
      <w:bookmarkEnd w:id="628"/>
      <w:bookmarkStart w:id="629" w:name="_Toc448848944"/>
      <w:bookmarkEnd w:id="629"/>
      <w:bookmarkStart w:id="630" w:name="_Toc448848604"/>
      <w:bookmarkEnd w:id="630"/>
      <w:bookmarkStart w:id="631" w:name="_Toc448848602"/>
      <w:bookmarkEnd w:id="631"/>
      <w:bookmarkStart w:id="632" w:name="_Toc448848941"/>
      <w:bookmarkEnd w:id="632"/>
      <w:bookmarkStart w:id="633" w:name="_Toc448848597"/>
      <w:bookmarkEnd w:id="633"/>
      <w:bookmarkStart w:id="634" w:name="_Toc448060829"/>
      <w:bookmarkStart w:id="635" w:name="_Ref448056306"/>
      <w:bookmarkStart w:id="636" w:name="_Ref484428619"/>
      <w:bookmarkStart w:id="637" w:name="_Ref493011382"/>
      <w:bookmarkStart w:id="638" w:name="_Toc534891118"/>
      <w:bookmarkStart w:id="639" w:name="_Toc417373162"/>
      <w:bookmarkStart w:id="640" w:name="_Ref449734816"/>
      <w:bookmarkStart w:id="641" w:name="_Ref448742618"/>
      <w:bookmarkStart w:id="642" w:name="_Toc417325879"/>
      <w:r>
        <w:rPr>
          <w:rFonts w:eastAsia="宋体"/>
          <w:b/>
        </w:rPr>
        <w:t>保险</w:t>
      </w:r>
      <w:bookmarkEnd w:id="634"/>
      <w:bookmarkEnd w:id="635"/>
      <w:bookmarkEnd w:id="636"/>
      <w:bookmarkEnd w:id="637"/>
      <w:bookmarkEnd w:id="638"/>
      <w:bookmarkEnd w:id="639"/>
      <w:bookmarkEnd w:id="640"/>
      <w:bookmarkEnd w:id="641"/>
      <w:bookmarkEnd w:id="642"/>
    </w:p>
    <w:p>
      <w:pPr>
        <w:pStyle w:val="213"/>
        <w:spacing w:after="120"/>
        <w:rPr>
          <w:rFonts w:ascii="Times New Roman" w:hAnsi="Times New Roman"/>
        </w:rPr>
      </w:pPr>
      <w:r>
        <w:rPr>
          <w:rFonts w:ascii="Times New Roman" w:hAnsi="Times New Roman"/>
        </w:rPr>
        <w:t>保险内容</w:t>
      </w:r>
    </w:p>
    <w:p>
      <w:pPr>
        <w:pStyle w:val="214"/>
        <w:spacing w:after="72"/>
      </w:pPr>
      <w:r>
        <w:t>本项目合作期内，乙方在充分评估建设、运营维护风险后，根据适用法律及本合同的</w:t>
      </w:r>
      <w:r>
        <w:rPr>
          <w:rFonts w:hint="eastAsia"/>
        </w:rPr>
        <w:t>约</w:t>
      </w:r>
      <w:r>
        <w:t>定，并结合项目的实际情况，购买和维持附件五</w:t>
      </w:r>
      <w:r>
        <w:rPr>
          <w:rFonts w:hint="eastAsia"/>
        </w:rPr>
        <w:t>约</w:t>
      </w:r>
      <w:r>
        <w:t>定的保险。乙方购买保险后，应在签订保险协议十（10）个工作日内将保险协议复印件交甲方备案。</w:t>
      </w:r>
    </w:p>
    <w:p>
      <w:pPr>
        <w:pStyle w:val="214"/>
        <w:spacing w:after="72"/>
      </w:pPr>
      <w:r>
        <w:t>在建设期内，乙方应当投保下述险种，并始终使保险单保持有效。未经甲方书面同意，乙方投保的险种和数额不得随意变更：</w:t>
      </w:r>
    </w:p>
    <w:p>
      <w:pPr>
        <w:pStyle w:val="219"/>
        <w:spacing w:after="72"/>
      </w:pPr>
      <w:r>
        <w:t>货物运输险；</w:t>
      </w:r>
    </w:p>
    <w:p>
      <w:pPr>
        <w:pStyle w:val="219"/>
        <w:spacing w:after="72"/>
      </w:pPr>
      <w:r>
        <w:rPr>
          <w:rFonts w:hint="eastAsia"/>
        </w:rPr>
        <w:t>建筑安装</w:t>
      </w:r>
      <w:r>
        <w:t>工程一切险及第三者责任险；</w:t>
      </w:r>
    </w:p>
    <w:p>
      <w:pPr>
        <w:pStyle w:val="219"/>
        <w:spacing w:after="72"/>
      </w:pPr>
      <w:r>
        <w:t>财产险；</w:t>
      </w:r>
    </w:p>
    <w:p>
      <w:pPr>
        <w:pStyle w:val="219"/>
        <w:spacing w:after="72"/>
      </w:pPr>
      <w:r>
        <w:t>适用法律规定的其他险种。</w:t>
      </w:r>
    </w:p>
    <w:p>
      <w:pPr>
        <w:pStyle w:val="214"/>
        <w:spacing w:after="72"/>
      </w:pPr>
      <w:r>
        <w:t>本项目运营开始日至本项目合作期限届满，乙方应当自费投保下述险种，并始终使保险单保持有效。未经甲方书面同意，乙方投保的险种和数额不得随意变更：</w:t>
      </w:r>
    </w:p>
    <w:p>
      <w:pPr>
        <w:pStyle w:val="219"/>
        <w:spacing w:after="72"/>
      </w:pPr>
      <w:r>
        <w:t>财产一切险；</w:t>
      </w:r>
    </w:p>
    <w:p>
      <w:pPr>
        <w:pStyle w:val="219"/>
        <w:spacing w:after="72"/>
      </w:pPr>
      <w:r>
        <w:t>机器损坏险；</w:t>
      </w:r>
    </w:p>
    <w:p>
      <w:pPr>
        <w:pStyle w:val="219"/>
        <w:spacing w:after="72"/>
      </w:pPr>
      <w:r>
        <w:t>第三者责任险；</w:t>
      </w:r>
    </w:p>
    <w:p>
      <w:pPr>
        <w:pStyle w:val="219"/>
        <w:spacing w:after="72"/>
      </w:pPr>
      <w:r>
        <w:t>适用法律规定的其他险种。</w:t>
      </w:r>
    </w:p>
    <w:p>
      <w:pPr>
        <w:pStyle w:val="213"/>
        <w:spacing w:after="120"/>
        <w:rPr>
          <w:rFonts w:ascii="Times New Roman" w:hAnsi="Times New Roman"/>
        </w:rPr>
      </w:pPr>
      <w:r>
        <w:rPr>
          <w:rFonts w:ascii="Times New Roman" w:hAnsi="Times New Roman"/>
        </w:rPr>
        <w:t>有关保险的总体要求</w:t>
      </w:r>
    </w:p>
    <w:p>
      <w:pPr>
        <w:pStyle w:val="214"/>
        <w:spacing w:after="72"/>
      </w:pPr>
      <w:r>
        <w:t>在法律许可和保险公司能提供的服务范围内，乙方有权在和保险公司之间签署的保险协议中，将</w:t>
      </w:r>
      <w:r>
        <w:rPr>
          <w:rFonts w:hint="eastAsia"/>
        </w:rPr>
        <w:t>甲方</w:t>
      </w:r>
      <w:r>
        <w:t>列为第一受益人。</w:t>
      </w:r>
    </w:p>
    <w:p>
      <w:pPr>
        <w:pStyle w:val="214"/>
        <w:spacing w:after="72"/>
      </w:pPr>
      <w:r>
        <w:t>乙方应确保所有保险单均注明保险商在取消保险或对之进行重大改变之前至少三十（30）日书面通知甲方。未经甲方书面同意，乙方不得变更该等保险单据。</w:t>
      </w:r>
    </w:p>
    <w:p>
      <w:pPr>
        <w:pStyle w:val="214"/>
        <w:spacing w:after="72"/>
      </w:pPr>
      <w:r>
        <w:t>乙方承诺保险公司或其代理人同意向甲方提供购买保险的原件或者其他证明材料，以证实其已获得保险单据及批单。</w:t>
      </w:r>
    </w:p>
    <w:p>
      <w:pPr>
        <w:pStyle w:val="214"/>
        <w:spacing w:after="72"/>
      </w:pPr>
      <w:r>
        <w:t>乙方应使甲方成为上述提及所有适当的保险项下的联名被保险人，且乙方应促使保险公司放弃在上述所有保险项下其可能拥有或获得的对甲方的任何及全部代位追偿权，而无论甲方是否为该等保险项下的被保险人。</w:t>
      </w:r>
    </w:p>
    <w:p>
      <w:pPr>
        <w:pStyle w:val="213"/>
        <w:spacing w:after="120"/>
        <w:rPr>
          <w:rFonts w:ascii="Times New Roman" w:hAnsi="Times New Roman"/>
        </w:rPr>
      </w:pPr>
      <w:r>
        <w:rPr>
          <w:rFonts w:ascii="Times New Roman" w:hAnsi="Times New Roman"/>
        </w:rPr>
        <w:t>未维持保险</w:t>
      </w:r>
    </w:p>
    <w:p>
      <w:pPr>
        <w:pStyle w:val="214"/>
        <w:spacing w:after="72"/>
      </w:pPr>
      <w:r>
        <w:t>乙方按本合同的要求投保或获得购买保险证明，不得减轻或以其他方式影响乙方在本合同项下的义务和责任。</w:t>
      </w:r>
    </w:p>
    <w:p>
      <w:pPr>
        <w:pStyle w:val="214"/>
        <w:spacing w:after="72"/>
      </w:pPr>
      <w:bookmarkStart w:id="643" w:name="_Ref448754070"/>
      <w:r>
        <w:t>如果乙方不购买或</w:t>
      </w:r>
      <w:r>
        <w:rPr>
          <w:rFonts w:hint="eastAsia"/>
        </w:rPr>
        <w:t>未</w:t>
      </w:r>
      <w:r>
        <w:t>维持本合同所要求的保险，甲方应书面要求乙方购买上述保险，在乙方接到上述书面通知三十（30）日内仍未购买该保险，则甲方有权根据本合同自行购买上述保险，并有权从履约保函中兑取相应金额</w:t>
      </w:r>
      <w:r>
        <w:rPr>
          <w:rFonts w:hint="eastAsia"/>
        </w:rPr>
        <w:t>，或在应付乙方的污水处理服务费中扣除款项</w:t>
      </w:r>
      <w:r>
        <w:t>以支付保险费用。</w:t>
      </w:r>
      <w:bookmarkEnd w:id="643"/>
    </w:p>
    <w:p>
      <w:pPr>
        <w:pStyle w:val="214"/>
        <w:spacing w:after="72"/>
      </w:pPr>
      <w:r>
        <w:t>乙方应向甲方及时通报保险公司的报告通知（如危险整改通知）并提交相应的副本，如果乙方未及时提供通知而造成保险单失效应承担违约责任。</w:t>
      </w:r>
    </w:p>
    <w:p>
      <w:pPr>
        <w:pStyle w:val="212"/>
        <w:spacing w:before="360" w:after="120" w:line="360" w:lineRule="auto"/>
        <w:rPr>
          <w:rFonts w:eastAsia="宋体"/>
          <w:b/>
        </w:rPr>
      </w:pPr>
      <w:bookmarkStart w:id="644" w:name="_Ref448873444"/>
      <w:bookmarkStart w:id="645" w:name="_Ref448873418"/>
      <w:bookmarkStart w:id="646" w:name="_Ref448872988"/>
      <w:bookmarkStart w:id="647" w:name="_Ref448873141"/>
      <w:bookmarkStart w:id="648" w:name="_Toc534891119"/>
      <w:bookmarkStart w:id="649" w:name="_Ref448873124"/>
      <w:r>
        <w:rPr>
          <w:rFonts w:eastAsia="宋体"/>
          <w:b/>
        </w:rPr>
        <w:t>不可抗力</w:t>
      </w:r>
      <w:bookmarkEnd w:id="644"/>
      <w:bookmarkEnd w:id="645"/>
      <w:bookmarkEnd w:id="646"/>
      <w:bookmarkEnd w:id="647"/>
      <w:bookmarkEnd w:id="648"/>
      <w:bookmarkEnd w:id="649"/>
    </w:p>
    <w:p>
      <w:pPr>
        <w:pStyle w:val="213"/>
        <w:spacing w:after="120"/>
        <w:rPr>
          <w:rFonts w:ascii="Times New Roman" w:hAnsi="Times New Roman"/>
        </w:rPr>
      </w:pPr>
      <w:bookmarkStart w:id="650" w:name="_Ref448872587"/>
      <w:r>
        <w:rPr>
          <w:rFonts w:ascii="Times New Roman" w:hAnsi="Times New Roman"/>
        </w:rPr>
        <w:t>不可抗力事件</w:t>
      </w:r>
      <w:bookmarkEnd w:id="650"/>
    </w:p>
    <w:p>
      <w:pPr>
        <w:pStyle w:val="214"/>
        <w:spacing w:after="72"/>
      </w:pPr>
      <w:bookmarkStart w:id="651" w:name="_Ref484428255"/>
      <w:r>
        <w:t>不可抗力事件指完全地或部分地阻碍了或不可避免地延误了任何一方履行其在本合同下的义务的任何事件、状态或情况或各种事件、状态或情况的组合，但以受影响方的直接或间接的合理控制范围之外的，而且受影响方在签订本合同时不能合理预见、作出合理努力也无法避免的事件、状态和情况为限。</w:t>
      </w:r>
      <w:bookmarkEnd w:id="651"/>
    </w:p>
    <w:p>
      <w:pPr>
        <w:pStyle w:val="214"/>
        <w:spacing w:after="72"/>
      </w:pPr>
      <w:bookmarkStart w:id="652" w:name="_Ref448873222"/>
      <w:r>
        <w:t>如果下述每一事件符合第</w:t>
      </w:r>
      <w:r>
        <w:fldChar w:fldCharType="begin"/>
      </w:r>
      <w:r>
        <w:instrText xml:space="preserve"> REF _Ref484428255 \r \h  \* MERGEFORMAT </w:instrText>
      </w:r>
      <w:r>
        <w:fldChar w:fldCharType="separate"/>
      </w:r>
      <w:r>
        <w:t>16.1.1</w:t>
      </w:r>
      <w:r>
        <w:fldChar w:fldCharType="end"/>
      </w:r>
      <w:r>
        <w:t>条款所</w:t>
      </w:r>
      <w:r>
        <w:rPr>
          <w:rFonts w:hint="eastAsia"/>
        </w:rPr>
        <w:t>约</w:t>
      </w:r>
      <w:r>
        <w:t>定的条件，则视为不可抗力事件。不可抗力事件应包括下列事件：</w:t>
      </w:r>
      <w:bookmarkEnd w:id="652"/>
    </w:p>
    <w:p>
      <w:pPr>
        <w:pStyle w:val="219"/>
        <w:spacing w:after="72"/>
      </w:pPr>
      <w:r>
        <w:t>雷电、干旱、地震、火山爆发、滑坡、水灾、暴风雨、海啸、洪水、台风、龙卷风或任何其它天灾；</w:t>
      </w:r>
    </w:p>
    <w:p>
      <w:pPr>
        <w:pStyle w:val="219"/>
        <w:spacing w:after="72"/>
      </w:pPr>
      <w:r>
        <w:t>大规模流行病、饥荒或瘟疫；</w:t>
      </w:r>
    </w:p>
    <w:p>
      <w:pPr>
        <w:pStyle w:val="219"/>
        <w:spacing w:after="72"/>
      </w:pPr>
      <w:r>
        <w:t>战争行为（无论是宣战的或未宣战的）、入侵、武装冲突或敌对行为、封锁、暴乱、恐怖行为或军事力量的使用；</w:t>
      </w:r>
    </w:p>
    <w:p>
      <w:pPr>
        <w:pStyle w:val="219"/>
        <w:spacing w:after="72"/>
      </w:pPr>
      <w:r>
        <w:t>全国性、地区性或行业性罢工；</w:t>
      </w:r>
    </w:p>
    <w:p>
      <w:pPr>
        <w:pStyle w:val="219"/>
        <w:spacing w:after="72"/>
      </w:pPr>
      <w:r>
        <w:t>本级以上任何政府部门对项目设施或其任何部分实行的</w:t>
      </w:r>
      <w:r>
        <w:rPr>
          <w:rFonts w:hint="eastAsia"/>
        </w:rPr>
        <w:t>征收</w:t>
      </w:r>
      <w:r>
        <w:t>、征用、国有化；</w:t>
      </w:r>
    </w:p>
    <w:p>
      <w:pPr>
        <w:pStyle w:val="219"/>
        <w:spacing w:after="72"/>
      </w:pPr>
      <w:r>
        <w:t>超出本级政府可控范围内的重大法律变更。</w:t>
      </w:r>
    </w:p>
    <w:p>
      <w:pPr>
        <w:pStyle w:val="213"/>
        <w:spacing w:after="120"/>
        <w:rPr>
          <w:rFonts w:ascii="Times New Roman" w:hAnsi="Times New Roman"/>
        </w:rPr>
      </w:pPr>
      <w:bookmarkStart w:id="653" w:name="_Ref448872828"/>
      <w:r>
        <w:rPr>
          <w:rFonts w:ascii="Times New Roman" w:hAnsi="Times New Roman"/>
        </w:rPr>
        <w:t>免于履行</w:t>
      </w:r>
      <w:bookmarkEnd w:id="653"/>
    </w:p>
    <w:p>
      <w:pPr>
        <w:pStyle w:val="218"/>
        <w:spacing w:after="72"/>
      </w:pPr>
      <w:r>
        <w:t>当生效日起发生的不可抗力情况全部地或部分地阻碍一方履行其在本合同的义务时，可在不可抗力影响的范围内，经双方协商一致，全部或部分免除该方在本合同项下的相应义务。</w:t>
      </w:r>
    </w:p>
    <w:p>
      <w:pPr>
        <w:pStyle w:val="213"/>
        <w:spacing w:after="120"/>
        <w:rPr>
          <w:rFonts w:ascii="Times New Roman" w:hAnsi="Times New Roman"/>
        </w:rPr>
      </w:pPr>
      <w:r>
        <w:rPr>
          <w:rFonts w:ascii="Times New Roman" w:hAnsi="Times New Roman"/>
        </w:rPr>
        <w:t>适用于乙方的例外情况</w:t>
      </w:r>
    </w:p>
    <w:p>
      <w:pPr>
        <w:pStyle w:val="218"/>
        <w:spacing w:after="72"/>
      </w:pPr>
      <w:r>
        <w:t>在下述情况下，乙方不得声称遭受不可抗力影响而中止履行本合同或作为其不履行本合同项下义务的理由：</w:t>
      </w:r>
    </w:p>
    <w:p>
      <w:pPr>
        <w:pStyle w:val="214"/>
        <w:spacing w:after="72"/>
      </w:pPr>
      <w:r>
        <w:t>项目设施的设备和机器的交付发生延误，除非并限于该延误是由于符合第</w:t>
      </w:r>
      <w:r>
        <w:fldChar w:fldCharType="begin"/>
      </w:r>
      <w:r>
        <w:instrText xml:space="preserve"> REF _Ref448872587 \r \h  \* MERGEFORMAT </w:instrText>
      </w:r>
      <w:r>
        <w:fldChar w:fldCharType="separate"/>
      </w:r>
      <w:r>
        <w:t>16.1</w:t>
      </w:r>
      <w:r>
        <w:fldChar w:fldCharType="end"/>
      </w:r>
      <w:r>
        <w:t>条款约定的某一事件导致；</w:t>
      </w:r>
    </w:p>
    <w:p>
      <w:pPr>
        <w:pStyle w:val="214"/>
        <w:spacing w:after="72"/>
      </w:pPr>
      <w:r>
        <w:t>项目设施的材料、设备、机器或零配件存在任何明显或潜在的缺陷或存在故障或正常磨损；</w:t>
      </w:r>
    </w:p>
    <w:p>
      <w:pPr>
        <w:pStyle w:val="214"/>
        <w:spacing w:after="72"/>
      </w:pPr>
      <w:r>
        <w:t>乙方的工人或雇员或其承包商的工人或雇员的劳工骚乱、劳资纠纷或其它劳资行为。</w:t>
      </w:r>
    </w:p>
    <w:p>
      <w:pPr>
        <w:pStyle w:val="213"/>
        <w:spacing w:after="120"/>
        <w:rPr>
          <w:rFonts w:ascii="Times New Roman" w:hAnsi="Times New Roman"/>
        </w:rPr>
      </w:pPr>
      <w:r>
        <w:rPr>
          <w:rFonts w:ascii="Times New Roman" w:hAnsi="Times New Roman"/>
        </w:rPr>
        <w:t>不可抗力发生后的处理程序</w:t>
      </w:r>
    </w:p>
    <w:p>
      <w:pPr>
        <w:pStyle w:val="214"/>
        <w:spacing w:after="72"/>
      </w:pPr>
      <w:r>
        <w:t>声称受到不可抗力影响的一方应在发生不可抗力或知道发生不可抗力之后及时书面通知另一方并详细描述不可抗力的发生情况和可能导致的后果，包括该不可抗力发生的时间和预计停止的时间，以及对该方履行在本合同项下义务的影响，并在另一方合理要求时提供证明。</w:t>
      </w:r>
    </w:p>
    <w:p>
      <w:pPr>
        <w:pStyle w:val="214"/>
        <w:spacing w:after="72"/>
      </w:pPr>
      <w:r>
        <w:t>发生不可抗力事件后，双方应本着诚信平等的原则，立即就此等不可抗力事件进行协商。</w:t>
      </w:r>
    </w:p>
    <w:p>
      <w:pPr>
        <w:pStyle w:val="213"/>
        <w:spacing w:after="120"/>
        <w:rPr>
          <w:rFonts w:ascii="Times New Roman" w:hAnsi="Times New Roman"/>
        </w:rPr>
      </w:pPr>
      <w:r>
        <w:rPr>
          <w:rFonts w:ascii="Times New Roman" w:hAnsi="Times New Roman"/>
        </w:rPr>
        <w:t>费用及时间表的修改</w:t>
      </w:r>
    </w:p>
    <w:p>
      <w:pPr>
        <w:pStyle w:val="214"/>
        <w:spacing w:after="72"/>
      </w:pPr>
      <w:r>
        <w:t>除本合同或双方另有约定外，发生不可抗力时，双方应各自承担由于不可抗力对其造成的损失。</w:t>
      </w:r>
    </w:p>
    <w:p>
      <w:pPr>
        <w:pStyle w:val="214"/>
        <w:spacing w:after="72"/>
      </w:pPr>
      <w:r>
        <w:t>如果声称遭受不可抗力影响的一方已履行了通知程序，并且在不可抗力事件影响项目进展的情况下，已履行了请求延长进度日期的程序，则本合同中</w:t>
      </w:r>
      <w:r>
        <w:rPr>
          <w:rFonts w:hint="eastAsia"/>
        </w:rPr>
        <w:t>约</w:t>
      </w:r>
      <w:r>
        <w:t>定的履行某项义务的任何期限，经受到影响的一方请求，应根据不可抗力对履行该项义务产生影响的相同时间相应顺延。</w:t>
      </w:r>
    </w:p>
    <w:p>
      <w:pPr>
        <w:pStyle w:val="213"/>
        <w:spacing w:after="120"/>
        <w:rPr>
          <w:rFonts w:ascii="Times New Roman" w:hAnsi="Times New Roman"/>
        </w:rPr>
      </w:pPr>
      <w:r>
        <w:rPr>
          <w:rFonts w:ascii="Times New Roman" w:hAnsi="Times New Roman"/>
        </w:rPr>
        <w:t>减少损失的责任和协商</w:t>
      </w:r>
    </w:p>
    <w:p>
      <w:pPr>
        <w:pStyle w:val="214"/>
        <w:spacing w:after="72"/>
      </w:pPr>
      <w:r>
        <w:t>受到不可抗力影响的一方应尽合理的努力减少不可抗力对其造成的影响，包括根据该等措施为可能产生的结果支付合理的金额。双方应协商制定并实施补救计划及合理的替代措施以消除不可抗力的影响，并决定为尽量减少不可抗力给每一方带来的损失应采取的合理的手段。</w:t>
      </w:r>
    </w:p>
    <w:p>
      <w:pPr>
        <w:pStyle w:val="214"/>
        <w:spacing w:after="72"/>
      </w:pPr>
      <w:r>
        <w:t>声称受到不可抗力影响的一方在不可抗力的影响消除之后应尽快恢复履行本合同项下的义务。</w:t>
      </w:r>
    </w:p>
    <w:p>
      <w:pPr>
        <w:pStyle w:val="213"/>
        <w:spacing w:after="120"/>
        <w:rPr>
          <w:rFonts w:ascii="Times New Roman" w:hAnsi="Times New Roman"/>
        </w:rPr>
      </w:pPr>
      <w:bookmarkStart w:id="654" w:name="_Ref448871296"/>
      <w:r>
        <w:rPr>
          <w:rFonts w:ascii="Times New Roman" w:hAnsi="Times New Roman"/>
        </w:rPr>
        <w:t>不可抗力造成的终止</w:t>
      </w:r>
      <w:bookmarkEnd w:id="654"/>
    </w:p>
    <w:p>
      <w:pPr>
        <w:pStyle w:val="214"/>
        <w:spacing w:after="72"/>
      </w:pPr>
      <w:r>
        <w:t>如果任何不可抗力事件阻止一方履行其义务且经过努力仍不可克服，自该不可抗力发生或知道发生之日起连续超过九十（90）日，双方应协商决定继续履行本合同的条件或者同意按照</w:t>
      </w:r>
      <w:r>
        <w:fldChar w:fldCharType="begin"/>
      </w:r>
      <w:r>
        <w:instrText xml:space="preserve"> REF _Ref448740050 \r \h  \* MERGEFORMAT </w:instrText>
      </w:r>
      <w:r>
        <w:fldChar w:fldCharType="separate"/>
      </w:r>
      <w:r>
        <w:rPr>
          <w:rFonts w:hint="eastAsia"/>
        </w:rPr>
        <w:t>第17条</w:t>
      </w:r>
      <w:r>
        <w:rPr>
          <w:rFonts w:hint="eastAsia"/>
        </w:rPr>
        <w:fldChar w:fldCharType="end"/>
      </w:r>
      <w:r>
        <w:t>的</w:t>
      </w:r>
      <w:r>
        <w:rPr>
          <w:rFonts w:hint="eastAsia"/>
        </w:rPr>
        <w:t>约</w:t>
      </w:r>
      <w:r>
        <w:t>定终止本合同。</w:t>
      </w:r>
    </w:p>
    <w:p>
      <w:pPr>
        <w:pStyle w:val="214"/>
        <w:spacing w:after="72"/>
      </w:pPr>
      <w:r>
        <w:t>如果自该不可抗力发生或知道发生之日起一百八十（180）日之内双方不能就继续履行的条件或终止本合同达成一致意见，则任何一方有权根据本合同</w:t>
      </w:r>
      <w:r>
        <w:fldChar w:fldCharType="begin"/>
      </w:r>
      <w:r>
        <w:instrText xml:space="preserve"> REF _Ref448740050 \r \h  \* MERGEFORMAT </w:instrText>
      </w:r>
      <w:r>
        <w:fldChar w:fldCharType="separate"/>
      </w:r>
      <w:r>
        <w:rPr>
          <w:rFonts w:hint="eastAsia"/>
        </w:rPr>
        <w:t>第17条</w:t>
      </w:r>
      <w:r>
        <w:rPr>
          <w:rFonts w:hint="eastAsia"/>
        </w:rPr>
        <w:fldChar w:fldCharType="end"/>
      </w:r>
      <w:r>
        <w:t>的</w:t>
      </w:r>
      <w:r>
        <w:rPr>
          <w:rFonts w:hint="eastAsia"/>
        </w:rPr>
        <w:t>约</w:t>
      </w:r>
      <w:r>
        <w:t>定向另一方发出提前终止意向通知。</w:t>
      </w:r>
    </w:p>
    <w:p>
      <w:pPr>
        <w:pStyle w:val="212"/>
        <w:spacing w:before="360" w:after="120" w:line="360" w:lineRule="auto"/>
      </w:pPr>
      <w:bookmarkStart w:id="655" w:name="_Ref448740050"/>
      <w:bookmarkStart w:id="656" w:name="_Toc534891120"/>
      <w:r>
        <w:rPr>
          <w:rFonts w:eastAsia="宋体"/>
          <w:b/>
        </w:rPr>
        <w:t>提前终止</w:t>
      </w:r>
      <w:bookmarkEnd w:id="655"/>
      <w:bookmarkEnd w:id="656"/>
    </w:p>
    <w:p>
      <w:pPr>
        <w:pStyle w:val="213"/>
        <w:spacing w:after="120"/>
        <w:rPr>
          <w:rFonts w:ascii="Times New Roman" w:hAnsi="Times New Roman"/>
        </w:rPr>
      </w:pPr>
      <w:bookmarkStart w:id="657" w:name="_Ref448740971"/>
      <w:r>
        <w:rPr>
          <w:rFonts w:ascii="Times New Roman" w:hAnsi="Times New Roman"/>
        </w:rPr>
        <w:t>由甲方提出的提前终止</w:t>
      </w:r>
      <w:bookmarkEnd w:id="657"/>
    </w:p>
    <w:p>
      <w:pPr>
        <w:pStyle w:val="218"/>
        <w:spacing w:afterLines="50"/>
      </w:pPr>
      <w:r>
        <w:t>下述每一条款所述事件如果不是由于不可抗力事件或甲方违约所致，如果有允许的期限而在该期限内未能得到纠正，即构成或视为构成乙方严重违约事件，甲方有权发出提前终止意向通知：</w:t>
      </w:r>
    </w:p>
    <w:p>
      <w:pPr>
        <w:pStyle w:val="214"/>
        <w:spacing w:after="72"/>
      </w:pPr>
      <w:r>
        <w:t>乙方在本合同中所作出的任何声明被证明在作出时不属实或有严重错误，使乙方履行本合同的能力受到严重的不利影响；</w:t>
      </w:r>
    </w:p>
    <w:p>
      <w:pPr>
        <w:pStyle w:val="214"/>
        <w:spacing w:after="72"/>
      </w:pPr>
      <w:r>
        <w:t>乙方未能根据本合同约定提交履约保函并保持其有效的；</w:t>
      </w:r>
    </w:p>
    <w:p>
      <w:pPr>
        <w:pStyle w:val="214"/>
        <w:spacing w:after="72"/>
      </w:pPr>
      <w:r>
        <w:t>乙方进入清算、不能清偿到期债务或者严重资不抵债；</w:t>
      </w:r>
    </w:p>
    <w:p>
      <w:pPr>
        <w:pStyle w:val="214"/>
        <w:spacing w:after="72"/>
      </w:pPr>
      <w:r>
        <w:t>乙方违反适用法律而被相关政府部门依法吊销营业执照、责令停业、清算或宣布破产、责令关闭；</w:t>
      </w:r>
    </w:p>
    <w:p>
      <w:pPr>
        <w:pStyle w:val="214"/>
        <w:spacing w:after="72"/>
      </w:pPr>
      <w:r>
        <w:t>乙方违反本合同的</w:t>
      </w:r>
      <w:r>
        <w:rPr>
          <w:rFonts w:hint="eastAsia"/>
        </w:rPr>
        <w:t>约</w:t>
      </w:r>
      <w:r>
        <w:t>定，擅自出租、抵押或质押、转让或以其他形式处分项目设施、经营权；</w:t>
      </w:r>
    </w:p>
    <w:p>
      <w:pPr>
        <w:pStyle w:val="214"/>
        <w:spacing w:after="72"/>
      </w:pPr>
      <w:r>
        <w:t>未经甲方事先书面同意，乙方对项目设施的全部或部分擅自停止服务。如属紧急情况的除外，但应在发生的同时口头告知甲方，并应在发生后一（1）日内书面报告甲方；</w:t>
      </w:r>
    </w:p>
    <w:p>
      <w:pPr>
        <w:pStyle w:val="214"/>
        <w:spacing w:after="72"/>
      </w:pPr>
      <w:r>
        <w:t>本项目合作期内，</w:t>
      </w:r>
      <w:bookmarkStart w:id="658" w:name="_Hlk493156020"/>
      <w:r>
        <w:t>乙方</w:t>
      </w:r>
      <w:r>
        <w:rPr>
          <w:szCs w:val="21"/>
        </w:rPr>
        <w:t>某一考核指标不达标并</w:t>
      </w:r>
      <w:r>
        <w:t>连续超过</w:t>
      </w:r>
      <w:r>
        <w:rPr>
          <w:rFonts w:hint="eastAsia"/>
        </w:rPr>
        <w:t>10日</w:t>
      </w:r>
      <w:r>
        <w:t>未</w:t>
      </w:r>
      <w:r>
        <w:rPr>
          <w:rFonts w:hint="eastAsia"/>
        </w:rPr>
        <w:t>按照合同约定及时整改</w:t>
      </w:r>
      <w:r>
        <w:t>，则甲方有权提出提前终止；</w:t>
      </w:r>
      <w:bookmarkEnd w:id="658"/>
    </w:p>
    <w:p>
      <w:pPr>
        <w:pStyle w:val="214"/>
        <w:spacing w:after="72"/>
      </w:pPr>
      <w:r>
        <w:t>乙方因经营管理不善，发生重大质量、生产安全事故的；</w:t>
      </w:r>
    </w:p>
    <w:p>
      <w:pPr>
        <w:pStyle w:val="214"/>
        <w:spacing w:after="72"/>
      </w:pPr>
      <w:r>
        <w:t>甲方临时接管持续超过六十（60）日；</w:t>
      </w:r>
    </w:p>
    <w:p>
      <w:pPr>
        <w:pStyle w:val="214"/>
        <w:spacing w:after="72"/>
      </w:pPr>
      <w:r>
        <w:t>乙方未履行本合同项下的义务构成对本合同的实质性违约，并且在收到甲方要求说明其违约并予以补救的通知后六十（60）日内仍未能补救该实质性违约。</w:t>
      </w:r>
    </w:p>
    <w:p>
      <w:pPr>
        <w:pStyle w:val="213"/>
        <w:spacing w:after="120"/>
        <w:rPr>
          <w:rFonts w:ascii="Times New Roman" w:hAnsi="Times New Roman"/>
        </w:rPr>
      </w:pPr>
      <w:bookmarkStart w:id="659" w:name="_Ref448740994"/>
      <w:r>
        <w:rPr>
          <w:rFonts w:ascii="Times New Roman" w:hAnsi="Times New Roman"/>
        </w:rPr>
        <w:t>由乙方提出的提前终止</w:t>
      </w:r>
      <w:bookmarkEnd w:id="659"/>
    </w:p>
    <w:p>
      <w:pPr>
        <w:pStyle w:val="218"/>
        <w:spacing w:afterLines="50"/>
      </w:pPr>
      <w:r>
        <w:t>下述每一条款所述事件如果不是由于不可抗力事件或乙方违约所致，如果有允许的期限而在该期限内未能得到纠正，即构成或视为构成甲方严重违约事件，乙方有权发出提前终止意向通知：</w:t>
      </w:r>
    </w:p>
    <w:p>
      <w:pPr>
        <w:pStyle w:val="214"/>
        <w:spacing w:after="72"/>
      </w:pPr>
      <w:r>
        <w:t>甲方在本合同中所作出的任何声明被证明在作出时不属实或有严重错误，使甲方履行本合同的能力受到严重的不利影响；</w:t>
      </w:r>
    </w:p>
    <w:p>
      <w:pPr>
        <w:pStyle w:val="214"/>
        <w:spacing w:after="72"/>
      </w:pPr>
      <w:r>
        <w:rPr>
          <w:rFonts w:hint="eastAsia"/>
        </w:rPr>
        <w:t>甲方未按约定拨付财政补贴和污水处理费，</w:t>
      </w:r>
      <w:r>
        <w:t>且在乙方书面通知后一百八十（180）日内仍未足额支付；</w:t>
      </w:r>
    </w:p>
    <w:p>
      <w:pPr>
        <w:pStyle w:val="214"/>
        <w:spacing w:after="72"/>
      </w:pPr>
      <w:r>
        <w:t>甲方非依本合同所约定的情况擅自撤销本合同项下的经营权或将本合同项下的经营权授予给乙方以外的公司或经济实体；</w:t>
      </w:r>
    </w:p>
    <w:p>
      <w:pPr>
        <w:pStyle w:val="214"/>
        <w:spacing w:after="72"/>
      </w:pPr>
      <w:r>
        <w:t>甲方由于与其他政府部门调整、合并或被撤销，且无相应的政府部门或其指定机构能够承继本合同约定的权利和义务，从而实质上使乙方在本合同下的权利受到不利影响；</w:t>
      </w:r>
    </w:p>
    <w:p>
      <w:pPr>
        <w:pStyle w:val="214"/>
        <w:spacing w:after="72"/>
      </w:pPr>
      <w:r>
        <w:t>甲方未履行本合同项下的义务构成对本合同的实质性违约，并且在收到乙方要求说明其违约并予以补救的通知后六十（60）日内仍未补救该实质性违约。</w:t>
      </w:r>
    </w:p>
    <w:p>
      <w:pPr>
        <w:pStyle w:val="213"/>
        <w:spacing w:after="120"/>
        <w:rPr>
          <w:rFonts w:ascii="Times New Roman" w:hAnsi="Times New Roman"/>
        </w:rPr>
      </w:pPr>
      <w:bookmarkStart w:id="660" w:name="_Ref448872079"/>
      <w:r>
        <w:rPr>
          <w:rFonts w:ascii="Times New Roman" w:hAnsi="Times New Roman"/>
        </w:rPr>
        <w:t>不可抗力或法律变更或政府行为导致的提前终止</w:t>
      </w:r>
      <w:bookmarkEnd w:id="660"/>
    </w:p>
    <w:p>
      <w:pPr>
        <w:pStyle w:val="218"/>
        <w:spacing w:afterLines="50"/>
      </w:pPr>
      <w:r>
        <w:t>出现本协议第</w:t>
      </w:r>
      <w:r>
        <w:fldChar w:fldCharType="begin"/>
      </w:r>
      <w:r>
        <w:instrText xml:space="preserve"> REF _Ref448871296 \r \h  \* MERGEFORMAT </w:instrText>
      </w:r>
      <w:r>
        <w:fldChar w:fldCharType="separate"/>
      </w:r>
      <w:r>
        <w:t>16.7</w:t>
      </w:r>
      <w:r>
        <w:fldChar w:fldCharType="end"/>
      </w:r>
      <w:r>
        <w:rPr>
          <w:rFonts w:hint="eastAsia"/>
        </w:rPr>
        <w:t>条</w:t>
      </w:r>
      <w:r>
        <w:t>款约定的情形，任何一方有权向另一方发出提前终止意向通知。</w:t>
      </w:r>
    </w:p>
    <w:p>
      <w:pPr>
        <w:pStyle w:val="213"/>
        <w:spacing w:after="120"/>
        <w:rPr>
          <w:rFonts w:ascii="Times New Roman" w:hAnsi="Times New Roman"/>
        </w:rPr>
      </w:pPr>
      <w:r>
        <w:rPr>
          <w:rFonts w:ascii="Times New Roman" w:hAnsi="Times New Roman"/>
        </w:rPr>
        <w:t>提前终止意向通知</w:t>
      </w:r>
    </w:p>
    <w:p>
      <w:pPr>
        <w:pStyle w:val="214"/>
        <w:spacing w:after="72"/>
      </w:pPr>
      <w:r>
        <w:t>任何提前终止意向通知应详细表述引发出该通知的违约事件的详细情况。</w:t>
      </w:r>
    </w:p>
    <w:p>
      <w:pPr>
        <w:pStyle w:val="214"/>
        <w:spacing w:after="72"/>
      </w:pPr>
      <w:r>
        <w:t>在提前终止意向通知发出之后，双方应在二十（20）日之内或双方同意的更长时间内（下称“协商期”）协商避免本合同提前终止的措施。</w:t>
      </w:r>
    </w:p>
    <w:p>
      <w:pPr>
        <w:pStyle w:val="214"/>
        <w:spacing w:after="72"/>
      </w:pPr>
      <w:r>
        <w:t>如果双方就将要采取的措施达成一致，或者违约方在协商期内纠正了违约事件，提前终止意向通知应立即自动失效。</w:t>
      </w:r>
    </w:p>
    <w:p>
      <w:pPr>
        <w:pStyle w:val="213"/>
        <w:spacing w:after="120"/>
        <w:rPr>
          <w:rFonts w:ascii="Times New Roman" w:hAnsi="Times New Roman"/>
        </w:rPr>
      </w:pPr>
      <w:r>
        <w:rPr>
          <w:rFonts w:ascii="Times New Roman" w:hAnsi="Times New Roman"/>
        </w:rPr>
        <w:t>提前终止通知</w:t>
      </w:r>
    </w:p>
    <w:p>
      <w:pPr>
        <w:pStyle w:val="218"/>
        <w:spacing w:afterLines="50"/>
      </w:pPr>
      <w:r>
        <w:t>在协商期届满之时，除非双方另行达成一致，或导致发出提前终止意向通知的违约事件得到纠正，发出提前终止意向通知的一方可以向另一方发出终止本合同的提前终止通知（下称“提前终止通知”），提前终止通知发出后，本合同应于双方商定的提前移交日终止。</w:t>
      </w:r>
    </w:p>
    <w:p>
      <w:pPr>
        <w:pStyle w:val="213"/>
        <w:spacing w:after="120"/>
        <w:rPr>
          <w:rFonts w:ascii="Times New Roman" w:hAnsi="Times New Roman"/>
        </w:rPr>
      </w:pPr>
      <w:r>
        <w:rPr>
          <w:rFonts w:ascii="Times New Roman" w:hAnsi="Times New Roman"/>
        </w:rPr>
        <w:t>提前终止的一般后果</w:t>
      </w:r>
    </w:p>
    <w:p>
      <w:pPr>
        <w:pStyle w:val="214"/>
        <w:spacing w:after="72"/>
      </w:pPr>
      <w:r>
        <w:t>自任何一方发出提前终止意向通知起，至提前移交日前一日，双方应继续履行本合同项下的权利和义务。</w:t>
      </w:r>
    </w:p>
    <w:p>
      <w:pPr>
        <w:pStyle w:val="214"/>
        <w:spacing w:after="72"/>
      </w:pPr>
      <w:r>
        <w:t>自提前移交日起，甲方应立即自行承担费用负责项目设施的运行、运营维护和管理，乙方有义务配合交接工作，并按照第</w:t>
      </w:r>
      <w:r>
        <w:fldChar w:fldCharType="begin"/>
      </w:r>
      <w:r>
        <w:instrText xml:space="preserve"> REF _Ref448871842 \r \h  \* MERGEFORMAT </w:instrText>
      </w:r>
      <w:r>
        <w:fldChar w:fldCharType="separate"/>
      </w:r>
      <w:r>
        <w:t>17.7</w:t>
      </w:r>
      <w:r>
        <w:fldChar w:fldCharType="end"/>
      </w:r>
      <w:r>
        <w:t>条款与乙方进行提前移交。</w:t>
      </w:r>
    </w:p>
    <w:p>
      <w:pPr>
        <w:pStyle w:val="214"/>
        <w:spacing w:after="72"/>
      </w:pPr>
      <w:r>
        <w:t>自提前移交日起，双方在本合同项下未履行完毕的其他权利和义务应当继续履行；本合同的提前终止不影响本合同中争议解决条款和任何在本合同终止后仍然有效的其他条款的效力。</w:t>
      </w:r>
    </w:p>
    <w:p>
      <w:pPr>
        <w:pStyle w:val="213"/>
        <w:spacing w:after="120"/>
        <w:rPr>
          <w:rFonts w:ascii="Times New Roman" w:hAnsi="Times New Roman"/>
        </w:rPr>
      </w:pPr>
      <w:bookmarkStart w:id="661" w:name="_Ref448871842"/>
      <w:r>
        <w:rPr>
          <w:rFonts w:ascii="Times New Roman" w:hAnsi="Times New Roman"/>
        </w:rPr>
        <w:t>提前终止后的提前移交</w:t>
      </w:r>
      <w:bookmarkEnd w:id="661"/>
    </w:p>
    <w:p>
      <w:pPr>
        <w:pStyle w:val="214"/>
        <w:spacing w:after="72"/>
      </w:pPr>
      <w:r>
        <w:t>移交范围</w:t>
      </w:r>
    </w:p>
    <w:p>
      <w:pPr>
        <w:pStyle w:val="219"/>
        <w:spacing w:after="72"/>
      </w:pPr>
      <w:r>
        <w:t>本合同任何一方根据第</w:t>
      </w:r>
      <w:r>
        <w:fldChar w:fldCharType="begin"/>
      </w:r>
      <w:r>
        <w:instrText xml:space="preserve"> REF _Ref448740971 \r \h  \* MERGEFORMAT </w:instrText>
      </w:r>
      <w:r>
        <w:fldChar w:fldCharType="separate"/>
      </w:r>
      <w:r>
        <w:t>17.1</w:t>
      </w:r>
      <w:r>
        <w:fldChar w:fldCharType="end"/>
      </w:r>
      <w:r>
        <w:t>条款或第</w:t>
      </w:r>
      <w:r>
        <w:fldChar w:fldCharType="begin"/>
      </w:r>
      <w:r>
        <w:instrText xml:space="preserve"> REF _Ref448740994 \r \h  \* MERGEFORMAT </w:instrText>
      </w:r>
      <w:r>
        <w:fldChar w:fldCharType="separate"/>
      </w:r>
      <w:r>
        <w:t>17.2</w:t>
      </w:r>
      <w:r>
        <w:fldChar w:fldCharType="end"/>
      </w:r>
      <w:r>
        <w:t>条款的</w:t>
      </w:r>
      <w:r>
        <w:rPr>
          <w:rFonts w:hint="eastAsia"/>
        </w:rPr>
        <w:t>约</w:t>
      </w:r>
      <w:r>
        <w:t>定发出提前终止通知后，乙方应根据第</w:t>
      </w:r>
      <w:r>
        <w:fldChar w:fldCharType="begin"/>
      </w:r>
      <w:r>
        <w:instrText xml:space="preserve"> REF _Ref448872028 \r \h  \* MERGEFORMAT </w:instrText>
      </w:r>
      <w:r>
        <w:fldChar w:fldCharType="separate"/>
      </w:r>
      <w:r>
        <w:t>17.7.2</w:t>
      </w:r>
      <w:r>
        <w:fldChar w:fldCharType="end"/>
      </w:r>
      <w:r>
        <w:t>条款约定的程序向甲方或市政府指定的其他机构提前移交按照第</w:t>
      </w:r>
      <w:r>
        <w:fldChar w:fldCharType="begin"/>
      </w:r>
      <w:r>
        <w:instrText xml:space="preserve"> REF _Ref448872054 \r \h  \* MERGEFORMAT </w:instrText>
      </w:r>
      <w:r>
        <w:fldChar w:fldCharType="separate"/>
      </w:r>
      <w:r>
        <w:t>13.1</w:t>
      </w:r>
      <w:r>
        <w:fldChar w:fldCharType="end"/>
      </w:r>
      <w:r>
        <w:t>条款要求的项目设施、相关文件资料和与项目设施相关的所有权利和权益。</w:t>
      </w:r>
    </w:p>
    <w:p>
      <w:pPr>
        <w:pStyle w:val="219"/>
        <w:spacing w:after="72"/>
      </w:pPr>
      <w:r>
        <w:t>如根据第</w:t>
      </w:r>
      <w:r>
        <w:fldChar w:fldCharType="begin"/>
      </w:r>
      <w:r>
        <w:instrText xml:space="preserve"> REF _Ref448871296 \r \h  \* MERGEFORMAT </w:instrText>
      </w:r>
      <w:r>
        <w:fldChar w:fldCharType="separate"/>
      </w:r>
      <w:r>
        <w:t>16.7</w:t>
      </w:r>
      <w:r>
        <w:fldChar w:fldCharType="end"/>
      </w:r>
      <w:r>
        <w:t>条款因不可抗力导致本合同提前终止，则第</w:t>
      </w:r>
      <w:r>
        <w:fldChar w:fldCharType="begin"/>
      </w:r>
      <w:r>
        <w:instrText xml:space="preserve"> REF _Ref448872054 \r \h  \* MERGEFORMAT </w:instrText>
      </w:r>
      <w:r>
        <w:fldChar w:fldCharType="separate"/>
      </w:r>
      <w:r>
        <w:t>13.1</w:t>
      </w:r>
      <w:r>
        <w:fldChar w:fldCharType="end"/>
      </w:r>
      <w:r>
        <w:t>条款中所列的各项应按照在提前终止通知发出时的状态被移交。</w:t>
      </w:r>
    </w:p>
    <w:p>
      <w:pPr>
        <w:pStyle w:val="214"/>
        <w:spacing w:after="72"/>
      </w:pPr>
      <w:bookmarkStart w:id="662" w:name="_Ref448872028"/>
      <w:r>
        <w:t>移交程序</w:t>
      </w:r>
      <w:bookmarkEnd w:id="662"/>
    </w:p>
    <w:p>
      <w:pPr>
        <w:pStyle w:val="219"/>
        <w:spacing w:after="72"/>
      </w:pPr>
      <w:r>
        <w:t>自提前移交日，乙方对项目设施的所有权益全部转移给甲方，甲方收回乙方的经营权。</w:t>
      </w:r>
    </w:p>
    <w:p>
      <w:pPr>
        <w:pStyle w:val="219"/>
        <w:spacing w:after="72"/>
      </w:pPr>
      <w:r>
        <w:t>双方于提前移交日后三十（30）日内按第</w:t>
      </w:r>
      <w:r>
        <w:fldChar w:fldCharType="begin"/>
      </w:r>
      <w:r>
        <w:instrText xml:space="preserve"> REF _Ref448872117 \r \h  \* MERGEFORMAT </w:instrText>
      </w:r>
      <w:r>
        <w:fldChar w:fldCharType="separate"/>
      </w:r>
      <w:r>
        <w:t>17.8</w:t>
      </w:r>
      <w:r>
        <w:fldChar w:fldCharType="end"/>
      </w:r>
      <w:r>
        <w:t>条款确定终止补偿金额，</w:t>
      </w:r>
      <w:r>
        <w:rPr>
          <w:rFonts w:hint="eastAsia"/>
        </w:rPr>
        <w:t>甲方应在办理完毕全部法定手续后六十（</w:t>
      </w:r>
      <w:r>
        <w:t>60</w:t>
      </w:r>
      <w:r>
        <w:rPr>
          <w:rFonts w:hint="eastAsia"/>
        </w:rPr>
        <w:t>）日内支付全部终止补偿金</w:t>
      </w:r>
      <w:r>
        <w:t>。</w:t>
      </w:r>
    </w:p>
    <w:p>
      <w:pPr>
        <w:pStyle w:val="213"/>
        <w:spacing w:after="120"/>
        <w:rPr>
          <w:rFonts w:ascii="Times New Roman" w:hAnsi="Times New Roman"/>
          <w:b/>
        </w:rPr>
      </w:pPr>
      <w:bookmarkStart w:id="663" w:name="_Ref448872117"/>
      <w:r>
        <w:rPr>
          <w:rFonts w:hint="eastAsia" w:ascii="Times New Roman" w:hAnsi="Times New Roman"/>
          <w:b/>
        </w:rPr>
        <w:t>提前终止的补偿</w:t>
      </w:r>
      <w:bookmarkEnd w:id="663"/>
      <w:r>
        <w:rPr>
          <w:rFonts w:hint="eastAsia"/>
          <w:b/>
        </w:rPr>
        <w:t>★</w:t>
      </w:r>
    </w:p>
    <w:p>
      <w:pPr>
        <w:pStyle w:val="214"/>
        <w:spacing w:after="72"/>
      </w:pPr>
      <w:r>
        <w:t>若本协议根据</w:t>
      </w:r>
      <w:r>
        <w:fldChar w:fldCharType="begin"/>
      </w:r>
      <w:r>
        <w:instrText xml:space="preserve"> REF _Ref448740050 \r \h  \* MERGEFORMAT </w:instrText>
      </w:r>
      <w:r>
        <w:fldChar w:fldCharType="separate"/>
      </w:r>
      <w:r>
        <w:rPr>
          <w:rFonts w:hint="eastAsia"/>
        </w:rPr>
        <w:t>第17条</w:t>
      </w:r>
      <w:r>
        <w:rPr>
          <w:rFonts w:hint="eastAsia"/>
        </w:rPr>
        <w:fldChar w:fldCharType="end"/>
      </w:r>
      <w:r>
        <w:rPr>
          <w:rFonts w:hint="eastAsia"/>
        </w:rPr>
        <w:t>约</w:t>
      </w:r>
      <w:r>
        <w:t>定提前终止，则受限于第</w:t>
      </w:r>
      <w:r>
        <w:fldChar w:fldCharType="begin"/>
      </w:r>
      <w:r>
        <w:instrText xml:space="preserve"> REF _Ref527452375 \r \h  \* MERGEFORMAT </w:instrText>
      </w:r>
      <w:r>
        <w:fldChar w:fldCharType="separate"/>
      </w:r>
      <w:r>
        <w:t>17.8.2</w:t>
      </w:r>
      <w:r>
        <w:fldChar w:fldCharType="end"/>
      </w:r>
      <w:r>
        <w:t>条</w:t>
      </w:r>
      <w:r>
        <w:rPr>
          <w:rFonts w:hint="eastAsia"/>
        </w:rPr>
        <w:t>款</w:t>
      </w:r>
      <w:r>
        <w:t>的规定，并按照以下</w:t>
      </w:r>
      <w:r>
        <w:rPr>
          <w:rFonts w:hint="eastAsia"/>
        </w:rPr>
        <w:t>约</w:t>
      </w:r>
      <w:r>
        <w:t>定补偿乙方：</w:t>
      </w:r>
    </w:p>
    <w:tbl>
      <w:tblPr>
        <w:tblStyle w:val="52"/>
        <w:tblW w:w="756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5242"/>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98" w:type="dxa"/>
            <w:tcBorders>
              <w:top w:val="single" w:color="auto" w:sz="12" w:space="0"/>
              <w:left w:val="single" w:color="auto" w:sz="12" w:space="0"/>
            </w:tcBorders>
            <w:vAlign w:val="center"/>
          </w:tcPr>
          <w:p>
            <w:pPr>
              <w:jc w:val="center"/>
            </w:pPr>
            <w:r>
              <w:t>序号</w:t>
            </w:r>
          </w:p>
        </w:tc>
        <w:tc>
          <w:tcPr>
            <w:tcW w:w="5242" w:type="dxa"/>
            <w:tcBorders>
              <w:top w:val="single" w:color="auto" w:sz="12" w:space="0"/>
            </w:tcBorders>
            <w:vAlign w:val="center"/>
          </w:tcPr>
          <w:p>
            <w:pPr>
              <w:jc w:val="center"/>
            </w:pPr>
            <w:r>
              <w:t>终止事件</w:t>
            </w:r>
          </w:p>
        </w:tc>
        <w:tc>
          <w:tcPr>
            <w:tcW w:w="1620" w:type="dxa"/>
            <w:tcBorders>
              <w:top w:val="single" w:color="auto" w:sz="12" w:space="0"/>
              <w:right w:val="single" w:color="auto" w:sz="12" w:space="0"/>
            </w:tcBorders>
            <w:vAlign w:val="center"/>
          </w:tcPr>
          <w:p>
            <w:pPr>
              <w:jc w:val="center"/>
            </w:pPr>
            <w:r>
              <w:t>补偿金额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98" w:type="dxa"/>
            <w:tcBorders>
              <w:top w:val="single" w:color="auto" w:sz="12" w:space="0"/>
              <w:left w:val="single" w:color="auto" w:sz="12" w:space="0"/>
            </w:tcBorders>
            <w:vAlign w:val="center"/>
          </w:tcPr>
          <w:p>
            <w:pPr>
              <w:jc w:val="center"/>
            </w:pPr>
            <w:r>
              <w:t>1</w:t>
            </w:r>
          </w:p>
        </w:tc>
        <w:tc>
          <w:tcPr>
            <w:tcW w:w="5242" w:type="dxa"/>
            <w:tcBorders>
              <w:top w:val="single" w:color="auto" w:sz="12" w:space="0"/>
            </w:tcBorders>
            <w:vAlign w:val="center"/>
          </w:tcPr>
          <w:p>
            <w:r>
              <w:t>发生第</w:t>
            </w:r>
            <w:r>
              <w:fldChar w:fldCharType="begin"/>
            </w:r>
            <w:r>
              <w:instrText xml:space="preserve"> REF _Ref448740971 \r \h  \* MERGEFORMAT </w:instrText>
            </w:r>
            <w:r>
              <w:fldChar w:fldCharType="separate"/>
            </w:r>
            <w:r>
              <w:t>17.1</w:t>
            </w:r>
            <w:r>
              <w:fldChar w:fldCharType="end"/>
            </w:r>
            <w:r>
              <w:t>条约定的事件</w:t>
            </w:r>
          </w:p>
        </w:tc>
        <w:tc>
          <w:tcPr>
            <w:tcW w:w="1620" w:type="dxa"/>
            <w:tcBorders>
              <w:top w:val="single" w:color="auto" w:sz="12" w:space="0"/>
              <w:right w:val="single" w:color="auto" w:sz="12" w:space="0"/>
            </w:tcBorders>
            <w:vAlign w:val="center"/>
          </w:tcPr>
          <w:p>
            <w:r>
              <w:t>A</w:t>
            </w:r>
            <w:r>
              <w:rPr>
                <w:sz w:val="32"/>
                <w:vertAlign w:val="subscript"/>
              </w:rPr>
              <w:t>2</w:t>
            </w:r>
            <w:r>
              <w:rPr>
                <w:sz w:val="32"/>
              </w:rPr>
              <w:t>+</w:t>
            </w:r>
            <w:r>
              <w:t>A</w:t>
            </w:r>
            <w:r>
              <w:rPr>
                <w:sz w:val="32"/>
                <w:vertAlign w:val="sub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98" w:type="dxa"/>
            <w:tcBorders>
              <w:left w:val="single" w:color="auto" w:sz="12" w:space="0"/>
            </w:tcBorders>
            <w:vAlign w:val="center"/>
          </w:tcPr>
          <w:p>
            <w:pPr>
              <w:jc w:val="center"/>
            </w:pPr>
            <w:r>
              <w:t>2</w:t>
            </w:r>
          </w:p>
        </w:tc>
        <w:tc>
          <w:tcPr>
            <w:tcW w:w="5242" w:type="dxa"/>
          </w:tcPr>
          <w:p>
            <w:r>
              <w:t>发生第</w:t>
            </w:r>
            <w:r>
              <w:fldChar w:fldCharType="begin"/>
            </w:r>
            <w:r>
              <w:instrText xml:space="preserve"> REF _Ref448740994 \r \h  \* MERGEFORMAT </w:instrText>
            </w:r>
            <w:r>
              <w:fldChar w:fldCharType="separate"/>
            </w:r>
            <w:r>
              <w:t>17.2</w:t>
            </w:r>
            <w:r>
              <w:fldChar w:fldCharType="end"/>
            </w:r>
            <w:r>
              <w:t>条约定的事件</w:t>
            </w:r>
          </w:p>
        </w:tc>
        <w:tc>
          <w:tcPr>
            <w:tcW w:w="1620" w:type="dxa"/>
            <w:tcBorders>
              <w:right w:val="single" w:color="auto" w:sz="12" w:space="0"/>
            </w:tcBorders>
            <w:vAlign w:val="center"/>
          </w:tcPr>
          <w:p>
            <w:r>
              <w:t>A</w:t>
            </w:r>
            <w:r>
              <w:rPr>
                <w:sz w:val="32"/>
                <w:vertAlign w:val="subscript"/>
              </w:rPr>
              <w:t>1</w:t>
            </w:r>
            <w:r>
              <w:t>＋A</w:t>
            </w:r>
            <w:r>
              <w:rPr>
                <w:sz w:val="32"/>
                <w:vertAlign w:val="subscript"/>
              </w:rPr>
              <w:t>3</w:t>
            </w:r>
            <w:r>
              <w:rPr>
                <w:sz w:val="32"/>
              </w:rPr>
              <w:t>+</w:t>
            </w:r>
            <w:r>
              <w:t>A</w:t>
            </w:r>
            <w:r>
              <w:rPr>
                <w:sz w:val="32"/>
                <w:vertAlign w:val="sub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98" w:type="dxa"/>
            <w:tcBorders>
              <w:left w:val="single" w:color="auto" w:sz="12" w:space="0"/>
            </w:tcBorders>
            <w:vAlign w:val="center"/>
          </w:tcPr>
          <w:p>
            <w:pPr>
              <w:jc w:val="center"/>
            </w:pPr>
            <w:r>
              <w:t>3</w:t>
            </w:r>
          </w:p>
        </w:tc>
        <w:tc>
          <w:tcPr>
            <w:tcW w:w="5242" w:type="dxa"/>
          </w:tcPr>
          <w:p>
            <w:r>
              <w:t>第</w:t>
            </w:r>
            <w:r>
              <w:fldChar w:fldCharType="begin"/>
            </w:r>
            <w:r>
              <w:instrText xml:space="preserve"> REF _Ref448873222 \r \h  \* MERGEFORMAT </w:instrText>
            </w:r>
            <w:r>
              <w:fldChar w:fldCharType="separate"/>
            </w:r>
            <w:r>
              <w:t>16.1.2</w:t>
            </w:r>
            <w:r>
              <w:fldChar w:fldCharType="end"/>
            </w:r>
            <w:r>
              <w:t>（a）、（b）、（c）、（d）条</w:t>
            </w:r>
            <w:r>
              <w:rPr>
                <w:rFonts w:hint="eastAsia"/>
              </w:rPr>
              <w:t>款</w:t>
            </w:r>
            <w:r>
              <w:t>约定的事件</w:t>
            </w:r>
          </w:p>
        </w:tc>
        <w:tc>
          <w:tcPr>
            <w:tcW w:w="1620" w:type="dxa"/>
            <w:tcBorders>
              <w:right w:val="single" w:color="auto" w:sz="12" w:space="0"/>
            </w:tcBorders>
            <w:vAlign w:val="center"/>
          </w:tcPr>
          <w:p>
            <w:r>
              <w:t>A</w:t>
            </w:r>
            <w:r>
              <w:rPr>
                <w:sz w:val="32"/>
                <w:vertAlign w:val="subscript"/>
              </w:rPr>
              <w:t>4</w:t>
            </w:r>
            <w:r>
              <w:t>-A</w:t>
            </w:r>
            <w:r>
              <w:rPr>
                <w:sz w:val="32"/>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98" w:type="dxa"/>
            <w:tcBorders>
              <w:left w:val="single" w:color="auto" w:sz="12" w:space="0"/>
            </w:tcBorders>
            <w:vAlign w:val="center"/>
          </w:tcPr>
          <w:p>
            <w:pPr>
              <w:jc w:val="center"/>
            </w:pPr>
            <w:r>
              <w:t>4</w:t>
            </w:r>
          </w:p>
        </w:tc>
        <w:tc>
          <w:tcPr>
            <w:tcW w:w="5242" w:type="dxa"/>
          </w:tcPr>
          <w:p>
            <w:r>
              <w:t>第</w:t>
            </w:r>
            <w:r>
              <w:fldChar w:fldCharType="begin"/>
            </w:r>
            <w:r>
              <w:instrText xml:space="preserve"> REF _Ref448873222 \r \h  \* MERGEFORMAT </w:instrText>
            </w:r>
            <w:r>
              <w:fldChar w:fldCharType="separate"/>
            </w:r>
            <w:r>
              <w:t>16.1.2</w:t>
            </w:r>
            <w:r>
              <w:fldChar w:fldCharType="end"/>
            </w:r>
            <w:r>
              <w:t>（e）、（f）条</w:t>
            </w:r>
            <w:r>
              <w:rPr>
                <w:rFonts w:hint="eastAsia"/>
              </w:rPr>
              <w:t>款</w:t>
            </w:r>
            <w:r>
              <w:t>约定的事件</w:t>
            </w:r>
          </w:p>
        </w:tc>
        <w:tc>
          <w:tcPr>
            <w:tcW w:w="1620" w:type="dxa"/>
            <w:tcBorders>
              <w:right w:val="single" w:color="auto" w:sz="12" w:space="0"/>
            </w:tcBorders>
            <w:vAlign w:val="center"/>
          </w:tcPr>
          <w:p>
            <w:r>
              <w:t>A</w:t>
            </w:r>
            <w:r>
              <w:rPr>
                <w:sz w:val="32"/>
                <w:vertAlign w:val="subscript"/>
              </w:rPr>
              <w:t>1</w:t>
            </w:r>
            <w:r>
              <w:t>+A</w:t>
            </w:r>
            <w:r>
              <w:rPr>
                <w:sz w:val="32"/>
                <w:vertAlign w:val="subscript"/>
              </w:rPr>
              <w:t>5</w:t>
            </w:r>
            <w:r>
              <w:rPr>
                <w:sz w:val="32"/>
              </w:rPr>
              <w:t>+</w:t>
            </w:r>
            <w:r>
              <w:t>A</w:t>
            </w:r>
            <w:r>
              <w:rPr>
                <w:sz w:val="32"/>
                <w:vertAlign w:val="subscript"/>
              </w:rPr>
              <w:t>7</w:t>
            </w:r>
          </w:p>
        </w:tc>
      </w:tr>
    </w:tbl>
    <w:p>
      <w:pPr>
        <w:pStyle w:val="221"/>
        <w:spacing w:beforeLines="50" w:afterLines="50" w:line="360" w:lineRule="auto"/>
        <w:ind w:left="565" w:leftChars="269" w:firstLine="1"/>
        <w:rPr>
          <w:rFonts w:cs="Times New Roman"/>
        </w:rPr>
      </w:pPr>
      <w:r>
        <w:rPr>
          <w:rFonts w:cs="Times New Roman"/>
        </w:rPr>
        <w:t>其中：</w:t>
      </w:r>
    </w:p>
    <w:tbl>
      <w:tblPr>
        <w:tblStyle w:val="52"/>
        <w:tblW w:w="7590" w:type="dxa"/>
        <w:jc w:val="center"/>
        <w:tblInd w:w="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88"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1</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 xml:space="preserve">是指PPP项目合同提前终止之日时乙方资产账面净值。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98"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2</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 xml:space="preserve">是指PPP项目合同提前终止之日时经政府方批准的，用于本项目的乙方融资文件中尚未偿还的贷款金额。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5"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3</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 xml:space="preserve">是指乙方在以下期间中之较短期间内预期净利润： </w:t>
            </w:r>
          </w:p>
          <w:p>
            <w:pPr>
              <w:pStyle w:val="221"/>
              <w:spacing w:beforeLines="50" w:afterLines="50" w:line="360" w:lineRule="auto"/>
              <w:ind w:left="0"/>
              <w:rPr>
                <w:rFonts w:cs="Times New Roman"/>
              </w:rPr>
            </w:pPr>
            <w:r>
              <w:rPr>
                <w:rFonts w:cs="Times New Roman"/>
              </w:rPr>
              <w:t>四（4）年；或</w:t>
            </w:r>
          </w:p>
          <w:p>
            <w:pPr>
              <w:pStyle w:val="221"/>
              <w:spacing w:beforeLines="50" w:afterLines="50" w:line="360" w:lineRule="auto"/>
              <w:ind w:left="0"/>
              <w:rPr>
                <w:rFonts w:cs="Times New Roman"/>
              </w:rPr>
            </w:pPr>
            <w:r>
              <w:rPr>
                <w:rFonts w:cs="Times New Roman"/>
              </w:rPr>
              <w:t>合作期限的剩余期间。</w:t>
            </w:r>
          </w:p>
          <w:p>
            <w:pPr>
              <w:pStyle w:val="221"/>
              <w:spacing w:beforeLines="50" w:afterLines="50" w:line="360" w:lineRule="auto"/>
              <w:ind w:left="0"/>
              <w:rPr>
                <w:rFonts w:cs="Times New Roman"/>
              </w:rPr>
            </w:pPr>
            <w:r>
              <w:rPr>
                <w:rFonts w:cs="Times New Roman"/>
              </w:rPr>
              <w:t>其中，预期净利润指乙方在终止前三年度经过审计的财务报告中净利润的平均值。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4</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是指本协议提前终止之日经项目</w:t>
            </w:r>
            <w:r>
              <w:rPr>
                <w:rFonts w:hint="eastAsia" w:cs="Times New Roman"/>
              </w:rPr>
              <w:t>甲方</w:t>
            </w:r>
            <w:r>
              <w:rPr>
                <w:rFonts w:cs="Times New Roman"/>
              </w:rPr>
              <w:t>认可的资产评估机构和评估方法评估的资产净值。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00"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5</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 xml:space="preserve">是指乙方在以下期间中之较短期间内预期净利润： </w:t>
            </w:r>
          </w:p>
          <w:p>
            <w:pPr>
              <w:pStyle w:val="221"/>
              <w:spacing w:beforeLines="50" w:afterLines="50" w:line="360" w:lineRule="auto"/>
              <w:ind w:left="0"/>
              <w:rPr>
                <w:rFonts w:cs="Times New Roman"/>
              </w:rPr>
            </w:pPr>
            <w:r>
              <w:rPr>
                <w:rFonts w:cs="Times New Roman"/>
              </w:rPr>
              <w:t>二（2）年；或</w:t>
            </w:r>
          </w:p>
          <w:p>
            <w:pPr>
              <w:pStyle w:val="221"/>
              <w:spacing w:beforeLines="50" w:afterLines="50" w:line="360" w:lineRule="auto"/>
              <w:ind w:left="0"/>
              <w:rPr>
                <w:rFonts w:cs="Times New Roman"/>
              </w:rPr>
            </w:pPr>
            <w:r>
              <w:rPr>
                <w:rFonts w:cs="Times New Roman"/>
              </w:rPr>
              <w:t>合作期限的剩余期间。</w:t>
            </w:r>
          </w:p>
          <w:p>
            <w:pPr>
              <w:pStyle w:val="221"/>
              <w:spacing w:beforeLines="50" w:afterLines="50" w:line="360" w:lineRule="auto"/>
              <w:ind w:left="0"/>
              <w:rPr>
                <w:rFonts w:cs="Times New Roman"/>
              </w:rPr>
            </w:pPr>
            <w:r>
              <w:rPr>
                <w:rFonts w:cs="Times New Roman"/>
              </w:rPr>
              <w:t>其中，预期净利润指乙方在终止前三年度经过审计的财务报告中净利润的平均值。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5"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6</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是指就相关不可抗力事件发生时，乙方有权获得的全部保险付款（包括认定保险赔款）。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0" w:hRule="atLeast"/>
          <w:jc w:val="center"/>
        </w:trPr>
        <w:tc>
          <w:tcPr>
            <w:tcW w:w="644"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A</w:t>
            </w:r>
            <w:r>
              <w:rPr>
                <w:rFonts w:cs="Times New Roman"/>
                <w:vertAlign w:val="subscript"/>
              </w:rPr>
              <w:t>7</w:t>
            </w:r>
          </w:p>
        </w:tc>
        <w:tc>
          <w:tcPr>
            <w:tcW w:w="6946" w:type="dxa"/>
            <w:shd w:val="clear" w:color="auto" w:fill="auto"/>
            <w:tcMar>
              <w:top w:w="72" w:type="dxa"/>
              <w:left w:w="144" w:type="dxa"/>
              <w:bottom w:w="72" w:type="dxa"/>
              <w:right w:w="144" w:type="dxa"/>
            </w:tcMar>
            <w:vAlign w:val="center"/>
          </w:tcPr>
          <w:p>
            <w:pPr>
              <w:pStyle w:val="221"/>
              <w:spacing w:beforeLines="50" w:afterLines="50" w:line="360" w:lineRule="auto"/>
              <w:ind w:left="0"/>
              <w:rPr>
                <w:rFonts w:cs="Times New Roman"/>
              </w:rPr>
            </w:pPr>
            <w:r>
              <w:rPr>
                <w:rFonts w:cs="Times New Roman"/>
              </w:rPr>
              <w:t>指终止后乙方应向项目甲方或政府指定的其他机构移交的零部件、备品备件等的评估值。</w:t>
            </w:r>
          </w:p>
        </w:tc>
      </w:tr>
    </w:tbl>
    <w:p>
      <w:pPr>
        <w:pStyle w:val="214"/>
        <w:spacing w:after="72"/>
      </w:pPr>
      <w:bookmarkStart w:id="664" w:name="_Ref527452375"/>
      <w:r>
        <w:t>对提前终止后补偿的每一构成的计算必须经双方共同认可的一家会计师事务所的验证，如双方存在争议，则按PPP项目合同中的争议解决方式解决。</w:t>
      </w:r>
    </w:p>
    <w:p>
      <w:pPr>
        <w:pStyle w:val="213"/>
        <w:spacing w:after="120"/>
        <w:rPr>
          <w:rFonts w:ascii="Times New Roman" w:hAnsi="Times New Roman"/>
          <w:kern w:val="0"/>
        </w:rPr>
      </w:pPr>
      <w:r>
        <w:rPr>
          <w:rFonts w:ascii="Times New Roman" w:hAnsi="Times New Roman"/>
          <w:kern w:val="0"/>
        </w:rPr>
        <w:t>提前终止</w:t>
      </w:r>
      <w:bookmarkEnd w:id="664"/>
    </w:p>
    <w:p>
      <w:pPr>
        <w:pStyle w:val="214"/>
        <w:numPr>
          <w:ilvl w:val="0"/>
          <w:numId w:val="0"/>
        </w:numPr>
        <w:spacing w:after="72"/>
        <w:ind w:left="567"/>
        <w:rPr>
          <w:kern w:val="0"/>
        </w:rPr>
      </w:pPr>
      <w:r>
        <w:rPr>
          <w:kern w:val="0"/>
        </w:rPr>
        <w:t>发生</w:t>
      </w:r>
      <w:r>
        <w:fldChar w:fldCharType="begin"/>
      </w:r>
      <w:r>
        <w:instrText xml:space="preserve"> REF _Ref448740050 \r \h  \* MERGEFORMAT </w:instrText>
      </w:r>
      <w:r>
        <w:fldChar w:fldCharType="separate"/>
      </w:r>
      <w:r>
        <w:rPr>
          <w:rFonts w:hint="eastAsia"/>
          <w:kern w:val="0"/>
        </w:rPr>
        <w:t>第17条</w:t>
      </w:r>
      <w:r>
        <w:rPr>
          <w:rFonts w:hint="eastAsia"/>
          <w:kern w:val="0"/>
        </w:rPr>
        <w:fldChar w:fldCharType="end"/>
      </w:r>
      <w:r>
        <w:rPr>
          <w:kern w:val="0"/>
        </w:rPr>
        <w:t>项下事件，在以下事件全部履行完毕后，本合同自动提前终止：</w:t>
      </w:r>
    </w:p>
    <w:p>
      <w:pPr>
        <w:pStyle w:val="214"/>
        <w:spacing w:after="72"/>
        <w:rPr>
          <w:kern w:val="0"/>
        </w:rPr>
      </w:pPr>
      <w:r>
        <w:rPr>
          <w:kern w:val="0"/>
        </w:rPr>
        <w:t>本合同项下的债务（若有）支付完毕。</w:t>
      </w:r>
    </w:p>
    <w:p>
      <w:pPr>
        <w:pStyle w:val="214"/>
        <w:spacing w:after="72"/>
        <w:rPr>
          <w:kern w:val="0"/>
        </w:rPr>
      </w:pPr>
      <w:r>
        <w:rPr>
          <w:kern w:val="0"/>
        </w:rPr>
        <w:t>办理完毕全部产权过户手续以及其它法定手续。</w:t>
      </w:r>
    </w:p>
    <w:p>
      <w:pPr>
        <w:pStyle w:val="214"/>
        <w:spacing w:after="72"/>
        <w:rPr>
          <w:kern w:val="0"/>
        </w:rPr>
      </w:pPr>
      <w:r>
        <w:rPr>
          <w:kern w:val="0"/>
        </w:rPr>
        <w:t>甲方向乙方支付全部终止补偿金额。</w:t>
      </w:r>
    </w:p>
    <w:p>
      <w:pPr>
        <w:pStyle w:val="213"/>
        <w:spacing w:after="120"/>
        <w:rPr>
          <w:rFonts w:ascii="Times New Roman" w:hAnsi="Times New Roman"/>
          <w:kern w:val="0"/>
        </w:rPr>
      </w:pPr>
      <w:bookmarkStart w:id="665" w:name="_Ref534715296"/>
      <w:r>
        <w:rPr>
          <w:rFonts w:ascii="Times New Roman" w:hAnsi="Times New Roman"/>
          <w:kern w:val="0"/>
        </w:rPr>
        <w:t>履约保函的到期</w:t>
      </w:r>
      <w:bookmarkEnd w:id="665"/>
    </w:p>
    <w:p>
      <w:pPr>
        <w:pStyle w:val="218"/>
        <w:spacing w:afterLines="50"/>
        <w:rPr>
          <w:kern w:val="0"/>
        </w:rPr>
      </w:pPr>
      <w:r>
        <w:rPr>
          <w:kern w:val="0"/>
        </w:rPr>
        <w:t>在本合同因第</w:t>
      </w:r>
      <w:r>
        <w:fldChar w:fldCharType="begin"/>
      </w:r>
      <w:r>
        <w:instrText xml:space="preserve"> REF _Ref448740971 \r \h  \* MERGEFORMAT </w:instrText>
      </w:r>
      <w:r>
        <w:fldChar w:fldCharType="separate"/>
      </w:r>
      <w:r>
        <w:rPr>
          <w:kern w:val="0"/>
        </w:rPr>
        <w:t>17.1</w:t>
      </w:r>
      <w:r>
        <w:rPr>
          <w:kern w:val="0"/>
        </w:rPr>
        <w:fldChar w:fldCharType="end"/>
      </w:r>
      <w:r>
        <w:rPr>
          <w:kern w:val="0"/>
        </w:rPr>
        <w:t>条款或第</w:t>
      </w:r>
      <w:r>
        <w:fldChar w:fldCharType="begin"/>
      </w:r>
      <w:r>
        <w:instrText xml:space="preserve"> REF _Ref448872079 \r \h  \* MERGEFORMAT </w:instrText>
      </w:r>
      <w:r>
        <w:fldChar w:fldCharType="separate"/>
      </w:r>
      <w:r>
        <w:rPr>
          <w:kern w:val="0"/>
        </w:rPr>
        <w:t>17.3</w:t>
      </w:r>
      <w:r>
        <w:rPr>
          <w:kern w:val="0"/>
        </w:rPr>
        <w:fldChar w:fldCharType="end"/>
      </w:r>
      <w:r>
        <w:rPr>
          <w:kern w:val="0"/>
        </w:rPr>
        <w:t>条款的</w:t>
      </w:r>
      <w:r>
        <w:rPr>
          <w:rFonts w:hint="eastAsia"/>
          <w:kern w:val="0"/>
        </w:rPr>
        <w:t>约</w:t>
      </w:r>
      <w:r>
        <w:rPr>
          <w:kern w:val="0"/>
        </w:rPr>
        <w:t>定而被提前终止的情况下，乙方应按</w:t>
      </w:r>
      <w:r>
        <w:fldChar w:fldCharType="begin"/>
      </w:r>
      <w:r>
        <w:instrText xml:space="preserve"> REF _Ref528067239 \r \h  \* MERGEFORMAT </w:instrText>
      </w:r>
      <w:r>
        <w:fldChar w:fldCharType="separate"/>
      </w:r>
      <w:r>
        <w:rPr>
          <w:rFonts w:hint="eastAsia"/>
          <w:kern w:val="0"/>
        </w:rPr>
        <w:t>第13条</w:t>
      </w:r>
      <w:r>
        <w:rPr>
          <w:rFonts w:hint="eastAsia"/>
          <w:kern w:val="0"/>
        </w:rPr>
        <w:fldChar w:fldCharType="end"/>
      </w:r>
      <w:r>
        <w:rPr>
          <w:kern w:val="0"/>
        </w:rPr>
        <w:t>的</w:t>
      </w:r>
      <w:r>
        <w:rPr>
          <w:rFonts w:hint="eastAsia"/>
          <w:kern w:val="0"/>
        </w:rPr>
        <w:t>约</w:t>
      </w:r>
      <w:r>
        <w:rPr>
          <w:kern w:val="0"/>
        </w:rPr>
        <w:t>定向甲方提交一份有效期至提前终止日后十二（12）个月届满的新履约保函，以确保履约保函在提前终止日后十二（12）个月内继续保持有效。在此期间，第</w:t>
      </w:r>
      <w:r>
        <w:fldChar w:fldCharType="begin"/>
      </w:r>
      <w:r>
        <w:instrText xml:space="preserve"> REF _Ref479788859 \r \h  \* MERGEFORMAT </w:instrText>
      </w:r>
      <w:r>
        <w:fldChar w:fldCharType="separate"/>
      </w:r>
      <w:r>
        <w:rPr>
          <w:kern w:val="0"/>
        </w:rPr>
        <w:t>13.4.3</w:t>
      </w:r>
      <w:r>
        <w:rPr>
          <w:kern w:val="0"/>
        </w:rPr>
        <w:fldChar w:fldCharType="end"/>
      </w:r>
      <w:r>
        <w:rPr>
          <w:kern w:val="0"/>
        </w:rPr>
        <w:t>条款项下有关乙方履行修复缺陷或损坏（不包括不可抗力事件造成的缺陷或损坏）义务以及甲方或市政府指定的其他机构相关权利的规定应适用。甲方应在提前终止日后十二（12）个月届满后的第一（1）个工作日解除履约保函并退还履约保函的剩余金额。</w:t>
      </w:r>
    </w:p>
    <w:p>
      <w:pPr>
        <w:pStyle w:val="213"/>
        <w:spacing w:after="120"/>
        <w:rPr>
          <w:rFonts w:ascii="Times New Roman" w:hAnsi="Times New Roman"/>
          <w:kern w:val="0"/>
        </w:rPr>
      </w:pPr>
      <w:r>
        <w:rPr>
          <w:rFonts w:ascii="Times New Roman" w:hAnsi="Times New Roman"/>
        </w:rPr>
        <w:t>责任限制</w:t>
      </w:r>
    </w:p>
    <w:p>
      <w:pPr>
        <w:pStyle w:val="218"/>
        <w:spacing w:afterLines="50"/>
        <w:rPr>
          <w:kern w:val="0"/>
        </w:rPr>
      </w:pPr>
      <w:r>
        <w:rPr>
          <w:kern w:val="0"/>
        </w:rPr>
        <w:t>本合同依据</w:t>
      </w:r>
      <w:r>
        <w:fldChar w:fldCharType="begin"/>
      </w:r>
      <w:r>
        <w:instrText xml:space="preserve"> REF _Ref448740050 \r \h  \* MERGEFORMAT </w:instrText>
      </w:r>
      <w:r>
        <w:fldChar w:fldCharType="separate"/>
      </w:r>
      <w:r>
        <w:rPr>
          <w:rFonts w:hint="eastAsia"/>
          <w:kern w:val="0"/>
        </w:rPr>
        <w:t>第17条</w:t>
      </w:r>
      <w:r>
        <w:rPr>
          <w:rFonts w:hint="eastAsia"/>
          <w:kern w:val="0"/>
        </w:rPr>
        <w:fldChar w:fldCharType="end"/>
      </w:r>
      <w:r>
        <w:rPr>
          <w:kern w:val="0"/>
        </w:rPr>
        <w:t>提前终止后，除向乙方支付终止补偿金额外，甲方不应就上述终止或导致上述终止的任何事件向乙方承担任何义务，但甲方明确承担的或由于甲方违约引致的责任除外。</w:t>
      </w:r>
    </w:p>
    <w:p>
      <w:pPr>
        <w:pStyle w:val="212"/>
        <w:spacing w:before="360" w:after="120" w:line="360" w:lineRule="auto"/>
      </w:pPr>
      <w:bookmarkStart w:id="666" w:name="_Toc534891121"/>
      <w:r>
        <w:rPr>
          <w:rFonts w:eastAsia="宋体"/>
          <w:b/>
        </w:rPr>
        <w:t>转让与担保</w:t>
      </w:r>
      <w:bookmarkEnd w:id="666"/>
    </w:p>
    <w:p>
      <w:pPr>
        <w:pStyle w:val="213"/>
        <w:spacing w:after="120"/>
        <w:rPr>
          <w:rFonts w:ascii="Times New Roman" w:hAnsi="Times New Roman"/>
        </w:rPr>
      </w:pPr>
      <w:bookmarkStart w:id="667" w:name="_Toc118882707"/>
      <w:r>
        <w:rPr>
          <w:rFonts w:ascii="Times New Roman" w:hAnsi="Times New Roman"/>
        </w:rPr>
        <w:t>甲方的转让</w:t>
      </w:r>
      <w:bookmarkEnd w:id="667"/>
    </w:p>
    <w:p>
      <w:pPr>
        <w:pStyle w:val="214"/>
        <w:spacing w:after="72"/>
      </w:pPr>
      <w:bookmarkStart w:id="668" w:name="_Ref448763625"/>
      <w:r>
        <w:t>除非因法律、行政法规的变更或</w:t>
      </w:r>
      <w:r>
        <w:rPr>
          <w:rFonts w:hint="eastAsia"/>
        </w:rPr>
        <w:t>禹州</w:t>
      </w:r>
      <w:r>
        <w:t>市人民政府的要求，甲方不得转让其本合同项下全部或部分的权利或义务。</w:t>
      </w:r>
      <w:bookmarkEnd w:id="668"/>
    </w:p>
    <w:p>
      <w:pPr>
        <w:pStyle w:val="214"/>
        <w:spacing w:after="72"/>
      </w:pPr>
      <w:r>
        <w:t>第</w:t>
      </w:r>
      <w:r>
        <w:fldChar w:fldCharType="begin"/>
      </w:r>
      <w:r>
        <w:instrText xml:space="preserve"> REF _Ref448763625 \r \h  \* MERGEFORMAT </w:instrText>
      </w:r>
      <w:r>
        <w:fldChar w:fldCharType="separate"/>
      </w:r>
      <w:r>
        <w:t>18.1.1</w:t>
      </w:r>
      <w:r>
        <w:fldChar w:fldCharType="end"/>
      </w:r>
      <w:r>
        <w:t>条款的</w:t>
      </w:r>
      <w:r>
        <w:rPr>
          <w:rFonts w:hint="eastAsia"/>
        </w:rPr>
        <w:t>约</w:t>
      </w:r>
      <w:r>
        <w:t>定并不妨碍甲方与中国其他的政府部门或机构或具有行政管理职能的机构合并、分立或职能转移，条件是合并、分立或职能转移后的政府部门或机构：</w:t>
      </w:r>
    </w:p>
    <w:p>
      <w:pPr>
        <w:pStyle w:val="219"/>
        <w:spacing w:after="72"/>
      </w:pPr>
      <w:r>
        <w:t>具有承担甲方在本合同项下所承担的所有权利、义务和责任的能力和授权</w:t>
      </w:r>
    </w:p>
    <w:p>
      <w:pPr>
        <w:pStyle w:val="219"/>
        <w:spacing w:after="72"/>
      </w:pPr>
      <w:r>
        <w:t>接受并完全承担甲方在本合同项下义务的履行。</w:t>
      </w:r>
    </w:p>
    <w:p>
      <w:pPr>
        <w:pStyle w:val="213"/>
        <w:spacing w:after="120"/>
        <w:rPr>
          <w:rFonts w:ascii="Times New Roman" w:hAnsi="Times New Roman"/>
          <w:b/>
        </w:rPr>
      </w:pPr>
      <w:bookmarkStart w:id="669" w:name="_Toc118882708"/>
      <w:r>
        <w:rPr>
          <w:rFonts w:hint="eastAsia" w:ascii="Times New Roman" w:hAnsi="Times New Roman"/>
          <w:b/>
        </w:rPr>
        <w:t>乙方资产的转让和担保</w:t>
      </w:r>
      <w:bookmarkEnd w:id="669"/>
      <w:r>
        <w:rPr>
          <w:rFonts w:hint="eastAsia"/>
          <w:b/>
        </w:rPr>
        <w:t>★</w:t>
      </w:r>
    </w:p>
    <w:p>
      <w:pPr>
        <w:pStyle w:val="214"/>
        <w:spacing w:after="72"/>
      </w:pPr>
      <w:r>
        <w:t>在本项目合作期内未经甲方事先书面同意，乙方不得转让其用于项目的土地使用权、项目设施或任何其它重要资产（按照本合同移交给甲方或市政府指定的其他机构的资产除外）。</w:t>
      </w:r>
    </w:p>
    <w:p>
      <w:pPr>
        <w:pStyle w:val="214"/>
        <w:spacing w:after="72"/>
      </w:pPr>
      <w:bookmarkStart w:id="670" w:name="_项目公司在偿还建设期贷款后，不得将土地使用权、项目设施或其他重要资产用于抵押或"/>
      <w:bookmarkEnd w:id="670"/>
      <w:bookmarkStart w:id="671" w:name="_为项目融资的目的，项目公司经市公用局事先书面同意，可以项目设施为贷款人的利益设"/>
      <w:bookmarkEnd w:id="671"/>
      <w:r>
        <w:t>在本项目合作期内未经甲方事先书面同意，乙方不得以任何理由将项目设施进行融资抵押。</w:t>
      </w:r>
    </w:p>
    <w:p>
      <w:pPr>
        <w:pStyle w:val="214"/>
        <w:spacing w:after="72"/>
      </w:pPr>
      <w:r>
        <w:t>未经甲方事先书面同意，本合同项下经营权不得转让、出租、抵押或设定其他担保。未经甲方书面同意，乙方不得将在本合同或与本项目有关的其他协议项下的权利转让、出租、抵押、质押或设定其它担保。未经甲方书面同意，乙方也不得为其他主体进行担保。</w:t>
      </w:r>
    </w:p>
    <w:p>
      <w:pPr>
        <w:pStyle w:val="214"/>
        <w:spacing w:after="72"/>
      </w:pPr>
      <w:r>
        <w:t>乙方为筹措项目工程建设资金，可以将本项目依经营权而享有的收益权（包括但不限于商业设施部分收费权）进行抵押或质押，但这种抵押或质押只能用于本项目且融资期限最长不应超过本项目合作期限。上述抵押或质押应事先征得甲方的书面同意，相应的融资文件应得到甲方的批准。</w:t>
      </w:r>
    </w:p>
    <w:p>
      <w:pPr>
        <w:pStyle w:val="213"/>
        <w:spacing w:after="120"/>
        <w:rPr>
          <w:rFonts w:ascii="Times New Roman" w:hAnsi="Times New Roman"/>
          <w:b/>
        </w:rPr>
      </w:pPr>
      <w:r>
        <w:rPr>
          <w:rFonts w:hint="eastAsia" w:ascii="Times New Roman" w:hAnsi="Times New Roman"/>
          <w:b/>
        </w:rPr>
        <w:t>股权转让的限制</w:t>
      </w:r>
      <w:r>
        <w:rPr>
          <w:rFonts w:hint="eastAsia"/>
          <w:b/>
        </w:rPr>
        <w:t>★</w:t>
      </w:r>
    </w:p>
    <w:p>
      <w:pPr>
        <w:pStyle w:val="214"/>
        <w:spacing w:after="72"/>
      </w:pPr>
      <w:r>
        <w:t>在生效日起三（3）年内，乙方股东不得转让其持有的乙方全部或部分股权。</w:t>
      </w:r>
    </w:p>
    <w:p>
      <w:pPr>
        <w:pStyle w:val="214"/>
        <w:spacing w:after="72"/>
      </w:pPr>
      <w:r>
        <w:rPr>
          <w:rFonts w:hint="eastAsia"/>
        </w:rPr>
        <w:t>自本合同生效</w:t>
      </w:r>
      <w:r>
        <w:t>三（3）年以后，经甲方书面同意，乙方股东可以向符合本合同约定、符合适用法律条件的受让方转让其持有的全部或部分股权。</w:t>
      </w:r>
    </w:p>
    <w:p>
      <w:pPr>
        <w:pStyle w:val="214"/>
        <w:spacing w:after="72"/>
      </w:pPr>
      <w:r>
        <w:t>股权受让方应具备的条件</w:t>
      </w:r>
    </w:p>
    <w:p>
      <w:pPr>
        <w:pStyle w:val="219"/>
        <w:spacing w:after="72"/>
      </w:pPr>
      <w:r>
        <w:t>股权受让方财务状况应优于乙方在生效日时的状况；</w:t>
      </w:r>
    </w:p>
    <w:p>
      <w:pPr>
        <w:pStyle w:val="219"/>
        <w:spacing w:after="72"/>
      </w:pPr>
      <w:r>
        <w:t>转让后的股东应具备投资建设、运营和维护与本项目类似规模的市政公用项目的经验。</w:t>
      </w:r>
    </w:p>
    <w:p>
      <w:pPr>
        <w:pStyle w:val="214"/>
        <w:spacing w:after="72"/>
      </w:pPr>
      <w:r>
        <w:t>除非双方另行协商，控股股东在本项目合作期内不得转让股权。</w:t>
      </w:r>
    </w:p>
    <w:p>
      <w:pPr>
        <w:pStyle w:val="214"/>
        <w:spacing w:after="72"/>
      </w:pPr>
      <w:r>
        <w:t>股权受让方应出具书面声明，表明其已经完全理解并接受本合同全部条款约定的内容。</w:t>
      </w:r>
    </w:p>
    <w:p>
      <w:pPr>
        <w:pStyle w:val="214"/>
        <w:spacing w:after="72"/>
      </w:pPr>
      <w:r>
        <w:t>在股权转让期间，乙方应维持其业务的正常经营，乙方任何一方股东不得故意阻碍乙方正常经营。</w:t>
      </w:r>
    </w:p>
    <w:p>
      <w:pPr>
        <w:pStyle w:val="214"/>
        <w:spacing w:after="72"/>
      </w:pPr>
      <w:r>
        <w:t>乙方应在其公司章程及股权证明中作出适当的规定，以确保有意购买股权的第三人及有关政府部门能够充分了解本合同对于乙方股权转让设定的限制性条件，乙方章程的修改应报甲方认可。</w:t>
      </w:r>
    </w:p>
    <w:p>
      <w:pPr>
        <w:pStyle w:val="214"/>
        <w:spacing w:after="72"/>
      </w:pPr>
      <w:r>
        <w:t>股权转让应按法律、法规的规定履行批准手续</w:t>
      </w:r>
    </w:p>
    <w:p>
      <w:pPr>
        <w:pStyle w:val="219"/>
        <w:spacing w:after="72"/>
      </w:pPr>
      <w:r>
        <w:t>乙方股东拟转让其全部或部分股权，甲方或甲方指定的机构具有优先购买权，拟转让的股东应以相同的条件向甲方发出同样的要约。</w:t>
      </w:r>
    </w:p>
    <w:p>
      <w:pPr>
        <w:pStyle w:val="219"/>
        <w:spacing w:after="72"/>
      </w:pPr>
      <w:r>
        <w:t>在要约发出后的一（1）个月内，甲方或甲方指定的机构有权行使优先购买权。</w:t>
      </w:r>
    </w:p>
    <w:p>
      <w:pPr>
        <w:pStyle w:val="219"/>
        <w:spacing w:after="72"/>
      </w:pPr>
      <w:r>
        <w:t>如果甲方在收到转让方关于同意转让给第三方的书面请求后的十（10）日内没有拒绝或者作出回应，则应视为甲方已经同意本次转让并放弃优先购买权。</w:t>
      </w:r>
    </w:p>
    <w:p>
      <w:pPr>
        <w:pStyle w:val="214"/>
        <w:spacing w:after="72"/>
      </w:pPr>
      <w:r>
        <w:t>乙方股东不得将其所持有的乙方股权用于担保。</w:t>
      </w:r>
    </w:p>
    <w:p>
      <w:pPr>
        <w:pStyle w:val="212"/>
        <w:spacing w:before="360" w:after="120" w:line="360" w:lineRule="auto"/>
        <w:rPr>
          <w:rFonts w:eastAsia="宋体"/>
          <w:b/>
        </w:rPr>
      </w:pPr>
      <w:bookmarkStart w:id="672" w:name="_Toc448848627"/>
      <w:bookmarkEnd w:id="672"/>
      <w:bookmarkStart w:id="673" w:name="_Toc448848969"/>
      <w:bookmarkEnd w:id="673"/>
      <w:bookmarkStart w:id="674" w:name="_Toc448849277"/>
      <w:bookmarkEnd w:id="674"/>
      <w:bookmarkStart w:id="675" w:name="_Toc534891122"/>
      <w:bookmarkStart w:id="676" w:name="_Ref448873391"/>
      <w:bookmarkStart w:id="677" w:name="_Toc417373163"/>
      <w:bookmarkStart w:id="678" w:name="_Toc448060830"/>
      <w:bookmarkStart w:id="679" w:name="_Toc417325880"/>
      <w:r>
        <w:rPr>
          <w:rFonts w:eastAsia="宋体"/>
          <w:b/>
        </w:rPr>
        <w:t>一般补偿</w:t>
      </w:r>
      <w:bookmarkEnd w:id="675"/>
      <w:bookmarkEnd w:id="676"/>
    </w:p>
    <w:p>
      <w:pPr>
        <w:pStyle w:val="213"/>
        <w:spacing w:after="120"/>
        <w:rPr>
          <w:rFonts w:ascii="Times New Roman" w:hAnsi="Times New Roman"/>
        </w:rPr>
      </w:pPr>
      <w:bookmarkStart w:id="680" w:name="_Ref448873355"/>
      <w:r>
        <w:rPr>
          <w:rFonts w:ascii="Times New Roman" w:hAnsi="Times New Roman"/>
        </w:rPr>
        <w:t>获得一般补偿的权利</w:t>
      </w:r>
      <w:bookmarkEnd w:id="680"/>
    </w:p>
    <w:p>
      <w:pPr>
        <w:pStyle w:val="218"/>
        <w:spacing w:afterLines="50"/>
      </w:pPr>
      <w:r>
        <w:t>本项目合作期内，如发生下述事件（下称“一般补偿事件”），但双方仍希望继续履行本合同，经谈判达成一致后，甲方对乙方进行补偿：</w:t>
      </w:r>
    </w:p>
    <w:p>
      <w:pPr>
        <w:pStyle w:val="214"/>
        <w:spacing w:after="72"/>
      </w:pPr>
      <w:bookmarkStart w:id="681" w:name="_Hlk493152646"/>
      <w:r>
        <w:t>发生第</w:t>
      </w:r>
      <w:r>
        <w:fldChar w:fldCharType="begin"/>
      </w:r>
      <w:r>
        <w:instrText xml:space="preserve"> REF _Ref448872587 \r \h  \* MERGEFORMAT </w:instrText>
      </w:r>
      <w:r>
        <w:fldChar w:fldCharType="separate"/>
      </w:r>
      <w:r>
        <w:t>16.1</w:t>
      </w:r>
      <w:r>
        <w:fldChar w:fldCharType="end"/>
      </w:r>
      <w:r>
        <w:t>条款项下不可抗力事件，导致乙方运营维护成本或项目总投资额增加；</w:t>
      </w:r>
    </w:p>
    <w:p>
      <w:pPr>
        <w:pStyle w:val="214"/>
        <w:spacing w:after="72"/>
      </w:pPr>
      <w:r>
        <w:t>在本项目建设期内，因甲方的要求导致乙方建设成本或资本性支出增加的情况；</w:t>
      </w:r>
    </w:p>
    <w:p>
      <w:pPr>
        <w:pStyle w:val="214"/>
        <w:spacing w:after="72"/>
      </w:pPr>
      <w:r>
        <w:t>污水进水水质或水量超过污水厂设计处理能力；</w:t>
      </w:r>
    </w:p>
    <w:p>
      <w:pPr>
        <w:pStyle w:val="214"/>
        <w:spacing w:after="72"/>
      </w:pPr>
      <w:r>
        <w:t>污水出水标准提高，导致乙方年经营成本或年资本性支出增加；</w:t>
      </w:r>
    </w:p>
    <w:p>
      <w:pPr>
        <w:pStyle w:val="214"/>
        <w:spacing w:after="72"/>
      </w:pPr>
      <w:r>
        <w:t>为了维护公共利益和安全，甲方由于紧急事件而介入，暂代乙方运营和维护项目设施，造成乙方的损失、支出或费用；但是，乙方违约导致甲方介入的除外；</w:t>
      </w:r>
    </w:p>
    <w:p>
      <w:pPr>
        <w:pStyle w:val="214"/>
        <w:spacing w:after="72"/>
      </w:pPr>
      <w:r>
        <w:t>双方约定的其他事项。</w:t>
      </w:r>
      <w:bookmarkEnd w:id="681"/>
    </w:p>
    <w:p>
      <w:pPr>
        <w:pStyle w:val="213"/>
        <w:spacing w:after="120"/>
        <w:rPr>
          <w:rFonts w:ascii="Times New Roman" w:hAnsi="Times New Roman"/>
        </w:rPr>
      </w:pPr>
      <w:r>
        <w:rPr>
          <w:rFonts w:ascii="Times New Roman" w:hAnsi="Times New Roman"/>
        </w:rPr>
        <w:t>补偿形式</w:t>
      </w:r>
    </w:p>
    <w:p>
      <w:pPr>
        <w:pStyle w:val="218"/>
        <w:spacing w:afterLines="50"/>
      </w:pPr>
      <w:r>
        <w:t>甲方可自行选择采用以下一种或多种补偿方式的组合：</w:t>
      </w:r>
    </w:p>
    <w:p>
      <w:pPr>
        <w:pStyle w:val="214"/>
        <w:spacing w:after="72"/>
      </w:pPr>
      <w:r>
        <w:t>一次性现金补偿。</w:t>
      </w:r>
    </w:p>
    <w:p>
      <w:pPr>
        <w:pStyle w:val="214"/>
        <w:spacing w:after="72"/>
      </w:pPr>
      <w:r>
        <w:t>调整污水处理服务费</w:t>
      </w:r>
      <w:r>
        <w:rPr>
          <w:rFonts w:hint="eastAsia"/>
        </w:rPr>
        <w:t>单价</w:t>
      </w:r>
      <w:r>
        <w:t>。</w:t>
      </w:r>
    </w:p>
    <w:p>
      <w:pPr>
        <w:pStyle w:val="214"/>
        <w:spacing w:after="72"/>
      </w:pPr>
      <w:bookmarkStart w:id="682" w:name="_Ref147763409"/>
      <w:r>
        <w:t>在符合适用法律规定的前提下延长合作期。</w:t>
      </w:r>
      <w:bookmarkEnd w:id="682"/>
    </w:p>
    <w:p>
      <w:pPr>
        <w:pStyle w:val="213"/>
        <w:spacing w:after="120"/>
        <w:rPr>
          <w:rFonts w:ascii="Times New Roman" w:hAnsi="Times New Roman"/>
        </w:rPr>
      </w:pPr>
      <w:r>
        <w:rPr>
          <w:rFonts w:ascii="Times New Roman" w:hAnsi="Times New Roman"/>
        </w:rPr>
        <w:t>以其他方式已补偿的损失</w:t>
      </w:r>
    </w:p>
    <w:p>
      <w:pPr>
        <w:pStyle w:val="218"/>
        <w:spacing w:after="72"/>
      </w:pPr>
      <w:r>
        <w:t>就乙方因一般补偿事件而发生的损失、损害或责任（包括增加的运营成本或资本性支出），甲方没有义务对乙方已从下列途径另行获取补偿或抵销的损失部分提供补偿：</w:t>
      </w:r>
    </w:p>
    <w:p>
      <w:pPr>
        <w:pStyle w:val="214"/>
        <w:spacing w:after="72"/>
      </w:pPr>
      <w:r>
        <w:t>乙方有权获得的保险赔款（包括认定保险赔款）。</w:t>
      </w:r>
    </w:p>
    <w:p>
      <w:pPr>
        <w:pStyle w:val="214"/>
        <w:spacing w:after="72"/>
      </w:pPr>
      <w:r>
        <w:t>乙方已从其他途径（通过其股东投资或股东提供其它融资的除外）获得补偿。</w:t>
      </w:r>
    </w:p>
    <w:p>
      <w:pPr>
        <w:pStyle w:val="214"/>
        <w:spacing w:after="72"/>
      </w:pPr>
      <w:r>
        <w:t>甲方按照本合同其他</w:t>
      </w:r>
      <w:r>
        <w:rPr>
          <w:rFonts w:hint="eastAsia"/>
        </w:rPr>
        <w:t>约</w:t>
      </w:r>
      <w:r>
        <w:t>定或以其他方式提供补偿。</w:t>
      </w:r>
    </w:p>
    <w:p>
      <w:pPr>
        <w:pStyle w:val="214"/>
        <w:spacing w:after="72"/>
      </w:pPr>
      <w:r>
        <w:t>在生效日后，中国立法机关或任何政府部门颁布、修改、废除或重新解释任何适用法律使乙方的资本性支出或运营成本减少或以其它方式补偿了乙方。</w:t>
      </w:r>
    </w:p>
    <w:p>
      <w:pPr>
        <w:pStyle w:val="213"/>
        <w:spacing w:after="120"/>
        <w:rPr>
          <w:rFonts w:ascii="Times New Roman" w:hAnsi="Times New Roman"/>
        </w:rPr>
      </w:pPr>
      <w:r>
        <w:rPr>
          <w:rFonts w:ascii="Times New Roman" w:hAnsi="Times New Roman"/>
        </w:rPr>
        <w:t>补偿通知</w:t>
      </w:r>
    </w:p>
    <w:p>
      <w:pPr>
        <w:pStyle w:val="218"/>
        <w:spacing w:after="72"/>
      </w:pPr>
      <w:r>
        <w:t>当按照上述第</w:t>
      </w:r>
      <w:r>
        <w:fldChar w:fldCharType="begin"/>
      </w:r>
      <w:r>
        <w:instrText xml:space="preserve"> REF _Ref448873355 \r \h  \* MERGEFORMAT </w:instrText>
      </w:r>
      <w:r>
        <w:fldChar w:fldCharType="separate"/>
      </w:r>
      <w:r>
        <w:t>19.1</w:t>
      </w:r>
      <w:r>
        <w:fldChar w:fldCharType="end"/>
      </w:r>
      <w:r>
        <w:t>条款约定而使乙方有权获得补偿时，乙方应书面通知甲方补偿事件的发生及其可能之影响，包括有关损失的性质和估计数额（下称“补偿通知”）。</w:t>
      </w:r>
    </w:p>
    <w:p>
      <w:pPr>
        <w:pStyle w:val="213"/>
        <w:spacing w:after="120"/>
        <w:rPr>
          <w:rFonts w:ascii="Times New Roman" w:hAnsi="Times New Roman"/>
        </w:rPr>
      </w:pPr>
      <w:r>
        <w:rPr>
          <w:rFonts w:ascii="Times New Roman" w:hAnsi="Times New Roman"/>
        </w:rPr>
        <w:t>谈判期</w:t>
      </w:r>
    </w:p>
    <w:p>
      <w:pPr>
        <w:pStyle w:val="214"/>
        <w:spacing w:after="72"/>
      </w:pPr>
      <w:r>
        <w:t>甲方收到补偿通知后五（5）个工作日内，双方应进行谈判，就补偿的形式、数额及时间等相关事宜进行谈判。</w:t>
      </w:r>
    </w:p>
    <w:p>
      <w:pPr>
        <w:pStyle w:val="214"/>
        <w:spacing w:after="72"/>
      </w:pPr>
      <w:r>
        <w:t>若在补偿通知发出后三十（30）日内双方未能就补偿达成一致，则按照本合同</w:t>
      </w:r>
      <w:r>
        <w:fldChar w:fldCharType="begin"/>
      </w:r>
      <w:r>
        <w:instrText xml:space="preserve"> REF _Ref449094741 \r \h  \* MERGEFORMAT </w:instrText>
      </w:r>
      <w:r>
        <w:fldChar w:fldCharType="separate"/>
      </w:r>
      <w:r>
        <w:rPr>
          <w:rFonts w:hint="eastAsia"/>
        </w:rPr>
        <w:t>第22条</w:t>
      </w:r>
      <w:r>
        <w:rPr>
          <w:rFonts w:hint="eastAsia"/>
        </w:rPr>
        <w:fldChar w:fldCharType="end"/>
      </w:r>
      <w:r>
        <w:t>款的</w:t>
      </w:r>
      <w:r>
        <w:rPr>
          <w:rFonts w:hint="eastAsia"/>
        </w:rPr>
        <w:t>约</w:t>
      </w:r>
      <w:r>
        <w:t>定解决。</w:t>
      </w:r>
    </w:p>
    <w:p>
      <w:pPr>
        <w:pStyle w:val="214"/>
        <w:spacing w:after="72"/>
      </w:pPr>
      <w:r>
        <w:t>谈判期间及争议解决期间，乙方不应中止项目设施的正常运营维护。</w:t>
      </w:r>
    </w:p>
    <w:p>
      <w:pPr>
        <w:pStyle w:val="213"/>
        <w:spacing w:after="120"/>
        <w:rPr>
          <w:rFonts w:ascii="Times New Roman" w:hAnsi="Times New Roman"/>
        </w:rPr>
      </w:pPr>
      <w:r>
        <w:rPr>
          <w:rFonts w:ascii="Times New Roman" w:hAnsi="Times New Roman"/>
        </w:rPr>
        <w:t>对责任的限制</w:t>
      </w:r>
    </w:p>
    <w:p>
      <w:pPr>
        <w:pStyle w:val="218"/>
        <w:spacing w:after="72"/>
      </w:pPr>
      <w:r>
        <w:t>乙方同意，如果甲方按照</w:t>
      </w:r>
      <w:r>
        <w:fldChar w:fldCharType="begin"/>
      </w:r>
      <w:r>
        <w:instrText xml:space="preserve"> REF _Ref448873391 \r \h  \* MERGEFORMAT </w:instrText>
      </w:r>
      <w:r>
        <w:fldChar w:fldCharType="separate"/>
      </w:r>
      <w:r>
        <w:rPr>
          <w:rFonts w:hint="eastAsia"/>
        </w:rPr>
        <w:t>第19条</w:t>
      </w:r>
      <w:r>
        <w:rPr>
          <w:rFonts w:hint="eastAsia"/>
        </w:rPr>
        <w:fldChar w:fldCharType="end"/>
      </w:r>
      <w:r>
        <w:t>的</w:t>
      </w:r>
      <w:r>
        <w:rPr>
          <w:rFonts w:hint="eastAsia"/>
        </w:rPr>
        <w:t>约</w:t>
      </w:r>
      <w:r>
        <w:t>定提供补偿，甲方对乙方不再承担有关补偿事件的任何其它责任。</w:t>
      </w:r>
    </w:p>
    <w:p>
      <w:pPr>
        <w:pStyle w:val="212"/>
        <w:spacing w:before="360" w:after="120" w:line="360" w:lineRule="auto"/>
        <w:rPr>
          <w:rFonts w:eastAsia="宋体"/>
          <w:b/>
        </w:rPr>
      </w:pPr>
      <w:bookmarkStart w:id="683" w:name="_Toc534891123"/>
      <w:r>
        <w:rPr>
          <w:rFonts w:eastAsia="宋体"/>
          <w:b/>
        </w:rPr>
        <w:t>守法义务及法律变更</w:t>
      </w:r>
      <w:bookmarkEnd w:id="677"/>
      <w:bookmarkEnd w:id="678"/>
      <w:bookmarkEnd w:id="679"/>
      <w:bookmarkEnd w:id="683"/>
    </w:p>
    <w:p>
      <w:pPr>
        <w:pStyle w:val="213"/>
        <w:spacing w:after="120"/>
        <w:rPr>
          <w:rFonts w:ascii="Times New Roman" w:hAnsi="Times New Roman"/>
        </w:rPr>
      </w:pPr>
      <w:bookmarkStart w:id="684" w:name="_Toc417373164"/>
      <w:r>
        <w:rPr>
          <w:rFonts w:ascii="Times New Roman" w:hAnsi="Times New Roman"/>
        </w:rPr>
        <w:t>守法义务</w:t>
      </w:r>
      <w:bookmarkEnd w:id="684"/>
    </w:p>
    <w:p>
      <w:pPr>
        <w:pStyle w:val="215"/>
        <w:spacing w:after="120" w:line="360" w:lineRule="auto"/>
        <w:ind w:left="496" w:leftChars="236" w:firstLine="0"/>
      </w:pPr>
      <w:r>
        <w:t>甲乙双方应遵守中国法律、法规、规章和政府部门颁布的所有技术标准、技术规范以及所有其他适用的强制性要求。</w:t>
      </w:r>
    </w:p>
    <w:p>
      <w:pPr>
        <w:pStyle w:val="213"/>
        <w:spacing w:after="120"/>
        <w:rPr>
          <w:rFonts w:ascii="Times New Roman" w:hAnsi="Times New Roman"/>
        </w:rPr>
      </w:pPr>
      <w:bookmarkStart w:id="685" w:name="_Ref469557668"/>
      <w:bookmarkStart w:id="686" w:name="_Toc417373165"/>
      <w:r>
        <w:rPr>
          <w:rFonts w:ascii="Times New Roman" w:hAnsi="Times New Roman"/>
        </w:rPr>
        <w:t>法律的变更</w:t>
      </w:r>
      <w:bookmarkEnd w:id="685"/>
      <w:bookmarkEnd w:id="686"/>
    </w:p>
    <w:p>
      <w:pPr>
        <w:pStyle w:val="215"/>
        <w:spacing w:after="120" w:line="360" w:lineRule="auto"/>
        <w:ind w:left="496" w:leftChars="236" w:firstLine="0"/>
      </w:pPr>
      <w:r>
        <w:t>本合同生效后，如相关的新法律法规的发布或者法律法规的修订导致资本性支出或运营维护成本发生重大变化时，双方应根据新法律规范或修订后的法律规范，变更本合同或解除本合同。</w:t>
      </w:r>
    </w:p>
    <w:p>
      <w:pPr>
        <w:pStyle w:val="214"/>
        <w:spacing w:after="72"/>
      </w:pPr>
      <w:r>
        <w:t>法律变更评估与报告</w:t>
      </w:r>
    </w:p>
    <w:p>
      <w:pPr>
        <w:pStyle w:val="219"/>
        <w:spacing w:after="72"/>
      </w:pPr>
      <w:r>
        <w:t>在发生法律变更使乙方不能全部或部分履行其本合同项下的义务时，乙方应对该影响或情况进行评估，并向甲方提出报告（报告应列明该等法律变更对乙方履行本合同项下义务（包括本项目建设期和本项目运营期）产生的影响），甲方应对该报告出具审核意见，经甲方审核同意后，乙方可在法律变更对该项义务的履行产生影响的期间内根据甲方合理做出的审核意见中止或免除履行受法律变更影响而不能履行的相关义务，并执行审核意见中确定的其它内容。</w:t>
      </w:r>
    </w:p>
    <w:p>
      <w:pPr>
        <w:pStyle w:val="219"/>
        <w:spacing w:after="72"/>
      </w:pPr>
      <w:r>
        <w:t>在发生法律变更使甲方不能全部或部分履行其本合同项下的义务（包括遵守关键工期的义务）时，由甲方和乙方各方对法律变更的影响进行协商，经各方协商一致后，甲方可在法律变更对其义务的履行产生影响的期间内根据各方协商一致的意见中止或免除履行受法律变更影响而不能履行的相关义务，并执行各方协商一致的意见中所确定的其它内容。</w:t>
      </w:r>
    </w:p>
    <w:p>
      <w:pPr>
        <w:pStyle w:val="214"/>
        <w:spacing w:after="72"/>
      </w:pPr>
      <w:bookmarkStart w:id="687" w:name="_Hlk493156225"/>
      <w:r>
        <w:t>法律变更的后果</w:t>
      </w:r>
    </w:p>
    <w:p>
      <w:pPr>
        <w:pStyle w:val="219"/>
        <w:spacing w:after="72"/>
      </w:pPr>
      <w:r>
        <w:t>在建设期间，如果因发生法律变更导致项目总投资增加或本项目竣工时间延误，乙方有权要求甲方将增加的资本性支出计入项目总投资并要求延长建设期。</w:t>
      </w:r>
    </w:p>
    <w:p>
      <w:pPr>
        <w:pStyle w:val="219"/>
        <w:spacing w:after="72"/>
      </w:pPr>
      <w:r>
        <w:t>在本项目运营期间，如果因发生法律变更导致乙方运营维护成本增加，乙方有权要求甲方支付一般补偿。</w:t>
      </w:r>
      <w:bookmarkEnd w:id="687"/>
    </w:p>
    <w:p>
      <w:pPr>
        <w:pStyle w:val="212"/>
        <w:spacing w:before="360" w:after="120" w:line="360" w:lineRule="auto"/>
        <w:rPr>
          <w:rFonts w:eastAsia="宋体"/>
          <w:b/>
        </w:rPr>
      </w:pPr>
      <w:bookmarkStart w:id="688" w:name="_Toc448849299"/>
      <w:bookmarkEnd w:id="688"/>
      <w:bookmarkStart w:id="689" w:name="_Toc448848991"/>
      <w:bookmarkEnd w:id="689"/>
      <w:bookmarkStart w:id="690" w:name="_Toc448848649"/>
      <w:bookmarkEnd w:id="690"/>
      <w:bookmarkStart w:id="691" w:name="_Toc448849298"/>
      <w:bookmarkEnd w:id="691"/>
      <w:bookmarkStart w:id="692" w:name="_Toc448848990"/>
      <w:bookmarkEnd w:id="692"/>
      <w:bookmarkStart w:id="693" w:name="_Toc448848983"/>
      <w:bookmarkEnd w:id="693"/>
      <w:bookmarkStart w:id="694" w:name="_Toc448848641"/>
      <w:bookmarkEnd w:id="694"/>
      <w:bookmarkStart w:id="695" w:name="_Toc448849030"/>
      <w:bookmarkEnd w:id="695"/>
      <w:bookmarkStart w:id="696" w:name="_Toc448848688"/>
      <w:bookmarkEnd w:id="696"/>
      <w:bookmarkStart w:id="697" w:name="_Toc448849337"/>
      <w:bookmarkEnd w:id="697"/>
      <w:bookmarkStart w:id="698" w:name="_Toc448849029"/>
      <w:bookmarkEnd w:id="698"/>
      <w:bookmarkStart w:id="699" w:name="_Toc448848994"/>
      <w:bookmarkEnd w:id="699"/>
      <w:bookmarkStart w:id="700" w:name="_Toc448848652"/>
      <w:bookmarkEnd w:id="700"/>
      <w:bookmarkStart w:id="701" w:name="_Toc448849447"/>
      <w:bookmarkEnd w:id="701"/>
      <w:bookmarkStart w:id="702" w:name="_Toc448848798"/>
      <w:bookmarkEnd w:id="702"/>
      <w:bookmarkStart w:id="703" w:name="_Toc448849367"/>
      <w:bookmarkEnd w:id="703"/>
      <w:bookmarkStart w:id="704" w:name="_Toc448849449"/>
      <w:bookmarkEnd w:id="704"/>
      <w:bookmarkStart w:id="705" w:name="_Toc448849444"/>
      <w:bookmarkEnd w:id="705"/>
      <w:bookmarkStart w:id="706" w:name="_Toc448849489"/>
      <w:bookmarkEnd w:id="706"/>
      <w:bookmarkStart w:id="707" w:name="_Toc448849487"/>
      <w:bookmarkEnd w:id="707"/>
      <w:bookmarkStart w:id="708" w:name="_Toc448848631"/>
      <w:bookmarkEnd w:id="708"/>
      <w:bookmarkStart w:id="709" w:name="_Toc448849300"/>
      <w:bookmarkEnd w:id="709"/>
      <w:bookmarkStart w:id="710" w:name="_Toc448849003"/>
      <w:bookmarkEnd w:id="710"/>
      <w:bookmarkStart w:id="711" w:name="_Toc448849019"/>
      <w:bookmarkEnd w:id="711"/>
      <w:bookmarkStart w:id="712" w:name="_Toc448849033"/>
      <w:bookmarkEnd w:id="712"/>
      <w:bookmarkStart w:id="713" w:name="_Toc448849059"/>
      <w:bookmarkEnd w:id="713"/>
      <w:bookmarkStart w:id="714" w:name="_Toc448849431"/>
      <w:bookmarkEnd w:id="714"/>
      <w:bookmarkStart w:id="715" w:name="_Toc448849140"/>
      <w:bookmarkEnd w:id="715"/>
      <w:bookmarkStart w:id="716" w:name="_Toc448848650"/>
      <w:bookmarkEnd w:id="716"/>
      <w:bookmarkStart w:id="717" w:name="_Toc448848992"/>
      <w:bookmarkEnd w:id="717"/>
      <w:bookmarkStart w:id="718" w:name="_Toc448848993"/>
      <w:bookmarkEnd w:id="718"/>
      <w:bookmarkStart w:id="719" w:name="_Toc448849301"/>
      <w:bookmarkEnd w:id="719"/>
      <w:bookmarkStart w:id="720" w:name="_Toc448849307"/>
      <w:bookmarkEnd w:id="720"/>
      <w:bookmarkStart w:id="721" w:name="_Toc448848999"/>
      <w:bookmarkEnd w:id="721"/>
      <w:bookmarkStart w:id="722" w:name="_Toc448848996"/>
      <w:bookmarkEnd w:id="722"/>
      <w:bookmarkStart w:id="723" w:name="_Toc448848651"/>
      <w:bookmarkEnd w:id="723"/>
      <w:bookmarkStart w:id="724" w:name="_Toc448848972"/>
      <w:bookmarkEnd w:id="724"/>
      <w:bookmarkStart w:id="725" w:name="_Toc448848630"/>
      <w:bookmarkEnd w:id="725"/>
      <w:bookmarkStart w:id="726" w:name="_Toc448849281"/>
      <w:bookmarkEnd w:id="726"/>
      <w:bookmarkStart w:id="727" w:name="_Toc448849280"/>
      <w:bookmarkEnd w:id="727"/>
      <w:bookmarkStart w:id="728" w:name="_Toc448848974"/>
      <w:bookmarkEnd w:id="728"/>
      <w:bookmarkStart w:id="729" w:name="_Toc448848632"/>
      <w:bookmarkEnd w:id="729"/>
      <w:bookmarkStart w:id="730" w:name="_Toc448848995"/>
      <w:bookmarkEnd w:id="730"/>
      <w:bookmarkStart w:id="731" w:name="_Toc448849282"/>
      <w:bookmarkEnd w:id="731"/>
      <w:bookmarkStart w:id="732" w:name="_Toc448849304"/>
      <w:bookmarkEnd w:id="732"/>
      <w:bookmarkStart w:id="733" w:name="_Toc448848633"/>
      <w:bookmarkEnd w:id="733"/>
      <w:bookmarkStart w:id="734" w:name="_Toc448848973"/>
      <w:bookmarkEnd w:id="734"/>
      <w:bookmarkStart w:id="735" w:name="_Toc448848653"/>
      <w:bookmarkEnd w:id="735"/>
      <w:bookmarkStart w:id="736" w:name="_Toc448849283"/>
      <w:bookmarkEnd w:id="736"/>
      <w:bookmarkStart w:id="737" w:name="_Toc448848975"/>
      <w:bookmarkEnd w:id="737"/>
      <w:bookmarkStart w:id="738" w:name="_Toc448848976"/>
      <w:bookmarkEnd w:id="738"/>
      <w:bookmarkStart w:id="739" w:name="_Toc448848634"/>
      <w:bookmarkEnd w:id="739"/>
      <w:bookmarkStart w:id="740" w:name="_Toc448849303"/>
      <w:bookmarkEnd w:id="740"/>
      <w:bookmarkStart w:id="741" w:name="_Toc448848978"/>
      <w:bookmarkEnd w:id="741"/>
      <w:bookmarkStart w:id="742" w:name="_Toc448848636"/>
      <w:bookmarkEnd w:id="742"/>
      <w:bookmarkStart w:id="743" w:name="_Toc448848654"/>
      <w:bookmarkEnd w:id="743"/>
      <w:bookmarkStart w:id="744" w:name="_Toc448848637"/>
      <w:bookmarkEnd w:id="744"/>
      <w:bookmarkStart w:id="745" w:name="_Toc448849286"/>
      <w:bookmarkEnd w:id="745"/>
      <w:bookmarkStart w:id="746" w:name="_Toc448848655"/>
      <w:bookmarkEnd w:id="746"/>
      <w:bookmarkStart w:id="747" w:name="_Toc448849287"/>
      <w:bookmarkEnd w:id="747"/>
      <w:bookmarkStart w:id="748" w:name="_Toc448848979"/>
      <w:bookmarkEnd w:id="748"/>
      <w:bookmarkStart w:id="749" w:name="_Toc448849306"/>
      <w:bookmarkEnd w:id="749"/>
      <w:bookmarkStart w:id="750" w:name="_Toc448848980"/>
      <w:bookmarkEnd w:id="750"/>
      <w:bookmarkStart w:id="751" w:name="_Toc448848638"/>
      <w:bookmarkEnd w:id="751"/>
      <w:bookmarkStart w:id="752" w:name="_Toc448848657"/>
      <w:bookmarkEnd w:id="752"/>
      <w:bookmarkStart w:id="753" w:name="_Toc448848639"/>
      <w:bookmarkEnd w:id="753"/>
      <w:bookmarkStart w:id="754" w:name="_Toc448849288"/>
      <w:bookmarkEnd w:id="754"/>
      <w:bookmarkStart w:id="755" w:name="_Toc448849302"/>
      <w:bookmarkEnd w:id="755"/>
      <w:bookmarkStart w:id="756" w:name="_Toc448849289"/>
      <w:bookmarkEnd w:id="756"/>
      <w:bookmarkStart w:id="757" w:name="_Toc448848981"/>
      <w:bookmarkEnd w:id="757"/>
      <w:bookmarkStart w:id="758" w:name="_Toc448848640"/>
      <w:bookmarkEnd w:id="758"/>
      <w:bookmarkStart w:id="759" w:name="_Toc448849290"/>
      <w:bookmarkEnd w:id="759"/>
      <w:bookmarkStart w:id="760" w:name="_Toc448848982"/>
      <w:bookmarkEnd w:id="760"/>
      <w:bookmarkStart w:id="761" w:name="_Toc448849366"/>
      <w:bookmarkEnd w:id="761"/>
      <w:bookmarkStart w:id="762" w:name="_Toc448848717"/>
      <w:bookmarkEnd w:id="762"/>
      <w:bookmarkStart w:id="763" w:name="_Toc448848781"/>
      <w:bookmarkEnd w:id="763"/>
      <w:bookmarkStart w:id="764" w:name="_Toc448849123"/>
      <w:bookmarkEnd w:id="764"/>
      <w:bookmarkStart w:id="765" w:name="_Toc448849427"/>
      <w:bookmarkEnd w:id="765"/>
      <w:bookmarkStart w:id="766" w:name="_Toc448848778"/>
      <w:bookmarkEnd w:id="766"/>
      <w:bookmarkStart w:id="767" w:name="_Toc448848832"/>
      <w:bookmarkEnd w:id="767"/>
      <w:bookmarkStart w:id="768" w:name="_Toc448848838"/>
      <w:bookmarkEnd w:id="768"/>
      <w:bookmarkStart w:id="769" w:name="_Toc448848794"/>
      <w:bookmarkEnd w:id="769"/>
      <w:bookmarkStart w:id="770" w:name="_Toc448849136"/>
      <w:bookmarkEnd w:id="770"/>
      <w:bookmarkStart w:id="771" w:name="_Toc448848830"/>
      <w:bookmarkEnd w:id="771"/>
      <w:bookmarkStart w:id="772" w:name="_Toc448849172"/>
      <w:bookmarkEnd w:id="772"/>
      <w:bookmarkStart w:id="773" w:name="_Toc448849418"/>
      <w:bookmarkEnd w:id="773"/>
      <w:bookmarkStart w:id="774" w:name="_Toc448848769"/>
      <w:bookmarkEnd w:id="774"/>
      <w:bookmarkStart w:id="775" w:name="_Toc448849111"/>
      <w:bookmarkEnd w:id="775"/>
      <w:bookmarkStart w:id="776" w:name="_Toc448849119"/>
      <w:bookmarkEnd w:id="776"/>
      <w:bookmarkStart w:id="777" w:name="_Toc448848822"/>
      <w:bookmarkEnd w:id="777"/>
      <w:bookmarkStart w:id="778" w:name="_Toc448849164"/>
      <w:bookmarkEnd w:id="778"/>
      <w:bookmarkStart w:id="779" w:name="_Toc448848824"/>
      <w:bookmarkEnd w:id="779"/>
      <w:bookmarkStart w:id="780" w:name="_Toc448849423"/>
      <w:bookmarkEnd w:id="780"/>
      <w:bookmarkStart w:id="781" w:name="_Toc448848777"/>
      <w:bookmarkEnd w:id="781"/>
      <w:bookmarkStart w:id="782" w:name="_Toc448848773"/>
      <w:bookmarkEnd w:id="782"/>
      <w:bookmarkStart w:id="783" w:name="_Toc448849115"/>
      <w:bookmarkEnd w:id="783"/>
      <w:bookmarkStart w:id="784" w:name="_Toc448848713"/>
      <w:bookmarkEnd w:id="784"/>
      <w:bookmarkStart w:id="785" w:name="_Toc448849055"/>
      <w:bookmarkEnd w:id="785"/>
      <w:bookmarkStart w:id="786" w:name="_Toc448849054"/>
      <w:bookmarkEnd w:id="786"/>
      <w:bookmarkStart w:id="787" w:name="_Toc448849362"/>
      <w:bookmarkEnd w:id="787"/>
      <w:bookmarkStart w:id="788" w:name="_Toc448849419"/>
      <w:bookmarkEnd w:id="788"/>
      <w:bookmarkStart w:id="789" w:name="_Toc448849422"/>
      <w:bookmarkEnd w:id="789"/>
      <w:bookmarkStart w:id="790" w:name="_Toc448848709"/>
      <w:bookmarkEnd w:id="790"/>
      <w:bookmarkStart w:id="791" w:name="_Toc448849051"/>
      <w:bookmarkEnd w:id="791"/>
      <w:bookmarkStart w:id="792" w:name="_Toc448849358"/>
      <w:bookmarkEnd w:id="792"/>
      <w:bookmarkStart w:id="793" w:name="_Toc448849002"/>
      <w:bookmarkEnd w:id="793"/>
      <w:bookmarkStart w:id="794" w:name="_Toc448848660"/>
      <w:bookmarkEnd w:id="794"/>
      <w:bookmarkStart w:id="795" w:name="_Toc448849309"/>
      <w:bookmarkEnd w:id="795"/>
      <w:bookmarkStart w:id="796" w:name="_Toc448849320"/>
      <w:bookmarkEnd w:id="796"/>
      <w:bookmarkStart w:id="797" w:name="_Toc448849012"/>
      <w:bookmarkEnd w:id="797"/>
      <w:bookmarkStart w:id="798" w:name="_Toc448849326"/>
      <w:bookmarkEnd w:id="798"/>
      <w:bookmarkStart w:id="799" w:name="_Toc448848677"/>
      <w:bookmarkEnd w:id="799"/>
      <w:bookmarkStart w:id="800" w:name="_Toc448849338"/>
      <w:bookmarkEnd w:id="800"/>
      <w:bookmarkStart w:id="801" w:name="_Toc448849001"/>
      <w:bookmarkEnd w:id="801"/>
      <w:bookmarkStart w:id="802" w:name="_Toc448848689"/>
      <w:bookmarkEnd w:id="802"/>
      <w:bookmarkStart w:id="803" w:name="_Toc448849031"/>
      <w:bookmarkEnd w:id="803"/>
      <w:bookmarkStart w:id="804" w:name="_Toc448848659"/>
      <w:bookmarkEnd w:id="804"/>
      <w:bookmarkStart w:id="805" w:name="_Toc448849308"/>
      <w:bookmarkEnd w:id="805"/>
      <w:bookmarkStart w:id="806" w:name="_Toc448849000"/>
      <w:bookmarkEnd w:id="806"/>
      <w:bookmarkStart w:id="807" w:name="_Toc448848658"/>
      <w:bookmarkEnd w:id="807"/>
      <w:bookmarkStart w:id="808" w:name="_Toc448848673"/>
      <w:bookmarkEnd w:id="808"/>
      <w:bookmarkStart w:id="809" w:name="_Toc448849322"/>
      <w:bookmarkEnd w:id="809"/>
      <w:bookmarkStart w:id="810" w:name="_Toc448849339"/>
      <w:bookmarkEnd w:id="810"/>
      <w:bookmarkStart w:id="811" w:name="_Toc448849340"/>
      <w:bookmarkEnd w:id="811"/>
      <w:bookmarkStart w:id="812" w:name="_Toc448849028"/>
      <w:bookmarkEnd w:id="812"/>
      <w:bookmarkStart w:id="813" w:name="_Toc448848686"/>
      <w:bookmarkEnd w:id="813"/>
      <w:bookmarkStart w:id="814" w:name="_Toc448848670"/>
      <w:bookmarkEnd w:id="814"/>
      <w:bookmarkStart w:id="815" w:name="_Toc448848661"/>
      <w:bookmarkEnd w:id="815"/>
      <w:bookmarkStart w:id="816" w:name="_Toc448849310"/>
      <w:bookmarkEnd w:id="816"/>
      <w:bookmarkStart w:id="817" w:name="_Toc448848687"/>
      <w:bookmarkEnd w:id="817"/>
      <w:bookmarkStart w:id="818" w:name="_Toc448849336"/>
      <w:bookmarkEnd w:id="818"/>
      <w:bookmarkStart w:id="819" w:name="_Toc448849323"/>
      <w:bookmarkEnd w:id="819"/>
      <w:bookmarkStart w:id="820" w:name="_Toc448849014"/>
      <w:bookmarkEnd w:id="820"/>
      <w:bookmarkStart w:id="821" w:name="_Toc448848672"/>
      <w:bookmarkEnd w:id="821"/>
      <w:bookmarkStart w:id="822" w:name="_Toc448849321"/>
      <w:bookmarkEnd w:id="822"/>
      <w:bookmarkStart w:id="823" w:name="_Toc448848671"/>
      <w:bookmarkEnd w:id="823"/>
      <w:bookmarkStart w:id="824" w:name="_Toc448849015"/>
      <w:bookmarkEnd w:id="824"/>
      <w:bookmarkStart w:id="825" w:name="_Toc448848691"/>
      <w:bookmarkEnd w:id="825"/>
      <w:bookmarkStart w:id="826" w:name="_Toc448849013"/>
      <w:bookmarkEnd w:id="826"/>
      <w:bookmarkStart w:id="827" w:name="_Toc448849050"/>
      <w:bookmarkEnd w:id="827"/>
      <w:bookmarkStart w:id="828" w:name="_Toc448849098"/>
      <w:bookmarkEnd w:id="828"/>
      <w:bookmarkStart w:id="829" w:name="_Toc448848758"/>
      <w:bookmarkEnd w:id="829"/>
      <w:bookmarkStart w:id="830" w:name="_Toc448849100"/>
      <w:bookmarkEnd w:id="830"/>
      <w:bookmarkStart w:id="831" w:name="_Toc448849371"/>
      <w:bookmarkEnd w:id="831"/>
      <w:bookmarkStart w:id="832" w:name="_Toc448849062"/>
      <w:bookmarkEnd w:id="832"/>
      <w:bookmarkStart w:id="833" w:name="_Toc448849063"/>
      <w:bookmarkEnd w:id="833"/>
      <w:bookmarkStart w:id="834" w:name="_Toc448848721"/>
      <w:bookmarkEnd w:id="834"/>
      <w:bookmarkStart w:id="835" w:name="_Toc448849370"/>
      <w:bookmarkEnd w:id="835"/>
      <w:bookmarkStart w:id="836" w:name="_Toc448849354"/>
      <w:bookmarkEnd w:id="836"/>
      <w:bookmarkStart w:id="837" w:name="_Toc448849046"/>
      <w:bookmarkEnd w:id="837"/>
      <w:bookmarkStart w:id="838" w:name="_Toc448848704"/>
      <w:bookmarkEnd w:id="838"/>
      <w:bookmarkStart w:id="839" w:name="_Toc448849353"/>
      <w:bookmarkEnd w:id="839"/>
      <w:bookmarkStart w:id="840" w:name="_Toc448848699"/>
      <w:bookmarkEnd w:id="840"/>
      <w:bookmarkStart w:id="841" w:name="_Toc448849144"/>
      <w:bookmarkEnd w:id="841"/>
      <w:bookmarkStart w:id="842" w:name="_Toc448849348"/>
      <w:bookmarkEnd w:id="842"/>
      <w:bookmarkStart w:id="843" w:name="_Toc448848802"/>
      <w:bookmarkEnd w:id="843"/>
      <w:bookmarkStart w:id="844" w:name="_Toc448848801"/>
      <w:bookmarkEnd w:id="844"/>
      <w:bookmarkStart w:id="845" w:name="_Toc448849451"/>
      <w:bookmarkEnd w:id="845"/>
      <w:bookmarkStart w:id="846" w:name="_Toc448848751"/>
      <w:bookmarkEnd w:id="846"/>
      <w:bookmarkStart w:id="847" w:name="_Toc448849493"/>
      <w:bookmarkEnd w:id="847"/>
      <w:bookmarkStart w:id="848" w:name="_Toc448848844"/>
      <w:bookmarkEnd w:id="848"/>
      <w:bookmarkStart w:id="849" w:name="_Toc448849185"/>
      <w:bookmarkEnd w:id="849"/>
      <w:bookmarkStart w:id="850" w:name="_Toc448848682"/>
      <w:bookmarkEnd w:id="850"/>
      <w:bookmarkStart w:id="851" w:name="_Toc448849024"/>
      <w:bookmarkEnd w:id="851"/>
      <w:bookmarkStart w:id="852" w:name="_Toc448849093"/>
      <w:bookmarkEnd w:id="852"/>
      <w:bookmarkStart w:id="853" w:name="_Toc448848683"/>
      <w:bookmarkEnd w:id="853"/>
      <w:bookmarkStart w:id="854" w:name="_Toc448849332"/>
      <w:bookmarkEnd w:id="854"/>
      <w:bookmarkStart w:id="855" w:name="_Toc448849333"/>
      <w:bookmarkEnd w:id="855"/>
      <w:bookmarkStart w:id="856" w:name="_Toc448849025"/>
      <w:bookmarkEnd w:id="856"/>
      <w:bookmarkStart w:id="857" w:name="_Toc448849026"/>
      <w:bookmarkEnd w:id="857"/>
      <w:bookmarkStart w:id="858" w:name="_Toc448848684"/>
      <w:bookmarkEnd w:id="858"/>
      <w:bookmarkStart w:id="859" w:name="_Toc448848685"/>
      <w:bookmarkEnd w:id="859"/>
      <w:bookmarkStart w:id="860" w:name="_Toc448849334"/>
      <w:bookmarkEnd w:id="860"/>
      <w:bookmarkStart w:id="861" w:name="_Toc448849335"/>
      <w:bookmarkEnd w:id="861"/>
      <w:bookmarkStart w:id="862" w:name="_Toc448849027"/>
      <w:bookmarkEnd w:id="862"/>
      <w:bookmarkStart w:id="863" w:name="_Toc448849405"/>
      <w:bookmarkEnd w:id="863"/>
      <w:bookmarkStart w:id="864" w:name="_Toc448848690"/>
      <w:bookmarkEnd w:id="864"/>
      <w:bookmarkStart w:id="865" w:name="_Toc448849406"/>
      <w:bookmarkEnd w:id="865"/>
      <w:bookmarkStart w:id="866" w:name="_Toc448848692"/>
      <w:bookmarkEnd w:id="866"/>
      <w:bookmarkStart w:id="867" w:name="_Toc448849032"/>
      <w:bookmarkEnd w:id="867"/>
      <w:bookmarkStart w:id="868" w:name="_Toc448849097"/>
      <w:bookmarkEnd w:id="868"/>
      <w:bookmarkStart w:id="869" w:name="_Toc448849342"/>
      <w:bookmarkEnd w:id="869"/>
      <w:bookmarkStart w:id="870" w:name="_Toc448849034"/>
      <w:bookmarkEnd w:id="870"/>
      <w:bookmarkStart w:id="871" w:name="_Toc448849343"/>
      <w:bookmarkEnd w:id="871"/>
      <w:bookmarkStart w:id="872" w:name="_Toc448849035"/>
      <w:bookmarkEnd w:id="872"/>
      <w:bookmarkStart w:id="873" w:name="_Toc448848755"/>
      <w:bookmarkEnd w:id="873"/>
      <w:bookmarkStart w:id="874" w:name="_Toc448848694"/>
      <w:bookmarkEnd w:id="874"/>
      <w:bookmarkStart w:id="875" w:name="_Toc448848693"/>
      <w:bookmarkEnd w:id="875"/>
      <w:bookmarkStart w:id="876" w:name="_Toc448848756"/>
      <w:bookmarkEnd w:id="876"/>
      <w:bookmarkStart w:id="877" w:name="_Toc448849344"/>
      <w:bookmarkEnd w:id="877"/>
      <w:bookmarkStart w:id="878" w:name="_Toc448849036"/>
      <w:bookmarkEnd w:id="878"/>
      <w:bookmarkStart w:id="879" w:name="_Toc448848757"/>
      <w:bookmarkEnd w:id="879"/>
      <w:bookmarkStart w:id="880" w:name="_Toc448849037"/>
      <w:bookmarkEnd w:id="880"/>
      <w:bookmarkStart w:id="881" w:name="_Toc448848695"/>
      <w:bookmarkEnd w:id="881"/>
      <w:bookmarkStart w:id="882" w:name="_Toc448849099"/>
      <w:bookmarkEnd w:id="882"/>
      <w:bookmarkStart w:id="883" w:name="_Toc448848696"/>
      <w:bookmarkEnd w:id="883"/>
      <w:bookmarkStart w:id="884" w:name="_Toc448849345"/>
      <w:bookmarkEnd w:id="884"/>
      <w:bookmarkStart w:id="885" w:name="_Toc448849407"/>
      <w:bookmarkEnd w:id="885"/>
      <w:bookmarkStart w:id="886" w:name="_Toc448849346"/>
      <w:bookmarkEnd w:id="886"/>
      <w:bookmarkStart w:id="887" w:name="_Toc448849038"/>
      <w:bookmarkEnd w:id="887"/>
      <w:bookmarkStart w:id="888" w:name="_Toc448849401"/>
      <w:bookmarkEnd w:id="888"/>
      <w:bookmarkStart w:id="889" w:name="_Toc448849039"/>
      <w:bookmarkEnd w:id="889"/>
      <w:bookmarkStart w:id="890" w:name="_Toc448848697"/>
      <w:bookmarkEnd w:id="890"/>
      <w:bookmarkStart w:id="891" w:name="_Toc448849347"/>
      <w:bookmarkEnd w:id="891"/>
      <w:bookmarkStart w:id="892" w:name="_Toc448849040"/>
      <w:bookmarkEnd w:id="892"/>
      <w:bookmarkStart w:id="893" w:name="_Toc448848698"/>
      <w:bookmarkEnd w:id="893"/>
      <w:bookmarkStart w:id="894" w:name="_Toc448849464"/>
      <w:bookmarkEnd w:id="894"/>
      <w:bookmarkStart w:id="895" w:name="_Toc448848815"/>
      <w:bookmarkEnd w:id="895"/>
      <w:bookmarkStart w:id="896" w:name="_Toc448849488"/>
      <w:bookmarkEnd w:id="896"/>
      <w:bookmarkStart w:id="897" w:name="_Toc448848839"/>
      <w:bookmarkEnd w:id="897"/>
      <w:bookmarkStart w:id="898" w:name="_Toc448849481"/>
      <w:bookmarkEnd w:id="898"/>
      <w:bookmarkStart w:id="899" w:name="_Toc448849180"/>
      <w:bookmarkEnd w:id="899"/>
      <w:bookmarkStart w:id="900" w:name="_Toc448848807"/>
      <w:bookmarkEnd w:id="900"/>
      <w:bookmarkStart w:id="901" w:name="_Toc448849181"/>
      <w:bookmarkEnd w:id="901"/>
      <w:bookmarkStart w:id="902" w:name="_Toc448848843"/>
      <w:bookmarkEnd w:id="902"/>
      <w:bookmarkStart w:id="903" w:name="_Toc448849157"/>
      <w:bookmarkEnd w:id="903"/>
      <w:bookmarkStart w:id="904" w:name="_Toc448849465"/>
      <w:bookmarkEnd w:id="904"/>
      <w:bookmarkStart w:id="905" w:name="_Toc448848816"/>
      <w:bookmarkEnd w:id="905"/>
      <w:bookmarkStart w:id="906" w:name="_Toc448849173"/>
      <w:bookmarkEnd w:id="906"/>
      <w:bookmarkStart w:id="907" w:name="_Toc448849480"/>
      <w:bookmarkEnd w:id="907"/>
      <w:bookmarkStart w:id="908" w:name="_Toc448848831"/>
      <w:bookmarkEnd w:id="908"/>
      <w:bookmarkStart w:id="909" w:name="_Toc448849165"/>
      <w:bookmarkEnd w:id="909"/>
      <w:bookmarkStart w:id="910" w:name="_Toc448849473"/>
      <w:bookmarkEnd w:id="910"/>
      <w:bookmarkStart w:id="911" w:name="_Toc448849456"/>
      <w:bookmarkEnd w:id="911"/>
      <w:bookmarkStart w:id="912" w:name="_Toc448849156"/>
      <w:bookmarkEnd w:id="912"/>
      <w:bookmarkStart w:id="913" w:name="_Toc448848806"/>
      <w:bookmarkEnd w:id="913"/>
      <w:bookmarkStart w:id="914" w:name="_Toc448849148"/>
      <w:bookmarkEnd w:id="914"/>
      <w:bookmarkStart w:id="915" w:name="_Toc448849472"/>
      <w:bookmarkEnd w:id="915"/>
      <w:bookmarkStart w:id="916" w:name="_Toc448848823"/>
      <w:bookmarkEnd w:id="916"/>
      <w:bookmarkStart w:id="917" w:name="_Toc448849147"/>
      <w:bookmarkEnd w:id="917"/>
      <w:bookmarkStart w:id="918" w:name="_Toc448849455"/>
      <w:bookmarkEnd w:id="918"/>
      <w:bookmarkStart w:id="919" w:name="_Toc448848805"/>
      <w:bookmarkEnd w:id="919"/>
      <w:bookmarkStart w:id="920" w:name="_Toc448848761"/>
      <w:bookmarkEnd w:id="920"/>
      <w:bookmarkStart w:id="921" w:name="_Toc448849410"/>
      <w:bookmarkEnd w:id="921"/>
      <w:bookmarkStart w:id="922" w:name="_Toc448849102"/>
      <w:bookmarkEnd w:id="922"/>
      <w:bookmarkStart w:id="923" w:name="_Toc448848785"/>
      <w:bookmarkEnd w:id="923"/>
      <w:bookmarkStart w:id="924" w:name="_Toc448849107"/>
      <w:bookmarkEnd w:id="924"/>
      <w:bookmarkStart w:id="925" w:name="_Toc448849440"/>
      <w:bookmarkEnd w:id="925"/>
      <w:bookmarkStart w:id="926" w:name="_Toc448848791"/>
      <w:bookmarkEnd w:id="926"/>
      <w:bookmarkStart w:id="927" w:name="_Toc448849452"/>
      <w:bookmarkEnd w:id="927"/>
      <w:bookmarkStart w:id="928" w:name="_Toc448848760"/>
      <w:bookmarkEnd w:id="928"/>
      <w:bookmarkStart w:id="929" w:name="_Toc448848803"/>
      <w:bookmarkEnd w:id="929"/>
      <w:bookmarkStart w:id="930" w:name="_Toc448849145"/>
      <w:bookmarkEnd w:id="930"/>
      <w:bookmarkStart w:id="931" w:name="_Toc448849409"/>
      <w:bookmarkEnd w:id="931"/>
      <w:bookmarkStart w:id="932" w:name="_Toc448849101"/>
      <w:bookmarkEnd w:id="932"/>
      <w:bookmarkStart w:id="933" w:name="_Toc448848759"/>
      <w:bookmarkEnd w:id="933"/>
      <w:bookmarkStart w:id="934" w:name="_Toc448849408"/>
      <w:bookmarkEnd w:id="934"/>
      <w:bookmarkStart w:id="935" w:name="_Toc448849129"/>
      <w:bookmarkEnd w:id="935"/>
      <w:bookmarkStart w:id="936" w:name="_Toc448848787"/>
      <w:bookmarkEnd w:id="936"/>
      <w:bookmarkStart w:id="937" w:name="_Toc448849453"/>
      <w:bookmarkEnd w:id="937"/>
      <w:bookmarkStart w:id="938" w:name="_Toc448848804"/>
      <w:bookmarkEnd w:id="938"/>
      <w:bookmarkStart w:id="939" w:name="_Toc448849142"/>
      <w:bookmarkEnd w:id="939"/>
      <w:bookmarkStart w:id="940" w:name="_Toc448848800"/>
      <w:bookmarkEnd w:id="940"/>
      <w:bookmarkStart w:id="941" w:name="_Toc448848765"/>
      <w:bookmarkEnd w:id="941"/>
      <w:bookmarkStart w:id="942" w:name="_Toc448849414"/>
      <w:bookmarkEnd w:id="942"/>
      <w:bookmarkStart w:id="943" w:name="_Toc448849106"/>
      <w:bookmarkEnd w:id="943"/>
      <w:bookmarkStart w:id="944" w:name="_Toc448849143"/>
      <w:bookmarkEnd w:id="944"/>
      <w:bookmarkStart w:id="945" w:name="_Toc448849450"/>
      <w:bookmarkEnd w:id="945"/>
      <w:bookmarkStart w:id="946" w:name="_Toc448849132"/>
      <w:bookmarkEnd w:id="946"/>
      <w:bookmarkStart w:id="947" w:name="_Toc448849436"/>
      <w:bookmarkEnd w:id="947"/>
      <w:bookmarkStart w:id="948" w:name="_Toc448849128"/>
      <w:bookmarkEnd w:id="948"/>
      <w:bookmarkStart w:id="949" w:name="_Toc448848786"/>
      <w:bookmarkEnd w:id="949"/>
      <w:bookmarkStart w:id="950" w:name="_Toc448849127"/>
      <w:bookmarkEnd w:id="950"/>
      <w:bookmarkStart w:id="951" w:name="_Toc448849437"/>
      <w:bookmarkEnd w:id="951"/>
      <w:bookmarkStart w:id="952" w:name="_Toc448849146"/>
      <w:bookmarkEnd w:id="952"/>
      <w:bookmarkStart w:id="953" w:name="_Toc448849435"/>
      <w:bookmarkEnd w:id="953"/>
      <w:bookmarkStart w:id="954" w:name="_Toc448849329"/>
      <w:bookmarkEnd w:id="954"/>
      <w:bookmarkStart w:id="955" w:name="_Toc448849454"/>
      <w:bookmarkEnd w:id="955"/>
      <w:bookmarkStart w:id="956" w:name="_Toc448848680"/>
      <w:bookmarkEnd w:id="956"/>
      <w:bookmarkStart w:id="957" w:name="_Toc448849022"/>
      <w:bookmarkEnd w:id="957"/>
      <w:bookmarkStart w:id="958" w:name="_Toc448849330"/>
      <w:bookmarkEnd w:id="958"/>
      <w:bookmarkStart w:id="959" w:name="_Toc448848681"/>
      <w:bookmarkEnd w:id="959"/>
      <w:bookmarkStart w:id="960" w:name="_Toc448849331"/>
      <w:bookmarkEnd w:id="960"/>
      <w:bookmarkStart w:id="961" w:name="_Toc448849023"/>
      <w:bookmarkEnd w:id="961"/>
      <w:bookmarkStart w:id="962" w:name="_Toc448849328"/>
      <w:bookmarkEnd w:id="962"/>
      <w:bookmarkStart w:id="963" w:name="_Toc448849021"/>
      <w:bookmarkEnd w:id="963"/>
      <w:bookmarkStart w:id="964" w:name="_Toc448848679"/>
      <w:bookmarkEnd w:id="964"/>
      <w:bookmarkStart w:id="965" w:name="_Toc448849327"/>
      <w:bookmarkEnd w:id="965"/>
      <w:bookmarkStart w:id="966" w:name="_Toc448849018"/>
      <w:bookmarkEnd w:id="966"/>
      <w:bookmarkStart w:id="967" w:name="_Toc448848676"/>
      <w:bookmarkEnd w:id="967"/>
      <w:bookmarkStart w:id="968" w:name="_Toc448849020"/>
      <w:bookmarkEnd w:id="968"/>
      <w:bookmarkStart w:id="969" w:name="_Toc448848678"/>
      <w:bookmarkEnd w:id="969"/>
      <w:bookmarkStart w:id="970" w:name="_Toc448849016"/>
      <w:bookmarkEnd w:id="970"/>
      <w:bookmarkStart w:id="971" w:name="_Toc448849325"/>
      <w:bookmarkEnd w:id="971"/>
      <w:bookmarkStart w:id="972" w:name="_Toc448849017"/>
      <w:bookmarkEnd w:id="972"/>
      <w:bookmarkStart w:id="973" w:name="_Toc448848675"/>
      <w:bookmarkEnd w:id="973"/>
      <w:bookmarkStart w:id="974" w:name="_Toc448849324"/>
      <w:bookmarkEnd w:id="974"/>
      <w:bookmarkStart w:id="975" w:name="_Toc448848674"/>
      <w:bookmarkEnd w:id="975"/>
      <w:bookmarkStart w:id="976" w:name="_Toc448849319"/>
      <w:bookmarkEnd w:id="976"/>
      <w:bookmarkStart w:id="977" w:name="_Toc448849011"/>
      <w:bookmarkEnd w:id="977"/>
      <w:bookmarkStart w:id="978" w:name="_Toc448848669"/>
      <w:bookmarkEnd w:id="978"/>
      <w:bookmarkStart w:id="979" w:name="_Toc448849318"/>
      <w:bookmarkEnd w:id="979"/>
      <w:bookmarkStart w:id="980" w:name="_Toc448849010"/>
      <w:bookmarkEnd w:id="980"/>
      <w:bookmarkStart w:id="981" w:name="_Toc448848668"/>
      <w:bookmarkEnd w:id="981"/>
      <w:bookmarkStart w:id="982" w:name="_Toc448849317"/>
      <w:bookmarkEnd w:id="982"/>
      <w:bookmarkStart w:id="983" w:name="_Toc448849009"/>
      <w:bookmarkEnd w:id="983"/>
      <w:bookmarkStart w:id="984" w:name="_Toc448848667"/>
      <w:bookmarkEnd w:id="984"/>
      <w:bookmarkStart w:id="985" w:name="_Toc448849316"/>
      <w:bookmarkEnd w:id="985"/>
      <w:bookmarkStart w:id="986" w:name="_Toc448849008"/>
      <w:bookmarkEnd w:id="986"/>
      <w:bookmarkStart w:id="987" w:name="_Toc448848666"/>
      <w:bookmarkEnd w:id="987"/>
      <w:bookmarkStart w:id="988" w:name="_Toc448849315"/>
      <w:bookmarkEnd w:id="988"/>
      <w:bookmarkStart w:id="989" w:name="_Toc448849007"/>
      <w:bookmarkEnd w:id="989"/>
      <w:bookmarkStart w:id="990" w:name="_Toc448848665"/>
      <w:bookmarkEnd w:id="990"/>
      <w:bookmarkStart w:id="991" w:name="_Toc448849314"/>
      <w:bookmarkEnd w:id="991"/>
      <w:bookmarkStart w:id="992" w:name="_Toc448849006"/>
      <w:bookmarkEnd w:id="992"/>
      <w:bookmarkStart w:id="993" w:name="_Toc448848664"/>
      <w:bookmarkEnd w:id="993"/>
      <w:bookmarkStart w:id="994" w:name="_Toc448849313"/>
      <w:bookmarkEnd w:id="994"/>
      <w:bookmarkStart w:id="995" w:name="_Toc448849312"/>
      <w:bookmarkEnd w:id="995"/>
      <w:bookmarkStart w:id="996" w:name="_Toc448849005"/>
      <w:bookmarkEnd w:id="996"/>
      <w:bookmarkStart w:id="997" w:name="_Toc448848663"/>
      <w:bookmarkEnd w:id="997"/>
      <w:bookmarkStart w:id="998" w:name="_Toc448849004"/>
      <w:bookmarkEnd w:id="998"/>
      <w:bookmarkStart w:id="999" w:name="_Toc448848662"/>
      <w:bookmarkEnd w:id="999"/>
      <w:bookmarkStart w:id="1000" w:name="_Toc448849311"/>
      <w:bookmarkEnd w:id="1000"/>
      <w:bookmarkStart w:id="1001" w:name="_Toc448848998"/>
      <w:bookmarkEnd w:id="1001"/>
      <w:bookmarkStart w:id="1002" w:name="_Toc448848656"/>
      <w:bookmarkEnd w:id="1002"/>
      <w:bookmarkStart w:id="1003" w:name="_Toc448849305"/>
      <w:bookmarkEnd w:id="1003"/>
      <w:bookmarkStart w:id="1004" w:name="_Toc448848997"/>
      <w:bookmarkEnd w:id="1004"/>
      <w:bookmarkStart w:id="1005" w:name="_Toc448848648"/>
      <w:bookmarkEnd w:id="1005"/>
      <w:bookmarkStart w:id="1006" w:name="_Toc448849297"/>
      <w:bookmarkEnd w:id="1006"/>
      <w:bookmarkStart w:id="1007" w:name="_Toc448848989"/>
      <w:bookmarkEnd w:id="1007"/>
      <w:bookmarkStart w:id="1008" w:name="_Toc448848647"/>
      <w:bookmarkEnd w:id="1008"/>
      <w:bookmarkStart w:id="1009" w:name="_Toc448849296"/>
      <w:bookmarkEnd w:id="1009"/>
      <w:bookmarkStart w:id="1010" w:name="_Toc448848988"/>
      <w:bookmarkEnd w:id="1010"/>
      <w:bookmarkStart w:id="1011" w:name="_Toc448848646"/>
      <w:bookmarkEnd w:id="1011"/>
      <w:bookmarkStart w:id="1012" w:name="_Toc448849295"/>
      <w:bookmarkEnd w:id="1012"/>
      <w:bookmarkStart w:id="1013" w:name="_Toc448848987"/>
      <w:bookmarkEnd w:id="1013"/>
      <w:bookmarkStart w:id="1014" w:name="_Toc448848645"/>
      <w:bookmarkEnd w:id="1014"/>
      <w:bookmarkStart w:id="1015" w:name="_Toc448849294"/>
      <w:bookmarkEnd w:id="1015"/>
      <w:bookmarkStart w:id="1016" w:name="_Toc448848986"/>
      <w:bookmarkEnd w:id="1016"/>
      <w:bookmarkStart w:id="1017" w:name="_Toc448848644"/>
      <w:bookmarkEnd w:id="1017"/>
      <w:bookmarkStart w:id="1018" w:name="_Toc448849293"/>
      <w:bookmarkEnd w:id="1018"/>
      <w:bookmarkStart w:id="1019" w:name="_Toc448849292"/>
      <w:bookmarkEnd w:id="1019"/>
      <w:bookmarkStart w:id="1020" w:name="_Toc448848985"/>
      <w:bookmarkEnd w:id="1020"/>
      <w:bookmarkStart w:id="1021" w:name="_Toc448848643"/>
      <w:bookmarkEnd w:id="1021"/>
      <w:bookmarkStart w:id="1022" w:name="_Toc448848984"/>
      <w:bookmarkEnd w:id="1022"/>
      <w:bookmarkStart w:id="1023" w:name="_Toc448848642"/>
      <w:bookmarkEnd w:id="1023"/>
      <w:bookmarkStart w:id="1024" w:name="_Toc448849291"/>
      <w:bookmarkEnd w:id="1024"/>
      <w:bookmarkStart w:id="1025" w:name="_Toc448849285"/>
      <w:bookmarkEnd w:id="1025"/>
      <w:bookmarkStart w:id="1026" w:name="_Toc448848977"/>
      <w:bookmarkEnd w:id="1026"/>
      <w:bookmarkStart w:id="1027" w:name="_Toc448848635"/>
      <w:bookmarkEnd w:id="1027"/>
      <w:bookmarkStart w:id="1028" w:name="_Toc448849284"/>
      <w:bookmarkEnd w:id="1028"/>
      <w:bookmarkStart w:id="1029" w:name="_Toc448849442"/>
      <w:bookmarkEnd w:id="1029"/>
      <w:bookmarkStart w:id="1030" w:name="_Toc448849134"/>
      <w:bookmarkEnd w:id="1030"/>
      <w:bookmarkStart w:id="1031" w:name="_Toc448848793"/>
      <w:bookmarkEnd w:id="1031"/>
      <w:bookmarkStart w:id="1032" w:name="_Toc448849135"/>
      <w:bookmarkEnd w:id="1032"/>
      <w:bookmarkStart w:id="1033" w:name="_Toc448849443"/>
      <w:bookmarkEnd w:id="1033"/>
      <w:bookmarkStart w:id="1034" w:name="_Toc448848795"/>
      <w:bookmarkEnd w:id="1034"/>
      <w:bookmarkStart w:id="1035" w:name="_Toc448848796"/>
      <w:bookmarkEnd w:id="1035"/>
      <w:bookmarkStart w:id="1036" w:name="_Toc448849137"/>
      <w:bookmarkEnd w:id="1036"/>
      <w:bookmarkStart w:id="1037" w:name="_Toc448849445"/>
      <w:bookmarkEnd w:id="1037"/>
      <w:bookmarkStart w:id="1038" w:name="_Toc448849138"/>
      <w:bookmarkEnd w:id="1038"/>
      <w:bookmarkStart w:id="1039" w:name="_Toc448849446"/>
      <w:bookmarkEnd w:id="1039"/>
      <w:bookmarkStart w:id="1040" w:name="_Toc448848797"/>
      <w:bookmarkEnd w:id="1040"/>
      <w:bookmarkStart w:id="1041" w:name="_Toc448849139"/>
      <w:bookmarkEnd w:id="1041"/>
      <w:bookmarkStart w:id="1042" w:name="_Toc448849448"/>
      <w:bookmarkEnd w:id="1042"/>
      <w:bookmarkStart w:id="1043" w:name="_Toc448848799"/>
      <w:bookmarkEnd w:id="1043"/>
      <w:bookmarkStart w:id="1044" w:name="_Toc448849141"/>
      <w:bookmarkEnd w:id="1044"/>
      <w:bookmarkStart w:id="1045" w:name="_Toc448849457"/>
      <w:bookmarkEnd w:id="1045"/>
      <w:bookmarkStart w:id="1046" w:name="_Toc448848808"/>
      <w:bookmarkEnd w:id="1046"/>
      <w:bookmarkStart w:id="1047" w:name="_Toc448849150"/>
      <w:bookmarkEnd w:id="1047"/>
      <w:bookmarkStart w:id="1048" w:name="_Toc448849458"/>
      <w:bookmarkEnd w:id="1048"/>
      <w:bookmarkStart w:id="1049" w:name="_Toc448848809"/>
      <w:bookmarkEnd w:id="1049"/>
      <w:bookmarkStart w:id="1050" w:name="_Toc448849469"/>
      <w:bookmarkEnd w:id="1050"/>
      <w:bookmarkStart w:id="1051" w:name="_Toc448849151"/>
      <w:bookmarkEnd w:id="1051"/>
      <w:bookmarkStart w:id="1052" w:name="_Toc448849459"/>
      <w:bookmarkEnd w:id="1052"/>
      <w:bookmarkStart w:id="1053" w:name="_Toc448848814"/>
      <w:bookmarkEnd w:id="1053"/>
      <w:bookmarkStart w:id="1054" w:name="_Toc448849149"/>
      <w:bookmarkEnd w:id="1054"/>
      <w:bookmarkStart w:id="1055" w:name="_Toc448849466"/>
      <w:bookmarkEnd w:id="1055"/>
      <w:bookmarkStart w:id="1056" w:name="_Toc448848817"/>
      <w:bookmarkEnd w:id="1056"/>
      <w:bookmarkStart w:id="1057" w:name="_Toc448849159"/>
      <w:bookmarkEnd w:id="1057"/>
      <w:bookmarkStart w:id="1058" w:name="_Toc448849467"/>
      <w:bookmarkEnd w:id="1058"/>
      <w:bookmarkStart w:id="1059" w:name="_Toc448848818"/>
      <w:bookmarkEnd w:id="1059"/>
      <w:bookmarkStart w:id="1060" w:name="_Toc448849160"/>
      <w:bookmarkEnd w:id="1060"/>
      <w:bookmarkStart w:id="1061" w:name="_Toc448849158"/>
      <w:bookmarkEnd w:id="1061"/>
      <w:bookmarkStart w:id="1062" w:name="_Toc448849468"/>
      <w:bookmarkEnd w:id="1062"/>
      <w:bookmarkStart w:id="1063" w:name="_Toc448848819"/>
      <w:bookmarkEnd w:id="1063"/>
      <w:bookmarkStart w:id="1064" w:name="_Toc448849161"/>
      <w:bookmarkEnd w:id="1064"/>
      <w:bookmarkStart w:id="1065" w:name="_Toc448848820"/>
      <w:bookmarkEnd w:id="1065"/>
      <w:bookmarkStart w:id="1066" w:name="_Toc448849162"/>
      <w:bookmarkEnd w:id="1066"/>
      <w:bookmarkStart w:id="1067" w:name="_Toc448849470"/>
      <w:bookmarkEnd w:id="1067"/>
      <w:bookmarkStart w:id="1068" w:name="_Toc448848821"/>
      <w:bookmarkEnd w:id="1068"/>
      <w:bookmarkStart w:id="1069" w:name="_Toc448849163"/>
      <w:bookmarkEnd w:id="1069"/>
      <w:bookmarkStart w:id="1070" w:name="_Toc448849471"/>
      <w:bookmarkEnd w:id="1070"/>
      <w:bookmarkStart w:id="1071" w:name="_Toc448849474"/>
      <w:bookmarkEnd w:id="1071"/>
      <w:bookmarkStart w:id="1072" w:name="_Toc448848825"/>
      <w:bookmarkEnd w:id="1072"/>
      <w:bookmarkStart w:id="1073" w:name="_Toc448849167"/>
      <w:bookmarkEnd w:id="1073"/>
      <w:bookmarkStart w:id="1074" w:name="_Toc448849475"/>
      <w:bookmarkEnd w:id="1074"/>
      <w:bookmarkStart w:id="1075" w:name="_Toc448848826"/>
      <w:bookmarkEnd w:id="1075"/>
      <w:bookmarkStart w:id="1076" w:name="_Toc448849168"/>
      <w:bookmarkEnd w:id="1076"/>
      <w:bookmarkStart w:id="1077" w:name="_Toc448849476"/>
      <w:bookmarkEnd w:id="1077"/>
      <w:bookmarkStart w:id="1078" w:name="_Toc448848827"/>
      <w:bookmarkEnd w:id="1078"/>
      <w:bookmarkStart w:id="1079" w:name="_Toc448849166"/>
      <w:bookmarkEnd w:id="1079"/>
      <w:bookmarkStart w:id="1080" w:name="_Toc448849169"/>
      <w:bookmarkEnd w:id="1080"/>
      <w:bookmarkStart w:id="1081" w:name="_Toc448849477"/>
      <w:bookmarkEnd w:id="1081"/>
      <w:bookmarkStart w:id="1082" w:name="_Toc448848828"/>
      <w:bookmarkEnd w:id="1082"/>
      <w:bookmarkStart w:id="1083" w:name="_Toc448849170"/>
      <w:bookmarkEnd w:id="1083"/>
      <w:bookmarkStart w:id="1084" w:name="_Toc448849478"/>
      <w:bookmarkEnd w:id="1084"/>
      <w:bookmarkStart w:id="1085" w:name="_Toc448848829"/>
      <w:bookmarkEnd w:id="1085"/>
      <w:bookmarkStart w:id="1086" w:name="_Toc448849171"/>
      <w:bookmarkEnd w:id="1086"/>
      <w:bookmarkStart w:id="1087" w:name="_Toc448849479"/>
      <w:bookmarkEnd w:id="1087"/>
      <w:bookmarkStart w:id="1088" w:name="_Toc448849482"/>
      <w:bookmarkEnd w:id="1088"/>
      <w:bookmarkStart w:id="1089" w:name="_Toc448848833"/>
      <w:bookmarkEnd w:id="1089"/>
      <w:bookmarkStart w:id="1090" w:name="_Toc448849175"/>
      <w:bookmarkEnd w:id="1090"/>
      <w:bookmarkStart w:id="1091" w:name="_Toc448849483"/>
      <w:bookmarkEnd w:id="1091"/>
      <w:bookmarkStart w:id="1092" w:name="_Toc448848834"/>
      <w:bookmarkEnd w:id="1092"/>
      <w:bookmarkStart w:id="1093" w:name="_Toc448849176"/>
      <w:bookmarkEnd w:id="1093"/>
      <w:bookmarkStart w:id="1094" w:name="_Toc448849484"/>
      <w:bookmarkEnd w:id="1094"/>
      <w:bookmarkStart w:id="1095" w:name="_Toc448848835"/>
      <w:bookmarkEnd w:id="1095"/>
      <w:bookmarkStart w:id="1096" w:name="_Toc448849174"/>
      <w:bookmarkEnd w:id="1096"/>
      <w:bookmarkStart w:id="1097" w:name="_Toc448849177"/>
      <w:bookmarkEnd w:id="1097"/>
      <w:bookmarkStart w:id="1098" w:name="_Toc448849485"/>
      <w:bookmarkEnd w:id="1098"/>
      <w:bookmarkStart w:id="1099" w:name="_Toc448848836"/>
      <w:bookmarkEnd w:id="1099"/>
      <w:bookmarkStart w:id="1100" w:name="_Toc448849178"/>
      <w:bookmarkEnd w:id="1100"/>
      <w:bookmarkStart w:id="1101" w:name="_Toc448849486"/>
      <w:bookmarkEnd w:id="1101"/>
      <w:bookmarkStart w:id="1102" w:name="_Toc448848837"/>
      <w:bookmarkEnd w:id="1102"/>
      <w:bookmarkStart w:id="1103" w:name="_Toc448849179"/>
      <w:bookmarkEnd w:id="1103"/>
      <w:bookmarkStart w:id="1104" w:name="_Toc448849182"/>
      <w:bookmarkEnd w:id="1104"/>
      <w:bookmarkStart w:id="1105" w:name="_Toc448849490"/>
      <w:bookmarkEnd w:id="1105"/>
      <w:bookmarkStart w:id="1106" w:name="_Toc448848841"/>
      <w:bookmarkEnd w:id="1106"/>
      <w:bookmarkStart w:id="1107" w:name="_Toc448849183"/>
      <w:bookmarkEnd w:id="1107"/>
      <w:bookmarkStart w:id="1108" w:name="_Toc448849491"/>
      <w:bookmarkEnd w:id="1108"/>
      <w:bookmarkStart w:id="1109" w:name="_Toc448848842"/>
      <w:bookmarkEnd w:id="1109"/>
      <w:bookmarkStart w:id="1110" w:name="_Toc448849184"/>
      <w:bookmarkEnd w:id="1110"/>
      <w:bookmarkStart w:id="1111" w:name="_Toc448849492"/>
      <w:bookmarkEnd w:id="1111"/>
      <w:bookmarkStart w:id="1112" w:name="_Toc448848840"/>
      <w:bookmarkEnd w:id="1112"/>
      <w:bookmarkStart w:id="1113" w:name="_Toc448849186"/>
      <w:bookmarkEnd w:id="1113"/>
      <w:bookmarkStart w:id="1114" w:name="_Toc448849494"/>
      <w:bookmarkEnd w:id="1114"/>
      <w:bookmarkStart w:id="1115" w:name="_Toc448848792"/>
      <w:bookmarkEnd w:id="1115"/>
      <w:bookmarkStart w:id="1116" w:name="_Toc448849441"/>
      <w:bookmarkEnd w:id="1116"/>
      <w:bookmarkStart w:id="1117" w:name="_Toc448849133"/>
      <w:bookmarkEnd w:id="1117"/>
      <w:bookmarkStart w:id="1118" w:name="_Toc448848790"/>
      <w:bookmarkEnd w:id="1118"/>
      <w:bookmarkStart w:id="1119" w:name="_Toc448849439"/>
      <w:bookmarkEnd w:id="1119"/>
      <w:bookmarkStart w:id="1120" w:name="_Toc448849131"/>
      <w:bookmarkEnd w:id="1120"/>
      <w:bookmarkStart w:id="1121" w:name="_Toc448848789"/>
      <w:bookmarkEnd w:id="1121"/>
      <w:bookmarkStart w:id="1122" w:name="_Toc448849438"/>
      <w:bookmarkEnd w:id="1122"/>
      <w:bookmarkStart w:id="1123" w:name="_Toc448849130"/>
      <w:bookmarkEnd w:id="1123"/>
      <w:bookmarkStart w:id="1124" w:name="_Toc448848788"/>
      <w:bookmarkEnd w:id="1124"/>
      <w:bookmarkStart w:id="1125" w:name="_Toc448849434"/>
      <w:bookmarkEnd w:id="1125"/>
      <w:bookmarkStart w:id="1126" w:name="_Toc448849126"/>
      <w:bookmarkEnd w:id="1126"/>
      <w:bookmarkStart w:id="1127" w:name="_Toc448848784"/>
      <w:bookmarkEnd w:id="1127"/>
      <w:bookmarkStart w:id="1128" w:name="_Toc448849433"/>
      <w:bookmarkEnd w:id="1128"/>
      <w:bookmarkStart w:id="1129" w:name="_Toc448849125"/>
      <w:bookmarkEnd w:id="1129"/>
      <w:bookmarkStart w:id="1130" w:name="_Toc448848783"/>
      <w:bookmarkEnd w:id="1130"/>
      <w:bookmarkStart w:id="1131" w:name="_Toc448849432"/>
      <w:bookmarkEnd w:id="1131"/>
      <w:bookmarkStart w:id="1132" w:name="_Toc448849124"/>
      <w:bookmarkEnd w:id="1132"/>
      <w:bookmarkStart w:id="1133" w:name="_Toc448848782"/>
      <w:bookmarkEnd w:id="1133"/>
      <w:bookmarkStart w:id="1134" w:name="_Toc448849430"/>
      <w:bookmarkEnd w:id="1134"/>
      <w:bookmarkStart w:id="1135" w:name="_Toc448849122"/>
      <w:bookmarkEnd w:id="1135"/>
      <w:bookmarkStart w:id="1136" w:name="_Toc448848780"/>
      <w:bookmarkEnd w:id="1136"/>
      <w:bookmarkStart w:id="1137" w:name="_Toc448849429"/>
      <w:bookmarkEnd w:id="1137"/>
      <w:bookmarkStart w:id="1138" w:name="_Toc448849121"/>
      <w:bookmarkEnd w:id="1138"/>
      <w:bookmarkStart w:id="1139" w:name="_Toc448848779"/>
      <w:bookmarkEnd w:id="1139"/>
      <w:bookmarkStart w:id="1140" w:name="_Toc448849428"/>
      <w:bookmarkEnd w:id="1140"/>
      <w:bookmarkStart w:id="1141" w:name="_Toc448849120"/>
      <w:bookmarkEnd w:id="1141"/>
      <w:bookmarkStart w:id="1142" w:name="_Toc448849426"/>
      <w:bookmarkEnd w:id="1142"/>
      <w:bookmarkStart w:id="1143" w:name="_Toc448849118"/>
      <w:bookmarkEnd w:id="1143"/>
      <w:bookmarkStart w:id="1144" w:name="_Toc448848776"/>
      <w:bookmarkEnd w:id="1144"/>
      <w:bookmarkStart w:id="1145" w:name="_Toc448849425"/>
      <w:bookmarkEnd w:id="1145"/>
      <w:bookmarkStart w:id="1146" w:name="_Toc448849117"/>
      <w:bookmarkEnd w:id="1146"/>
      <w:bookmarkStart w:id="1147" w:name="_Toc448848775"/>
      <w:bookmarkEnd w:id="1147"/>
      <w:bookmarkStart w:id="1148" w:name="_Toc448849424"/>
      <w:bookmarkEnd w:id="1148"/>
      <w:bookmarkStart w:id="1149" w:name="_Toc448849116"/>
      <w:bookmarkEnd w:id="1149"/>
      <w:bookmarkStart w:id="1150" w:name="_Toc448848774"/>
      <w:bookmarkEnd w:id="1150"/>
      <w:bookmarkStart w:id="1151" w:name="_Toc448849114"/>
      <w:bookmarkEnd w:id="1151"/>
      <w:bookmarkStart w:id="1152" w:name="_Toc448848772"/>
      <w:bookmarkEnd w:id="1152"/>
      <w:bookmarkStart w:id="1153" w:name="_Toc448849421"/>
      <w:bookmarkEnd w:id="1153"/>
      <w:bookmarkStart w:id="1154" w:name="_Toc448849113"/>
      <w:bookmarkEnd w:id="1154"/>
      <w:bookmarkStart w:id="1155" w:name="_Toc448848771"/>
      <w:bookmarkEnd w:id="1155"/>
      <w:bookmarkStart w:id="1156" w:name="_Toc448849420"/>
      <w:bookmarkEnd w:id="1156"/>
      <w:bookmarkStart w:id="1157" w:name="_Toc448849112"/>
      <w:bookmarkEnd w:id="1157"/>
      <w:bookmarkStart w:id="1158" w:name="_Toc448848770"/>
      <w:bookmarkEnd w:id="1158"/>
      <w:bookmarkStart w:id="1159" w:name="_Toc448849110"/>
      <w:bookmarkEnd w:id="1159"/>
      <w:bookmarkStart w:id="1160" w:name="_Toc448848768"/>
      <w:bookmarkEnd w:id="1160"/>
      <w:bookmarkStart w:id="1161" w:name="_Toc448849417"/>
      <w:bookmarkEnd w:id="1161"/>
      <w:bookmarkStart w:id="1162" w:name="_Toc448849109"/>
      <w:bookmarkEnd w:id="1162"/>
      <w:bookmarkStart w:id="1163" w:name="_Toc448848767"/>
      <w:bookmarkEnd w:id="1163"/>
      <w:bookmarkStart w:id="1164" w:name="_Toc448849416"/>
      <w:bookmarkEnd w:id="1164"/>
      <w:bookmarkStart w:id="1165" w:name="_Toc448849108"/>
      <w:bookmarkEnd w:id="1165"/>
      <w:bookmarkStart w:id="1166" w:name="_Toc448848766"/>
      <w:bookmarkEnd w:id="1166"/>
      <w:bookmarkStart w:id="1167" w:name="_Toc448849415"/>
      <w:bookmarkEnd w:id="1167"/>
      <w:bookmarkStart w:id="1168" w:name="_Toc448848764"/>
      <w:bookmarkEnd w:id="1168"/>
      <w:bookmarkStart w:id="1169" w:name="_Toc448849413"/>
      <w:bookmarkEnd w:id="1169"/>
      <w:bookmarkStart w:id="1170" w:name="_Toc448849105"/>
      <w:bookmarkEnd w:id="1170"/>
      <w:bookmarkStart w:id="1171" w:name="_Toc448848763"/>
      <w:bookmarkEnd w:id="1171"/>
      <w:bookmarkStart w:id="1172" w:name="_Toc448849412"/>
      <w:bookmarkEnd w:id="1172"/>
      <w:bookmarkStart w:id="1173" w:name="_Toc448849104"/>
      <w:bookmarkEnd w:id="1173"/>
      <w:bookmarkStart w:id="1174" w:name="_Toc448848762"/>
      <w:bookmarkEnd w:id="1174"/>
      <w:bookmarkStart w:id="1175" w:name="_Toc448849411"/>
      <w:bookmarkEnd w:id="1175"/>
      <w:bookmarkStart w:id="1176" w:name="_Toc448849103"/>
      <w:bookmarkEnd w:id="1176"/>
      <w:bookmarkStart w:id="1177" w:name="_Toc448849389"/>
      <w:bookmarkEnd w:id="1177"/>
      <w:bookmarkStart w:id="1178" w:name="_Toc448849081"/>
      <w:bookmarkEnd w:id="1178"/>
      <w:bookmarkStart w:id="1179" w:name="_Toc448848739"/>
      <w:bookmarkEnd w:id="1179"/>
      <w:bookmarkStart w:id="1180" w:name="_Toc448849381"/>
      <w:bookmarkEnd w:id="1180"/>
      <w:bookmarkStart w:id="1181" w:name="_Toc448849073"/>
      <w:bookmarkEnd w:id="1181"/>
      <w:bookmarkStart w:id="1182" w:name="_Toc448848731"/>
      <w:bookmarkEnd w:id="1182"/>
      <w:bookmarkStart w:id="1183" w:name="_Toc448849372"/>
      <w:bookmarkEnd w:id="1183"/>
      <w:bookmarkStart w:id="1184" w:name="_Toc448849064"/>
      <w:bookmarkEnd w:id="1184"/>
      <w:bookmarkStart w:id="1185" w:name="_Toc448848722"/>
      <w:bookmarkEnd w:id="1185"/>
      <w:bookmarkStart w:id="1186" w:name="_Toc448848720"/>
      <w:bookmarkEnd w:id="1186"/>
      <w:bookmarkStart w:id="1187" w:name="_Toc448849369"/>
      <w:bookmarkEnd w:id="1187"/>
      <w:bookmarkStart w:id="1188" w:name="_Toc448849061"/>
      <w:bookmarkEnd w:id="1188"/>
      <w:bookmarkStart w:id="1189" w:name="_Toc448848719"/>
      <w:bookmarkEnd w:id="1189"/>
      <w:bookmarkStart w:id="1190" w:name="_Toc448849368"/>
      <w:bookmarkEnd w:id="1190"/>
      <w:bookmarkStart w:id="1191" w:name="_Toc448849060"/>
      <w:bookmarkEnd w:id="1191"/>
      <w:bookmarkStart w:id="1192" w:name="_Toc448848718"/>
      <w:bookmarkEnd w:id="1192"/>
      <w:bookmarkStart w:id="1193" w:name="_Toc448849058"/>
      <w:bookmarkEnd w:id="1193"/>
      <w:bookmarkStart w:id="1194" w:name="_Toc448848716"/>
      <w:bookmarkEnd w:id="1194"/>
      <w:bookmarkStart w:id="1195" w:name="_Toc448849365"/>
      <w:bookmarkEnd w:id="1195"/>
      <w:bookmarkStart w:id="1196" w:name="_Toc448849057"/>
      <w:bookmarkEnd w:id="1196"/>
      <w:bookmarkStart w:id="1197" w:name="_Toc448848715"/>
      <w:bookmarkEnd w:id="1197"/>
      <w:bookmarkStart w:id="1198" w:name="_Toc448849364"/>
      <w:bookmarkEnd w:id="1198"/>
      <w:bookmarkStart w:id="1199" w:name="_Toc448849056"/>
      <w:bookmarkEnd w:id="1199"/>
      <w:bookmarkStart w:id="1200" w:name="_Toc448848714"/>
      <w:bookmarkEnd w:id="1200"/>
      <w:bookmarkStart w:id="1201" w:name="_Toc448849363"/>
      <w:bookmarkEnd w:id="1201"/>
      <w:bookmarkStart w:id="1202" w:name="_Toc448848712"/>
      <w:bookmarkEnd w:id="1202"/>
      <w:bookmarkStart w:id="1203" w:name="_Toc448849361"/>
      <w:bookmarkEnd w:id="1203"/>
      <w:bookmarkStart w:id="1204" w:name="_Toc448849053"/>
      <w:bookmarkEnd w:id="1204"/>
      <w:bookmarkStart w:id="1205" w:name="_Toc448848711"/>
      <w:bookmarkEnd w:id="1205"/>
      <w:bookmarkStart w:id="1206" w:name="_Toc448849360"/>
      <w:bookmarkEnd w:id="1206"/>
      <w:bookmarkStart w:id="1207" w:name="_Toc448849052"/>
      <w:bookmarkEnd w:id="1207"/>
      <w:bookmarkStart w:id="1208" w:name="_Toc448848710"/>
      <w:bookmarkEnd w:id="1208"/>
      <w:bookmarkStart w:id="1209" w:name="_Toc448849359"/>
      <w:bookmarkEnd w:id="1209"/>
      <w:bookmarkStart w:id="1210" w:name="_Toc448848708"/>
      <w:bookmarkEnd w:id="1210"/>
      <w:bookmarkStart w:id="1211" w:name="_Toc448849357"/>
      <w:bookmarkEnd w:id="1211"/>
      <w:bookmarkStart w:id="1212" w:name="_Toc448849049"/>
      <w:bookmarkEnd w:id="1212"/>
      <w:bookmarkStart w:id="1213" w:name="_Toc448848707"/>
      <w:bookmarkEnd w:id="1213"/>
      <w:bookmarkStart w:id="1214" w:name="_Toc448849356"/>
      <w:bookmarkEnd w:id="1214"/>
      <w:bookmarkStart w:id="1215" w:name="_Toc448849048"/>
      <w:bookmarkEnd w:id="1215"/>
      <w:bookmarkStart w:id="1216" w:name="_Toc448848706"/>
      <w:bookmarkEnd w:id="1216"/>
      <w:bookmarkStart w:id="1217" w:name="_Toc448849355"/>
      <w:bookmarkEnd w:id="1217"/>
      <w:bookmarkStart w:id="1218" w:name="_Toc448849047"/>
      <w:bookmarkEnd w:id="1218"/>
      <w:bookmarkStart w:id="1219" w:name="_Toc448848705"/>
      <w:bookmarkEnd w:id="1219"/>
      <w:bookmarkStart w:id="1220" w:name="_Toc448849045"/>
      <w:bookmarkEnd w:id="1220"/>
      <w:bookmarkStart w:id="1221" w:name="_Toc448848703"/>
      <w:bookmarkEnd w:id="1221"/>
      <w:bookmarkStart w:id="1222" w:name="_Toc448849352"/>
      <w:bookmarkEnd w:id="1222"/>
      <w:bookmarkStart w:id="1223" w:name="_Toc448849044"/>
      <w:bookmarkEnd w:id="1223"/>
      <w:bookmarkStart w:id="1224" w:name="_Toc448848702"/>
      <w:bookmarkEnd w:id="1224"/>
      <w:bookmarkStart w:id="1225" w:name="_Toc448849351"/>
      <w:bookmarkEnd w:id="1225"/>
      <w:bookmarkStart w:id="1226" w:name="_Toc448849043"/>
      <w:bookmarkEnd w:id="1226"/>
      <w:bookmarkStart w:id="1227" w:name="_Toc448848701"/>
      <w:bookmarkEnd w:id="1227"/>
      <w:bookmarkStart w:id="1228" w:name="_Toc448849350"/>
      <w:bookmarkEnd w:id="1228"/>
      <w:bookmarkStart w:id="1229" w:name="_Toc448849042"/>
      <w:bookmarkEnd w:id="1229"/>
      <w:bookmarkStart w:id="1230" w:name="_Toc448848700"/>
      <w:bookmarkEnd w:id="1230"/>
      <w:bookmarkStart w:id="1231" w:name="_Toc448849349"/>
      <w:bookmarkEnd w:id="1231"/>
      <w:bookmarkStart w:id="1232" w:name="_Toc448849041"/>
      <w:bookmarkEnd w:id="1232"/>
      <w:bookmarkStart w:id="1233" w:name="_Toc448849341"/>
      <w:bookmarkEnd w:id="1233"/>
      <w:bookmarkStart w:id="1234" w:name="_Ref448738791"/>
      <w:bookmarkStart w:id="1235" w:name="_Toc534891124"/>
      <w:bookmarkStart w:id="1236" w:name="_Toc320479575"/>
      <w:r>
        <w:rPr>
          <w:rFonts w:eastAsia="宋体"/>
          <w:b/>
        </w:rPr>
        <w:t>违约赔偿</w:t>
      </w:r>
      <w:bookmarkEnd w:id="1234"/>
      <w:bookmarkEnd w:id="1235"/>
    </w:p>
    <w:p>
      <w:pPr>
        <w:pStyle w:val="213"/>
        <w:spacing w:after="120"/>
        <w:rPr>
          <w:rFonts w:ascii="Times New Roman" w:hAnsi="Times New Roman"/>
        </w:rPr>
      </w:pPr>
      <w:r>
        <w:rPr>
          <w:rFonts w:ascii="Times New Roman" w:hAnsi="Times New Roman"/>
        </w:rPr>
        <w:t>赔偿</w:t>
      </w:r>
    </w:p>
    <w:p>
      <w:pPr>
        <w:pStyle w:val="214"/>
        <w:spacing w:after="72"/>
      </w:pPr>
      <w:r>
        <w:t>受限于本合同的</w:t>
      </w:r>
      <w:r>
        <w:rPr>
          <w:rFonts w:hint="eastAsia"/>
        </w:rPr>
        <w:t>约</w:t>
      </w:r>
      <w:r>
        <w:t>定，每一方应有权获得因违约方违约而使该方遭受的任何损失、支出和费用的赔偿，该项赔偿由违约方支付。该项赔偿不应超过违约方在签订本合同时已经预见或应当预见到的因违反本合同可能造成的损失。</w:t>
      </w:r>
    </w:p>
    <w:p>
      <w:pPr>
        <w:pStyle w:val="214"/>
        <w:spacing w:after="72"/>
      </w:pPr>
      <w:r>
        <w:rPr>
          <w:rFonts w:hint="eastAsia"/>
        </w:rPr>
        <w:t>除本合同另有约定外，乙方应支付的违约金可以由甲方从乙方下次应获得的污水处理服务费中扣除。污水处理服务费不足的，乙方应及时补足差额部分；乙方未及时补足的，甲方有权从履约保函中扣除相应的金额。</w:t>
      </w:r>
    </w:p>
    <w:p>
      <w:pPr>
        <w:pStyle w:val="214"/>
        <w:spacing w:after="72"/>
      </w:pPr>
      <w:r>
        <w:rPr>
          <w:rFonts w:hint="eastAsia"/>
        </w:rPr>
        <w:t>根据本合同约定甲方应支付的违约金，由甲方在下次污水处理服务费拨付时，统一支付给乙方。</w:t>
      </w:r>
    </w:p>
    <w:p>
      <w:pPr>
        <w:pStyle w:val="213"/>
        <w:spacing w:after="120"/>
        <w:rPr>
          <w:rFonts w:ascii="Times New Roman" w:hAnsi="Times New Roman"/>
        </w:rPr>
      </w:pPr>
      <w:r>
        <w:rPr>
          <w:rFonts w:ascii="Times New Roman" w:hAnsi="Times New Roman"/>
        </w:rPr>
        <w:t>免责</w:t>
      </w:r>
    </w:p>
    <w:p>
      <w:pPr>
        <w:pStyle w:val="218"/>
        <w:spacing w:after="72"/>
      </w:pPr>
      <w:r>
        <w:t>如果一方证明其未履行义务是由于不可抗力造成的，则该方可根据</w:t>
      </w:r>
      <w:r>
        <w:fldChar w:fldCharType="begin"/>
      </w:r>
      <w:r>
        <w:instrText xml:space="preserve"> REF _Ref448872988 \r \h  \* MERGEFORMAT </w:instrText>
      </w:r>
      <w:r>
        <w:fldChar w:fldCharType="separate"/>
      </w:r>
      <w:r>
        <w:rPr>
          <w:rFonts w:hint="eastAsia"/>
        </w:rPr>
        <w:t>第16条</w:t>
      </w:r>
      <w:r>
        <w:rPr>
          <w:rFonts w:hint="eastAsia"/>
        </w:rPr>
        <w:fldChar w:fldCharType="end"/>
      </w:r>
      <w:r>
        <w:rPr>
          <w:rFonts w:hint="eastAsia"/>
        </w:rPr>
        <w:t>约</w:t>
      </w:r>
      <w:r>
        <w:t>定免责。</w:t>
      </w:r>
    </w:p>
    <w:p>
      <w:pPr>
        <w:pStyle w:val="213"/>
        <w:spacing w:after="120"/>
        <w:rPr>
          <w:rFonts w:ascii="Times New Roman" w:hAnsi="Times New Roman"/>
        </w:rPr>
      </w:pPr>
      <w:r>
        <w:rPr>
          <w:rFonts w:ascii="Times New Roman" w:hAnsi="Times New Roman"/>
        </w:rPr>
        <w:t>减轻损失的措施</w:t>
      </w:r>
    </w:p>
    <w:p>
      <w:pPr>
        <w:pStyle w:val="214"/>
        <w:spacing w:after="72"/>
      </w:pPr>
      <w:r>
        <w:t>由于另一方违约而遭受损失或可能会遭受损失的一方应采取合理行动减轻或最大程度地减少另一方违约引起的损失。</w:t>
      </w:r>
    </w:p>
    <w:p>
      <w:pPr>
        <w:pStyle w:val="214"/>
        <w:spacing w:after="72"/>
      </w:pPr>
      <w:r>
        <w:t>如果一方未能采取此类措施，违约方可以请求从赔偿金额中扣除本应能够减轻或减少的损失金额。</w:t>
      </w:r>
    </w:p>
    <w:p>
      <w:pPr>
        <w:pStyle w:val="214"/>
        <w:spacing w:after="72"/>
      </w:pPr>
      <w:r>
        <w:t>受损害的一方有权从另一方获得其因试图减轻和减少损失而合理发生的任何费用。</w:t>
      </w:r>
    </w:p>
    <w:p>
      <w:pPr>
        <w:pStyle w:val="213"/>
        <w:spacing w:after="120"/>
        <w:rPr>
          <w:rFonts w:ascii="Times New Roman" w:hAnsi="Times New Roman"/>
        </w:rPr>
      </w:pPr>
      <w:r>
        <w:rPr>
          <w:rFonts w:ascii="Times New Roman" w:hAnsi="Times New Roman"/>
        </w:rPr>
        <w:t>部分由于受损害方造成的损失</w:t>
      </w:r>
    </w:p>
    <w:p>
      <w:pPr>
        <w:pStyle w:val="218"/>
        <w:spacing w:after="72"/>
      </w:pPr>
      <w:r>
        <w:t>如果损失的一部分是由于受损害方的作为或不作为造成的，或产生于应由受损害方承担风险的另一事件，赔偿的数额应扣除这些因素造成的损失。</w:t>
      </w:r>
    </w:p>
    <w:p>
      <w:pPr>
        <w:pStyle w:val="213"/>
        <w:spacing w:after="120"/>
        <w:rPr>
          <w:rFonts w:ascii="Times New Roman" w:hAnsi="Times New Roman"/>
        </w:rPr>
      </w:pPr>
      <w:r>
        <w:rPr>
          <w:rFonts w:ascii="Times New Roman" w:hAnsi="Times New Roman"/>
        </w:rPr>
        <w:t>对间接损失不负责任</w:t>
      </w:r>
    </w:p>
    <w:p>
      <w:pPr>
        <w:pStyle w:val="218"/>
        <w:spacing w:after="72"/>
      </w:pPr>
      <w:r>
        <w:t>除非本合同另有</w:t>
      </w:r>
      <w:r>
        <w:rPr>
          <w:rFonts w:hint="eastAsia"/>
        </w:rPr>
        <w:t>约</w:t>
      </w:r>
      <w:r>
        <w:t>定，各方均不应对由于或根据本合同产生的或与其相关的任何索赔为对方的任何间接、特殊或附带损失或惩罚性损害赔偿负责。</w:t>
      </w:r>
    </w:p>
    <w:bookmarkEnd w:id="1236"/>
    <w:p>
      <w:pPr>
        <w:pStyle w:val="212"/>
        <w:spacing w:before="360" w:after="120" w:line="360" w:lineRule="auto"/>
        <w:rPr>
          <w:rFonts w:eastAsia="宋体"/>
          <w:b/>
        </w:rPr>
      </w:pPr>
      <w:bookmarkStart w:id="1237" w:name="_Toc448849501"/>
      <w:bookmarkEnd w:id="1237"/>
      <w:bookmarkStart w:id="1238" w:name="_Toc448849193"/>
      <w:bookmarkEnd w:id="1238"/>
      <w:bookmarkStart w:id="1239" w:name="_Toc448849191"/>
      <w:bookmarkEnd w:id="1239"/>
      <w:bookmarkStart w:id="1240" w:name="_Toc448848851"/>
      <w:bookmarkEnd w:id="1240"/>
      <w:bookmarkStart w:id="1241" w:name="_Toc448849500"/>
      <w:bookmarkEnd w:id="1241"/>
      <w:bookmarkStart w:id="1242" w:name="_Toc448849192"/>
      <w:bookmarkEnd w:id="1242"/>
      <w:bookmarkStart w:id="1243" w:name="_Toc448848850"/>
      <w:bookmarkEnd w:id="1243"/>
      <w:bookmarkStart w:id="1244" w:name="_Toc448849499"/>
      <w:bookmarkEnd w:id="1244"/>
      <w:bookmarkStart w:id="1245" w:name="_Toc448849190"/>
      <w:bookmarkEnd w:id="1245"/>
      <w:bookmarkStart w:id="1246" w:name="_Toc448848849"/>
      <w:bookmarkEnd w:id="1246"/>
      <w:bookmarkStart w:id="1247" w:name="_Toc448849498"/>
      <w:bookmarkEnd w:id="1247"/>
      <w:bookmarkStart w:id="1248" w:name="_Toc448848848"/>
      <w:bookmarkEnd w:id="1248"/>
      <w:bookmarkStart w:id="1249" w:name="_Toc448849497"/>
      <w:bookmarkEnd w:id="1249"/>
      <w:bookmarkStart w:id="1250" w:name="_Toc448849189"/>
      <w:bookmarkEnd w:id="1250"/>
      <w:bookmarkStart w:id="1251" w:name="_Toc448848847"/>
      <w:bookmarkEnd w:id="1251"/>
      <w:bookmarkStart w:id="1252" w:name="_Toc448849496"/>
      <w:bookmarkEnd w:id="1252"/>
      <w:bookmarkStart w:id="1253" w:name="_Toc448849188"/>
      <w:bookmarkEnd w:id="1253"/>
      <w:bookmarkStart w:id="1254" w:name="_Toc448848846"/>
      <w:bookmarkEnd w:id="1254"/>
      <w:bookmarkStart w:id="1255" w:name="_Toc483324695"/>
      <w:bookmarkEnd w:id="1255"/>
      <w:bookmarkStart w:id="1256" w:name="_Toc483135240"/>
      <w:bookmarkEnd w:id="1256"/>
      <w:bookmarkStart w:id="1257" w:name="_Toc483324694"/>
      <w:bookmarkEnd w:id="1257"/>
      <w:bookmarkStart w:id="1258" w:name="_Toc483135239"/>
      <w:bookmarkEnd w:id="1258"/>
      <w:bookmarkStart w:id="1259" w:name="_Toc483324693"/>
      <w:bookmarkEnd w:id="1259"/>
      <w:bookmarkStart w:id="1260" w:name="_Toc483135238"/>
      <w:bookmarkEnd w:id="1260"/>
      <w:bookmarkStart w:id="1261" w:name="_Toc417373179"/>
      <w:bookmarkStart w:id="1262" w:name="_Ref479683327"/>
      <w:bookmarkStart w:id="1263" w:name="_Ref493000546"/>
      <w:bookmarkStart w:id="1264" w:name="_Toc448060834"/>
      <w:bookmarkStart w:id="1265" w:name="_Ref449094741"/>
      <w:bookmarkStart w:id="1266" w:name="_Ref448755977"/>
      <w:bookmarkStart w:id="1267" w:name="_Toc417325895"/>
      <w:bookmarkStart w:id="1268" w:name="_Toc534891125"/>
      <w:r>
        <w:rPr>
          <w:rFonts w:hint="eastAsia" w:eastAsia="宋体"/>
          <w:b/>
        </w:rPr>
        <w:t>争议解决</w:t>
      </w:r>
      <w:bookmarkEnd w:id="1261"/>
      <w:bookmarkEnd w:id="1262"/>
      <w:bookmarkEnd w:id="1263"/>
      <w:bookmarkEnd w:id="1264"/>
      <w:bookmarkEnd w:id="1265"/>
      <w:bookmarkEnd w:id="1266"/>
      <w:bookmarkEnd w:id="1267"/>
      <w:r>
        <w:rPr>
          <w:rFonts w:hint="eastAsia" w:ascii="宋体" w:hAnsi="宋体" w:eastAsia="宋体"/>
          <w:b/>
        </w:rPr>
        <w:t>★</w:t>
      </w:r>
      <w:bookmarkEnd w:id="1268"/>
    </w:p>
    <w:p>
      <w:pPr>
        <w:pStyle w:val="213"/>
        <w:spacing w:after="120"/>
        <w:rPr>
          <w:rFonts w:ascii="Times New Roman" w:hAnsi="Times New Roman"/>
        </w:rPr>
      </w:pPr>
      <w:bookmarkStart w:id="1269" w:name="_Ref448587410"/>
      <w:r>
        <w:rPr>
          <w:rFonts w:ascii="Times New Roman" w:hAnsi="Times New Roman"/>
        </w:rPr>
        <w:t>友好协商</w:t>
      </w:r>
      <w:bookmarkEnd w:id="1269"/>
    </w:p>
    <w:p>
      <w:pPr>
        <w:pStyle w:val="214"/>
        <w:spacing w:after="72"/>
      </w:pPr>
      <w:bookmarkStart w:id="1270" w:name="_Ref448587924"/>
      <w:r>
        <w:t>若双方对于由于本合同条款或与本合同有关的条款的解释，包括关于其存在、有效或终止的任何问题产生任何争议、分歧或索赔，则应尽力通过协商友好解决。</w:t>
      </w:r>
      <w:bookmarkEnd w:id="1270"/>
    </w:p>
    <w:p>
      <w:pPr>
        <w:pStyle w:val="214"/>
        <w:spacing w:after="72"/>
      </w:pPr>
      <w:bookmarkStart w:id="1271" w:name="_Ref448587948"/>
      <w:r>
        <w:t>除本合同另有</w:t>
      </w:r>
      <w:r>
        <w:rPr>
          <w:rFonts w:hint="eastAsia"/>
        </w:rPr>
        <w:t>约</w:t>
      </w:r>
      <w:r>
        <w:t>定，若在尝试友好协商解决后六十（60）日内该争议未能根据第</w:t>
      </w:r>
      <w:r>
        <w:fldChar w:fldCharType="begin"/>
      </w:r>
      <w:r>
        <w:instrText xml:space="preserve"> REF _Ref448587924 \r \h  \* MERGEFORMAT </w:instrText>
      </w:r>
      <w:r>
        <w:fldChar w:fldCharType="separate"/>
      </w:r>
      <w:r>
        <w:t>22.1.1</w:t>
      </w:r>
      <w:r>
        <w:fldChar w:fldCharType="end"/>
      </w:r>
      <w:r>
        <w:t>条款得到解决，则应适用第</w:t>
      </w:r>
      <w:r>
        <w:fldChar w:fldCharType="begin"/>
      </w:r>
      <w:r>
        <w:instrText xml:space="preserve"> REF _Ref528068310 \r \h  \* MERGEFORMAT </w:instrText>
      </w:r>
      <w:r>
        <w:fldChar w:fldCharType="separate"/>
      </w:r>
      <w:r>
        <w:t>22.2</w:t>
      </w:r>
      <w:r>
        <w:fldChar w:fldCharType="end"/>
      </w:r>
      <w:r>
        <w:t>条款的</w:t>
      </w:r>
      <w:r>
        <w:rPr>
          <w:rFonts w:hint="eastAsia"/>
        </w:rPr>
        <w:t>约</w:t>
      </w:r>
      <w:r>
        <w:t>定。</w:t>
      </w:r>
      <w:bookmarkEnd w:id="1271"/>
    </w:p>
    <w:p>
      <w:pPr>
        <w:pStyle w:val="213"/>
        <w:spacing w:after="120"/>
        <w:rPr>
          <w:rFonts w:ascii="Times New Roman" w:hAnsi="Times New Roman"/>
        </w:rPr>
      </w:pPr>
      <w:bookmarkStart w:id="1272" w:name="_Ref528068310"/>
      <w:r>
        <w:rPr>
          <w:rFonts w:hint="eastAsia" w:ascii="Times New Roman" w:hAnsi="Times New Roman"/>
        </w:rPr>
        <w:t>仲裁</w:t>
      </w:r>
      <w:bookmarkEnd w:id="1272"/>
    </w:p>
    <w:p>
      <w:pPr>
        <w:pStyle w:val="218"/>
        <w:spacing w:afterLines="50"/>
      </w:pPr>
      <w:r>
        <w:t>若双方未能根据第</w:t>
      </w:r>
      <w:r>
        <w:fldChar w:fldCharType="begin"/>
      </w:r>
      <w:r>
        <w:instrText xml:space="preserve"> REF _Ref448587410 \r \h  \* MERGEFORMAT </w:instrText>
      </w:r>
      <w:r>
        <w:fldChar w:fldCharType="separate"/>
      </w:r>
      <w:r>
        <w:t>22.1</w:t>
      </w:r>
      <w:r>
        <w:fldChar w:fldCharType="end"/>
      </w:r>
      <w:r>
        <w:t>条款解决争议，则任何一方有权向</w:t>
      </w:r>
      <w:r>
        <w:rPr>
          <w:rFonts w:hint="eastAsia"/>
        </w:rPr>
        <w:t>许昌市仲裁委员会</w:t>
      </w:r>
      <w:r>
        <w:t>申请仲裁。</w:t>
      </w:r>
    </w:p>
    <w:p>
      <w:pPr>
        <w:pStyle w:val="213"/>
        <w:spacing w:after="120"/>
        <w:rPr>
          <w:rFonts w:ascii="Times New Roman" w:hAnsi="Times New Roman"/>
        </w:rPr>
      </w:pPr>
      <w:r>
        <w:rPr>
          <w:rFonts w:ascii="Times New Roman" w:hAnsi="Times New Roman"/>
        </w:rPr>
        <w:t>争议解决期间本合同的履行</w:t>
      </w:r>
    </w:p>
    <w:p>
      <w:pPr>
        <w:pStyle w:val="218"/>
        <w:spacing w:after="72"/>
      </w:pPr>
      <w:r>
        <w:t>除非本合同另有</w:t>
      </w:r>
      <w:r>
        <w:rPr>
          <w:rFonts w:hint="eastAsia"/>
        </w:rPr>
        <w:t>约</w:t>
      </w:r>
      <w:r>
        <w:t>定，在对争议提交</w:t>
      </w:r>
      <w:r>
        <w:rPr>
          <w:rFonts w:hint="eastAsia"/>
        </w:rPr>
        <w:t>仲裁</w:t>
      </w:r>
      <w:r>
        <w:t>以后，直至作出</w:t>
      </w:r>
      <w:r>
        <w:rPr>
          <w:rFonts w:hint="eastAsia"/>
        </w:rPr>
        <w:t>仲裁</w:t>
      </w:r>
      <w:r>
        <w:t>结果之前，争议各方应继续履行其在本合同项下的所有义务并继续享有其在本合同项下的所有权利（与争议事项有关的义务和权利除外），而不影响以后根据</w:t>
      </w:r>
      <w:r>
        <w:rPr>
          <w:rFonts w:hint="eastAsia"/>
        </w:rPr>
        <w:t>仲裁</w:t>
      </w:r>
      <w:r>
        <w:t>结果进行各方权利、义务和责任的最终调整。</w:t>
      </w:r>
    </w:p>
    <w:p>
      <w:pPr>
        <w:pStyle w:val="213"/>
        <w:spacing w:after="120"/>
        <w:rPr>
          <w:rFonts w:ascii="Times New Roman" w:hAnsi="Times New Roman"/>
        </w:rPr>
      </w:pPr>
      <w:r>
        <w:rPr>
          <w:rFonts w:ascii="Times New Roman" w:hAnsi="Times New Roman"/>
        </w:rPr>
        <w:t>效力</w:t>
      </w:r>
    </w:p>
    <w:p>
      <w:pPr>
        <w:pStyle w:val="213"/>
        <w:numPr>
          <w:ilvl w:val="0"/>
          <w:numId w:val="0"/>
        </w:numPr>
        <w:spacing w:after="120"/>
        <w:ind w:left="567"/>
        <w:outlineLvl w:val="9"/>
        <w:rPr>
          <w:rFonts w:ascii="Times New Roman" w:hAnsi="Times New Roman"/>
        </w:rPr>
      </w:pPr>
      <w:r>
        <w:rPr>
          <w:rFonts w:ascii="Times New Roman" w:hAnsi="Times New Roman"/>
        </w:rPr>
        <w:t>本条款的效力不因本合同的终止、解除、无效或撤销受到影响。</w:t>
      </w:r>
    </w:p>
    <w:p>
      <w:pPr>
        <w:pStyle w:val="212"/>
        <w:spacing w:before="360" w:after="120" w:line="360" w:lineRule="auto"/>
        <w:rPr>
          <w:rFonts w:eastAsia="宋体"/>
          <w:b/>
        </w:rPr>
      </w:pPr>
      <w:bookmarkStart w:id="1273" w:name="_Toc417373183"/>
      <w:bookmarkStart w:id="1274" w:name="_Toc448060835"/>
      <w:bookmarkStart w:id="1275" w:name="_Toc417325899"/>
      <w:bookmarkStart w:id="1276" w:name="_Toc534891126"/>
      <w:r>
        <w:rPr>
          <w:rFonts w:eastAsia="宋体"/>
          <w:b/>
        </w:rPr>
        <w:t>其他约定</w:t>
      </w:r>
      <w:bookmarkEnd w:id="1273"/>
      <w:bookmarkEnd w:id="1274"/>
      <w:bookmarkEnd w:id="1275"/>
      <w:bookmarkEnd w:id="1276"/>
    </w:p>
    <w:p>
      <w:pPr>
        <w:pStyle w:val="213"/>
        <w:spacing w:after="120"/>
        <w:rPr>
          <w:rFonts w:ascii="Times New Roman" w:hAnsi="Times New Roman"/>
        </w:rPr>
      </w:pPr>
      <w:bookmarkStart w:id="1277" w:name="_Toc417373185"/>
      <w:bookmarkStart w:id="1278" w:name="_Toc417325901"/>
      <w:r>
        <w:rPr>
          <w:rFonts w:ascii="Times New Roman" w:hAnsi="Times New Roman"/>
        </w:rPr>
        <w:t>合同的解释规则</w:t>
      </w:r>
    </w:p>
    <w:p>
      <w:pPr>
        <w:pStyle w:val="214"/>
        <w:spacing w:after="72"/>
      </w:pPr>
      <w:r>
        <w:t>本合同包括全部附件，每一份附件都应被视为本合同的一部分。本合同正文的任何</w:t>
      </w:r>
      <w:r>
        <w:rPr>
          <w:rFonts w:hint="eastAsia"/>
        </w:rPr>
        <w:t>约</w:t>
      </w:r>
      <w:r>
        <w:t>定与本合同的附件之间有任何冲突的，应以本合同正文的</w:t>
      </w:r>
      <w:r>
        <w:rPr>
          <w:rFonts w:hint="eastAsia"/>
        </w:rPr>
        <w:t>约</w:t>
      </w:r>
      <w:r>
        <w:t>定为准。本合同受中国法律管辖，其</w:t>
      </w:r>
      <w:r>
        <w:rPr>
          <w:rFonts w:hint="eastAsia"/>
        </w:rPr>
        <w:t>约</w:t>
      </w:r>
      <w:r>
        <w:t>定如与适用的中国法律法规相抵触，则应以该等法律法规中的相关规定为准。</w:t>
      </w:r>
    </w:p>
    <w:p>
      <w:pPr>
        <w:pStyle w:val="214"/>
        <w:spacing w:after="72"/>
      </w:pPr>
      <w:r>
        <w:t>本合同构成双方对项目的完全理解，取代双方以前所有的有关项目的书面和口头陈述、协议或安排。</w:t>
      </w:r>
    </w:p>
    <w:p>
      <w:pPr>
        <w:pStyle w:val="214"/>
        <w:spacing w:after="72"/>
      </w:pPr>
      <w:r>
        <w:t>如果本合同中任何条款不合法、无效或不能执行，或者被任何有管辖权的法院宣布为不合法、无效或不能执行，则其他条款仍然有效和可执行；并且双方应商定对不合法、无效或不能执行的条款进行修改或更换，使之合法、有效并可执行，并且这些修改或更改应尽可能恰如其分地平衡双方之间的利益、权利和义务。</w:t>
      </w:r>
    </w:p>
    <w:p>
      <w:pPr>
        <w:pStyle w:val="213"/>
        <w:spacing w:after="120"/>
        <w:rPr>
          <w:rFonts w:ascii="Times New Roman" w:hAnsi="Times New Roman"/>
        </w:rPr>
      </w:pPr>
      <w:bookmarkStart w:id="1279" w:name="_Toc320479591"/>
      <w:r>
        <w:rPr>
          <w:rFonts w:ascii="Times New Roman" w:hAnsi="Times New Roman"/>
        </w:rPr>
        <w:t>合同的修改</w:t>
      </w:r>
      <w:bookmarkEnd w:id="1279"/>
    </w:p>
    <w:p>
      <w:pPr>
        <w:pStyle w:val="214"/>
        <w:spacing w:after="72"/>
      </w:pPr>
      <w:r>
        <w:t>本合同履行期间，双方可根据届时有效的相关法律或法规的规定，对本合同的某一部分进行修改、补充或变更或对未尽事宜进行补充；双方确认的对本合同的有效的修改、补充或变更的书面文件，均与本合同具有同等法律效力。如其内容与本合同存在冲突或矛盾的部分，以修改、补充或变更的内容为准。</w:t>
      </w:r>
    </w:p>
    <w:p>
      <w:pPr>
        <w:pStyle w:val="214"/>
        <w:spacing w:after="72"/>
      </w:pPr>
      <w:r>
        <w:t>本合同任何修改、补充或变更只有以书面形式并经双方协商一致并由双方法定代表人或各自正式授权的代表签署并加盖公章后方具有法律约束力。如果根据届时有效的相关法律或法规的规定而需要政府有关部门审查批准的，则自政府有关部门审查批准之日起对甲乙双方产生约束力。</w:t>
      </w:r>
    </w:p>
    <w:p>
      <w:pPr>
        <w:pStyle w:val="213"/>
        <w:spacing w:after="120"/>
        <w:rPr>
          <w:rFonts w:ascii="Times New Roman" w:hAnsi="Times New Roman"/>
        </w:rPr>
      </w:pPr>
      <w:bookmarkStart w:id="1280" w:name="_Toc320479593"/>
      <w:r>
        <w:rPr>
          <w:rFonts w:ascii="Times New Roman" w:hAnsi="Times New Roman"/>
        </w:rPr>
        <w:t>合同展期</w:t>
      </w:r>
    </w:p>
    <w:p>
      <w:pPr>
        <w:pStyle w:val="214"/>
        <w:spacing w:after="72"/>
      </w:pPr>
      <w:r>
        <w:t>合作期限届满后，确有必要延长的，按照有关规定经充分评估论证，双方协商一致，且经市政府批准后，可以延长。</w:t>
      </w:r>
    </w:p>
    <w:p>
      <w:pPr>
        <w:pStyle w:val="213"/>
        <w:spacing w:after="120"/>
        <w:rPr>
          <w:rFonts w:ascii="Times New Roman" w:hAnsi="Times New Roman"/>
        </w:rPr>
      </w:pPr>
      <w:r>
        <w:rPr>
          <w:rFonts w:ascii="Times New Roman" w:hAnsi="Times New Roman"/>
        </w:rPr>
        <w:t>双方往来文件的权属</w:t>
      </w:r>
      <w:bookmarkEnd w:id="1280"/>
    </w:p>
    <w:p>
      <w:pPr>
        <w:pStyle w:val="214"/>
        <w:spacing w:after="72"/>
      </w:pPr>
      <w:r>
        <w:t>由甲方向乙方提供的文件和计算机程序及其他一切文件，或者主要在这些文件和计算机程序的基础上制作的文件和程序，应属于甲方的财产。这一规定适用于上述文件和计算机的程序的所有复制件。这些文件、计算机程序或其复制件只能由乙方用于项目之目的。除非甲方和乙方另有协议，否则这类文件、计算机程序或复制件应在本项目合作期结束之际归还甲方。</w:t>
      </w:r>
    </w:p>
    <w:p>
      <w:pPr>
        <w:pStyle w:val="214"/>
        <w:spacing w:after="72"/>
      </w:pPr>
      <w:r>
        <w:t>由乙方向甲方提供的文件和计算机程序及其他文件，应属于乙方的财产。这些文件、计算机程序或其复制件只能由甲方用于项目之目的。</w:t>
      </w:r>
    </w:p>
    <w:p>
      <w:pPr>
        <w:pStyle w:val="213"/>
        <w:spacing w:after="120"/>
        <w:rPr>
          <w:rFonts w:ascii="Times New Roman" w:hAnsi="Times New Roman"/>
        </w:rPr>
      </w:pPr>
      <w:bookmarkStart w:id="1281" w:name="_Toc320479594"/>
      <w:r>
        <w:rPr>
          <w:rFonts w:ascii="Times New Roman" w:hAnsi="Times New Roman"/>
        </w:rPr>
        <w:t>保密</w:t>
      </w:r>
      <w:bookmarkEnd w:id="1281"/>
    </w:p>
    <w:p>
      <w:pPr>
        <w:pStyle w:val="214"/>
        <w:spacing w:after="72"/>
      </w:pPr>
      <w:r>
        <w:t>任何一方或其雇员、承包商、顾问或代理人获得的所有资料和文件（不论是财务、技术或其他方面），未经另一方事先书面同意，在项目终止之后的三年期间不得向第三方透露或公开，但是适用法律要求甲方为充分满足公共监督要求的情况除外。</w:t>
      </w:r>
    </w:p>
    <w:p>
      <w:pPr>
        <w:pStyle w:val="214"/>
        <w:spacing w:after="72"/>
      </w:pPr>
      <w:r>
        <w:t>双方应确保各自接触到这些文件、计算机程序及其复制件的有关雇员遵守本合同相关的保密规定。</w:t>
      </w:r>
    </w:p>
    <w:p>
      <w:pPr>
        <w:pStyle w:val="213"/>
        <w:spacing w:after="120"/>
        <w:rPr>
          <w:rFonts w:ascii="Times New Roman" w:hAnsi="Times New Roman"/>
        </w:rPr>
      </w:pPr>
      <w:bookmarkStart w:id="1282" w:name="_Toc221508373"/>
      <w:bookmarkEnd w:id="1282"/>
      <w:bookmarkStart w:id="1283" w:name="_Toc239553406"/>
      <w:bookmarkEnd w:id="1283"/>
      <w:bookmarkStart w:id="1284" w:name="_Toc221509255"/>
      <w:bookmarkEnd w:id="1284"/>
      <w:bookmarkStart w:id="1285" w:name="_Toc221509213"/>
      <w:bookmarkEnd w:id="1285"/>
      <w:bookmarkStart w:id="1286" w:name="_Toc221508375"/>
      <w:bookmarkEnd w:id="1286"/>
      <w:bookmarkStart w:id="1287" w:name="_Toc221507211"/>
      <w:bookmarkEnd w:id="1287"/>
      <w:bookmarkStart w:id="1288" w:name="_Toc221509254"/>
      <w:bookmarkEnd w:id="1288"/>
      <w:bookmarkStart w:id="1289" w:name="_Toc221509212"/>
      <w:bookmarkEnd w:id="1289"/>
      <w:bookmarkStart w:id="1290" w:name="_Toc221508417"/>
      <w:bookmarkEnd w:id="1290"/>
      <w:bookmarkStart w:id="1291" w:name="_Toc221508418"/>
      <w:bookmarkEnd w:id="1291"/>
      <w:bookmarkStart w:id="1292" w:name="_Toc221508374"/>
      <w:bookmarkEnd w:id="1292"/>
      <w:bookmarkStart w:id="1293" w:name="_Toc221507210"/>
      <w:bookmarkEnd w:id="1293"/>
      <w:bookmarkStart w:id="1294" w:name="_Toc221509253"/>
      <w:bookmarkEnd w:id="1294"/>
      <w:bookmarkStart w:id="1295" w:name="_Toc221509211"/>
      <w:bookmarkEnd w:id="1295"/>
      <w:bookmarkStart w:id="1296" w:name="_Toc221507209"/>
      <w:bookmarkEnd w:id="1296"/>
      <w:bookmarkStart w:id="1297" w:name="_Toc239571118"/>
      <w:bookmarkEnd w:id="1297"/>
      <w:bookmarkStart w:id="1298" w:name="_Toc239554240"/>
      <w:bookmarkEnd w:id="1298"/>
      <w:bookmarkStart w:id="1299" w:name="_Toc239554100"/>
      <w:bookmarkEnd w:id="1299"/>
      <w:bookmarkStart w:id="1300" w:name="_Toc239553823"/>
      <w:bookmarkEnd w:id="1300"/>
      <w:bookmarkStart w:id="1301" w:name="_Toc239553683"/>
      <w:bookmarkEnd w:id="1301"/>
      <w:bookmarkStart w:id="1302" w:name="_Toc221508416"/>
      <w:bookmarkEnd w:id="1302"/>
      <w:bookmarkStart w:id="1303" w:name="_Toc239553334"/>
      <w:bookmarkEnd w:id="1303"/>
      <w:bookmarkStart w:id="1304" w:name="_Toc320479595"/>
      <w:r>
        <w:rPr>
          <w:rFonts w:ascii="Times New Roman" w:hAnsi="Times New Roman"/>
        </w:rPr>
        <w:t>通知的送达</w:t>
      </w:r>
      <w:bookmarkEnd w:id="1304"/>
    </w:p>
    <w:p>
      <w:pPr>
        <w:pStyle w:val="214"/>
        <w:spacing w:after="72"/>
      </w:pPr>
      <w:r>
        <w:t>在履行本合同过程中，双方发给对方的任何通知应以书面方式发出。该通知可以专人送达、传真、特快专递或挂号方式送达的方式发出。所有的通知应送达本合同项下对方当事人的地址或该方事先通知的其他地址或传真号码（该地址或传真号码有变动的，应至少提前三日通知对方）：</w:t>
      </w:r>
    </w:p>
    <w:p>
      <w:pPr>
        <w:pStyle w:val="214"/>
        <w:numPr>
          <w:ilvl w:val="0"/>
          <w:numId w:val="0"/>
        </w:numPr>
        <w:spacing w:after="72"/>
        <w:ind w:left="1418"/>
        <w:rPr>
          <w:u w:val="single"/>
        </w:rPr>
      </w:pPr>
      <w:r>
        <w:t>甲方的地址为 ，收件人为  ，电话 ，传真；</w:t>
      </w:r>
    </w:p>
    <w:p>
      <w:pPr>
        <w:pStyle w:val="214"/>
        <w:numPr>
          <w:ilvl w:val="0"/>
          <w:numId w:val="0"/>
        </w:numPr>
        <w:spacing w:after="72"/>
        <w:ind w:left="1418"/>
        <w:rPr>
          <w:u w:val="single"/>
        </w:rPr>
      </w:pPr>
      <w:r>
        <w:t>乙方的地址为 ，收件人为  ，电话  ，传真 。</w:t>
      </w:r>
    </w:p>
    <w:p>
      <w:pPr>
        <w:pStyle w:val="214"/>
        <w:spacing w:after="72"/>
      </w:pPr>
      <w:r>
        <w:t>上述通知、要求或信息，以专人送达的，以接受方在送达回执上的签收时间为送达日；以传真方式送达的，以发送之日为送达日；以特快专递或挂号方式送达的，以接受方在相应邮寄凭证上签收之日为送达日。</w:t>
      </w:r>
    </w:p>
    <w:p>
      <w:pPr>
        <w:pStyle w:val="214"/>
        <w:spacing w:after="72"/>
      </w:pPr>
      <w:r>
        <w:t>在本项目合作期内，双方应各自指派一名日常事务代表，代表双方与对方进行日常事务的联系和沟通。双方应将自己的日常事务代表书面通知对方，若需变更，则应提前十（10）日将继任人书面通知对方，否则视为未变更。</w:t>
      </w:r>
    </w:p>
    <w:p>
      <w:pPr>
        <w:pStyle w:val="213"/>
        <w:spacing w:after="120"/>
        <w:rPr>
          <w:rFonts w:ascii="Times New Roman" w:hAnsi="Times New Roman"/>
        </w:rPr>
      </w:pPr>
      <w:bookmarkStart w:id="1305" w:name="_Toc320479596"/>
      <w:r>
        <w:rPr>
          <w:rFonts w:ascii="Times New Roman" w:hAnsi="Times New Roman"/>
        </w:rPr>
        <w:t>不弃权</w:t>
      </w:r>
      <w:bookmarkEnd w:id="1305"/>
    </w:p>
    <w:p>
      <w:pPr>
        <w:pStyle w:val="218"/>
        <w:spacing w:afterLines="50"/>
      </w:pPr>
      <w:r>
        <w:t>除非另有规定，一方未行使或迟延行使本合同项下的权利、权力或特权并不构成放弃这些权利、权力和特权，而单一或部分行使这些权利、权力和特权并不排斥行使任何其他权利、权力和特权。</w:t>
      </w:r>
    </w:p>
    <w:p>
      <w:pPr>
        <w:pStyle w:val="213"/>
        <w:spacing w:after="120"/>
        <w:rPr>
          <w:rFonts w:ascii="Times New Roman" w:hAnsi="Times New Roman"/>
        </w:rPr>
      </w:pPr>
      <w:bookmarkStart w:id="1306" w:name="_Toc320479597"/>
      <w:r>
        <w:rPr>
          <w:rFonts w:ascii="Times New Roman" w:hAnsi="Times New Roman"/>
        </w:rPr>
        <w:t>可分割性</w:t>
      </w:r>
      <w:bookmarkEnd w:id="1306"/>
    </w:p>
    <w:p>
      <w:pPr>
        <w:pStyle w:val="218"/>
        <w:spacing w:afterLines="50"/>
      </w:pPr>
      <w:r>
        <w:t>如果本合同中任何条款不合法、无效或不能执行，或者被任何有管辖权的法院宣布为不合法、无效或不能执行，则其他条款仍然有效和可执行；并且双方应商定对不合法、无效或不能执行的条款进行修改或更换，使之合法、有效并可执行，并且这些修改或更改应尽可能恰如其分地平衡双方之间的利益、权利和义务。</w:t>
      </w:r>
    </w:p>
    <w:bookmarkEnd w:id="1277"/>
    <w:bookmarkEnd w:id="1278"/>
    <w:p>
      <w:pPr>
        <w:pStyle w:val="213"/>
        <w:spacing w:after="120"/>
        <w:rPr>
          <w:rFonts w:ascii="Times New Roman" w:hAnsi="Times New Roman"/>
        </w:rPr>
      </w:pPr>
      <w:bookmarkStart w:id="1307" w:name="_Toc417325903"/>
      <w:bookmarkStart w:id="1308" w:name="_Toc417373187"/>
      <w:r>
        <w:rPr>
          <w:rFonts w:ascii="Times New Roman" w:hAnsi="Times New Roman"/>
        </w:rPr>
        <w:t>信息披露</w:t>
      </w:r>
      <w:bookmarkEnd w:id="1307"/>
      <w:bookmarkEnd w:id="1308"/>
    </w:p>
    <w:p>
      <w:pPr>
        <w:pStyle w:val="218"/>
        <w:spacing w:afterLines="50"/>
      </w:pPr>
      <w:r>
        <w:t>为维护公共利益、促进依法行政、提高项目透明度，合同双方有义务按照适用法律和本合同约定，向对方或社会披露适用法律要求披露的信息。</w:t>
      </w:r>
    </w:p>
    <w:p>
      <w:pPr>
        <w:pStyle w:val="213"/>
        <w:spacing w:after="120"/>
        <w:rPr>
          <w:rFonts w:ascii="Times New Roman" w:hAnsi="Times New Roman"/>
        </w:rPr>
      </w:pPr>
      <w:bookmarkStart w:id="1309" w:name="_Toc417325904"/>
      <w:bookmarkStart w:id="1310" w:name="_Toc417373188"/>
      <w:r>
        <w:rPr>
          <w:rFonts w:ascii="Times New Roman" w:hAnsi="Times New Roman"/>
        </w:rPr>
        <w:t>合同份数</w:t>
      </w:r>
      <w:bookmarkEnd w:id="1309"/>
      <w:bookmarkEnd w:id="1310"/>
    </w:p>
    <w:p>
      <w:pPr>
        <w:pStyle w:val="218"/>
        <w:spacing w:afterLines="50"/>
      </w:pPr>
      <w:r>
        <w:t>本合同一式玖（9）份，甲乙双方各执肆（4）份，其余壹（1）份用于办理相关审批、核准、备案、登记或其他手续。各份具有同等法律效力。</w:t>
      </w:r>
    </w:p>
    <w:p>
      <w:pPr>
        <w:pStyle w:val="213"/>
        <w:spacing w:after="120"/>
        <w:rPr>
          <w:rFonts w:ascii="Times New Roman" w:hAnsi="Times New Roman"/>
        </w:rPr>
      </w:pPr>
      <w:r>
        <w:rPr>
          <w:rFonts w:ascii="Times New Roman" w:hAnsi="Times New Roman"/>
        </w:rPr>
        <w:t>合同生效</w:t>
      </w:r>
    </w:p>
    <w:p>
      <w:pPr>
        <w:pStyle w:val="218"/>
        <w:spacing w:afterLines="50"/>
      </w:pPr>
      <w:r>
        <w:t>本合同自双方法定代表人或各自正式授权的代表正式签署并加盖公章之日起开始生效。</w:t>
      </w:r>
    </w:p>
    <w:p>
      <w:pPr>
        <w:pStyle w:val="218"/>
        <w:spacing w:afterLines="50"/>
        <w:ind w:left="0"/>
      </w:pPr>
      <w:r>
        <w:t>（以下无正文，为签字盖章页）</w:t>
      </w:r>
    </w:p>
    <w:p>
      <w:pPr>
        <w:widowControl/>
      </w:pPr>
      <w:r>
        <w:br w:type="page"/>
      </w:r>
    </w:p>
    <w:p>
      <w:pPr>
        <w:spacing w:beforeLines="50" w:afterLines="50" w:line="360" w:lineRule="auto"/>
      </w:pPr>
    </w:p>
    <w:tbl>
      <w:tblPr>
        <w:tblStyle w:val="52"/>
        <w:tblW w:w="8789" w:type="dxa"/>
        <w:tblInd w:w="0" w:type="dxa"/>
        <w:tblLayout w:type="fixed"/>
        <w:tblCellMar>
          <w:top w:w="0" w:type="dxa"/>
          <w:left w:w="108" w:type="dxa"/>
          <w:bottom w:w="0" w:type="dxa"/>
          <w:right w:w="108" w:type="dxa"/>
        </w:tblCellMar>
      </w:tblPr>
      <w:tblGrid>
        <w:gridCol w:w="8789"/>
      </w:tblGrid>
      <w:tr>
        <w:tblPrEx>
          <w:tblLayout w:type="fixed"/>
          <w:tblCellMar>
            <w:top w:w="0" w:type="dxa"/>
            <w:left w:w="108" w:type="dxa"/>
            <w:bottom w:w="0" w:type="dxa"/>
            <w:right w:w="108" w:type="dxa"/>
          </w:tblCellMar>
        </w:tblPrEx>
        <w:tc>
          <w:tcPr>
            <w:tcW w:w="8789" w:type="dxa"/>
          </w:tcPr>
          <w:p>
            <w:pPr>
              <w:pStyle w:val="221"/>
              <w:keepNext/>
              <w:keepLines/>
              <w:spacing w:beforeLines="50" w:afterLines="50" w:line="360" w:lineRule="auto"/>
              <w:ind w:left="0"/>
              <w:rPr>
                <w:rFonts w:cs="Times New Roman"/>
              </w:rPr>
            </w:pPr>
            <w:r>
              <w:rPr>
                <w:rFonts w:cs="Times New Roman"/>
              </w:rPr>
              <w:t>甲方：禹州市住房和城乡规划建设局（公章）</w:t>
            </w:r>
          </w:p>
        </w:tc>
      </w:tr>
      <w:tr>
        <w:tblPrEx>
          <w:tblLayout w:type="fixed"/>
          <w:tblCellMar>
            <w:top w:w="0" w:type="dxa"/>
            <w:left w:w="108" w:type="dxa"/>
            <w:bottom w:w="0" w:type="dxa"/>
            <w:right w:w="108" w:type="dxa"/>
          </w:tblCellMar>
        </w:tblPrEx>
        <w:trPr>
          <w:trHeight w:val="4270" w:hRule="atLeast"/>
        </w:trPr>
        <w:tc>
          <w:tcPr>
            <w:tcW w:w="8789" w:type="dxa"/>
          </w:tcPr>
          <w:p>
            <w:pPr>
              <w:pStyle w:val="221"/>
              <w:keepNext/>
              <w:keepLines/>
              <w:spacing w:beforeLines="50" w:afterLines="50" w:line="360" w:lineRule="auto"/>
              <w:ind w:left="0"/>
              <w:rPr>
                <w:rFonts w:cs="Times New Roman"/>
              </w:rPr>
            </w:pPr>
            <w:r>
              <w:rPr>
                <w:rFonts w:cs="Times New Roman"/>
              </w:rPr>
              <w:t>地址：河南省许昌市禹州市行政南路76号</w:t>
            </w:r>
          </w:p>
          <w:p>
            <w:pPr>
              <w:pStyle w:val="221"/>
              <w:keepNext/>
              <w:keepLines/>
              <w:spacing w:beforeLines="50" w:afterLines="50" w:line="360" w:lineRule="auto"/>
              <w:ind w:left="0"/>
              <w:rPr>
                <w:rFonts w:cs="Times New Roman"/>
              </w:rPr>
            </w:pPr>
          </w:p>
          <w:p>
            <w:pPr>
              <w:pStyle w:val="221"/>
              <w:keepNext/>
              <w:keepLines/>
              <w:spacing w:beforeLines="50" w:afterLines="50" w:line="360" w:lineRule="auto"/>
              <w:ind w:left="0"/>
              <w:rPr>
                <w:rFonts w:cs="Times New Roman"/>
              </w:rPr>
            </w:pPr>
            <w:r>
              <w:rPr>
                <w:rFonts w:cs="Times New Roman"/>
              </w:rPr>
              <w:t>法定代表人/授权代表（签名）</w:t>
            </w:r>
          </w:p>
          <w:p>
            <w:pPr>
              <w:pStyle w:val="221"/>
              <w:keepNext/>
              <w:keepLines/>
              <w:spacing w:beforeLines="50" w:afterLines="50" w:line="360" w:lineRule="auto"/>
              <w:ind w:left="0"/>
              <w:rPr>
                <w:rFonts w:cs="Times New Roman"/>
              </w:rPr>
            </w:pPr>
          </w:p>
          <w:p>
            <w:pPr>
              <w:pStyle w:val="221"/>
              <w:keepNext/>
              <w:keepLines/>
              <w:spacing w:beforeLines="50" w:afterLines="50" w:line="360" w:lineRule="auto"/>
              <w:ind w:left="0"/>
              <w:rPr>
                <w:rFonts w:cs="Times New Roman"/>
              </w:rPr>
            </w:pPr>
            <w:r>
              <w:rPr>
                <w:rFonts w:cs="Times New Roman"/>
              </w:rPr>
              <w:t>签署日期</w:t>
            </w:r>
          </w:p>
        </w:tc>
      </w:tr>
      <w:tr>
        <w:tblPrEx>
          <w:tblLayout w:type="fixed"/>
          <w:tblCellMar>
            <w:top w:w="0" w:type="dxa"/>
            <w:left w:w="108" w:type="dxa"/>
            <w:bottom w:w="0" w:type="dxa"/>
            <w:right w:w="108" w:type="dxa"/>
          </w:tblCellMar>
        </w:tblPrEx>
        <w:tc>
          <w:tcPr>
            <w:tcW w:w="8789" w:type="dxa"/>
          </w:tcPr>
          <w:p>
            <w:pPr>
              <w:pStyle w:val="221"/>
              <w:keepNext/>
              <w:keepLines/>
              <w:spacing w:beforeLines="50" w:afterLines="50" w:line="360" w:lineRule="auto"/>
              <w:ind w:left="0"/>
              <w:rPr>
                <w:rFonts w:cs="Times New Roman"/>
              </w:rPr>
            </w:pPr>
          </w:p>
          <w:p>
            <w:pPr>
              <w:pStyle w:val="221"/>
              <w:keepNext/>
              <w:keepLines/>
              <w:spacing w:beforeLines="50" w:afterLines="50" w:line="360" w:lineRule="auto"/>
              <w:ind w:left="0"/>
              <w:rPr>
                <w:rFonts w:cs="Times New Roman"/>
              </w:rPr>
            </w:pPr>
            <w:r>
              <w:rPr>
                <w:rFonts w:cs="Times New Roman"/>
              </w:rPr>
              <w:t>乙方：                （公章）</w:t>
            </w:r>
          </w:p>
        </w:tc>
      </w:tr>
      <w:tr>
        <w:tblPrEx>
          <w:tblLayout w:type="fixed"/>
          <w:tblCellMar>
            <w:top w:w="0" w:type="dxa"/>
            <w:left w:w="108" w:type="dxa"/>
            <w:bottom w:w="0" w:type="dxa"/>
            <w:right w:w="108" w:type="dxa"/>
          </w:tblCellMar>
        </w:tblPrEx>
        <w:trPr>
          <w:trHeight w:val="4270" w:hRule="atLeast"/>
        </w:trPr>
        <w:tc>
          <w:tcPr>
            <w:tcW w:w="8789" w:type="dxa"/>
          </w:tcPr>
          <w:p>
            <w:pPr>
              <w:pStyle w:val="221"/>
              <w:keepNext/>
              <w:keepLines/>
              <w:spacing w:beforeLines="50" w:afterLines="50" w:line="360" w:lineRule="auto"/>
              <w:ind w:left="0"/>
              <w:rPr>
                <w:rFonts w:cs="Times New Roman"/>
              </w:rPr>
            </w:pPr>
            <w:r>
              <w:rPr>
                <w:rFonts w:cs="Times New Roman"/>
              </w:rPr>
              <w:t>地址</w:t>
            </w:r>
          </w:p>
          <w:p>
            <w:pPr>
              <w:pStyle w:val="221"/>
              <w:keepNext/>
              <w:keepLines/>
              <w:spacing w:beforeLines="50" w:afterLines="50" w:line="360" w:lineRule="auto"/>
              <w:ind w:left="0"/>
              <w:rPr>
                <w:rFonts w:cs="Times New Roman"/>
              </w:rPr>
            </w:pPr>
          </w:p>
          <w:p>
            <w:pPr>
              <w:pStyle w:val="221"/>
              <w:keepNext/>
              <w:keepLines/>
              <w:spacing w:beforeLines="50" w:afterLines="50" w:line="360" w:lineRule="auto"/>
              <w:ind w:left="0"/>
              <w:rPr>
                <w:rFonts w:cs="Times New Roman"/>
              </w:rPr>
            </w:pPr>
            <w:r>
              <w:rPr>
                <w:rFonts w:cs="Times New Roman"/>
              </w:rPr>
              <w:t>法定代表人/授权代表（签名）</w:t>
            </w:r>
          </w:p>
          <w:p>
            <w:pPr>
              <w:pStyle w:val="221"/>
              <w:keepNext/>
              <w:keepLines/>
              <w:spacing w:beforeLines="50" w:afterLines="50" w:line="360" w:lineRule="auto"/>
              <w:ind w:left="0"/>
              <w:rPr>
                <w:rFonts w:cs="Times New Roman"/>
              </w:rPr>
            </w:pPr>
          </w:p>
          <w:p>
            <w:pPr>
              <w:pStyle w:val="221"/>
              <w:keepNext/>
              <w:keepLines/>
              <w:spacing w:beforeLines="50" w:afterLines="50" w:line="360" w:lineRule="auto"/>
              <w:ind w:left="0"/>
              <w:rPr>
                <w:rFonts w:cs="Times New Roman"/>
              </w:rPr>
            </w:pPr>
            <w:r>
              <w:rPr>
                <w:rFonts w:cs="Times New Roman"/>
              </w:rPr>
              <w:t>签署日期</w:t>
            </w:r>
          </w:p>
        </w:tc>
      </w:tr>
    </w:tbl>
    <w:p>
      <w:pPr>
        <w:keepNext/>
        <w:keepLines/>
      </w:pPr>
    </w:p>
    <w:p>
      <w:pPr>
        <w:pStyle w:val="218"/>
        <w:spacing w:after="72"/>
      </w:pPr>
    </w:p>
    <w:p>
      <w:pPr>
        <w:widowControl/>
      </w:pPr>
      <w:bookmarkStart w:id="1311" w:name="_Toc448060836"/>
      <w:r>
        <w:br w:type="page"/>
      </w:r>
    </w:p>
    <w:p>
      <w:pPr>
        <w:pStyle w:val="212"/>
        <w:numPr>
          <w:ilvl w:val="0"/>
          <w:numId w:val="0"/>
        </w:numPr>
        <w:spacing w:before="360" w:after="120" w:line="360" w:lineRule="auto"/>
        <w:rPr>
          <w:b/>
        </w:rPr>
      </w:pPr>
      <w:bookmarkStart w:id="1312" w:name="_Toc534891127"/>
      <w:r>
        <w:rPr>
          <w:b/>
        </w:rPr>
        <w:t>附件一     市政府授权委托书</w:t>
      </w:r>
      <w:r>
        <w:rPr>
          <w:rFonts w:hint="eastAsia"/>
          <w:b/>
        </w:rPr>
        <w:t>及实施方案批复</w:t>
      </w:r>
      <w:bookmarkEnd w:id="1312"/>
    </w:p>
    <w:p>
      <w:pPr>
        <w:widowControl/>
      </w:pPr>
      <w:r>
        <w:drawing>
          <wp:inline distT="0" distB="0" distL="0" distR="0">
            <wp:extent cx="5695950" cy="7795895"/>
            <wp:effectExtent l="0" t="0" r="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95950" cy="7795895"/>
                    </a:xfrm>
                    <a:prstGeom prst="rect">
                      <a:avLst/>
                    </a:prstGeom>
                  </pic:spPr>
                </pic:pic>
              </a:graphicData>
            </a:graphic>
          </wp:inline>
        </w:drawing>
      </w:r>
      <w:r>
        <w:drawing>
          <wp:inline distT="0" distB="0" distL="0" distR="0">
            <wp:extent cx="5695950" cy="79381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95950" cy="7938135"/>
                    </a:xfrm>
                    <a:prstGeom prst="rect">
                      <a:avLst/>
                    </a:prstGeom>
                  </pic:spPr>
                </pic:pic>
              </a:graphicData>
            </a:graphic>
          </wp:inline>
        </w:drawing>
      </w:r>
      <w:r>
        <w:drawing>
          <wp:inline distT="0" distB="0" distL="0" distR="0">
            <wp:extent cx="5695950" cy="7909560"/>
            <wp:effectExtent l="0" t="0" r="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695950" cy="7909560"/>
                    </a:xfrm>
                    <a:prstGeom prst="rect">
                      <a:avLst/>
                    </a:prstGeom>
                  </pic:spPr>
                </pic:pic>
              </a:graphicData>
            </a:graphic>
          </wp:inline>
        </w:drawing>
      </w:r>
    </w:p>
    <w:p>
      <w:pPr>
        <w:widowControl/>
        <w:sectPr>
          <w:headerReference r:id="rId7" w:type="default"/>
          <w:footerReference r:id="rId8" w:type="default"/>
          <w:pgSz w:w="11907" w:h="16860"/>
          <w:pgMar w:top="1418" w:right="1259" w:bottom="1418" w:left="1678" w:header="794" w:footer="737" w:gutter="0"/>
          <w:pgNumType w:start="1"/>
          <w:cols w:space="720" w:num="1"/>
          <w:docGrid w:linePitch="326" w:charSpace="0"/>
        </w:sectPr>
      </w:pPr>
    </w:p>
    <w:p>
      <w:pPr>
        <w:pStyle w:val="212"/>
        <w:numPr>
          <w:ilvl w:val="0"/>
          <w:numId w:val="0"/>
        </w:numPr>
        <w:spacing w:before="360" w:after="120" w:line="360" w:lineRule="auto"/>
        <w:rPr>
          <w:b/>
        </w:rPr>
      </w:pPr>
      <w:bookmarkStart w:id="1313" w:name="_Toc534891128"/>
      <w:r>
        <w:rPr>
          <w:b/>
        </w:rPr>
        <w:t>附件二     污水处理厂运营记录报表</w:t>
      </w:r>
      <w:bookmarkEnd w:id="1313"/>
    </w:p>
    <w:p>
      <w:pPr>
        <w:spacing w:beforeLines="50" w:line="360" w:lineRule="auto"/>
        <w:ind w:firstLine="157" w:firstLineChars="75"/>
        <w:jc w:val="center"/>
        <w:rPr>
          <w:snapToGrid w:val="0"/>
          <w:lang w:val="en-GB"/>
        </w:rPr>
      </w:pPr>
      <w:r>
        <w:rPr>
          <w:snapToGrid w:val="0"/>
          <w:lang w:val="en-GB"/>
        </w:rPr>
        <w:t>表2-1　　　乙方污水处理厂水质日检项目月</w:t>
      </w:r>
      <w:r>
        <w:rPr>
          <w:rFonts w:hint="eastAsia"/>
          <w:snapToGrid w:val="0"/>
          <w:lang w:val="en-GB"/>
        </w:rPr>
        <w:t>、季</w:t>
      </w:r>
      <w:r>
        <w:rPr>
          <w:snapToGrid w:val="0"/>
          <w:lang w:val="en-GB"/>
        </w:rPr>
        <w:t>报表</w:t>
      </w:r>
    </w:p>
    <w:p>
      <w:pPr>
        <w:spacing w:before="100" w:beforeAutospacing="1" w:after="100" w:afterAutospacing="1"/>
        <w:ind w:left="5040" w:hanging="4201"/>
        <w:rPr>
          <w:snapToGrid w:val="0"/>
        </w:rPr>
      </w:pPr>
      <w:r>
        <w:rPr>
          <w:snapToGrid w:val="0"/>
        </w:rPr>
        <w:t>报送单位：</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月份：</w:t>
      </w:r>
    </w:p>
    <w:tbl>
      <w:tblPr>
        <w:tblStyle w:val="52"/>
        <w:tblW w:w="14439" w:type="dxa"/>
        <w:jc w:val="center"/>
        <w:tblInd w:w="0" w:type="dxa"/>
        <w:tblLayout w:type="fixed"/>
        <w:tblCellMar>
          <w:top w:w="0" w:type="dxa"/>
          <w:left w:w="30" w:type="dxa"/>
          <w:bottom w:w="0" w:type="dxa"/>
          <w:right w:w="30" w:type="dxa"/>
        </w:tblCellMar>
      </w:tblPr>
      <w:tblGrid>
        <w:gridCol w:w="646"/>
        <w:gridCol w:w="1296"/>
        <w:gridCol w:w="926"/>
        <w:gridCol w:w="1240"/>
        <w:gridCol w:w="1029"/>
        <w:gridCol w:w="824"/>
        <w:gridCol w:w="794"/>
        <w:gridCol w:w="648"/>
        <w:gridCol w:w="1030"/>
        <w:gridCol w:w="638"/>
        <w:gridCol w:w="824"/>
        <w:gridCol w:w="824"/>
        <w:gridCol w:w="753"/>
        <w:gridCol w:w="689"/>
        <w:gridCol w:w="1030"/>
        <w:gridCol w:w="624"/>
        <w:gridCol w:w="624"/>
      </w:tblGrid>
      <w:tr>
        <w:tblPrEx>
          <w:tblLayout w:type="fixed"/>
          <w:tblCellMar>
            <w:top w:w="0" w:type="dxa"/>
            <w:left w:w="30" w:type="dxa"/>
            <w:bottom w:w="0" w:type="dxa"/>
            <w:right w:w="30" w:type="dxa"/>
          </w:tblCellMar>
        </w:tblPrEx>
        <w:trPr>
          <w:cantSplit/>
          <w:trHeight w:val="592"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jc w:val="center"/>
              <w:rPr>
                <w:snapToGrid w:val="0"/>
              </w:rPr>
            </w:pPr>
            <w:r>
              <w:rPr>
                <w:rFonts w:hint="eastAsia"/>
                <w:snapToGrid w:val="0"/>
              </w:rPr>
              <w:t>项目</w:t>
            </w:r>
          </w:p>
        </w:tc>
        <w:tc>
          <w:tcPr>
            <w:tcW w:w="1296" w:type="dxa"/>
            <w:tcBorders>
              <w:top w:val="single" w:color="000000" w:sz="6" w:space="0"/>
              <w:left w:val="single" w:color="000000" w:sz="6" w:space="0"/>
              <w:bottom w:val="single" w:color="000000" w:sz="6" w:space="0"/>
              <w:right w:val="single" w:color="000000" w:sz="6" w:space="0"/>
            </w:tcBorders>
            <w:vAlign w:val="center"/>
          </w:tcPr>
          <w:p>
            <w:pPr>
              <w:jc w:val="center"/>
              <w:rPr>
                <w:snapToGrid w:val="0"/>
              </w:rPr>
            </w:pPr>
            <w:r>
              <w:rPr>
                <w:rFonts w:hint="eastAsia"/>
                <w:snapToGrid w:val="0"/>
              </w:rPr>
              <w:t>进水</w:t>
            </w:r>
          </w:p>
          <w:p>
            <w:pPr>
              <w:jc w:val="center"/>
              <w:rPr>
                <w:snapToGrid w:val="0"/>
              </w:rPr>
            </w:pPr>
            <w:r>
              <w:rPr>
                <w:rFonts w:hint="eastAsia"/>
                <w:snapToGrid w:val="0"/>
              </w:rPr>
              <w:t>流量计</w:t>
            </w:r>
          </w:p>
        </w:tc>
        <w:tc>
          <w:tcPr>
            <w:tcW w:w="926" w:type="dxa"/>
            <w:tcBorders>
              <w:top w:val="single" w:color="000000" w:sz="6" w:space="0"/>
              <w:left w:val="single" w:color="000000" w:sz="6" w:space="0"/>
              <w:bottom w:val="single" w:color="000000" w:sz="6" w:space="0"/>
              <w:right w:val="single" w:color="auto" w:sz="4" w:space="0"/>
            </w:tcBorders>
            <w:vAlign w:val="center"/>
          </w:tcPr>
          <w:p>
            <w:pPr>
              <w:jc w:val="center"/>
              <w:rPr>
                <w:snapToGrid w:val="0"/>
              </w:rPr>
            </w:pPr>
            <w:r>
              <w:rPr>
                <w:rFonts w:hint="eastAsia"/>
                <w:snapToGrid w:val="0"/>
              </w:rPr>
              <w:t>处理</w:t>
            </w:r>
          </w:p>
          <w:p>
            <w:pPr>
              <w:jc w:val="center"/>
              <w:rPr>
                <w:snapToGrid w:val="0"/>
              </w:rPr>
            </w:pPr>
            <w:r>
              <w:rPr>
                <w:rFonts w:hint="eastAsia"/>
                <w:snapToGrid w:val="0"/>
              </w:rPr>
              <w:t>水量</w:t>
            </w:r>
          </w:p>
        </w:tc>
        <w:tc>
          <w:tcPr>
            <w:tcW w:w="1240" w:type="dxa"/>
            <w:tcBorders>
              <w:top w:val="single" w:color="000000" w:sz="6" w:space="0"/>
              <w:left w:val="single" w:color="auto" w:sz="4" w:space="0"/>
              <w:bottom w:val="single" w:color="000000" w:sz="6" w:space="0"/>
              <w:right w:val="single" w:color="auto" w:sz="4" w:space="0"/>
            </w:tcBorders>
            <w:vAlign w:val="center"/>
          </w:tcPr>
          <w:p>
            <w:pPr>
              <w:jc w:val="center"/>
              <w:rPr>
                <w:snapToGrid w:val="0"/>
              </w:rPr>
            </w:pPr>
            <w:r>
              <w:rPr>
                <w:rFonts w:hint="eastAsia"/>
                <w:snapToGrid w:val="0"/>
              </w:rPr>
              <w:t>污泥量</w:t>
            </w:r>
          </w:p>
        </w:tc>
        <w:tc>
          <w:tcPr>
            <w:tcW w:w="1029" w:type="dxa"/>
            <w:tcBorders>
              <w:top w:val="single" w:color="000000" w:sz="6" w:space="0"/>
              <w:left w:val="single" w:color="auto" w:sz="4" w:space="0"/>
              <w:bottom w:val="single" w:color="000000" w:sz="6" w:space="0"/>
              <w:right w:val="single" w:color="000000" w:sz="6" w:space="0"/>
            </w:tcBorders>
            <w:vAlign w:val="center"/>
          </w:tcPr>
          <w:p>
            <w:pPr>
              <w:jc w:val="center"/>
              <w:rPr>
                <w:snapToGrid w:val="0"/>
              </w:rPr>
            </w:pPr>
            <w:r>
              <w:rPr>
                <w:rFonts w:hint="eastAsia"/>
                <w:snapToGrid w:val="0"/>
              </w:rPr>
              <w:t>含水率</w:t>
            </w:r>
          </w:p>
        </w:tc>
        <w:tc>
          <w:tcPr>
            <w:tcW w:w="4758" w:type="dxa"/>
            <w:gridSpan w:val="6"/>
            <w:tcBorders>
              <w:top w:val="single" w:color="000000" w:sz="6" w:space="0"/>
              <w:left w:val="single" w:color="000000" w:sz="6" w:space="0"/>
              <w:bottom w:val="single" w:color="000000" w:sz="6" w:space="0"/>
              <w:right w:val="single" w:color="000000" w:sz="6" w:space="0"/>
            </w:tcBorders>
            <w:vAlign w:val="center"/>
          </w:tcPr>
          <w:p>
            <w:pPr>
              <w:jc w:val="center"/>
              <w:rPr>
                <w:snapToGrid w:val="0"/>
              </w:rPr>
            </w:pPr>
            <w:r>
              <w:rPr>
                <w:rFonts w:hint="eastAsia"/>
                <w:snapToGrid w:val="0"/>
              </w:rPr>
              <w:t>进水指标（</w:t>
            </w:r>
            <w:r>
              <w:rPr>
                <w:snapToGrid w:val="0"/>
              </w:rPr>
              <w:t>mg/l</w:t>
            </w:r>
            <w:r>
              <w:rPr>
                <w:rFonts w:hint="eastAsia"/>
                <w:snapToGrid w:val="0"/>
              </w:rPr>
              <w:t>）</w:t>
            </w:r>
          </w:p>
        </w:tc>
        <w:tc>
          <w:tcPr>
            <w:tcW w:w="4544" w:type="dxa"/>
            <w:gridSpan w:val="6"/>
            <w:tcBorders>
              <w:top w:val="single" w:color="000000" w:sz="6" w:space="0"/>
              <w:left w:val="single" w:color="000000" w:sz="6" w:space="0"/>
              <w:bottom w:val="single" w:color="000000" w:sz="6" w:space="0"/>
              <w:right w:val="single" w:color="000000" w:sz="6" w:space="0"/>
            </w:tcBorders>
            <w:vAlign w:val="center"/>
          </w:tcPr>
          <w:p>
            <w:pPr>
              <w:jc w:val="center"/>
              <w:rPr>
                <w:snapToGrid w:val="0"/>
              </w:rPr>
            </w:pPr>
            <w:r>
              <w:rPr>
                <w:rFonts w:hint="eastAsia"/>
                <w:snapToGrid w:val="0"/>
              </w:rPr>
              <w:t>出水指标（</w:t>
            </w:r>
            <w:r>
              <w:rPr>
                <w:snapToGrid w:val="0"/>
              </w:rPr>
              <w:t>mg/l)</w:t>
            </w:r>
          </w:p>
        </w:tc>
      </w:tr>
      <w:tr>
        <w:tblPrEx>
          <w:tblLayout w:type="fixed"/>
          <w:tblCellMar>
            <w:top w:w="0" w:type="dxa"/>
            <w:left w:w="30" w:type="dxa"/>
            <w:bottom w:w="0" w:type="dxa"/>
            <w:right w:w="30" w:type="dxa"/>
          </w:tblCellMar>
        </w:tblPrEx>
        <w:trPr>
          <w:trHeight w:val="58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rPr>
                <w:rFonts w:hint="eastAsia"/>
                <w:snapToGrid w:val="0"/>
              </w:rPr>
              <w:t>日期</w:t>
            </w: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rPr>
                <w:rFonts w:hint="eastAsia"/>
                <w:snapToGrid w:val="0"/>
              </w:rPr>
              <w:t>显示值</w:t>
            </w: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Lines="10" w:after="20"/>
              <w:jc w:val="center"/>
              <w:rPr>
                <w:snapToGrid w:val="0"/>
                <w:lang w:eastAsia="en-US"/>
              </w:rPr>
            </w:pPr>
            <w:r>
              <w:rPr>
                <w:rFonts w:hint="eastAsia"/>
                <w:snapToGrid w:val="0"/>
                <w:lang w:eastAsia="en-US"/>
              </w:rPr>
              <w:t>立方米</w:t>
            </w: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Lines="10" w:after="20"/>
              <w:jc w:val="center"/>
              <w:rPr>
                <w:snapToGrid w:val="0"/>
              </w:rPr>
            </w:pPr>
            <w:r>
              <w:rPr>
                <w:rFonts w:hint="eastAsia"/>
                <w:snapToGrid w:val="0"/>
              </w:rPr>
              <w:t>吨</w:t>
            </w: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Lines="10" w:after="20"/>
              <w:jc w:val="center"/>
              <w:rPr>
                <w:snapToGrid w:val="0"/>
              </w:rPr>
            </w:pPr>
            <w:r>
              <w:rPr>
                <w:rFonts w:hint="eastAsia"/>
                <w:snapToGrid w:val="0"/>
              </w:rPr>
              <w:t>％</w:t>
            </w: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COD</w:t>
            </w:r>
            <w:r>
              <w:rPr>
                <w:snapToGrid w:val="0"/>
                <w:vertAlign w:val="subscript"/>
              </w:rPr>
              <w:t>cr</w:t>
            </w: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BOD</w:t>
            </w:r>
            <w:r>
              <w:rPr>
                <w:snapToGrid w:val="0"/>
                <w:vertAlign w:val="subscript"/>
                <w:lang w:eastAsia="en-US"/>
              </w:rPr>
              <w:t>5</w:t>
            </w: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SS</w:t>
            </w: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t>NH</w:t>
            </w:r>
            <w:r>
              <w:rPr>
                <w:vertAlign w:val="subscript"/>
              </w:rPr>
              <w:t>3</w:t>
            </w:r>
            <w:r>
              <w:t>-N</w:t>
            </w: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TP</w:t>
            </w: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rPr>
                <w:snapToGrid w:val="0"/>
              </w:rPr>
              <w:t>TN</w:t>
            </w: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COD</w:t>
            </w:r>
            <w:r>
              <w:rPr>
                <w:snapToGrid w:val="0"/>
                <w:vertAlign w:val="subscript"/>
              </w:rPr>
              <w:t>cr</w:t>
            </w: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BOD</w:t>
            </w:r>
            <w:r>
              <w:rPr>
                <w:snapToGrid w:val="0"/>
                <w:vertAlign w:val="subscript"/>
                <w:lang w:eastAsia="en-US"/>
              </w:rPr>
              <w:t>5</w:t>
            </w: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rPr>
                <w:snapToGrid w:val="0"/>
                <w:lang w:eastAsia="en-US"/>
              </w:rPr>
              <w:t>SS</w:t>
            </w: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lang w:eastAsia="en-US"/>
              </w:rPr>
            </w:pPr>
            <w:r>
              <w:t>NH</w:t>
            </w:r>
            <w:r>
              <w:rPr>
                <w:vertAlign w:val="subscript"/>
              </w:rPr>
              <w:t>3</w:t>
            </w:r>
            <w:r>
              <w:t>-N</w:t>
            </w: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rPr>
                <w:snapToGrid w:val="0"/>
                <w:lang w:eastAsia="en-US"/>
              </w:rPr>
              <w:t>TP</w:t>
            </w: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Lines="10" w:after="20"/>
              <w:jc w:val="center"/>
              <w:rPr>
                <w:snapToGrid w:val="0"/>
              </w:rPr>
            </w:pPr>
            <w:r>
              <w:rPr>
                <w:rFonts w:hint="eastAsia"/>
                <w:snapToGrid w:val="0"/>
              </w:rPr>
              <w:t>TN</w:t>
            </w:r>
          </w:p>
        </w:tc>
      </w:tr>
      <w:tr>
        <w:tblPrEx>
          <w:tblLayout w:type="fixed"/>
          <w:tblCellMar>
            <w:top w:w="0" w:type="dxa"/>
            <w:left w:w="30" w:type="dxa"/>
            <w:bottom w:w="0" w:type="dxa"/>
            <w:right w:w="30" w:type="dxa"/>
          </w:tblCellMar>
        </w:tblPrEx>
        <w:trPr>
          <w:trHeight w:val="43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3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22"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3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3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38"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r>
        <w:tblPrEx>
          <w:tblLayout w:type="fixed"/>
          <w:tblCellMar>
            <w:top w:w="0" w:type="dxa"/>
            <w:left w:w="30" w:type="dxa"/>
            <w:bottom w:w="0" w:type="dxa"/>
            <w:right w:w="30" w:type="dxa"/>
          </w:tblCellMar>
        </w:tblPrEx>
        <w:trPr>
          <w:trHeight w:val="422" w:hRule="atLeast"/>
          <w:jc w:val="center"/>
        </w:trPr>
        <w:tc>
          <w:tcPr>
            <w:tcW w:w="64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296"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926" w:type="dxa"/>
            <w:tcBorders>
              <w:top w:val="single" w:color="000000" w:sz="6" w:space="0"/>
              <w:left w:val="single" w:color="000000" w:sz="6" w:space="0"/>
              <w:bottom w:val="single" w:color="000000" w:sz="6" w:space="0"/>
              <w:right w:val="single" w:color="auto" w:sz="4" w:space="0"/>
            </w:tcBorders>
            <w:vAlign w:val="center"/>
          </w:tcPr>
          <w:p>
            <w:pPr>
              <w:spacing w:before="120" w:after="20"/>
              <w:jc w:val="center"/>
              <w:rPr>
                <w:snapToGrid w:val="0"/>
              </w:rPr>
            </w:pPr>
          </w:p>
        </w:tc>
        <w:tc>
          <w:tcPr>
            <w:tcW w:w="1240" w:type="dxa"/>
            <w:tcBorders>
              <w:top w:val="single" w:color="000000" w:sz="6" w:space="0"/>
              <w:left w:val="single" w:color="auto" w:sz="4" w:space="0"/>
              <w:bottom w:val="single" w:color="000000" w:sz="6" w:space="0"/>
              <w:right w:val="single" w:color="auto" w:sz="4" w:space="0"/>
            </w:tcBorders>
            <w:vAlign w:val="center"/>
          </w:tcPr>
          <w:p>
            <w:pPr>
              <w:spacing w:before="120" w:after="20"/>
              <w:jc w:val="center"/>
              <w:rPr>
                <w:snapToGrid w:val="0"/>
              </w:rPr>
            </w:pPr>
          </w:p>
        </w:tc>
        <w:tc>
          <w:tcPr>
            <w:tcW w:w="1029" w:type="dxa"/>
            <w:tcBorders>
              <w:top w:val="single" w:color="000000" w:sz="6" w:space="0"/>
              <w:left w:val="single" w:color="auto" w:sz="4"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9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4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38"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c>
          <w:tcPr>
            <w:tcW w:w="8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753"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89"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1030"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vAlign w:val="center"/>
          </w:tcPr>
          <w:p>
            <w:pPr>
              <w:spacing w:before="120" w:after="20"/>
              <w:jc w:val="center"/>
              <w:rPr>
                <w:snapToGrid w:val="0"/>
              </w:rPr>
            </w:pPr>
          </w:p>
        </w:tc>
        <w:tc>
          <w:tcPr>
            <w:tcW w:w="624" w:type="dxa"/>
            <w:tcBorders>
              <w:top w:val="single" w:color="000000" w:sz="6" w:space="0"/>
              <w:left w:val="single" w:color="000000" w:sz="6" w:space="0"/>
              <w:bottom w:val="single" w:color="000000" w:sz="6" w:space="0"/>
              <w:right w:val="single" w:color="000000" w:sz="6" w:space="0"/>
            </w:tcBorders>
          </w:tcPr>
          <w:p>
            <w:pPr>
              <w:spacing w:before="120" w:after="20"/>
              <w:jc w:val="center"/>
              <w:rPr>
                <w:snapToGrid w:val="0"/>
              </w:rPr>
            </w:pPr>
          </w:p>
        </w:tc>
      </w:tr>
    </w:tbl>
    <w:p>
      <w:pPr>
        <w:spacing w:before="120" w:after="120"/>
        <w:ind w:left="3600" w:hanging="3600"/>
        <w:rPr>
          <w:snapToGrid w:val="0"/>
        </w:rPr>
      </w:pPr>
      <w:r>
        <w:rPr>
          <w:snapToGrid w:val="0"/>
        </w:rPr>
        <w:t>主管：</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 xml:space="preserve">填表人：  </w:t>
      </w:r>
    </w:p>
    <w:p>
      <w:pPr>
        <w:spacing w:before="120" w:after="120"/>
        <w:ind w:left="3600" w:hanging="3600"/>
        <w:rPr>
          <w:snapToGrid w:val="0"/>
        </w:rPr>
        <w:sectPr>
          <w:headerReference r:id="rId9" w:type="default"/>
          <w:pgSz w:w="16840" w:h="11907" w:orient="landscape"/>
          <w:pgMar w:top="1418" w:right="1418" w:bottom="1418" w:left="1701" w:header="680" w:footer="680" w:gutter="0"/>
          <w:cols w:space="425" w:num="1"/>
          <w:docGrid w:linePitch="312" w:charSpace="0"/>
        </w:sectPr>
      </w:pPr>
      <w:r>
        <w:rPr>
          <w:snapToGrid w:val="0"/>
        </w:rPr>
        <w:t>报送日期：</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联系电话：</w:t>
      </w:r>
    </w:p>
    <w:p>
      <w:pPr>
        <w:jc w:val="center"/>
        <w:rPr>
          <w:snapToGrid w:val="0"/>
        </w:rPr>
      </w:pPr>
      <w:r>
        <w:rPr>
          <w:snapToGrid w:val="0"/>
        </w:rPr>
        <w:t>表2-2　项目公司污水处理厂水量月</w:t>
      </w:r>
      <w:r>
        <w:rPr>
          <w:rFonts w:hint="eastAsia"/>
          <w:snapToGrid w:val="0"/>
        </w:rPr>
        <w:t>、季</w:t>
      </w:r>
      <w:r>
        <w:rPr>
          <w:snapToGrid w:val="0"/>
        </w:rPr>
        <w:t>报表</w:t>
      </w:r>
    </w:p>
    <w:p>
      <w:pPr>
        <w:spacing w:before="100" w:beforeAutospacing="1" w:after="100" w:afterAutospacing="1"/>
        <w:ind w:left="5040" w:hanging="4201"/>
        <w:rPr>
          <w:snapToGrid w:val="0"/>
        </w:rPr>
      </w:pPr>
      <w:r>
        <w:rPr>
          <w:snapToGrid w:val="0"/>
        </w:rPr>
        <w:t>报送单位：</w:t>
      </w:r>
      <w:r>
        <w:rPr>
          <w:snapToGrid w:val="0"/>
        </w:rPr>
        <w:tab/>
      </w:r>
      <w:r>
        <w:rPr>
          <w:snapToGrid w:val="0"/>
        </w:rPr>
        <w:tab/>
      </w:r>
      <w:r>
        <w:rPr>
          <w:snapToGrid w:val="0"/>
        </w:rPr>
        <w:tab/>
      </w:r>
      <w:r>
        <w:rPr>
          <w:snapToGrid w:val="0"/>
        </w:rPr>
        <w:t>月份：</w:t>
      </w:r>
    </w:p>
    <w:tbl>
      <w:tblPr>
        <w:tblStyle w:val="52"/>
        <w:tblW w:w="9318" w:type="dxa"/>
        <w:jc w:val="center"/>
        <w:tblInd w:w="1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
      <w:tblGrid>
        <w:gridCol w:w="3047"/>
        <w:gridCol w:w="2569"/>
        <w:gridCol w:w="1575"/>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trHeight w:val="619" w:hRule="atLeast"/>
          <w:jc w:val="center"/>
        </w:trPr>
        <w:tc>
          <w:tcPr>
            <w:tcW w:w="3047" w:type="dxa"/>
          </w:tcPr>
          <w:p>
            <w:pPr>
              <w:spacing w:before="120" w:after="120"/>
              <w:jc w:val="center"/>
              <w:rPr>
                <w:snapToGrid w:val="0"/>
              </w:rPr>
            </w:pPr>
            <w:r>
              <w:rPr>
                <w:snapToGrid w:val="0"/>
              </w:rPr>
              <w:t>项目</w:t>
            </w:r>
          </w:p>
        </w:tc>
        <w:tc>
          <w:tcPr>
            <w:tcW w:w="2569" w:type="dxa"/>
          </w:tcPr>
          <w:p>
            <w:pPr>
              <w:spacing w:before="120" w:after="120"/>
              <w:jc w:val="center"/>
              <w:rPr>
                <w:snapToGrid w:val="0"/>
              </w:rPr>
            </w:pPr>
          </w:p>
        </w:tc>
        <w:tc>
          <w:tcPr>
            <w:tcW w:w="1575" w:type="dxa"/>
          </w:tcPr>
          <w:p>
            <w:pPr>
              <w:spacing w:before="120" w:after="120"/>
              <w:jc w:val="center"/>
              <w:rPr>
                <w:snapToGrid w:val="0"/>
              </w:rPr>
            </w:pPr>
            <w:r>
              <w:rPr>
                <w:snapToGrid w:val="0"/>
              </w:rPr>
              <w:t>数值</w:t>
            </w:r>
          </w:p>
        </w:tc>
        <w:tc>
          <w:tcPr>
            <w:tcW w:w="2127" w:type="dxa"/>
          </w:tcPr>
          <w:p>
            <w:pPr>
              <w:spacing w:before="120" w:after="120"/>
              <w:jc w:val="center"/>
              <w:rPr>
                <w:snapToGrid w:val="0"/>
              </w:rPr>
            </w:pPr>
            <w:r>
              <w:rPr>
                <w:snapToGrid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restart"/>
          </w:tcPr>
          <w:p>
            <w:pPr>
              <w:spacing w:beforeLines="10" w:after="120" w:line="20" w:lineRule="atLeast"/>
              <w:jc w:val="center"/>
              <w:rPr>
                <w:snapToGrid w:val="0"/>
              </w:rPr>
            </w:pPr>
            <w:r>
              <w:rPr>
                <w:snapToGrid w:val="0"/>
              </w:rPr>
              <w:t>污水处理量（万立方米）</w:t>
            </w:r>
          </w:p>
        </w:tc>
        <w:tc>
          <w:tcPr>
            <w:tcW w:w="2569" w:type="dxa"/>
          </w:tcPr>
          <w:p>
            <w:pPr>
              <w:spacing w:beforeLines="10" w:afterLines="10" w:line="20" w:lineRule="atLeast"/>
              <w:rPr>
                <w:snapToGrid w:val="0"/>
              </w:rPr>
            </w:pPr>
            <w:r>
              <w:rPr>
                <w:snapToGrid w:val="0"/>
              </w:rPr>
              <w:t>本月污水处理总量</w:t>
            </w:r>
          </w:p>
        </w:tc>
        <w:tc>
          <w:tcPr>
            <w:tcW w:w="1575" w:type="dxa"/>
          </w:tcPr>
          <w:p>
            <w:pPr>
              <w:spacing w:beforeLines="10" w:afterLines="10" w:line="20" w:lineRule="atLeast"/>
              <w:jc w:val="center"/>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continue"/>
          </w:tcPr>
          <w:p>
            <w:pPr>
              <w:spacing w:beforeLines="10" w:after="120" w:line="20" w:lineRule="atLeast"/>
              <w:jc w:val="center"/>
              <w:rPr>
                <w:snapToGrid w:val="0"/>
              </w:rPr>
            </w:pPr>
          </w:p>
        </w:tc>
        <w:tc>
          <w:tcPr>
            <w:tcW w:w="2569" w:type="dxa"/>
          </w:tcPr>
          <w:p>
            <w:pPr>
              <w:spacing w:beforeLines="10" w:afterLines="10" w:line="20" w:lineRule="atLeast"/>
              <w:rPr>
                <w:snapToGrid w:val="0"/>
              </w:rPr>
            </w:pPr>
            <w:r>
              <w:rPr>
                <w:snapToGrid w:val="0"/>
              </w:rPr>
              <w:t>本年累计</w:t>
            </w:r>
          </w:p>
        </w:tc>
        <w:tc>
          <w:tcPr>
            <w:tcW w:w="1575" w:type="dxa"/>
          </w:tcPr>
          <w:p>
            <w:pPr>
              <w:spacing w:beforeLines="10" w:afterLines="10" w:line="20" w:lineRule="atLeast"/>
              <w:jc w:val="center"/>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continue"/>
          </w:tcPr>
          <w:p>
            <w:pPr>
              <w:spacing w:beforeLines="10" w:after="120" w:line="20" w:lineRule="atLeast"/>
              <w:jc w:val="center"/>
              <w:rPr>
                <w:snapToGrid w:val="0"/>
              </w:rPr>
            </w:pPr>
          </w:p>
        </w:tc>
        <w:tc>
          <w:tcPr>
            <w:tcW w:w="2569" w:type="dxa"/>
          </w:tcPr>
          <w:p>
            <w:pPr>
              <w:spacing w:beforeLines="10" w:afterLines="10" w:line="20" w:lineRule="atLeast"/>
              <w:rPr>
                <w:snapToGrid w:val="0"/>
              </w:rPr>
            </w:pPr>
            <w:r>
              <w:rPr>
                <w:snapToGrid w:val="0"/>
              </w:rPr>
              <w:t>本月日最高处理量</w:t>
            </w:r>
          </w:p>
        </w:tc>
        <w:tc>
          <w:tcPr>
            <w:tcW w:w="1575" w:type="dxa"/>
          </w:tcPr>
          <w:p>
            <w:pPr>
              <w:spacing w:beforeLines="10" w:afterLines="10" w:line="20" w:lineRule="atLeast"/>
              <w:jc w:val="right"/>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continue"/>
          </w:tcPr>
          <w:p>
            <w:pPr>
              <w:spacing w:beforeLines="10" w:after="120" w:line="20" w:lineRule="atLeast"/>
              <w:jc w:val="center"/>
              <w:rPr>
                <w:snapToGrid w:val="0"/>
              </w:rPr>
            </w:pPr>
          </w:p>
        </w:tc>
        <w:tc>
          <w:tcPr>
            <w:tcW w:w="2569" w:type="dxa"/>
          </w:tcPr>
          <w:p>
            <w:pPr>
              <w:spacing w:beforeLines="10" w:afterLines="10" w:line="20" w:lineRule="atLeast"/>
              <w:rPr>
                <w:snapToGrid w:val="0"/>
              </w:rPr>
            </w:pPr>
            <w:r>
              <w:rPr>
                <w:snapToGrid w:val="0"/>
              </w:rPr>
              <w:t>本月日最低处理量</w:t>
            </w:r>
          </w:p>
        </w:tc>
        <w:tc>
          <w:tcPr>
            <w:tcW w:w="1575" w:type="dxa"/>
          </w:tcPr>
          <w:p>
            <w:pPr>
              <w:spacing w:beforeLines="10" w:afterLines="10" w:line="20" w:lineRule="atLeast"/>
              <w:jc w:val="right"/>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restart"/>
          </w:tcPr>
          <w:p>
            <w:pPr>
              <w:spacing w:beforeLines="10" w:after="120" w:line="20" w:lineRule="atLeast"/>
              <w:jc w:val="center"/>
              <w:rPr>
                <w:snapToGrid w:val="0"/>
              </w:rPr>
            </w:pPr>
            <w:r>
              <w:rPr>
                <w:snapToGrid w:val="0"/>
              </w:rPr>
              <w:t>出水水质</w:t>
            </w:r>
          </w:p>
        </w:tc>
        <w:tc>
          <w:tcPr>
            <w:tcW w:w="2569" w:type="dxa"/>
          </w:tcPr>
          <w:p>
            <w:pPr>
              <w:spacing w:beforeLines="10" w:afterLines="10" w:line="20" w:lineRule="atLeast"/>
              <w:rPr>
                <w:snapToGrid w:val="0"/>
              </w:rPr>
            </w:pPr>
            <w:r>
              <w:rPr>
                <w:snapToGrid w:val="0"/>
              </w:rPr>
              <w:t>达标天数</w:t>
            </w:r>
          </w:p>
        </w:tc>
        <w:tc>
          <w:tcPr>
            <w:tcW w:w="1575" w:type="dxa"/>
          </w:tcPr>
          <w:p>
            <w:pPr>
              <w:spacing w:beforeLines="10" w:afterLines="10" w:line="20" w:lineRule="atLeast"/>
              <w:jc w:val="right"/>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continue"/>
          </w:tcPr>
          <w:p>
            <w:pPr>
              <w:spacing w:beforeLines="10" w:after="120" w:line="20" w:lineRule="atLeast"/>
              <w:jc w:val="center"/>
              <w:rPr>
                <w:snapToGrid w:val="0"/>
              </w:rPr>
            </w:pPr>
          </w:p>
        </w:tc>
        <w:tc>
          <w:tcPr>
            <w:tcW w:w="2569" w:type="dxa"/>
          </w:tcPr>
          <w:p>
            <w:pPr>
              <w:spacing w:beforeLines="10" w:afterLines="10" w:line="20" w:lineRule="atLeast"/>
              <w:rPr>
                <w:snapToGrid w:val="0"/>
              </w:rPr>
            </w:pPr>
            <w:r>
              <w:rPr>
                <w:snapToGrid w:val="0"/>
              </w:rPr>
              <w:t>不达标天数</w:t>
            </w:r>
          </w:p>
        </w:tc>
        <w:tc>
          <w:tcPr>
            <w:tcW w:w="1575" w:type="dxa"/>
          </w:tcPr>
          <w:p>
            <w:pPr>
              <w:spacing w:beforeLines="10" w:afterLines="10" w:line="20" w:lineRule="atLeast"/>
              <w:jc w:val="right"/>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restart"/>
          </w:tcPr>
          <w:p>
            <w:pPr>
              <w:spacing w:beforeLines="10" w:after="120" w:line="20" w:lineRule="atLeast"/>
              <w:jc w:val="center"/>
              <w:rPr>
                <w:snapToGrid w:val="0"/>
              </w:rPr>
            </w:pPr>
            <w:r>
              <w:rPr>
                <w:snapToGrid w:val="0"/>
              </w:rPr>
              <w:t>耗电量（度）</w:t>
            </w:r>
          </w:p>
        </w:tc>
        <w:tc>
          <w:tcPr>
            <w:tcW w:w="2569" w:type="dxa"/>
          </w:tcPr>
          <w:p>
            <w:pPr>
              <w:spacing w:beforeLines="10" w:afterLines="10" w:line="20" w:lineRule="atLeast"/>
              <w:rPr>
                <w:snapToGrid w:val="0"/>
              </w:rPr>
            </w:pPr>
            <w:r>
              <w:rPr>
                <w:snapToGrid w:val="0"/>
              </w:rPr>
              <w:t>本月</w:t>
            </w:r>
          </w:p>
        </w:tc>
        <w:tc>
          <w:tcPr>
            <w:tcW w:w="1575" w:type="dxa"/>
          </w:tcPr>
          <w:p>
            <w:pPr>
              <w:spacing w:beforeLines="10" w:afterLines="10" w:line="20" w:lineRule="atLeast"/>
              <w:jc w:val="right"/>
              <w:rPr>
                <w:snapToGrid w:val="0"/>
              </w:rPr>
            </w:pPr>
          </w:p>
        </w:tc>
        <w:tc>
          <w:tcPr>
            <w:tcW w:w="2127" w:type="dxa"/>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3047" w:type="dxa"/>
            <w:vMerge w:val="continue"/>
            <w:tcBorders>
              <w:bottom w:val="single" w:color="auto" w:sz="4" w:space="0"/>
            </w:tcBorders>
          </w:tcPr>
          <w:p>
            <w:pPr>
              <w:spacing w:beforeLines="10" w:after="120" w:line="20" w:lineRule="atLeast"/>
              <w:jc w:val="center"/>
              <w:rPr>
                <w:snapToGrid w:val="0"/>
              </w:rPr>
            </w:pPr>
          </w:p>
        </w:tc>
        <w:tc>
          <w:tcPr>
            <w:tcW w:w="2569" w:type="dxa"/>
            <w:tcBorders>
              <w:bottom w:val="single" w:color="auto" w:sz="4" w:space="0"/>
            </w:tcBorders>
          </w:tcPr>
          <w:p>
            <w:pPr>
              <w:spacing w:beforeLines="10" w:afterLines="10" w:line="20" w:lineRule="atLeast"/>
              <w:rPr>
                <w:snapToGrid w:val="0"/>
              </w:rPr>
            </w:pPr>
            <w:r>
              <w:rPr>
                <w:snapToGrid w:val="0"/>
              </w:rPr>
              <w:t>本年累计</w:t>
            </w:r>
          </w:p>
        </w:tc>
        <w:tc>
          <w:tcPr>
            <w:tcW w:w="1575" w:type="dxa"/>
            <w:tcBorders>
              <w:bottom w:val="single" w:color="auto" w:sz="4" w:space="0"/>
            </w:tcBorders>
          </w:tcPr>
          <w:p>
            <w:pPr>
              <w:spacing w:beforeLines="10" w:afterLines="10" w:line="20" w:lineRule="atLeast"/>
              <w:jc w:val="right"/>
              <w:rPr>
                <w:snapToGrid w:val="0"/>
              </w:rPr>
            </w:pPr>
          </w:p>
        </w:tc>
        <w:tc>
          <w:tcPr>
            <w:tcW w:w="2127" w:type="dxa"/>
            <w:tcBorders>
              <w:bottom w:val="single" w:color="auto" w:sz="4" w:space="0"/>
            </w:tcBorders>
          </w:tcPr>
          <w:p>
            <w:pPr>
              <w:spacing w:beforeLines="10" w:afterLines="10" w:line="20" w:lineRule="atLeast"/>
              <w:jc w:val="right"/>
              <w:rPr>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6" w:type="dxa"/>
            <w:bottom w:w="0" w:type="dxa"/>
            <w:right w:w="36" w:type="dxa"/>
          </w:tblCellMar>
        </w:tblPrEx>
        <w:trPr>
          <w:cantSplit/>
          <w:jc w:val="center"/>
        </w:trPr>
        <w:tc>
          <w:tcPr>
            <w:tcW w:w="9318" w:type="dxa"/>
            <w:gridSpan w:val="4"/>
            <w:tcBorders>
              <w:top w:val="single" w:color="auto" w:sz="4" w:space="0"/>
              <w:left w:val="nil"/>
              <w:bottom w:val="nil"/>
              <w:right w:val="nil"/>
            </w:tcBorders>
          </w:tcPr>
          <w:p>
            <w:pPr>
              <w:spacing w:before="120" w:after="120"/>
              <w:rPr>
                <w:snapToGrid w:val="0"/>
              </w:rPr>
            </w:pPr>
            <w:r>
              <w:rPr>
                <w:snapToGrid w:val="0"/>
              </w:rPr>
              <w:t xml:space="preserve">主管：                                           </w:t>
            </w:r>
            <w:r>
              <w:rPr>
                <w:snapToGrid w:val="0"/>
              </w:rPr>
              <w:tab/>
            </w:r>
            <w:r>
              <w:rPr>
                <w:snapToGrid w:val="0"/>
              </w:rPr>
              <w:tab/>
            </w:r>
            <w:r>
              <w:rPr>
                <w:snapToGrid w:val="0"/>
              </w:rPr>
              <w:tab/>
            </w:r>
            <w:r>
              <w:rPr>
                <w:snapToGrid w:val="0"/>
              </w:rPr>
              <w:tab/>
            </w:r>
            <w:r>
              <w:rPr>
                <w:snapToGrid w:val="0"/>
              </w:rPr>
              <w:tab/>
            </w:r>
            <w:r>
              <w:rPr>
                <w:snapToGrid w:val="0"/>
              </w:rPr>
              <w:t>填表人：</w:t>
            </w:r>
          </w:p>
          <w:p>
            <w:pPr>
              <w:spacing w:beforeLines="10" w:afterLines="10" w:line="20" w:lineRule="atLeast"/>
              <w:rPr>
                <w:snapToGrid w:val="0"/>
              </w:rPr>
            </w:pPr>
            <w:r>
              <w:rPr>
                <w:snapToGrid w:val="0"/>
              </w:rPr>
              <w:t xml:space="preserve">联系电话：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报送日期：</w:t>
            </w:r>
          </w:p>
          <w:p>
            <w:pPr>
              <w:spacing w:beforeLines="10" w:afterLines="10" w:line="20" w:lineRule="atLeast"/>
              <w:rPr>
                <w:snapToGrid w:val="0"/>
              </w:rPr>
            </w:pPr>
            <w:r>
              <w:rPr>
                <w:snapToGrid w:val="0"/>
              </w:rPr>
              <w:t>（注：污水处理厂填写）</w:t>
            </w:r>
          </w:p>
        </w:tc>
      </w:tr>
    </w:tbl>
    <w:p>
      <w:pPr>
        <w:spacing w:before="120" w:after="120"/>
        <w:ind w:left="4320" w:hanging="4320"/>
        <w:rPr>
          <w:snapToGrid w:val="0"/>
        </w:rPr>
        <w:sectPr>
          <w:headerReference r:id="rId10" w:type="default"/>
          <w:pgSz w:w="11907" w:h="16840"/>
          <w:pgMar w:top="1701" w:right="1418" w:bottom="1418" w:left="1418" w:header="680" w:footer="680" w:gutter="0"/>
          <w:cols w:space="425" w:num="1"/>
          <w:docGrid w:linePitch="326" w:charSpace="0"/>
        </w:sectPr>
      </w:pPr>
    </w:p>
    <w:p>
      <w:pPr>
        <w:spacing w:before="120" w:after="120"/>
        <w:ind w:left="4320" w:hanging="4320"/>
        <w:jc w:val="center"/>
        <w:rPr>
          <w:snapToGrid w:val="0"/>
        </w:rPr>
      </w:pPr>
      <w:r>
        <w:rPr>
          <w:snapToGrid w:val="0"/>
        </w:rPr>
        <w:t>表2-3　　项目公司污水处理厂进水水质月</w:t>
      </w:r>
      <w:r>
        <w:rPr>
          <w:rFonts w:hint="eastAsia"/>
          <w:snapToGrid w:val="0"/>
        </w:rPr>
        <w:t>、季</w:t>
      </w:r>
      <w:r>
        <w:rPr>
          <w:snapToGrid w:val="0"/>
        </w:rPr>
        <w:t>报表</w:t>
      </w:r>
    </w:p>
    <w:p>
      <w:pPr>
        <w:spacing w:before="100" w:beforeAutospacing="1" w:after="100" w:afterAutospacing="1"/>
        <w:ind w:left="5041" w:hanging="5041"/>
        <w:rPr>
          <w:snapToGrid w:val="0"/>
        </w:rPr>
      </w:pPr>
      <w:r>
        <w:rPr>
          <w:snapToGrid w:val="0"/>
        </w:rPr>
        <w:t>报送单位：</w:t>
      </w:r>
      <w:r>
        <w:rPr>
          <w:snapToGrid w:val="0"/>
        </w:rPr>
        <w:tab/>
      </w:r>
      <w:r>
        <w:rPr>
          <w:snapToGrid w:val="0"/>
        </w:rPr>
        <w:t xml:space="preserve">              月份：</w:t>
      </w:r>
    </w:p>
    <w:tbl>
      <w:tblPr>
        <w:tblStyle w:val="52"/>
        <w:tblW w:w="8850" w:type="dxa"/>
        <w:tblInd w:w="0" w:type="dxa"/>
        <w:tblLayout w:type="fixed"/>
        <w:tblCellMar>
          <w:top w:w="0" w:type="dxa"/>
          <w:left w:w="30" w:type="dxa"/>
          <w:bottom w:w="0" w:type="dxa"/>
          <w:right w:w="30" w:type="dxa"/>
        </w:tblCellMar>
      </w:tblPr>
      <w:tblGrid>
        <w:gridCol w:w="597"/>
        <w:gridCol w:w="2694"/>
        <w:gridCol w:w="1134"/>
        <w:gridCol w:w="1559"/>
        <w:gridCol w:w="1559"/>
        <w:gridCol w:w="1307"/>
      </w:tblGrid>
      <w:tr>
        <w:tblPrEx>
          <w:tblLayout w:type="fixed"/>
          <w:tblCellMar>
            <w:top w:w="0" w:type="dxa"/>
            <w:left w:w="30" w:type="dxa"/>
            <w:bottom w:w="0" w:type="dxa"/>
            <w:right w:w="30" w:type="dxa"/>
          </w:tblCellMar>
        </w:tblPrEx>
        <w:tc>
          <w:tcPr>
            <w:tcW w:w="597" w:type="dxa"/>
            <w:tcBorders>
              <w:top w:val="single" w:color="000000" w:sz="6" w:space="0"/>
              <w:left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序号</w:t>
            </w:r>
          </w:p>
        </w:tc>
        <w:tc>
          <w:tcPr>
            <w:tcW w:w="2694" w:type="dxa"/>
            <w:tcBorders>
              <w:top w:val="single" w:color="000000" w:sz="6" w:space="0"/>
              <w:left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项目</w:t>
            </w:r>
          </w:p>
        </w:tc>
        <w:tc>
          <w:tcPr>
            <w:tcW w:w="1134" w:type="dxa"/>
            <w:tcBorders>
              <w:top w:val="single" w:color="000000" w:sz="6" w:space="0"/>
              <w:left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月平均值</w:t>
            </w:r>
          </w:p>
        </w:tc>
        <w:tc>
          <w:tcPr>
            <w:tcW w:w="1559" w:type="dxa"/>
            <w:tcBorders>
              <w:top w:val="single" w:color="000000" w:sz="6" w:space="0"/>
              <w:left w:val="single" w:color="000000" w:sz="6" w:space="0"/>
              <w:bottom w:val="nil"/>
              <w:right w:val="single" w:color="000000" w:sz="6" w:space="0"/>
            </w:tcBorders>
          </w:tcPr>
          <w:p>
            <w:pPr>
              <w:spacing w:before="100" w:beforeAutospacing="1" w:after="100" w:afterAutospacing="1" w:line="440" w:lineRule="exact"/>
              <w:jc w:val="center"/>
              <w:rPr>
                <w:snapToGrid w:val="0"/>
              </w:rPr>
            </w:pPr>
            <w:r>
              <w:rPr>
                <w:snapToGrid w:val="0"/>
              </w:rPr>
              <w:t>最高值及日期</w:t>
            </w:r>
          </w:p>
        </w:tc>
        <w:tc>
          <w:tcPr>
            <w:tcW w:w="1559" w:type="dxa"/>
            <w:tcBorders>
              <w:top w:val="single" w:color="000000" w:sz="6" w:space="0"/>
              <w:left w:val="single" w:color="000000" w:sz="6" w:space="0"/>
              <w:bottom w:val="nil"/>
              <w:right w:val="single" w:color="000000" w:sz="6" w:space="0"/>
            </w:tcBorders>
          </w:tcPr>
          <w:p>
            <w:pPr>
              <w:spacing w:before="100" w:beforeAutospacing="1" w:after="100" w:afterAutospacing="1" w:line="440" w:lineRule="exact"/>
              <w:jc w:val="center"/>
              <w:rPr>
                <w:snapToGrid w:val="0"/>
              </w:rPr>
            </w:pPr>
            <w:r>
              <w:rPr>
                <w:snapToGrid w:val="0"/>
              </w:rPr>
              <w:t>最低值及日期</w:t>
            </w: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备注</w:t>
            </w: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1</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snapToGrid w:val="0"/>
              </w:rPr>
              <w:t>PH值</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2</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snapToGrid w:val="0"/>
              </w:rPr>
              <w:t>悬浮物SS(mg/l)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3</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snapToGrid w:val="0"/>
              </w:rPr>
              <w:t>生物需氧量BOD</w:t>
            </w:r>
            <w:r>
              <w:rPr>
                <w:snapToGrid w:val="0"/>
                <w:vertAlign w:val="subscript"/>
              </w:rPr>
              <w:t>5</w:t>
            </w:r>
            <w:r>
              <w:rPr>
                <w:snapToGrid w:val="0"/>
              </w:rPr>
              <w:t>(mg/l</w:t>
            </w:r>
            <w:r>
              <w:rPr>
                <w:snapToGrid w:val="0"/>
                <w:lang w:eastAsia="en-US"/>
              </w:rPr>
              <w:t>)</w:t>
            </w:r>
          </w:p>
        </w:tc>
        <w:tc>
          <w:tcPr>
            <w:tcW w:w="1134" w:type="dxa"/>
            <w:tcBorders>
              <w:top w:val="single" w:color="000000" w:sz="6" w:space="0"/>
              <w:left w:val="nil"/>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lang w:eastAsia="en-US"/>
              </w:rPr>
            </w:pPr>
            <w:r>
              <w:rPr>
                <w:snapToGrid w:val="0"/>
                <w:lang w:eastAsia="en-US"/>
              </w:rPr>
              <w:t>4</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snapToGrid w:val="0"/>
                <w:lang w:eastAsia="en-US"/>
              </w:rPr>
              <w:t>化学需氧量COD</w:t>
            </w:r>
            <w:r>
              <w:rPr>
                <w:snapToGrid w:val="0"/>
                <w:vertAlign w:val="subscript"/>
              </w:rPr>
              <w:t>cr</w:t>
            </w:r>
            <w:r>
              <w:rPr>
                <w:snapToGrid w:val="0"/>
                <w:lang w:eastAsia="en-US"/>
              </w:rPr>
              <w:t xml:space="preserve"> (mg/l)</w:t>
            </w:r>
          </w:p>
        </w:tc>
        <w:tc>
          <w:tcPr>
            <w:tcW w:w="1134" w:type="dxa"/>
            <w:tcBorders>
              <w:top w:val="single" w:color="000000" w:sz="6" w:space="0"/>
              <w:left w:val="nil"/>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lang w:eastAsia="en-US"/>
              </w:rPr>
            </w:pPr>
            <w:r>
              <w:rPr>
                <w:snapToGrid w:val="0"/>
                <w:lang w:eastAsia="en-US"/>
              </w:rPr>
              <w:t>5</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snapToGrid w:val="0"/>
                <w:lang w:eastAsia="en-US"/>
              </w:rPr>
              <w:t>氨氮</w:t>
            </w:r>
            <w:r>
              <w:t>NH</w:t>
            </w:r>
            <w:r>
              <w:rPr>
                <w:vertAlign w:val="subscript"/>
              </w:rPr>
              <w:t>4</w:t>
            </w:r>
            <w:r>
              <w:rPr>
                <w:vertAlign w:val="superscript"/>
              </w:rPr>
              <w:t>+</w:t>
            </w:r>
            <w:r>
              <w:t>-N</w:t>
            </w:r>
            <w:r>
              <w:rPr>
                <w:snapToGrid w:val="0"/>
                <w:lang w:eastAsia="en-US"/>
              </w:rPr>
              <w:t xml:space="preserve"> (mg/l)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lang w:eastAsia="en-US"/>
              </w:rPr>
            </w:pPr>
            <w:r>
              <w:rPr>
                <w:snapToGrid w:val="0"/>
              </w:rPr>
              <w:t>6</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snapToGrid w:val="0"/>
              </w:rPr>
              <w:t>总氮TN</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7</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snapToGrid w:val="0"/>
                <w:lang w:eastAsia="en-US"/>
              </w:rPr>
              <w:t>总磷TP(mg/l)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8</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氯化物</w:t>
            </w:r>
            <w:r>
              <w:rPr>
                <w:snapToGrid w:val="0"/>
                <w:lang w:eastAsia="en-US"/>
              </w:rPr>
              <w:t>Cl</w:t>
            </w:r>
            <w:r>
              <w:rPr>
                <w:snapToGrid w:val="0"/>
                <w:vertAlign w:val="superscript"/>
                <w:lang w:eastAsia="en-US"/>
              </w:rPr>
              <w:t>-</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9</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色度</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10</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溶解性固体</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lang w:eastAsia="en-US"/>
              </w:rPr>
              <w:t>1</w:t>
            </w:r>
            <w:r>
              <w:rPr>
                <w:snapToGrid w:val="0"/>
              </w:rPr>
              <w:t>1</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rFonts w:hint="eastAsia"/>
                <w:snapToGrid w:val="0"/>
              </w:rPr>
              <w:t>油类</w:t>
            </w:r>
            <w:r>
              <w:rPr>
                <w:snapToGrid w:val="0"/>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12</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苯胺</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lang w:eastAsia="en-US"/>
              </w:rPr>
              <w:t>1</w:t>
            </w:r>
            <w:r>
              <w:rPr>
                <w:snapToGrid w:val="0"/>
              </w:rPr>
              <w:t>3</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rFonts w:hint="eastAsia"/>
                <w:snapToGrid w:val="0"/>
              </w:rPr>
              <w:t>挥发酚</w:t>
            </w:r>
            <w:r>
              <w:rPr>
                <w:snapToGrid w:val="0"/>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lang w:eastAsia="en-US"/>
              </w:rPr>
              <w:t>1</w:t>
            </w:r>
            <w:r>
              <w:rPr>
                <w:snapToGrid w:val="0"/>
              </w:rPr>
              <w:t>4</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氟化物</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lang w:eastAsia="en-US"/>
              </w:rPr>
              <w:t>1</w:t>
            </w:r>
            <w:r>
              <w:rPr>
                <w:snapToGrid w:val="0"/>
              </w:rPr>
              <w:t>5</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硫化物</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16</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r>
              <w:rPr>
                <w:rFonts w:hint="eastAsia"/>
                <w:snapToGrid w:val="0"/>
                <w:lang w:eastAsia="en-US"/>
              </w:rPr>
              <w:t>氰化物</w:t>
            </w:r>
            <w:r>
              <w:rPr>
                <w:snapToGrid w:val="0"/>
                <w:lang w:eastAsia="en-US"/>
              </w:rPr>
              <w:t>(mg/l)</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lang w:eastAsia="en-US"/>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lang w:eastAsia="en-US"/>
              </w:rPr>
            </w:pPr>
          </w:p>
        </w:tc>
      </w:tr>
      <w:tr>
        <w:tblPrEx>
          <w:tblLayout w:type="fixed"/>
          <w:tblCellMar>
            <w:top w:w="0" w:type="dxa"/>
            <w:left w:w="30" w:type="dxa"/>
            <w:bottom w:w="0" w:type="dxa"/>
            <w:right w:w="30" w:type="dxa"/>
          </w:tblCellMar>
        </w:tblPrEx>
        <w:tc>
          <w:tcPr>
            <w:tcW w:w="59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center"/>
              <w:rPr>
                <w:snapToGrid w:val="0"/>
              </w:rPr>
            </w:pPr>
            <w:r>
              <w:rPr>
                <w:snapToGrid w:val="0"/>
              </w:rPr>
              <w:t>17</w:t>
            </w:r>
          </w:p>
        </w:tc>
        <w:tc>
          <w:tcPr>
            <w:tcW w:w="269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r>
              <w:rPr>
                <w:rFonts w:hint="eastAsia"/>
                <w:snapToGrid w:val="0"/>
              </w:rPr>
              <w:t>水温（</w:t>
            </w:r>
            <w:r>
              <w:rPr>
                <w:rFonts w:hint="eastAsia" w:ascii="宋体" w:hAnsi="宋体" w:cs="宋体"/>
                <w:snapToGrid w:val="0"/>
              </w:rPr>
              <w:t>℃</w:t>
            </w:r>
            <w:r>
              <w:rPr>
                <w:rFonts w:hint="eastAsia"/>
                <w:snapToGrid w:val="0"/>
              </w:rPr>
              <w:t>）</w:t>
            </w:r>
          </w:p>
        </w:tc>
        <w:tc>
          <w:tcPr>
            <w:tcW w:w="1134"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left w:val="single" w:color="000000" w:sz="6" w:space="0"/>
              <w:bottom w:val="single" w:color="000000" w:sz="6" w:space="0"/>
              <w:right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3291" w:type="dxa"/>
            <w:gridSpan w:val="2"/>
            <w:tcBorders>
              <w:top w:val="single" w:color="000000" w:sz="6" w:space="0"/>
            </w:tcBorders>
          </w:tcPr>
          <w:p>
            <w:pPr>
              <w:spacing w:before="100" w:beforeAutospacing="1" w:after="100" w:afterAutospacing="1" w:line="440" w:lineRule="exact"/>
              <w:rPr>
                <w:snapToGrid w:val="0"/>
              </w:rPr>
            </w:pPr>
            <w:r>
              <w:rPr>
                <w:snapToGrid w:val="0"/>
              </w:rPr>
              <w:t>主管：</w:t>
            </w:r>
          </w:p>
        </w:tc>
        <w:tc>
          <w:tcPr>
            <w:tcW w:w="1134" w:type="dxa"/>
            <w:tcBorders>
              <w:top w:val="single" w:color="000000" w:sz="6" w:space="0"/>
            </w:tcBorders>
          </w:tcPr>
          <w:p>
            <w:pPr>
              <w:spacing w:before="100" w:beforeAutospacing="1" w:after="100" w:afterAutospacing="1" w:line="440" w:lineRule="exact"/>
              <w:rPr>
                <w:snapToGrid w:val="0"/>
              </w:rPr>
            </w:pPr>
          </w:p>
        </w:tc>
        <w:tc>
          <w:tcPr>
            <w:tcW w:w="1559" w:type="dxa"/>
            <w:tcBorders>
              <w:top w:val="single" w:color="000000" w:sz="6" w:space="0"/>
            </w:tcBorders>
          </w:tcPr>
          <w:p>
            <w:pPr>
              <w:spacing w:before="100" w:beforeAutospacing="1" w:after="100" w:afterAutospacing="1" w:line="440" w:lineRule="exact"/>
              <w:rPr>
                <w:snapToGrid w:val="0"/>
              </w:rPr>
            </w:pPr>
            <w:r>
              <w:rPr>
                <w:snapToGrid w:val="0"/>
              </w:rPr>
              <w:t>填表人：</w:t>
            </w:r>
          </w:p>
        </w:tc>
        <w:tc>
          <w:tcPr>
            <w:tcW w:w="1559" w:type="dxa"/>
            <w:tcBorders>
              <w:top w:val="single" w:color="000000" w:sz="6" w:space="0"/>
            </w:tcBorders>
          </w:tcPr>
          <w:p>
            <w:pPr>
              <w:spacing w:before="100" w:beforeAutospacing="1" w:after="100" w:afterAutospacing="1" w:line="440" w:lineRule="exact"/>
              <w:jc w:val="right"/>
              <w:rPr>
                <w:snapToGrid w:val="0"/>
              </w:rPr>
            </w:pPr>
          </w:p>
        </w:tc>
        <w:tc>
          <w:tcPr>
            <w:tcW w:w="1307" w:type="dxa"/>
            <w:tcBorders>
              <w:top w:val="single" w:color="000000" w:sz="6" w:space="0"/>
            </w:tcBorders>
          </w:tcPr>
          <w:p>
            <w:pPr>
              <w:spacing w:before="100" w:beforeAutospacing="1" w:after="100" w:afterAutospacing="1" w:line="440" w:lineRule="exact"/>
              <w:jc w:val="right"/>
              <w:rPr>
                <w:snapToGrid w:val="0"/>
              </w:rPr>
            </w:pPr>
          </w:p>
        </w:tc>
      </w:tr>
      <w:tr>
        <w:tblPrEx>
          <w:tblLayout w:type="fixed"/>
          <w:tblCellMar>
            <w:top w:w="0" w:type="dxa"/>
            <w:left w:w="30" w:type="dxa"/>
            <w:bottom w:w="0" w:type="dxa"/>
            <w:right w:w="30" w:type="dxa"/>
          </w:tblCellMar>
        </w:tblPrEx>
        <w:tc>
          <w:tcPr>
            <w:tcW w:w="3291" w:type="dxa"/>
            <w:gridSpan w:val="2"/>
          </w:tcPr>
          <w:p>
            <w:pPr>
              <w:spacing w:before="100" w:beforeAutospacing="1" w:after="100" w:afterAutospacing="1" w:line="440" w:lineRule="exact"/>
              <w:rPr>
                <w:snapToGrid w:val="0"/>
              </w:rPr>
            </w:pPr>
            <w:r>
              <w:rPr>
                <w:snapToGrid w:val="0"/>
              </w:rPr>
              <w:t>报送日期：</w:t>
            </w:r>
            <w:r>
              <w:rPr>
                <w:snapToGrid w:val="0"/>
              </w:rPr>
              <w:tab/>
            </w:r>
          </w:p>
        </w:tc>
        <w:tc>
          <w:tcPr>
            <w:tcW w:w="1134" w:type="dxa"/>
          </w:tcPr>
          <w:p>
            <w:pPr>
              <w:spacing w:before="100" w:beforeAutospacing="1" w:after="100" w:afterAutospacing="1" w:line="440" w:lineRule="exact"/>
              <w:rPr>
                <w:snapToGrid w:val="0"/>
              </w:rPr>
            </w:pPr>
          </w:p>
        </w:tc>
        <w:tc>
          <w:tcPr>
            <w:tcW w:w="1559" w:type="dxa"/>
          </w:tcPr>
          <w:p>
            <w:pPr>
              <w:spacing w:before="100" w:beforeAutospacing="1" w:after="100" w:afterAutospacing="1" w:line="440" w:lineRule="exact"/>
              <w:rPr>
                <w:snapToGrid w:val="0"/>
              </w:rPr>
            </w:pPr>
            <w:r>
              <w:rPr>
                <w:snapToGrid w:val="0"/>
              </w:rPr>
              <w:t>联系电话：</w:t>
            </w:r>
          </w:p>
        </w:tc>
        <w:tc>
          <w:tcPr>
            <w:tcW w:w="1559" w:type="dxa"/>
          </w:tcPr>
          <w:p>
            <w:pPr>
              <w:spacing w:before="100" w:beforeAutospacing="1" w:after="100" w:afterAutospacing="1" w:line="440" w:lineRule="exact"/>
              <w:jc w:val="right"/>
              <w:rPr>
                <w:snapToGrid w:val="0"/>
              </w:rPr>
            </w:pPr>
          </w:p>
        </w:tc>
        <w:tc>
          <w:tcPr>
            <w:tcW w:w="1307" w:type="dxa"/>
          </w:tcPr>
          <w:p>
            <w:pPr>
              <w:spacing w:before="100" w:beforeAutospacing="1" w:after="100" w:afterAutospacing="1" w:line="440" w:lineRule="exact"/>
              <w:jc w:val="right"/>
              <w:rPr>
                <w:snapToGrid w:val="0"/>
              </w:rPr>
            </w:pPr>
          </w:p>
        </w:tc>
      </w:tr>
    </w:tbl>
    <w:p>
      <w:pPr>
        <w:spacing w:before="120" w:after="120"/>
        <w:rPr>
          <w:snapToGrid w:val="0"/>
        </w:rPr>
      </w:pPr>
      <w:r>
        <w:rPr>
          <w:snapToGrid w:val="0"/>
        </w:rPr>
        <w:t>（注：污水处理厂填写）</w:t>
      </w:r>
    </w:p>
    <w:p>
      <w:pPr>
        <w:spacing w:before="120" w:after="120"/>
        <w:jc w:val="center"/>
        <w:rPr>
          <w:snapToGrid w:val="0"/>
        </w:rPr>
      </w:pPr>
      <w:r>
        <w:rPr>
          <w:snapToGrid w:val="0"/>
        </w:rPr>
        <w:t xml:space="preserve">             　　　     </w:t>
      </w:r>
      <w:r>
        <w:rPr>
          <w:b/>
        </w:rPr>
        <w:br w:type="page"/>
      </w:r>
      <w:r>
        <w:rPr>
          <w:snapToGrid w:val="0"/>
        </w:rPr>
        <w:t xml:space="preserve"> 表2-4　项目公司污水处理厂出水水质月报表</w:t>
      </w:r>
    </w:p>
    <w:p>
      <w:pPr>
        <w:spacing w:before="100" w:beforeAutospacing="1" w:after="100" w:afterAutospacing="1"/>
        <w:ind w:left="5041" w:hanging="5041"/>
        <w:rPr>
          <w:snapToGrid w:val="0"/>
        </w:rPr>
      </w:pPr>
      <w:r>
        <w:rPr>
          <w:snapToGrid w:val="0"/>
        </w:rPr>
        <w:t>报送单位：</w:t>
      </w:r>
      <w:r>
        <w:rPr>
          <w:snapToGrid w:val="0"/>
        </w:rPr>
        <w:tab/>
      </w:r>
      <w:r>
        <w:rPr>
          <w:snapToGrid w:val="0"/>
        </w:rPr>
        <w:t>月份：</w:t>
      </w:r>
    </w:p>
    <w:tbl>
      <w:tblPr>
        <w:tblStyle w:val="52"/>
        <w:tblW w:w="8840" w:type="dxa"/>
        <w:tblInd w:w="0" w:type="dxa"/>
        <w:tblLayout w:type="fixed"/>
        <w:tblCellMar>
          <w:top w:w="0" w:type="dxa"/>
          <w:left w:w="0" w:type="dxa"/>
          <w:bottom w:w="0" w:type="dxa"/>
          <w:right w:w="0" w:type="dxa"/>
        </w:tblCellMar>
      </w:tblPr>
      <w:tblGrid>
        <w:gridCol w:w="686"/>
        <w:gridCol w:w="3646"/>
        <w:gridCol w:w="1314"/>
        <w:gridCol w:w="1214"/>
        <w:gridCol w:w="1000"/>
        <w:gridCol w:w="980"/>
      </w:tblGrid>
      <w:tr>
        <w:tblPrEx>
          <w:tblLayout w:type="fixed"/>
          <w:tblCellMar>
            <w:top w:w="0" w:type="dxa"/>
            <w:left w:w="0" w:type="dxa"/>
            <w:bottom w:w="0" w:type="dxa"/>
            <w:right w:w="0" w:type="dxa"/>
          </w:tblCellMar>
        </w:tblPrEx>
        <w:trPr>
          <w:cantSplit/>
          <w:trHeight w:val="454" w:hRule="exact"/>
        </w:trPr>
        <w:tc>
          <w:tcPr>
            <w:tcW w:w="686" w:type="dxa"/>
            <w:vMerge w:val="restart"/>
            <w:tcBorders>
              <w:top w:val="single" w:color="000000" w:sz="4" w:space="0"/>
              <w:left w:val="single" w:color="000000" w:sz="4" w:space="0"/>
              <w:bottom w:val="single" w:color="000000" w:sz="4" w:space="0"/>
              <w:right w:val="single" w:color="000000" w:sz="4" w:space="0"/>
            </w:tcBorders>
            <w:noWrap/>
            <w:tcMar>
              <w:top w:w="20" w:type="dxa"/>
              <w:left w:w="20" w:type="dxa"/>
              <w:bottom w:w="0" w:type="dxa"/>
              <w:right w:w="20" w:type="dxa"/>
            </w:tcMar>
            <w:vAlign w:val="center"/>
          </w:tcPr>
          <w:p>
            <w:pPr>
              <w:jc w:val="center"/>
            </w:pPr>
            <w:r>
              <w:t>序号</w:t>
            </w:r>
          </w:p>
        </w:tc>
        <w:tc>
          <w:tcPr>
            <w:tcW w:w="3646" w:type="dxa"/>
            <w:vMerge w:val="restart"/>
            <w:tcBorders>
              <w:top w:val="single" w:color="000000" w:sz="4" w:space="0"/>
              <w:left w:val="single" w:color="000000" w:sz="4" w:space="0"/>
              <w:bottom w:val="single" w:color="000000" w:sz="4" w:space="0"/>
              <w:right w:val="single" w:color="000000" w:sz="4" w:space="0"/>
            </w:tcBorders>
            <w:noWrap/>
            <w:tcMar>
              <w:top w:w="20" w:type="dxa"/>
              <w:left w:w="20" w:type="dxa"/>
              <w:bottom w:w="0" w:type="dxa"/>
              <w:right w:w="20" w:type="dxa"/>
            </w:tcMar>
            <w:vAlign w:val="center"/>
          </w:tcPr>
          <w:p>
            <w:pPr>
              <w:jc w:val="center"/>
            </w:pPr>
            <w:r>
              <w:t>项目</w:t>
            </w:r>
          </w:p>
        </w:tc>
        <w:tc>
          <w:tcPr>
            <w:tcW w:w="1314" w:type="dxa"/>
            <w:vMerge w:val="restart"/>
            <w:tcBorders>
              <w:top w:val="single" w:color="000000" w:sz="4" w:space="0"/>
              <w:left w:val="single" w:color="000000" w:sz="4" w:space="0"/>
              <w:bottom w:val="single" w:color="000000" w:sz="4" w:space="0"/>
              <w:right w:val="nil"/>
            </w:tcBorders>
            <w:noWrap/>
            <w:tcMar>
              <w:top w:w="20" w:type="dxa"/>
              <w:left w:w="20" w:type="dxa"/>
              <w:bottom w:w="0" w:type="dxa"/>
              <w:right w:w="20" w:type="dxa"/>
            </w:tcMar>
            <w:vAlign w:val="center"/>
          </w:tcPr>
          <w:p>
            <w:pPr>
              <w:jc w:val="center"/>
            </w:pPr>
            <w:r>
              <w:t>月平均值</w:t>
            </w:r>
          </w:p>
        </w:tc>
        <w:tc>
          <w:tcPr>
            <w:tcW w:w="1214" w:type="dxa"/>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pPr>
            <w:r>
              <w:t>最高值</w:t>
            </w:r>
          </w:p>
        </w:tc>
        <w:tc>
          <w:tcPr>
            <w:tcW w:w="1000" w:type="dxa"/>
            <w:vMerge w:val="restar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pPr>
            <w:r>
              <w:t>最低值</w:t>
            </w:r>
          </w:p>
        </w:tc>
        <w:tc>
          <w:tcPr>
            <w:tcW w:w="980" w:type="dxa"/>
            <w:vMerge w:val="restart"/>
            <w:tcBorders>
              <w:top w:val="single" w:color="000000" w:sz="4" w:space="0"/>
              <w:left w:val="nil"/>
              <w:bottom w:val="single" w:color="000000" w:sz="4" w:space="0"/>
              <w:right w:val="single" w:color="000000" w:sz="4" w:space="0"/>
            </w:tcBorders>
            <w:noWrap/>
            <w:tcMar>
              <w:top w:w="20" w:type="dxa"/>
              <w:left w:w="20" w:type="dxa"/>
              <w:bottom w:w="0" w:type="dxa"/>
              <w:right w:w="20" w:type="dxa"/>
            </w:tcMar>
            <w:vAlign w:val="center"/>
          </w:tcPr>
          <w:p>
            <w:pPr>
              <w:jc w:val="center"/>
            </w:pPr>
            <w:r>
              <w:t>备注</w:t>
            </w:r>
          </w:p>
        </w:tc>
      </w:tr>
      <w:tr>
        <w:tblPrEx>
          <w:tblLayout w:type="fixed"/>
          <w:tblCellMar>
            <w:top w:w="0" w:type="dxa"/>
            <w:left w:w="0" w:type="dxa"/>
            <w:bottom w:w="0" w:type="dxa"/>
            <w:right w:w="0" w:type="dxa"/>
          </w:tblCellMar>
        </w:tblPrEx>
        <w:trPr>
          <w:cantSplit/>
          <w:trHeight w:val="454" w:hRule="exact"/>
        </w:trPr>
        <w:tc>
          <w:tcPr>
            <w:tcW w:w="686" w:type="dxa"/>
            <w:vMerge w:val="continue"/>
            <w:tcBorders>
              <w:top w:val="single" w:color="000000" w:sz="4" w:space="0"/>
              <w:left w:val="single" w:color="000000" w:sz="4" w:space="0"/>
              <w:bottom w:val="single" w:color="000000" w:sz="4" w:space="0"/>
              <w:right w:val="single" w:color="000000" w:sz="4" w:space="0"/>
            </w:tcBorders>
            <w:vAlign w:val="center"/>
          </w:tcPr>
          <w:p/>
        </w:tc>
        <w:tc>
          <w:tcPr>
            <w:tcW w:w="3646" w:type="dxa"/>
            <w:vMerge w:val="continue"/>
            <w:tcBorders>
              <w:top w:val="single" w:color="000000" w:sz="4" w:space="0"/>
              <w:left w:val="single" w:color="000000" w:sz="4" w:space="0"/>
              <w:bottom w:val="single" w:color="000000" w:sz="4" w:space="0"/>
              <w:right w:val="single" w:color="000000" w:sz="4" w:space="0"/>
            </w:tcBorders>
            <w:vAlign w:val="center"/>
          </w:tcPr>
          <w:p/>
        </w:tc>
        <w:tc>
          <w:tcPr>
            <w:tcW w:w="1314" w:type="dxa"/>
            <w:vMerge w:val="continue"/>
            <w:tcBorders>
              <w:top w:val="single" w:color="000000" w:sz="4" w:space="0"/>
              <w:left w:val="single" w:color="000000" w:sz="4" w:space="0"/>
              <w:bottom w:val="single" w:color="000000" w:sz="4" w:space="0"/>
              <w:right w:val="nil"/>
            </w:tcBorders>
            <w:vAlign w:val="center"/>
          </w:tcPr>
          <w:p/>
        </w:tc>
        <w:tc>
          <w:tcPr>
            <w:tcW w:w="1214" w:type="dxa"/>
            <w:vMerge w:val="continue"/>
            <w:tcBorders>
              <w:top w:val="single" w:color="auto" w:sz="4" w:space="0"/>
              <w:left w:val="single" w:color="auto" w:sz="4" w:space="0"/>
              <w:bottom w:val="single" w:color="auto" w:sz="4" w:space="0"/>
              <w:right w:val="single" w:color="auto" w:sz="4" w:space="0"/>
            </w:tcBorders>
            <w:vAlign w:val="center"/>
          </w:tcPr>
          <w:p/>
        </w:tc>
        <w:tc>
          <w:tcPr>
            <w:tcW w:w="1000" w:type="dxa"/>
            <w:vMerge w:val="continue"/>
            <w:tcBorders>
              <w:top w:val="single" w:color="auto" w:sz="4" w:space="0"/>
              <w:left w:val="single" w:color="auto" w:sz="4" w:space="0"/>
              <w:bottom w:val="single" w:color="auto" w:sz="4" w:space="0"/>
              <w:right w:val="single" w:color="auto" w:sz="4" w:space="0"/>
            </w:tcBorders>
            <w:vAlign w:val="center"/>
          </w:tcPr>
          <w:p/>
        </w:tc>
        <w:tc>
          <w:tcPr>
            <w:tcW w:w="980" w:type="dxa"/>
            <w:vMerge w:val="continue"/>
            <w:tcBorders>
              <w:top w:val="single" w:color="000000" w:sz="4" w:space="0"/>
              <w:left w:val="nil"/>
              <w:bottom w:val="single" w:color="000000" w:sz="4" w:space="0"/>
              <w:right w:val="single" w:color="000000" w:sz="4" w:space="0"/>
            </w:tcBorders>
            <w:vAlign w:val="center"/>
          </w:tcP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PH值</w:t>
            </w:r>
          </w:p>
        </w:tc>
        <w:tc>
          <w:tcPr>
            <w:tcW w:w="1314" w:type="dxa"/>
            <w:tcBorders>
              <w:top w:val="nil"/>
              <w:left w:val="nil"/>
              <w:bottom w:val="single" w:color="000000" w:sz="4" w:space="0"/>
              <w:right w:val="nil"/>
            </w:tcBorders>
            <w:noWrap/>
            <w:tcMar>
              <w:top w:w="20" w:type="dxa"/>
              <w:left w:w="20" w:type="dxa"/>
              <w:bottom w:w="0" w:type="dxa"/>
              <w:right w:w="20" w:type="dxa"/>
            </w:tcMar>
            <w:vAlign w:val="bottom"/>
          </w:tcPr>
          <w:p>
            <w:r>
              <w:t>　</w:t>
            </w:r>
          </w:p>
        </w:tc>
        <w:tc>
          <w:tcPr>
            <w:tcW w:w="1214" w:type="dxa"/>
            <w:tcBorders>
              <w:top w:val="nil"/>
              <w:left w:val="single" w:color="auto" w:sz="4" w:space="0"/>
              <w:bottom w:val="single" w:color="auto" w:sz="4" w:space="0"/>
              <w:right w:val="single" w:color="auto" w:sz="4" w:space="0"/>
            </w:tcBorders>
            <w:noWrap/>
            <w:tcMar>
              <w:top w:w="20" w:type="dxa"/>
              <w:left w:w="20" w:type="dxa"/>
              <w:bottom w:w="0" w:type="dxa"/>
              <w:right w:w="20" w:type="dxa"/>
            </w:tcMar>
            <w:vAlign w:val="bottom"/>
          </w:tcPr>
          <w:p>
            <w:r>
              <w:t>　</w:t>
            </w:r>
          </w:p>
        </w:tc>
        <w:tc>
          <w:tcPr>
            <w:tcW w:w="1000" w:type="dxa"/>
            <w:tcBorders>
              <w:top w:val="nil"/>
              <w:left w:val="nil"/>
              <w:bottom w:val="single" w:color="auto" w:sz="4" w:space="0"/>
              <w:right w:val="single" w:color="auto"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2</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悬浮物SS(mg/l)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3</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生物需氧量BOD</w:t>
            </w:r>
            <w:r>
              <w:rPr>
                <w:vertAlign w:val="subscript"/>
              </w:rPr>
              <w:t>5</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4</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化学需氧量COD</w:t>
            </w:r>
            <w:r>
              <w:rPr>
                <w:vertAlign w:val="subscript"/>
              </w:rPr>
              <w:t>cr</w:t>
            </w:r>
            <w:r>
              <w:t xml:space="preserve"> (mg/l)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5</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氨氮NH</w:t>
            </w:r>
            <w:r>
              <w:rPr>
                <w:vertAlign w:val="subscript"/>
              </w:rPr>
              <w:t>4</w:t>
            </w:r>
            <w:r>
              <w:rPr>
                <w:vertAlign w:val="superscript"/>
              </w:rPr>
              <w:t>+</w:t>
            </w:r>
            <w:r>
              <w:t>-N(mg/l)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6</w:t>
            </w:r>
          </w:p>
        </w:tc>
        <w:tc>
          <w:tcPr>
            <w:tcW w:w="3646"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t>总磷TP(mg/l)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7</w:t>
            </w:r>
          </w:p>
        </w:tc>
        <w:tc>
          <w:tcPr>
            <w:tcW w:w="3646" w:type="dxa"/>
            <w:tcBorders>
              <w:top w:val="nil"/>
              <w:left w:val="nil"/>
              <w:bottom w:val="nil"/>
              <w:right w:val="single" w:color="000000" w:sz="4" w:space="0"/>
            </w:tcBorders>
            <w:noWrap/>
            <w:tcMar>
              <w:top w:w="20" w:type="dxa"/>
              <w:left w:w="20" w:type="dxa"/>
              <w:bottom w:w="0" w:type="dxa"/>
              <w:right w:w="20" w:type="dxa"/>
            </w:tcMar>
            <w:vAlign w:val="bottom"/>
          </w:tcPr>
          <w:p>
            <w:pPr>
              <w:ind w:firstLine="189" w:firstLineChars="90"/>
            </w:pPr>
            <w:r>
              <w:rPr>
                <w:rFonts w:hint="eastAsia"/>
              </w:rPr>
              <w:t>氯化物</w:t>
            </w:r>
            <w:r>
              <w:t>Cl</w:t>
            </w:r>
            <w:r>
              <w:rPr>
                <w:vertAlign w:val="superscript"/>
              </w:rPr>
              <w:t>-</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8</w:t>
            </w:r>
          </w:p>
        </w:tc>
        <w:tc>
          <w:tcPr>
            <w:tcW w:w="3646" w:type="dxa"/>
            <w:tcBorders>
              <w:top w:val="single" w:color="000000" w:sz="4" w:space="0"/>
              <w:left w:val="nil"/>
              <w:bottom w:val="single" w:color="000000" w:sz="4" w:space="0"/>
              <w:right w:val="single" w:color="000000" w:sz="4" w:space="0"/>
            </w:tcBorders>
            <w:noWrap/>
            <w:tcMar>
              <w:top w:w="20" w:type="dxa"/>
              <w:left w:w="20" w:type="dxa"/>
              <w:bottom w:w="0" w:type="dxa"/>
              <w:right w:w="20" w:type="dxa"/>
            </w:tcMar>
            <w:vAlign w:val="bottom"/>
          </w:tcPr>
          <w:p>
            <w:pPr>
              <w:ind w:firstLine="189" w:firstLineChars="90"/>
            </w:pPr>
            <w:r>
              <w:rPr>
                <w:rFonts w:hint="eastAsia"/>
              </w:rPr>
              <w:t>色度</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9</w:t>
            </w:r>
          </w:p>
        </w:tc>
        <w:tc>
          <w:tcPr>
            <w:tcW w:w="3646" w:type="dxa"/>
            <w:tcBorders>
              <w:top w:val="nil"/>
              <w:left w:val="nil"/>
              <w:bottom w:val="nil"/>
              <w:right w:val="single" w:color="000000" w:sz="4" w:space="0"/>
            </w:tcBorders>
            <w:noWrap/>
            <w:tcMar>
              <w:top w:w="20" w:type="dxa"/>
              <w:left w:w="20" w:type="dxa"/>
              <w:bottom w:w="0" w:type="dxa"/>
              <w:right w:w="20" w:type="dxa"/>
            </w:tcMar>
            <w:vAlign w:val="bottom"/>
          </w:tcPr>
          <w:p>
            <w:pPr>
              <w:ind w:firstLine="189" w:firstLineChars="90"/>
            </w:pPr>
            <w:r>
              <w:rPr>
                <w:rFonts w:hint="eastAsia"/>
              </w:rPr>
              <w:t>溶解性固体</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10</w:t>
            </w:r>
          </w:p>
        </w:tc>
        <w:tc>
          <w:tcPr>
            <w:tcW w:w="3646" w:type="dxa"/>
            <w:tcBorders>
              <w:top w:val="single" w:color="000000" w:sz="4" w:space="0"/>
              <w:left w:val="nil"/>
              <w:bottom w:val="nil"/>
              <w:right w:val="single" w:color="000000" w:sz="4" w:space="0"/>
            </w:tcBorders>
            <w:noWrap/>
            <w:tcMar>
              <w:top w:w="20" w:type="dxa"/>
              <w:left w:w="20" w:type="dxa"/>
              <w:bottom w:w="0" w:type="dxa"/>
              <w:right w:w="20" w:type="dxa"/>
            </w:tcMar>
            <w:vAlign w:val="bottom"/>
          </w:tcPr>
          <w:p>
            <w:pPr>
              <w:ind w:firstLine="189" w:firstLineChars="90"/>
            </w:pPr>
            <w:r>
              <w:rPr>
                <w:rFonts w:hint="eastAsia"/>
              </w:rPr>
              <w:t>粪大肠菌群数（个</w:t>
            </w:r>
            <w:r>
              <w:t>/L)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11</w:t>
            </w:r>
          </w:p>
        </w:tc>
        <w:tc>
          <w:tcPr>
            <w:tcW w:w="3646"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阴离子表面活性剂</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12</w:t>
            </w:r>
          </w:p>
        </w:tc>
        <w:tc>
          <w:tcPr>
            <w:tcW w:w="3646" w:type="dxa"/>
            <w:tcBorders>
              <w:top w:val="nil"/>
              <w:left w:val="single" w:color="auto" w:sz="4" w:space="0"/>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油类</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13</w:t>
            </w:r>
          </w:p>
        </w:tc>
        <w:tc>
          <w:tcPr>
            <w:tcW w:w="3646" w:type="dxa"/>
            <w:tcBorders>
              <w:top w:val="nil"/>
              <w:left w:val="single" w:color="auto" w:sz="4" w:space="0"/>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苯胺</w:t>
            </w:r>
            <w:r>
              <w:t>(mg/l)</w:t>
            </w:r>
          </w:p>
        </w:tc>
        <w:tc>
          <w:tcPr>
            <w:tcW w:w="1314" w:type="dxa"/>
            <w:tcBorders>
              <w:top w:val="nil"/>
              <w:left w:val="nil"/>
              <w:bottom w:val="nil"/>
              <w:right w:val="nil"/>
            </w:tcBorders>
            <w:noWrap/>
            <w:tcMar>
              <w:top w:w="20" w:type="dxa"/>
              <w:left w:w="20" w:type="dxa"/>
              <w:bottom w:w="0" w:type="dxa"/>
              <w:right w:w="20" w:type="dxa"/>
            </w:tcMar>
            <w:vAlign w:val="bottom"/>
          </w:tcPr>
          <w:p/>
        </w:tc>
        <w:tc>
          <w:tcPr>
            <w:tcW w:w="1214"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14</w:t>
            </w:r>
          </w:p>
        </w:tc>
        <w:tc>
          <w:tcPr>
            <w:tcW w:w="3646" w:type="dxa"/>
            <w:tcBorders>
              <w:top w:val="nil"/>
              <w:left w:val="single" w:color="auto" w:sz="4" w:space="0"/>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挥发酚</w:t>
            </w:r>
            <w:r>
              <w:t>(mg/l)</w:t>
            </w:r>
          </w:p>
        </w:tc>
        <w:tc>
          <w:tcPr>
            <w:tcW w:w="1314" w:type="dxa"/>
            <w:tcBorders>
              <w:top w:val="single" w:color="000000" w:sz="4" w:space="0"/>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single" w:color="000000" w:sz="4" w:space="0"/>
              <w:right w:val="single" w:color="000000" w:sz="4" w:space="0"/>
            </w:tcBorders>
            <w:noWrap/>
            <w:tcMar>
              <w:top w:w="20" w:type="dxa"/>
              <w:left w:w="20" w:type="dxa"/>
              <w:bottom w:w="0" w:type="dxa"/>
              <w:right w:w="20" w:type="dxa"/>
            </w:tcMar>
            <w:vAlign w:val="bottom"/>
          </w:tcPr>
          <w:p>
            <w:pPr>
              <w:jc w:val="center"/>
            </w:pPr>
            <w:r>
              <w:t>15</w:t>
            </w:r>
          </w:p>
        </w:tc>
        <w:tc>
          <w:tcPr>
            <w:tcW w:w="3646" w:type="dxa"/>
            <w:tcBorders>
              <w:top w:val="nil"/>
              <w:left w:val="single" w:color="auto" w:sz="4" w:space="0"/>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硫化物</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nil"/>
              <w:left w:val="single" w:color="000000" w:sz="4" w:space="0"/>
              <w:bottom w:val="nil"/>
              <w:right w:val="single" w:color="000000" w:sz="4" w:space="0"/>
            </w:tcBorders>
            <w:noWrap/>
            <w:tcMar>
              <w:top w:w="20" w:type="dxa"/>
              <w:left w:w="20" w:type="dxa"/>
              <w:bottom w:w="0" w:type="dxa"/>
              <w:right w:w="20" w:type="dxa"/>
            </w:tcMar>
            <w:vAlign w:val="bottom"/>
          </w:tcPr>
          <w:p>
            <w:pPr>
              <w:jc w:val="center"/>
            </w:pPr>
            <w:r>
              <w:t>16</w:t>
            </w:r>
          </w:p>
        </w:tc>
        <w:tc>
          <w:tcPr>
            <w:tcW w:w="3646" w:type="dxa"/>
            <w:tcBorders>
              <w:top w:val="nil"/>
              <w:left w:val="nil"/>
              <w:bottom w:val="nil"/>
              <w:right w:val="single" w:color="000000" w:sz="4" w:space="0"/>
            </w:tcBorders>
            <w:noWrap/>
            <w:tcMar>
              <w:top w:w="20" w:type="dxa"/>
              <w:left w:w="20" w:type="dxa"/>
              <w:bottom w:w="0" w:type="dxa"/>
              <w:right w:w="20" w:type="dxa"/>
            </w:tcMar>
            <w:vAlign w:val="bottom"/>
          </w:tcPr>
          <w:p>
            <w:pPr>
              <w:ind w:firstLine="189" w:firstLineChars="90"/>
            </w:pPr>
            <w:r>
              <w:rPr>
                <w:rFonts w:hint="eastAsia"/>
              </w:rPr>
              <w:t>氰化物</w:t>
            </w:r>
            <w:r>
              <w:t>(mg/l)</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686" w:type="dxa"/>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bottom"/>
          </w:tcPr>
          <w:p>
            <w:pPr>
              <w:jc w:val="center"/>
            </w:pPr>
            <w:r>
              <w:t>17</w:t>
            </w:r>
          </w:p>
        </w:tc>
        <w:tc>
          <w:tcPr>
            <w:tcW w:w="3646" w:type="dxa"/>
            <w:tcBorders>
              <w:top w:val="single" w:color="auto" w:sz="4" w:space="0"/>
              <w:left w:val="nil"/>
              <w:bottom w:val="single" w:color="auto" w:sz="4" w:space="0"/>
              <w:right w:val="single" w:color="auto" w:sz="4" w:space="0"/>
            </w:tcBorders>
            <w:noWrap/>
            <w:tcMar>
              <w:top w:w="20" w:type="dxa"/>
              <w:left w:w="20" w:type="dxa"/>
              <w:bottom w:w="0" w:type="dxa"/>
              <w:right w:w="20" w:type="dxa"/>
            </w:tcMar>
            <w:vAlign w:val="bottom"/>
          </w:tcPr>
          <w:p>
            <w:pPr>
              <w:ind w:firstLine="189" w:firstLineChars="90"/>
            </w:pPr>
            <w:r>
              <w:rPr>
                <w:rFonts w:hint="eastAsia"/>
              </w:rPr>
              <w:t>水温（</w:t>
            </w:r>
            <w:r>
              <w:rPr>
                <w:rFonts w:hint="eastAsia" w:ascii="宋体" w:hAnsi="宋体" w:cs="宋体"/>
              </w:rPr>
              <w:t>℃</w:t>
            </w:r>
            <w:r>
              <w:rPr>
                <w:rFonts w:hint="eastAsia"/>
              </w:rPr>
              <w:t>）</w:t>
            </w:r>
          </w:p>
        </w:tc>
        <w:tc>
          <w:tcPr>
            <w:tcW w:w="13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214"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100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c>
          <w:tcPr>
            <w:tcW w:w="980" w:type="dxa"/>
            <w:tcBorders>
              <w:top w:val="nil"/>
              <w:left w:val="nil"/>
              <w:bottom w:val="single" w:color="000000" w:sz="4" w:space="0"/>
              <w:right w:val="single" w:color="000000" w:sz="4" w:space="0"/>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454" w:hRule="exact"/>
        </w:trPr>
        <w:tc>
          <w:tcPr>
            <w:tcW w:w="4332" w:type="dxa"/>
            <w:gridSpan w:val="2"/>
            <w:tcBorders>
              <w:top w:val="nil"/>
              <w:left w:val="nil"/>
              <w:right w:val="nil"/>
            </w:tcBorders>
            <w:noWrap/>
            <w:tcMar>
              <w:top w:w="20" w:type="dxa"/>
              <w:left w:w="20" w:type="dxa"/>
              <w:bottom w:w="0" w:type="dxa"/>
              <w:right w:w="20" w:type="dxa"/>
            </w:tcMar>
            <w:vAlign w:val="bottom"/>
          </w:tcPr>
          <w:p>
            <w:r>
              <w:t>主管：</w:t>
            </w:r>
          </w:p>
        </w:tc>
        <w:tc>
          <w:tcPr>
            <w:tcW w:w="1314" w:type="dxa"/>
            <w:tcBorders>
              <w:top w:val="nil"/>
              <w:left w:val="nil"/>
              <w:right w:val="nil"/>
            </w:tcBorders>
            <w:noWrap/>
            <w:tcMar>
              <w:top w:w="20" w:type="dxa"/>
              <w:left w:w="20" w:type="dxa"/>
              <w:bottom w:w="0" w:type="dxa"/>
              <w:right w:w="20" w:type="dxa"/>
            </w:tcMar>
            <w:vAlign w:val="bottom"/>
          </w:tcPr>
          <w:p>
            <w:r>
              <w:t>　</w:t>
            </w:r>
          </w:p>
        </w:tc>
        <w:tc>
          <w:tcPr>
            <w:tcW w:w="2214" w:type="dxa"/>
            <w:gridSpan w:val="2"/>
            <w:tcBorders>
              <w:top w:val="nil"/>
              <w:left w:val="nil"/>
              <w:right w:val="nil"/>
            </w:tcBorders>
            <w:noWrap/>
            <w:tcMar>
              <w:top w:w="20" w:type="dxa"/>
              <w:left w:w="20" w:type="dxa"/>
              <w:bottom w:w="0" w:type="dxa"/>
              <w:right w:w="20" w:type="dxa"/>
            </w:tcMar>
            <w:vAlign w:val="bottom"/>
          </w:tcPr>
          <w:p>
            <w:r>
              <w:t xml:space="preserve">填表人：  </w:t>
            </w:r>
          </w:p>
        </w:tc>
        <w:tc>
          <w:tcPr>
            <w:tcW w:w="980" w:type="dxa"/>
            <w:tcBorders>
              <w:top w:val="nil"/>
              <w:left w:val="nil"/>
              <w:right w:val="nil"/>
            </w:tcBorders>
            <w:noWrap/>
            <w:tcMar>
              <w:top w:w="20" w:type="dxa"/>
              <w:left w:w="20" w:type="dxa"/>
              <w:bottom w:w="0" w:type="dxa"/>
              <w:right w:w="20" w:type="dxa"/>
            </w:tcMar>
            <w:vAlign w:val="bottom"/>
          </w:tcPr>
          <w:p>
            <w:r>
              <w:t>　</w:t>
            </w:r>
          </w:p>
        </w:tc>
      </w:tr>
      <w:tr>
        <w:tblPrEx>
          <w:tblLayout w:type="fixed"/>
          <w:tblCellMar>
            <w:top w:w="0" w:type="dxa"/>
            <w:left w:w="0" w:type="dxa"/>
            <w:bottom w:w="0" w:type="dxa"/>
            <w:right w:w="0" w:type="dxa"/>
          </w:tblCellMar>
        </w:tblPrEx>
        <w:trPr>
          <w:trHeight w:val="528" w:hRule="exact"/>
        </w:trPr>
        <w:tc>
          <w:tcPr>
            <w:tcW w:w="4332" w:type="dxa"/>
            <w:gridSpan w:val="2"/>
            <w:tcBorders>
              <w:top w:val="nil"/>
              <w:left w:val="nil"/>
              <w:bottom w:val="nil"/>
              <w:right w:val="nil"/>
            </w:tcBorders>
            <w:noWrap/>
            <w:tcMar>
              <w:top w:w="20" w:type="dxa"/>
              <w:left w:w="20" w:type="dxa"/>
              <w:bottom w:w="0" w:type="dxa"/>
              <w:right w:w="20" w:type="dxa"/>
            </w:tcMar>
            <w:vAlign w:val="bottom"/>
          </w:tcPr>
          <w:p>
            <w:r>
              <w:t>报送日期：</w:t>
            </w:r>
          </w:p>
        </w:tc>
        <w:tc>
          <w:tcPr>
            <w:tcW w:w="1314" w:type="dxa"/>
            <w:tcBorders>
              <w:top w:val="nil"/>
              <w:left w:val="nil"/>
              <w:bottom w:val="nil"/>
              <w:right w:val="nil"/>
            </w:tcBorders>
            <w:noWrap/>
            <w:tcMar>
              <w:top w:w="20" w:type="dxa"/>
              <w:left w:w="20" w:type="dxa"/>
              <w:bottom w:w="0" w:type="dxa"/>
              <w:right w:w="20" w:type="dxa"/>
            </w:tcMar>
            <w:vAlign w:val="bottom"/>
          </w:tcPr>
          <w:p>
            <w:r>
              <w:t>　</w:t>
            </w:r>
          </w:p>
        </w:tc>
        <w:tc>
          <w:tcPr>
            <w:tcW w:w="1214" w:type="dxa"/>
            <w:tcBorders>
              <w:top w:val="nil"/>
              <w:left w:val="nil"/>
              <w:bottom w:val="nil"/>
              <w:right w:val="nil"/>
            </w:tcBorders>
            <w:noWrap/>
            <w:tcMar>
              <w:top w:w="20" w:type="dxa"/>
              <w:left w:w="20" w:type="dxa"/>
              <w:bottom w:w="0" w:type="dxa"/>
              <w:right w:w="20" w:type="dxa"/>
            </w:tcMar>
            <w:vAlign w:val="bottom"/>
          </w:tcPr>
          <w:p>
            <w:r>
              <w:t>电话：</w:t>
            </w:r>
          </w:p>
        </w:tc>
        <w:tc>
          <w:tcPr>
            <w:tcW w:w="1000" w:type="dxa"/>
            <w:tcBorders>
              <w:top w:val="nil"/>
              <w:left w:val="nil"/>
              <w:bottom w:val="nil"/>
              <w:right w:val="nil"/>
            </w:tcBorders>
            <w:noWrap/>
            <w:tcMar>
              <w:top w:w="20" w:type="dxa"/>
              <w:left w:w="20" w:type="dxa"/>
              <w:bottom w:w="0" w:type="dxa"/>
              <w:right w:w="20" w:type="dxa"/>
            </w:tcMar>
            <w:vAlign w:val="bottom"/>
          </w:tcPr>
          <w:p>
            <w:r>
              <w:t>　</w:t>
            </w:r>
          </w:p>
        </w:tc>
        <w:tc>
          <w:tcPr>
            <w:tcW w:w="980" w:type="dxa"/>
            <w:tcBorders>
              <w:top w:val="nil"/>
              <w:left w:val="nil"/>
              <w:bottom w:val="nil"/>
              <w:right w:val="nil"/>
            </w:tcBorders>
            <w:noWrap/>
            <w:tcMar>
              <w:top w:w="20" w:type="dxa"/>
              <w:left w:w="20" w:type="dxa"/>
              <w:bottom w:w="0" w:type="dxa"/>
              <w:right w:w="20" w:type="dxa"/>
            </w:tcMar>
            <w:vAlign w:val="bottom"/>
          </w:tcPr>
          <w:p>
            <w:r>
              <w:t>　</w:t>
            </w:r>
          </w:p>
        </w:tc>
      </w:tr>
    </w:tbl>
    <w:p>
      <w:pPr>
        <w:spacing w:before="120" w:after="120"/>
        <w:rPr>
          <w:snapToGrid w:val="0"/>
        </w:rPr>
      </w:pPr>
      <w:r>
        <w:rPr>
          <w:snapToGrid w:val="0"/>
        </w:rPr>
        <w:t>（注：污水处理厂填写）</w:t>
      </w:r>
    </w:p>
    <w:p>
      <w:pPr>
        <w:pStyle w:val="215"/>
        <w:spacing w:after="120"/>
      </w:pPr>
    </w:p>
    <w:p>
      <w:pPr>
        <w:pStyle w:val="212"/>
        <w:numPr>
          <w:ilvl w:val="0"/>
          <w:numId w:val="0"/>
        </w:numPr>
        <w:spacing w:before="360" w:after="120" w:line="360" w:lineRule="auto"/>
        <w:jc w:val="left"/>
        <w:rPr>
          <w:b/>
        </w:rPr>
        <w:sectPr>
          <w:pgSz w:w="11907" w:h="16860"/>
          <w:pgMar w:top="1418" w:right="1259" w:bottom="1418" w:left="1678" w:header="794" w:footer="737" w:gutter="0"/>
          <w:cols w:space="720" w:num="1"/>
          <w:docGrid w:linePitch="326" w:charSpace="0"/>
        </w:sectPr>
      </w:pPr>
    </w:p>
    <w:p>
      <w:pPr>
        <w:pStyle w:val="212"/>
        <w:numPr>
          <w:ilvl w:val="0"/>
          <w:numId w:val="0"/>
        </w:numPr>
        <w:spacing w:before="360" w:after="120" w:line="360" w:lineRule="auto"/>
        <w:rPr>
          <w:b/>
        </w:rPr>
      </w:pPr>
      <w:bookmarkStart w:id="1314" w:name="_Toc534891129"/>
      <w:r>
        <w:rPr>
          <w:b/>
        </w:rPr>
        <w:t>附件三     进水水质超标的处理</w:t>
      </w:r>
      <w:bookmarkEnd w:id="1314"/>
    </w:p>
    <w:p>
      <w:pPr>
        <w:numPr>
          <w:ilvl w:val="0"/>
          <w:numId w:val="26"/>
        </w:numPr>
        <w:spacing w:beforeLines="50" w:afterLines="50" w:line="360" w:lineRule="auto"/>
        <w:ind w:hanging="504"/>
      </w:pPr>
      <w:r>
        <w:t>任一运营日，若进水水质中某一指标浓度超过第10.2条款约定的设计标准，乙方应立即通知甲方，经甲方现场检测确认后，依据协议认定进水水质超标，同时报告环保部门。</w:t>
      </w:r>
    </w:p>
    <w:p>
      <w:pPr>
        <w:numPr>
          <w:ilvl w:val="0"/>
          <w:numId w:val="26"/>
        </w:numPr>
        <w:spacing w:beforeLines="50" w:afterLines="50" w:line="360" w:lineRule="auto"/>
        <w:ind w:hanging="504"/>
      </w:pPr>
      <w:r>
        <w:t>对于进水水质超标的指标，若超标范围在10%以内，乙方有义务尽最大努力进行处理使其满足本合同第10.2条款和第10.3条款约定的出水质量标准。</w:t>
      </w:r>
    </w:p>
    <w:p>
      <w:pPr>
        <w:numPr>
          <w:ilvl w:val="0"/>
          <w:numId w:val="26"/>
        </w:numPr>
        <w:spacing w:beforeLines="50" w:afterLines="50" w:line="360" w:lineRule="auto"/>
        <w:ind w:hanging="504"/>
      </w:pPr>
      <w:r>
        <w:t>若进水水质超标范围超过10%的，且经乙方尽最大努力处理后该指标仍然不能达到出水水质标准的，经甲方证实后，可以免除协议项下乙方出水水质超标的违约金。</w:t>
      </w:r>
    </w:p>
    <w:p>
      <w:pPr>
        <w:spacing w:beforeLines="50" w:afterLines="50" w:line="360" w:lineRule="auto"/>
        <w:ind w:left="567"/>
      </w:pPr>
      <w:r>
        <w:t>如污水进水中任何一种进水主要水质指标连续三十（30）日以上超过第10.2条款约定的进水质量标准10%以上，乙方应与市建设局就修改出水质量标准、工况调整、设备改造及有关的费用或修改进水质量标准进行协商。如在协商期间，进水质量恢复至第10.2条款约定的标准，则双方应按原规定执行。</w:t>
      </w:r>
    </w:p>
    <w:p>
      <w:pPr>
        <w:numPr>
          <w:ilvl w:val="0"/>
          <w:numId w:val="26"/>
        </w:numPr>
        <w:spacing w:beforeLines="50" w:afterLines="50" w:line="360" w:lineRule="auto"/>
        <w:ind w:hanging="504"/>
      </w:pPr>
      <w:r>
        <w:t>若进水水质中的PH指标小于5或大于10，或出现重金属等有毒有害物质含量过高等对污水处理厂生化系统可能产生破坏的严重污染情况：</w:t>
      </w:r>
    </w:p>
    <w:p>
      <w:pPr>
        <w:widowControl/>
        <w:numPr>
          <w:ilvl w:val="0"/>
          <w:numId w:val="27"/>
        </w:numPr>
        <w:tabs>
          <w:tab w:val="left" w:pos="993"/>
        </w:tabs>
        <w:spacing w:beforeLines="50" w:after="120" w:line="360" w:lineRule="auto"/>
        <w:ind w:left="928" w:leftChars="342" w:hanging="210" w:hangingChars="100"/>
        <w:rPr>
          <w:szCs w:val="20"/>
          <w:lang w:val="en-GB"/>
        </w:rPr>
      </w:pPr>
      <w:r>
        <w:rPr>
          <w:szCs w:val="20"/>
          <w:lang w:val="en-GB"/>
        </w:rPr>
        <w:t>4.1乙方应立即上报甲方和市环保部门，并启动紧急应急预案尽量将损害降低至最小；</w:t>
      </w:r>
    </w:p>
    <w:p>
      <w:pPr>
        <w:widowControl/>
        <w:numPr>
          <w:ilvl w:val="0"/>
          <w:numId w:val="27"/>
        </w:numPr>
        <w:tabs>
          <w:tab w:val="left" w:pos="993"/>
        </w:tabs>
        <w:spacing w:beforeLines="50" w:after="120" w:line="360" w:lineRule="auto"/>
        <w:ind w:left="928" w:leftChars="342" w:hanging="210" w:hangingChars="100"/>
        <w:rPr>
          <w:szCs w:val="20"/>
          <w:lang w:val="en-GB"/>
        </w:rPr>
      </w:pPr>
      <w:r>
        <w:rPr>
          <w:szCs w:val="20"/>
          <w:lang w:val="en-GB"/>
        </w:rPr>
        <w:t>4.2</w:t>
      </w:r>
      <w:r>
        <w:rPr>
          <w:szCs w:val="20"/>
        </w:rPr>
        <w:t>甲方应会同环保行政主管部门按照污水处理行业普遍的业务规范和操作规程对本条款项下进水水质严重污染的情况进行鉴定，以判断乙方是否以谨慎运营的原则采取了适当的措施；</w:t>
      </w:r>
    </w:p>
    <w:p>
      <w:pPr>
        <w:widowControl/>
        <w:numPr>
          <w:ilvl w:val="0"/>
          <w:numId w:val="27"/>
        </w:numPr>
        <w:tabs>
          <w:tab w:val="left" w:pos="993"/>
        </w:tabs>
        <w:spacing w:beforeLines="50" w:after="120" w:line="360" w:lineRule="auto"/>
        <w:ind w:left="928" w:leftChars="342" w:hanging="210" w:hangingChars="100"/>
        <w:rPr>
          <w:szCs w:val="20"/>
        </w:rPr>
        <w:sectPr>
          <w:pgSz w:w="11907" w:h="16860"/>
          <w:pgMar w:top="1418" w:right="1259" w:bottom="1418" w:left="1678" w:header="794" w:footer="737" w:gutter="0"/>
          <w:cols w:space="720" w:num="1"/>
          <w:docGrid w:linePitch="326" w:charSpace="0"/>
        </w:sectPr>
      </w:pPr>
      <w:r>
        <w:rPr>
          <w:szCs w:val="20"/>
          <w:lang w:val="en-GB"/>
        </w:rPr>
        <w:t>4.3</w:t>
      </w:r>
      <w:r>
        <w:rPr>
          <w:szCs w:val="20"/>
        </w:rPr>
        <w:t>如上述鉴定证明乙方适当采取了停止进水或减量处理的措施的，甲方应当免除乙方在进水水质严重超标期间及生化系统恢复至正常期间的出水水质超标处理水量不足处理违约金，并按实际处理量向乙方支付污水处理服务费。</w:t>
      </w:r>
    </w:p>
    <w:p>
      <w:pPr>
        <w:pStyle w:val="212"/>
        <w:numPr>
          <w:ilvl w:val="0"/>
          <w:numId w:val="0"/>
        </w:numPr>
        <w:spacing w:before="360" w:after="120" w:line="360" w:lineRule="auto"/>
        <w:rPr>
          <w:b/>
        </w:rPr>
      </w:pPr>
      <w:bookmarkStart w:id="1315" w:name="_Toc534891130"/>
      <w:r>
        <w:rPr>
          <w:b/>
        </w:rPr>
        <w:t>附件四     保函格式</w:t>
      </w:r>
      <w:bookmarkEnd w:id="1315"/>
    </w:p>
    <w:p>
      <w:pPr>
        <w:pStyle w:val="215"/>
        <w:spacing w:after="120" w:line="360" w:lineRule="auto"/>
      </w:pPr>
      <w:r>
        <w:t>致：禹州市住房与城乡</w:t>
      </w:r>
      <w:r>
        <w:rPr>
          <w:rFonts w:hint="eastAsia"/>
        </w:rPr>
        <w:t>规划</w:t>
      </w:r>
      <w:r>
        <w:t>建设局（以下简称“甲方”）</w:t>
      </w:r>
    </w:p>
    <w:p>
      <w:pPr>
        <w:pStyle w:val="215"/>
        <w:spacing w:after="120" w:line="360" w:lineRule="auto"/>
      </w:pPr>
      <w:r>
        <w:t>地址：</w:t>
      </w:r>
      <w:r>
        <w:tab/>
      </w:r>
    </w:p>
    <w:p>
      <w:pPr>
        <w:pStyle w:val="215"/>
        <w:spacing w:after="120" w:line="360" w:lineRule="auto"/>
      </w:pPr>
      <w:r>
        <w:t>邮编：</w:t>
      </w:r>
      <w:r>
        <w:tab/>
      </w:r>
    </w:p>
    <w:p>
      <w:pPr>
        <w:pStyle w:val="215"/>
        <w:spacing w:after="120" w:line="360" w:lineRule="auto"/>
      </w:pPr>
      <w:r>
        <w:t>根据甲方与【乙方名称】（以下简称“乙方”）于【年/月/日】签订的《禹州市绿色铸造园区与陶瓷园区污水处理厂PPP项目合同》（以下简称“《PPP项目合同》”），应乙方的要求，我们【银行/金融机构名称】作为担保人，兹开立以甲方为受益人，金额为【】的第【】号不可撤销的担保函，以不可撤销及无条件的担保乙方将根据《PPP项目合同》的条款和条件，履行其在《PPP项目合同》项下的全部义务。如乙方未根据《PPP项目合同》的条款和条件履行《PPP项目合同》项下的全部或部分义务，担保人将履行在本保函项下的支付义务。</w:t>
      </w:r>
    </w:p>
    <w:p>
      <w:pPr>
        <w:pStyle w:val="215"/>
        <w:spacing w:after="120" w:line="360" w:lineRule="auto"/>
      </w:pPr>
      <w:r>
        <w:t>担保人保证在收到甲方在本保函有效期内出具的见索即付的书面要求后的第五（5）个营业日内，即向甲方支付甲方要求的不超过上述金额的款项，而无须要求甲方确证该支付要求满足本保函项下的支付要求，甲方只需在其书面要求中说明其要求支付的款项是由于乙方未履行《PPP项目合同》项下的某一项或某几项义务。我们在此放弃要求甲方在向我方提出付款要求之前首先向乙方提出付款要求或对乙方提起诉讼或仲裁的要求。</w:t>
      </w:r>
    </w:p>
    <w:p>
      <w:pPr>
        <w:pStyle w:val="215"/>
        <w:spacing w:after="120" w:line="360" w:lineRule="auto"/>
      </w:pPr>
      <w:r>
        <w:t>我们同意，甲方与乙方之间可能对《PPP项目合同》或任何其它文件的条款所作的任何更改或补充或任何其它修改，不免除我方在本担保项下应承担的责任，我们在此放弃对此类更改、补充或修改给予通知的要求。</w:t>
      </w:r>
    </w:p>
    <w:p>
      <w:pPr>
        <w:pStyle w:val="215"/>
        <w:spacing w:after="120" w:line="360" w:lineRule="auto"/>
      </w:pPr>
      <w:r>
        <w:t>本保函有效期自【】年【】月【】日起，至本保函生效日后不少于十二（12）个月，即【】年【】月【】日止。</w:t>
      </w:r>
    </w:p>
    <w:p>
      <w:pPr>
        <w:pStyle w:val="215"/>
        <w:spacing w:after="120" w:line="360" w:lineRule="auto"/>
      </w:pPr>
      <w:r>
        <w:t>本保函中使用的所有术语具有《PPP项目合同》中规定的含义（我们确认已收到《PPP项目合同》的一份复印件）。</w:t>
      </w:r>
    </w:p>
    <w:p>
      <w:pPr>
        <w:pStyle w:val="215"/>
        <w:spacing w:after="120" w:line="360" w:lineRule="auto"/>
      </w:pPr>
      <w:r>
        <w:t>担保人特此声明：</w:t>
      </w:r>
    </w:p>
    <w:p>
      <w:pPr>
        <w:pStyle w:val="215"/>
        <w:numPr>
          <w:ilvl w:val="0"/>
          <w:numId w:val="28"/>
        </w:numPr>
        <w:spacing w:after="120" w:line="360" w:lineRule="auto"/>
      </w:pPr>
      <w:r>
        <w:t>担保人具有签署及履行本保函的权利和行为能力，并且担保人已经获得充分有效的授权以签署和履行本保函。</w:t>
      </w:r>
    </w:p>
    <w:p>
      <w:pPr>
        <w:pStyle w:val="215"/>
        <w:numPr>
          <w:ilvl w:val="0"/>
          <w:numId w:val="28"/>
        </w:numPr>
        <w:spacing w:after="120" w:line="360" w:lineRule="auto"/>
      </w:pPr>
      <w:r>
        <w:t>本保函对担保人的受让人和承继人均有约束力。</w:t>
      </w:r>
    </w:p>
    <w:p>
      <w:pPr>
        <w:pStyle w:val="215"/>
        <w:numPr>
          <w:ilvl w:val="0"/>
          <w:numId w:val="28"/>
        </w:numPr>
        <w:spacing w:after="120" w:line="360" w:lineRule="auto"/>
      </w:pPr>
      <w:r>
        <w:t>与本保函有关的各项通知和/或信函，包括但不限于索偿通知等经传真或信件等形式发往担保人的如下地址，即应视为担保人已经收到该等通知和/或信函。</w:t>
      </w:r>
    </w:p>
    <w:p>
      <w:pPr>
        <w:pStyle w:val="215"/>
        <w:spacing w:after="120" w:line="360" w:lineRule="auto"/>
      </w:pPr>
      <w:r>
        <w:t>收件人：</w:t>
      </w:r>
    </w:p>
    <w:p>
      <w:pPr>
        <w:pStyle w:val="215"/>
        <w:spacing w:after="120" w:line="360" w:lineRule="auto"/>
      </w:pPr>
      <w:r>
        <w:t>地址：</w:t>
      </w:r>
    </w:p>
    <w:p>
      <w:pPr>
        <w:pStyle w:val="215"/>
        <w:spacing w:after="120" w:line="360" w:lineRule="auto"/>
      </w:pPr>
      <w:r>
        <w:t>传真：</w:t>
      </w:r>
    </w:p>
    <w:p>
      <w:pPr>
        <w:pStyle w:val="215"/>
        <w:spacing w:after="120" w:line="360" w:lineRule="auto"/>
      </w:pPr>
      <w:r>
        <w:t>电话：</w:t>
      </w:r>
    </w:p>
    <w:p>
      <w:pPr>
        <w:pStyle w:val="215"/>
        <w:numPr>
          <w:ilvl w:val="0"/>
          <w:numId w:val="28"/>
        </w:numPr>
        <w:spacing w:after="120" w:line="360" w:lineRule="auto"/>
      </w:pPr>
      <w:r>
        <w:t>本保函一经担保人法定代表人或负责人或授权代表签字并加盖担保人公章即行生效。</w:t>
      </w:r>
    </w:p>
    <w:p>
      <w:pPr>
        <w:pStyle w:val="215"/>
        <w:numPr>
          <w:ilvl w:val="0"/>
          <w:numId w:val="28"/>
        </w:numPr>
        <w:spacing w:after="120" w:line="360" w:lineRule="auto"/>
      </w:pPr>
      <w:r>
        <w:t>担保人在本保函项下的义务是独立的。</w:t>
      </w:r>
    </w:p>
    <w:p>
      <w:pPr>
        <w:pStyle w:val="215"/>
        <w:spacing w:after="120" w:line="360" w:lineRule="auto"/>
      </w:pPr>
      <w:r>
        <w:t>本保函应适用中国法律并根据中国法律解释。</w:t>
      </w:r>
    </w:p>
    <w:p>
      <w:pPr>
        <w:pStyle w:val="215"/>
        <w:spacing w:after="120" w:line="360" w:lineRule="auto"/>
      </w:pPr>
      <w:r>
        <w:t>银行/金融机构名称：_________________</w:t>
      </w:r>
    </w:p>
    <w:p>
      <w:pPr>
        <w:pStyle w:val="215"/>
        <w:spacing w:after="120" w:line="360" w:lineRule="auto"/>
      </w:pPr>
      <w:r>
        <w:t>银行/金融机构地址：_________________</w:t>
      </w:r>
    </w:p>
    <w:p>
      <w:pPr>
        <w:pStyle w:val="215"/>
        <w:spacing w:after="120" w:line="360" w:lineRule="auto"/>
        <w:rPr>
          <w:u w:val="single"/>
        </w:rPr>
      </w:pPr>
      <w:r>
        <w:t>银行/金融机构盖章__________________</w:t>
      </w:r>
    </w:p>
    <w:p>
      <w:pPr>
        <w:pStyle w:val="215"/>
        <w:spacing w:after="120" w:line="360" w:lineRule="auto"/>
      </w:pPr>
      <w:r>
        <w:t>签字： __________________</w:t>
      </w:r>
    </w:p>
    <w:p>
      <w:pPr>
        <w:pStyle w:val="215"/>
        <w:spacing w:after="120" w:line="360" w:lineRule="auto"/>
      </w:pPr>
      <w:r>
        <w:t>姓名： __________________</w:t>
      </w:r>
    </w:p>
    <w:p>
      <w:pPr>
        <w:widowControl/>
        <w:rPr>
          <w:bCs/>
        </w:rPr>
      </w:pPr>
      <w:r>
        <w:rPr>
          <w:bCs/>
        </w:rPr>
        <w:br w:type="page"/>
      </w:r>
    </w:p>
    <w:p>
      <w:pPr>
        <w:widowControl/>
        <w:sectPr>
          <w:pgSz w:w="11907" w:h="16860"/>
          <w:pgMar w:top="1418" w:right="1259" w:bottom="1418" w:left="1678" w:header="794" w:footer="737" w:gutter="0"/>
          <w:cols w:space="720" w:num="1"/>
          <w:docGrid w:linePitch="326" w:charSpace="0"/>
        </w:sectPr>
      </w:pPr>
    </w:p>
    <w:bookmarkEnd w:id="1311"/>
    <w:p>
      <w:pPr>
        <w:pStyle w:val="212"/>
        <w:numPr>
          <w:ilvl w:val="0"/>
          <w:numId w:val="0"/>
        </w:numPr>
        <w:spacing w:before="468" w:after="156" w:line="360" w:lineRule="auto"/>
        <w:rPr>
          <w:b/>
        </w:rPr>
      </w:pPr>
      <w:bookmarkStart w:id="1316" w:name="_Toc534891131"/>
      <w:r>
        <w:rPr>
          <w:b/>
          <w:bCs/>
        </w:rPr>
        <w:t xml:space="preserve">附件五     </w:t>
      </w:r>
      <w:r>
        <w:rPr>
          <w:b/>
        </w:rPr>
        <w:t>保险</w:t>
      </w:r>
      <w:bookmarkEnd w:id="1316"/>
      <w:bookmarkStart w:id="1317" w:name="_Ref424562594"/>
    </w:p>
    <w:bookmarkEnd w:id="1317"/>
    <w:p>
      <w:pPr>
        <w:spacing w:before="120" w:line="360" w:lineRule="auto"/>
        <w:ind w:firstLine="480"/>
      </w:pPr>
      <w:r>
        <w:t>在整个合作期内，___________公司【填入乙方名称】（下称“项目公司”）应按行业的国际惯例办理和维持合理的项目设施运营和维护所需的保险。</w:t>
      </w:r>
    </w:p>
    <w:p>
      <w:pPr>
        <w:widowControl/>
        <w:spacing w:before="120" w:after="240" w:line="360" w:lineRule="auto"/>
        <w:ind w:firstLine="480"/>
        <w:rPr>
          <w:lang w:val="en-GB"/>
        </w:rPr>
      </w:pPr>
      <w:r>
        <w:rPr>
          <w:lang w:val="en-GB"/>
        </w:rPr>
        <w:t>项目公司应按本合同第12条款和本附录办理保险。项目公司的保险应符合《中华人民共和国保险法》和其他适用法律的要求。</w:t>
      </w:r>
    </w:p>
    <w:p>
      <w:pPr>
        <w:widowControl/>
        <w:numPr>
          <w:ilvl w:val="3"/>
          <w:numId w:val="29"/>
        </w:numPr>
        <w:spacing w:beforeLines="50" w:after="240" w:line="360" w:lineRule="auto"/>
        <w:ind w:left="426" w:hanging="426"/>
        <w:rPr>
          <w:b/>
          <w:lang w:val="en-GB"/>
        </w:rPr>
      </w:pPr>
      <w:r>
        <w:rPr>
          <w:b/>
          <w:lang w:val="en-GB"/>
        </w:rPr>
        <w:t>建设期间的保险</w:t>
      </w:r>
    </w:p>
    <w:p>
      <w:pPr>
        <w:spacing w:before="120" w:after="120" w:line="360" w:lineRule="auto"/>
        <w:ind w:left="630"/>
        <w:rPr>
          <w:bCs/>
          <w:szCs w:val="20"/>
        </w:rPr>
      </w:pPr>
      <w:r>
        <w:rPr>
          <w:bCs/>
          <w:szCs w:val="20"/>
        </w:rPr>
        <w:t>项目公司应在整个建设期内投保并保持下列险种的保险。但是，如果从保险公司处无法获得，或无法以合理的商业条件获得该等保险，则项目公司没有义务获得该等保险，除上述规定外，这种情况不解除或限制项目公司在本合同项下的义务。</w:t>
      </w:r>
    </w:p>
    <w:p>
      <w:pPr>
        <w:numPr>
          <w:ilvl w:val="0"/>
          <w:numId w:val="30"/>
        </w:numPr>
        <w:spacing w:beforeLines="50" w:after="120" w:line="360" w:lineRule="auto"/>
        <w:rPr>
          <w:bCs/>
          <w:szCs w:val="20"/>
        </w:rPr>
      </w:pPr>
      <w:r>
        <w:rPr>
          <w:bCs/>
          <w:szCs w:val="20"/>
        </w:rPr>
        <w:t>货物运输险</w:t>
      </w:r>
    </w:p>
    <w:p>
      <w:pPr>
        <w:spacing w:before="120" w:after="120" w:line="360" w:lineRule="auto"/>
        <w:ind w:left="630"/>
        <w:rPr>
          <w:bCs/>
          <w:szCs w:val="20"/>
        </w:rPr>
      </w:pPr>
      <w:r>
        <w:rPr>
          <w:bCs/>
          <w:szCs w:val="20"/>
        </w:rPr>
        <w:t>责任范围：对于所有材料、设备、机器、零备件和其他物品（施工设备除外）从投保货物离开承包商、分包商或供货商在世界上任一地点的场所之时开始，至到达并卸至工程施工场地的运输途中的所有一般及惯常的可保风险。</w:t>
      </w:r>
    </w:p>
    <w:p>
      <w:pPr>
        <w:spacing w:before="120" w:after="120" w:line="360" w:lineRule="auto"/>
        <w:ind w:left="630"/>
        <w:rPr>
          <w:bCs/>
          <w:szCs w:val="20"/>
        </w:rPr>
      </w:pPr>
      <w:r>
        <w:rPr>
          <w:bCs/>
          <w:szCs w:val="20"/>
        </w:rPr>
        <w:t>保险金额：对任一次运输或任一地点，相当于投保财产购买价的110％，但不低于投保财产的全部重置价值，包括运费和保险费。</w:t>
      </w:r>
    </w:p>
    <w:p>
      <w:pPr>
        <w:spacing w:before="120" w:after="120" w:line="360" w:lineRule="auto"/>
        <w:ind w:left="630"/>
        <w:rPr>
          <w:bCs/>
          <w:szCs w:val="20"/>
        </w:rPr>
      </w:pPr>
      <w:r>
        <w:rPr>
          <w:bCs/>
          <w:szCs w:val="20"/>
        </w:rPr>
        <w:t>保险形式：本保险应以统保的协议为基础进行，并将不签发单独的保险单。</w:t>
      </w:r>
    </w:p>
    <w:p>
      <w:pPr>
        <w:spacing w:before="120" w:after="120" w:line="360" w:lineRule="auto"/>
        <w:ind w:left="630"/>
        <w:rPr>
          <w:bCs/>
          <w:szCs w:val="20"/>
        </w:rPr>
      </w:pPr>
      <w:r>
        <w:rPr>
          <w:bCs/>
          <w:szCs w:val="20"/>
        </w:rPr>
        <w:t>被保险人：项目公司、禹州市住房和城乡规划建设局、建设承包商、分包商、供货商和项目公司可能选择的其他方（条件是该其他方拥有或可获得在此保险项下的可保利益）。</w:t>
      </w:r>
    </w:p>
    <w:p>
      <w:pPr>
        <w:numPr>
          <w:ilvl w:val="0"/>
          <w:numId w:val="30"/>
        </w:numPr>
        <w:spacing w:beforeLines="50" w:after="120" w:line="360" w:lineRule="auto"/>
        <w:rPr>
          <w:bCs/>
          <w:szCs w:val="20"/>
        </w:rPr>
      </w:pPr>
      <w:r>
        <w:rPr>
          <w:bCs/>
          <w:szCs w:val="20"/>
        </w:rPr>
        <w:t>（货物运输之）竣工延迟险</w:t>
      </w:r>
    </w:p>
    <w:p>
      <w:pPr>
        <w:spacing w:before="120" w:after="120" w:line="360" w:lineRule="auto"/>
        <w:ind w:left="630"/>
        <w:rPr>
          <w:bCs/>
          <w:szCs w:val="20"/>
        </w:rPr>
      </w:pPr>
      <w:r>
        <w:rPr>
          <w:bCs/>
          <w:szCs w:val="20"/>
        </w:rPr>
        <w:t>责任范围：在所保延迟期间（保障期十二（12）个月），由货物运输险项下可获赔偿的损失或损坏所造成的竣工延迟而发生的利息、附加利息和规定的常规费用。</w:t>
      </w:r>
    </w:p>
    <w:p>
      <w:pPr>
        <w:spacing w:before="120" w:after="120" w:line="360" w:lineRule="auto"/>
        <w:ind w:left="630"/>
        <w:rPr>
          <w:bCs/>
          <w:szCs w:val="20"/>
        </w:rPr>
      </w:pPr>
      <w:r>
        <w:rPr>
          <w:bCs/>
          <w:szCs w:val="20"/>
        </w:rPr>
        <w:t>保险金额：等于十二（12）个月保障期内发生的利息、附加利息和规定的常规费用的总额。</w:t>
      </w:r>
    </w:p>
    <w:p>
      <w:pPr>
        <w:spacing w:before="120" w:after="120" w:line="360" w:lineRule="auto"/>
        <w:ind w:left="630"/>
        <w:rPr>
          <w:bCs/>
          <w:szCs w:val="20"/>
        </w:rPr>
      </w:pPr>
      <w:r>
        <w:rPr>
          <w:bCs/>
          <w:szCs w:val="20"/>
        </w:rPr>
        <w:t>保险期间：与货物运输险一致。</w:t>
      </w:r>
    </w:p>
    <w:p>
      <w:pPr>
        <w:spacing w:before="120" w:after="120" w:line="360" w:lineRule="auto"/>
        <w:ind w:left="630"/>
        <w:rPr>
          <w:bCs/>
          <w:szCs w:val="20"/>
        </w:rPr>
      </w:pPr>
      <w:r>
        <w:rPr>
          <w:bCs/>
          <w:szCs w:val="20"/>
        </w:rPr>
        <w:t>被保险人：禹州市住房和城乡规划建设局、项目公司及项目公司可能选择的其他方（条件是该其他方拥有或可获得此保险项下的可保利益）。</w:t>
      </w:r>
    </w:p>
    <w:p>
      <w:pPr>
        <w:numPr>
          <w:ilvl w:val="0"/>
          <w:numId w:val="30"/>
        </w:numPr>
        <w:spacing w:beforeLines="50" w:after="120" w:line="360" w:lineRule="auto"/>
        <w:rPr>
          <w:bCs/>
          <w:szCs w:val="20"/>
        </w:rPr>
      </w:pPr>
      <w:r>
        <w:rPr>
          <w:bCs/>
          <w:szCs w:val="20"/>
        </w:rPr>
        <w:t>建筑安装工程一切险</w:t>
      </w:r>
    </w:p>
    <w:p>
      <w:pPr>
        <w:spacing w:before="120" w:after="120" w:line="360" w:lineRule="auto"/>
        <w:ind w:left="630"/>
        <w:rPr>
          <w:bCs/>
          <w:szCs w:val="20"/>
        </w:rPr>
      </w:pPr>
      <w:r>
        <w:rPr>
          <w:bCs/>
          <w:szCs w:val="20"/>
        </w:rPr>
        <w:t>责任范围：在工程建设、安装、运营测试及试运行期间及其后的十二（12）个月期间，就工程、临时工程、材料及其他将包括在项目设施内的物品的灭失或损坏的所有一般及惯常的可保风险，（包括但不限于火灾、雷电、爆炸、暴雨、风暴、台风、水害、水灾、旱灾、倒塌、滑坡、地震、其他事故损失、故意破坏、设计缺陷、工艺缺陷及材料缺陷）。</w:t>
      </w:r>
    </w:p>
    <w:p>
      <w:pPr>
        <w:spacing w:before="120" w:after="120" w:line="360" w:lineRule="auto"/>
        <w:ind w:left="630"/>
        <w:rPr>
          <w:bCs/>
          <w:szCs w:val="20"/>
        </w:rPr>
      </w:pPr>
      <w:r>
        <w:rPr>
          <w:bCs/>
          <w:szCs w:val="20"/>
        </w:rPr>
        <w:t>保险金额：工程重置价全额（但不少于建设协议价值）。</w:t>
      </w:r>
    </w:p>
    <w:p>
      <w:pPr>
        <w:spacing w:before="120" w:after="120" w:line="360" w:lineRule="auto"/>
        <w:ind w:left="630"/>
        <w:rPr>
          <w:bCs/>
          <w:szCs w:val="20"/>
        </w:rPr>
      </w:pPr>
      <w:r>
        <w:rPr>
          <w:bCs/>
          <w:szCs w:val="20"/>
        </w:rPr>
        <w:t>保险期间：从工程建设开始之日至最终竣工日及其后的十二（12）个月。</w:t>
      </w:r>
    </w:p>
    <w:p>
      <w:pPr>
        <w:spacing w:before="120" w:after="120" w:line="360" w:lineRule="auto"/>
        <w:ind w:left="630"/>
        <w:rPr>
          <w:bCs/>
          <w:szCs w:val="20"/>
        </w:rPr>
      </w:pPr>
      <w:r>
        <w:rPr>
          <w:bCs/>
          <w:szCs w:val="20"/>
        </w:rPr>
        <w:t>被保险人：项目公司、建设承包商、分包商、供应商、顾问（仅限于场地风险）、禹州市住房和城乡规划建设局及禹州市住房和城乡规划建设局或项目公司选定的其他方（条件是该其它方拥有或可获得此保险项下的可保利益）。</w:t>
      </w:r>
    </w:p>
    <w:p>
      <w:pPr>
        <w:numPr>
          <w:ilvl w:val="0"/>
          <w:numId w:val="30"/>
        </w:numPr>
        <w:spacing w:beforeLines="50" w:after="120" w:line="360" w:lineRule="auto"/>
        <w:rPr>
          <w:bCs/>
          <w:szCs w:val="20"/>
        </w:rPr>
      </w:pPr>
      <w:r>
        <w:rPr>
          <w:bCs/>
          <w:szCs w:val="20"/>
        </w:rPr>
        <w:t>（建筑安装工程一切险之）竣工延迟险</w:t>
      </w:r>
    </w:p>
    <w:p>
      <w:pPr>
        <w:spacing w:before="120" w:after="120" w:line="360" w:lineRule="auto"/>
        <w:ind w:left="630"/>
        <w:rPr>
          <w:bCs/>
          <w:szCs w:val="20"/>
        </w:rPr>
      </w:pPr>
      <w:r>
        <w:rPr>
          <w:bCs/>
          <w:szCs w:val="20"/>
        </w:rPr>
        <w:t>责任范围：在所保延迟期间（保障期十二（12）个月），由建筑安装工程一切险项下可获赔偿的损失或损坏所造成的竣工延迟而发生的利息、附加利息和规定的常规费用。</w:t>
      </w:r>
    </w:p>
    <w:p>
      <w:pPr>
        <w:spacing w:before="120" w:after="120" w:line="360" w:lineRule="auto"/>
        <w:ind w:left="630"/>
        <w:rPr>
          <w:bCs/>
          <w:szCs w:val="20"/>
        </w:rPr>
      </w:pPr>
      <w:r>
        <w:rPr>
          <w:bCs/>
          <w:szCs w:val="20"/>
        </w:rPr>
        <w:t>保险金额：等于十二（12）个月保障期发生的利息、附加利息、计划的本金付款和规定的常规费用的总额。</w:t>
      </w:r>
    </w:p>
    <w:p>
      <w:pPr>
        <w:spacing w:before="120" w:after="120" w:line="360" w:lineRule="auto"/>
        <w:ind w:left="630"/>
        <w:rPr>
          <w:bCs/>
          <w:szCs w:val="20"/>
        </w:rPr>
      </w:pPr>
      <w:r>
        <w:rPr>
          <w:bCs/>
          <w:szCs w:val="20"/>
        </w:rPr>
        <w:t>保险期间：自工程建设开始之日至最终竣工日。</w:t>
      </w:r>
    </w:p>
    <w:p>
      <w:pPr>
        <w:spacing w:before="120" w:after="120" w:line="360" w:lineRule="auto"/>
        <w:ind w:left="630"/>
        <w:rPr>
          <w:bCs/>
          <w:szCs w:val="20"/>
        </w:rPr>
      </w:pPr>
      <w:r>
        <w:rPr>
          <w:bCs/>
          <w:szCs w:val="20"/>
        </w:rPr>
        <w:t>被保险人：禹州市住房和城乡规划建设局、项目公司及项目公司选择的其他方（条件是该其它方拥有或可获得此保险项下的可保利益）。</w:t>
      </w:r>
    </w:p>
    <w:p>
      <w:pPr>
        <w:numPr>
          <w:ilvl w:val="0"/>
          <w:numId w:val="30"/>
        </w:numPr>
        <w:spacing w:beforeLines="50" w:after="120" w:line="360" w:lineRule="auto"/>
        <w:rPr>
          <w:bCs/>
          <w:szCs w:val="20"/>
        </w:rPr>
      </w:pPr>
      <w:r>
        <w:rPr>
          <w:bCs/>
          <w:szCs w:val="20"/>
        </w:rPr>
        <w:t>第三者责任险</w:t>
      </w:r>
    </w:p>
    <w:p>
      <w:pPr>
        <w:spacing w:before="120" w:after="120" w:line="360" w:lineRule="auto"/>
        <w:ind w:left="630"/>
        <w:rPr>
          <w:bCs/>
          <w:szCs w:val="20"/>
        </w:rPr>
      </w:pPr>
      <w:r>
        <w:rPr>
          <w:bCs/>
          <w:szCs w:val="20"/>
        </w:rPr>
        <w:t>责任范围：对在中国境内发生的与建设工程有关的第三者人身伤害或财产损失所应承担的法律责任的保险（但不包括第三者汽车保险）。</w:t>
      </w:r>
    </w:p>
    <w:p>
      <w:pPr>
        <w:spacing w:before="120" w:after="120" w:line="360" w:lineRule="auto"/>
        <w:ind w:left="630"/>
        <w:rPr>
          <w:bCs/>
          <w:szCs w:val="20"/>
        </w:rPr>
      </w:pPr>
      <w:r>
        <w:rPr>
          <w:bCs/>
          <w:szCs w:val="20"/>
        </w:rPr>
        <w:t>保险金额：每次事故责任限额四百(400)万元，保险事故次数不限；</w:t>
      </w:r>
    </w:p>
    <w:p>
      <w:pPr>
        <w:spacing w:before="120" w:after="120" w:line="360" w:lineRule="auto"/>
        <w:ind w:left="630"/>
        <w:rPr>
          <w:bCs/>
          <w:szCs w:val="20"/>
        </w:rPr>
      </w:pPr>
      <w:r>
        <w:rPr>
          <w:bCs/>
          <w:szCs w:val="20"/>
        </w:rPr>
        <w:t>保险期间：从建设开始之日至最终竣工日以及之后的十二（12）个月。</w:t>
      </w:r>
    </w:p>
    <w:p>
      <w:pPr>
        <w:spacing w:before="120" w:after="120" w:line="360" w:lineRule="auto"/>
        <w:ind w:left="630"/>
        <w:rPr>
          <w:bCs/>
          <w:szCs w:val="20"/>
        </w:rPr>
      </w:pPr>
      <w:r>
        <w:rPr>
          <w:bCs/>
          <w:szCs w:val="20"/>
        </w:rPr>
        <w:t>被保险人：项目公司、建设承包商、分包商、供货商和顾问（仅限于场地风险）、禹州市住房和城乡</w:t>
      </w:r>
      <w:r>
        <w:rPr>
          <w:rFonts w:hint="eastAsia"/>
          <w:bCs/>
          <w:szCs w:val="20"/>
        </w:rPr>
        <w:t>规划</w:t>
      </w:r>
      <w:r>
        <w:rPr>
          <w:bCs/>
          <w:szCs w:val="20"/>
        </w:rPr>
        <w:t>建设局及禹州市住房和城乡</w:t>
      </w:r>
      <w:r>
        <w:rPr>
          <w:rFonts w:hint="eastAsia"/>
          <w:bCs/>
          <w:szCs w:val="20"/>
        </w:rPr>
        <w:t>规划</w:t>
      </w:r>
      <w:r>
        <w:rPr>
          <w:bCs/>
          <w:szCs w:val="20"/>
        </w:rPr>
        <w:t>建设局或项目公司选定的其他方（条件是该其它方拥有或可获得此保险项下的可保利益）。</w:t>
      </w:r>
    </w:p>
    <w:p>
      <w:pPr>
        <w:numPr>
          <w:ilvl w:val="0"/>
          <w:numId w:val="30"/>
        </w:numPr>
        <w:spacing w:beforeLines="50" w:after="120" w:line="360" w:lineRule="auto"/>
        <w:rPr>
          <w:bCs/>
          <w:szCs w:val="20"/>
        </w:rPr>
      </w:pPr>
      <w:r>
        <w:rPr>
          <w:bCs/>
          <w:szCs w:val="20"/>
        </w:rPr>
        <w:t>其它险种</w:t>
      </w:r>
    </w:p>
    <w:p>
      <w:pPr>
        <w:spacing w:before="120" w:after="120" w:line="360" w:lineRule="auto"/>
        <w:ind w:left="630"/>
        <w:rPr>
          <w:bCs/>
          <w:szCs w:val="20"/>
        </w:rPr>
      </w:pPr>
      <w:r>
        <w:rPr>
          <w:bCs/>
          <w:szCs w:val="20"/>
        </w:rPr>
        <w:t>其它通常的、合理的或者遵循贷款人及适用法律要求所必需的保险。</w:t>
      </w:r>
    </w:p>
    <w:p>
      <w:pPr>
        <w:widowControl/>
        <w:numPr>
          <w:ilvl w:val="3"/>
          <w:numId w:val="29"/>
        </w:numPr>
        <w:spacing w:beforeLines="50" w:after="240" w:line="360" w:lineRule="auto"/>
        <w:ind w:left="426" w:hanging="426"/>
        <w:rPr>
          <w:b/>
          <w:lang w:val="en-GB"/>
        </w:rPr>
      </w:pPr>
      <w:r>
        <w:rPr>
          <w:b/>
          <w:lang w:val="en-GB"/>
        </w:rPr>
        <w:t>运营期间的保险</w:t>
      </w:r>
    </w:p>
    <w:p>
      <w:pPr>
        <w:spacing w:before="120" w:after="120" w:line="360" w:lineRule="auto"/>
        <w:ind w:left="630"/>
        <w:rPr>
          <w:bCs/>
          <w:szCs w:val="20"/>
        </w:rPr>
      </w:pPr>
      <w:r>
        <w:rPr>
          <w:bCs/>
          <w:szCs w:val="20"/>
        </w:rPr>
        <w:t>项目公司应在开始商业运营日或该日之前自费投保并在整个运营期内保持下列险种的保险。但是，如果从保险公司处无法获得，或无法以合理的商业条件获得该等保险，则项目公司没有义务获得该等保险。除上述规定外，这种情况不解除或限制项目公司在本协议项下的义务。</w:t>
      </w:r>
    </w:p>
    <w:p>
      <w:pPr>
        <w:spacing w:before="120" w:line="360" w:lineRule="auto"/>
        <w:ind w:left="563" w:leftChars="268"/>
      </w:pPr>
      <w:r>
        <w:t>（a）财产一切险</w:t>
      </w:r>
    </w:p>
    <w:p>
      <w:pPr>
        <w:spacing w:before="120" w:after="120" w:line="360" w:lineRule="auto"/>
        <w:ind w:left="630"/>
        <w:rPr>
          <w:bCs/>
          <w:szCs w:val="20"/>
        </w:rPr>
      </w:pPr>
      <w:r>
        <w:rPr>
          <w:bCs/>
          <w:szCs w:val="20"/>
        </w:rPr>
        <w:t>责任范围：对构成项目设施组成部分的、正在使用的所有建筑物、构筑物、厂房、设备、机器、化学品、备品备件和其它材料和/或不动产所有灭失或损坏的所有一般及惯常的可保风险（包括但不限于火灾、雷电、爆炸、自燃、风暴、暴雨、台风、洪水、水害、旱灾、恶意破坏、撞击、地震、沉降和倒塌）。</w:t>
      </w:r>
    </w:p>
    <w:p>
      <w:pPr>
        <w:spacing w:before="120" w:after="120" w:line="360" w:lineRule="auto"/>
        <w:ind w:left="630"/>
        <w:rPr>
          <w:bCs/>
          <w:szCs w:val="20"/>
        </w:rPr>
      </w:pPr>
      <w:r>
        <w:rPr>
          <w:bCs/>
          <w:szCs w:val="20"/>
        </w:rPr>
        <w:t>保险金额：上述所有项目设施、设备及材料的全部重置价值。</w:t>
      </w:r>
    </w:p>
    <w:p>
      <w:pPr>
        <w:spacing w:before="120" w:after="120" w:line="360" w:lineRule="auto"/>
        <w:ind w:left="630"/>
        <w:rPr>
          <w:bCs/>
          <w:szCs w:val="20"/>
        </w:rPr>
      </w:pPr>
      <w:r>
        <w:rPr>
          <w:bCs/>
          <w:szCs w:val="20"/>
        </w:rPr>
        <w:t>保险期间：以年为单位，可续延。</w:t>
      </w:r>
    </w:p>
    <w:p>
      <w:pPr>
        <w:spacing w:before="120" w:after="120" w:line="360" w:lineRule="auto"/>
        <w:ind w:left="630"/>
        <w:rPr>
          <w:bCs/>
          <w:szCs w:val="20"/>
        </w:rPr>
      </w:pPr>
      <w:r>
        <w:rPr>
          <w:bCs/>
          <w:szCs w:val="20"/>
        </w:rPr>
        <w:t>被保险人：项目公司、禹州市住房和城乡规划建设局以及禹州市住房和城乡规划建设局或项目公司选定的其他方（条件是该其他方拥有或可获得此保险项下的可保利益）。</w:t>
      </w:r>
    </w:p>
    <w:p>
      <w:pPr>
        <w:spacing w:before="120" w:line="360" w:lineRule="auto"/>
        <w:ind w:left="563" w:leftChars="268"/>
      </w:pPr>
      <w:r>
        <w:t>（b）（财产一切险之）营业中断险</w:t>
      </w:r>
    </w:p>
    <w:p>
      <w:pPr>
        <w:spacing w:before="120" w:after="120" w:line="360" w:lineRule="auto"/>
        <w:ind w:left="630"/>
        <w:rPr>
          <w:bCs/>
          <w:szCs w:val="20"/>
        </w:rPr>
      </w:pPr>
      <w:r>
        <w:rPr>
          <w:bCs/>
          <w:szCs w:val="20"/>
        </w:rPr>
        <w:t>责任范围：在十二（12）个月的保障期内（投保的中断期间），因财产一切险保险单项下所承保的可保风险造成的业务中断或受到干扰而产生的利息、附加利息及规定的常规费用的损失。</w:t>
      </w:r>
    </w:p>
    <w:p>
      <w:pPr>
        <w:spacing w:before="120" w:after="120" w:line="360" w:lineRule="auto"/>
        <w:ind w:left="630"/>
        <w:rPr>
          <w:bCs/>
          <w:szCs w:val="20"/>
        </w:rPr>
      </w:pPr>
      <w:r>
        <w:rPr>
          <w:bCs/>
          <w:szCs w:val="20"/>
        </w:rPr>
        <w:t>保险金额：等于十二（12）个月保障期发生的利息、附加利息、计划的本金付款和规定的常规费用的全部金额。</w:t>
      </w:r>
    </w:p>
    <w:p>
      <w:pPr>
        <w:spacing w:before="120" w:after="120" w:line="360" w:lineRule="auto"/>
        <w:ind w:left="630"/>
        <w:rPr>
          <w:bCs/>
          <w:szCs w:val="20"/>
        </w:rPr>
      </w:pPr>
      <w:r>
        <w:rPr>
          <w:bCs/>
          <w:szCs w:val="20"/>
        </w:rPr>
        <w:t>保险期间：以年为单位，可续延。</w:t>
      </w:r>
    </w:p>
    <w:p>
      <w:pPr>
        <w:spacing w:before="120" w:after="120" w:line="360" w:lineRule="auto"/>
        <w:ind w:left="630"/>
        <w:rPr>
          <w:bCs/>
          <w:szCs w:val="20"/>
        </w:rPr>
      </w:pPr>
      <w:r>
        <w:rPr>
          <w:bCs/>
          <w:szCs w:val="20"/>
        </w:rPr>
        <w:t>被保险人：项目公司及项目公司选定的其他方（条件是该其它方拥有或可获得此保险项下的可保利益）。</w:t>
      </w:r>
    </w:p>
    <w:p>
      <w:pPr>
        <w:spacing w:before="120" w:after="120" w:line="360" w:lineRule="auto"/>
        <w:ind w:left="630"/>
        <w:rPr>
          <w:bCs/>
          <w:szCs w:val="20"/>
        </w:rPr>
      </w:pPr>
      <w:r>
        <w:rPr>
          <w:bCs/>
          <w:szCs w:val="20"/>
        </w:rPr>
        <w:t>（c）机器损坏险</w:t>
      </w:r>
    </w:p>
    <w:p>
      <w:pPr>
        <w:spacing w:before="120" w:after="120" w:line="360" w:lineRule="auto"/>
        <w:ind w:left="630"/>
        <w:rPr>
          <w:bCs/>
          <w:szCs w:val="20"/>
        </w:rPr>
      </w:pPr>
      <w:r>
        <w:rPr>
          <w:bCs/>
          <w:szCs w:val="20"/>
        </w:rPr>
        <w:t>责任范围：　因下列情况所致保险标的需予修理或重置之赔偿责任：设计不当；材料、材质或尺度之缺陷；制造、装配或安装之缺陷；操作不良、疏忽或怠工；物理性爆炸、电气短路、电弧或因离心作用所造成之撕裂；除外责任以外的其它原因。</w:t>
      </w:r>
    </w:p>
    <w:p>
      <w:pPr>
        <w:spacing w:before="120" w:after="120" w:line="360" w:lineRule="auto"/>
        <w:ind w:left="630"/>
        <w:rPr>
          <w:bCs/>
          <w:szCs w:val="20"/>
        </w:rPr>
      </w:pPr>
      <w:r>
        <w:rPr>
          <w:bCs/>
          <w:szCs w:val="20"/>
        </w:rPr>
        <w:t>保险金额：等于十二（12）个月的保障期内发生的利息、附加利息、计划的本金付款和规定的常规费用的全部金额。</w:t>
      </w:r>
    </w:p>
    <w:p>
      <w:pPr>
        <w:spacing w:before="120" w:after="120" w:line="360" w:lineRule="auto"/>
        <w:ind w:left="630"/>
        <w:rPr>
          <w:bCs/>
          <w:szCs w:val="20"/>
        </w:rPr>
      </w:pPr>
      <w:r>
        <w:rPr>
          <w:bCs/>
          <w:szCs w:val="20"/>
        </w:rPr>
        <w:t>保险期间：以年为单位，可续延。</w:t>
      </w:r>
    </w:p>
    <w:p>
      <w:pPr>
        <w:spacing w:before="120" w:after="120" w:line="360" w:lineRule="auto"/>
        <w:ind w:left="630"/>
        <w:rPr>
          <w:bCs/>
          <w:szCs w:val="20"/>
        </w:rPr>
      </w:pPr>
      <w:r>
        <w:rPr>
          <w:bCs/>
          <w:szCs w:val="20"/>
        </w:rPr>
        <w:t>被保险人：项目公司及项目公司选择的其他方（条件是该其它方拥有或可获得此项保险项下的可保利益）。</w:t>
      </w:r>
    </w:p>
    <w:p>
      <w:pPr>
        <w:spacing w:before="120" w:line="360" w:lineRule="auto"/>
        <w:ind w:left="563" w:leftChars="268"/>
        <w:rPr>
          <w:bCs/>
          <w:szCs w:val="20"/>
        </w:rPr>
      </w:pPr>
      <w:r>
        <w:t>（d）</w:t>
      </w:r>
      <w:r>
        <w:rPr>
          <w:bCs/>
          <w:szCs w:val="20"/>
        </w:rPr>
        <w:t>范围：在十二（12）个月的保障期间（投保的中断期间），业务中断或受影响而引致的应支付的利息、附加利息和规定的常规费用。</w:t>
      </w:r>
    </w:p>
    <w:p>
      <w:pPr>
        <w:spacing w:before="120" w:after="120" w:line="360" w:lineRule="auto"/>
        <w:ind w:left="630"/>
        <w:rPr>
          <w:bCs/>
          <w:szCs w:val="20"/>
        </w:rPr>
      </w:pPr>
      <w:r>
        <w:rPr>
          <w:bCs/>
          <w:szCs w:val="20"/>
        </w:rPr>
        <w:t>保险金额：等于十二（12）个月的保障期内发生的利息、附加利息、计划的本金付款和规定的常规费用的全部金额。</w:t>
      </w:r>
    </w:p>
    <w:p>
      <w:pPr>
        <w:spacing w:before="120" w:after="120" w:line="360" w:lineRule="auto"/>
        <w:ind w:left="630"/>
        <w:rPr>
          <w:bCs/>
          <w:szCs w:val="20"/>
        </w:rPr>
      </w:pPr>
      <w:r>
        <w:rPr>
          <w:bCs/>
          <w:szCs w:val="20"/>
        </w:rPr>
        <w:t>保险期间：以年为单位，可续延。</w:t>
      </w:r>
    </w:p>
    <w:p>
      <w:pPr>
        <w:spacing w:before="120" w:after="120" w:line="360" w:lineRule="auto"/>
        <w:ind w:left="630"/>
        <w:rPr>
          <w:bCs/>
          <w:szCs w:val="20"/>
        </w:rPr>
      </w:pPr>
      <w:r>
        <w:rPr>
          <w:bCs/>
          <w:szCs w:val="20"/>
        </w:rPr>
        <w:t>被保险人：项目公司及项目公司选择的其他方（条件是该其它方拥有或可获得此项保险项下的可保利益）。</w:t>
      </w:r>
    </w:p>
    <w:p>
      <w:pPr>
        <w:spacing w:before="120" w:line="360" w:lineRule="auto"/>
        <w:ind w:left="563" w:leftChars="268"/>
      </w:pPr>
      <w:r>
        <w:t>（e）第三者责任险</w:t>
      </w:r>
    </w:p>
    <w:p>
      <w:pPr>
        <w:spacing w:before="120" w:after="120" w:line="360" w:lineRule="auto"/>
        <w:ind w:left="630"/>
        <w:rPr>
          <w:bCs/>
          <w:szCs w:val="20"/>
        </w:rPr>
      </w:pPr>
      <w:r>
        <w:rPr>
          <w:bCs/>
          <w:szCs w:val="20"/>
        </w:rPr>
        <w:t>责任范围：因运营和维护项目设施造成的对第三者的人身伤害或财产损失、损坏所应承担的法律责任。</w:t>
      </w:r>
    </w:p>
    <w:p>
      <w:pPr>
        <w:spacing w:before="120" w:after="120" w:line="360" w:lineRule="auto"/>
        <w:ind w:left="630"/>
        <w:rPr>
          <w:bCs/>
          <w:szCs w:val="20"/>
        </w:rPr>
      </w:pPr>
      <w:r>
        <w:rPr>
          <w:bCs/>
          <w:szCs w:val="20"/>
        </w:rPr>
        <w:t>保险金额：每次事故责任限额人民币五百万元（RMB5,000,000），保险事故次数不限。</w:t>
      </w:r>
    </w:p>
    <w:p>
      <w:pPr>
        <w:spacing w:before="120" w:after="120" w:line="360" w:lineRule="auto"/>
        <w:ind w:left="630"/>
        <w:rPr>
          <w:bCs/>
          <w:szCs w:val="20"/>
        </w:rPr>
      </w:pPr>
      <w:r>
        <w:rPr>
          <w:bCs/>
          <w:szCs w:val="20"/>
        </w:rPr>
        <w:t>保险期间：以年为单位，可续延。</w:t>
      </w:r>
    </w:p>
    <w:p>
      <w:pPr>
        <w:spacing w:before="120" w:after="120" w:line="360" w:lineRule="auto"/>
        <w:ind w:left="630"/>
        <w:rPr>
          <w:bCs/>
          <w:szCs w:val="20"/>
        </w:rPr>
      </w:pPr>
      <w:r>
        <w:rPr>
          <w:bCs/>
          <w:szCs w:val="20"/>
        </w:rPr>
        <w:t>被保险人：项目公司、禹州市住房和城乡规划建设局及禹州市住房和城乡规划建设局或项目公司选择的其他方（条件是该其他方拥有或可获得此保险项下的可保利益）。</w:t>
      </w:r>
    </w:p>
    <w:p>
      <w:pPr>
        <w:spacing w:before="120" w:line="360" w:lineRule="auto"/>
        <w:ind w:left="563" w:leftChars="268"/>
      </w:pPr>
      <w:r>
        <w:t>（f）其它险别</w:t>
      </w:r>
    </w:p>
    <w:p>
      <w:pPr>
        <w:spacing w:before="120" w:after="120" w:line="360" w:lineRule="auto"/>
        <w:ind w:left="630"/>
        <w:rPr>
          <w:bCs/>
          <w:szCs w:val="20"/>
        </w:rPr>
      </w:pPr>
      <w:r>
        <w:rPr>
          <w:bCs/>
          <w:szCs w:val="20"/>
        </w:rPr>
        <w:t>其它通常的、合理的或为遵循贷款人要求或适用法律要求所必需的保险。</w:t>
      </w:r>
    </w:p>
    <w:p>
      <w:pPr>
        <w:widowControl/>
        <w:numPr>
          <w:ilvl w:val="3"/>
          <w:numId w:val="29"/>
        </w:numPr>
        <w:spacing w:beforeLines="50" w:after="240" w:line="360" w:lineRule="auto"/>
        <w:ind w:left="426" w:hanging="426"/>
        <w:rPr>
          <w:b/>
          <w:lang w:val="en-GB"/>
        </w:rPr>
      </w:pPr>
      <w:r>
        <w:rPr>
          <w:b/>
          <w:lang w:val="en-GB"/>
        </w:rPr>
        <w:t>联名保险及赔偿</w:t>
      </w:r>
    </w:p>
    <w:p>
      <w:pPr>
        <w:spacing w:before="120" w:after="120" w:line="360" w:lineRule="auto"/>
        <w:ind w:left="630"/>
        <w:rPr>
          <w:bCs/>
          <w:szCs w:val="20"/>
        </w:rPr>
      </w:pPr>
      <w:r>
        <w:rPr>
          <w:bCs/>
          <w:szCs w:val="20"/>
        </w:rPr>
        <w:t>禹州市住房和城乡规划建设局应为本附录中所有适当注明的保险项下的被保险人或被保险人之一。项目公司应促使保险商放弃在本附录中规定的全部保险项下其可能拥有或获得的对禹州市住房和城乡规划建设局的任何及全部代位追偿权，无论禹州市住房和城乡规划建设局是否为该等保险项下的被保险人。</w:t>
      </w:r>
    </w:p>
    <w:p>
      <w:pPr>
        <w:widowControl/>
        <w:numPr>
          <w:ilvl w:val="3"/>
          <w:numId w:val="29"/>
        </w:numPr>
        <w:spacing w:beforeLines="50" w:after="240" w:line="360" w:lineRule="auto"/>
        <w:ind w:left="426" w:hanging="426"/>
        <w:rPr>
          <w:b/>
          <w:lang w:val="en-GB"/>
        </w:rPr>
      </w:pPr>
      <w:r>
        <w:rPr>
          <w:b/>
          <w:lang w:val="en-GB"/>
        </w:rPr>
        <w:t>保险商及保险单据</w:t>
      </w:r>
    </w:p>
    <w:p>
      <w:pPr>
        <w:spacing w:before="120" w:after="120" w:line="360" w:lineRule="auto"/>
        <w:ind w:left="630"/>
        <w:rPr>
          <w:bCs/>
          <w:szCs w:val="20"/>
        </w:rPr>
      </w:pPr>
      <w:r>
        <w:rPr>
          <w:bCs/>
          <w:szCs w:val="20"/>
        </w:rPr>
        <w:t>项目公司应在获准在中国经营保险业务的、具有良好信誉并经禹州市住房和城乡规划建设局同意的保险商处保持完全有效的保险，并向禹州市住房和城乡规划建设局提所有的保险证书，证明项目公司已按照禹州市住房和城乡规划建设局要求获得了保险单据，同时向禹州市住房和城乡规划建设局提供全部保险单据的复印件及保险费已付凭据的复印件。项目公司一旦收到续保证书和保险批单凭据应及时提交给禹州市住房和城乡规划建设局。</w:t>
      </w:r>
    </w:p>
    <w:p>
      <w:pPr>
        <w:spacing w:before="120" w:after="120" w:line="360" w:lineRule="auto"/>
        <w:ind w:left="630"/>
        <w:rPr>
          <w:bCs/>
          <w:szCs w:val="20"/>
        </w:rPr>
      </w:pPr>
      <w:r>
        <w:rPr>
          <w:bCs/>
          <w:szCs w:val="20"/>
        </w:rPr>
        <w:t>保险单应包括保险商就以下各项作出的确认：</w:t>
      </w:r>
    </w:p>
    <w:p>
      <w:pPr>
        <w:spacing w:before="120" w:after="120" w:line="360" w:lineRule="auto"/>
        <w:ind w:left="630"/>
        <w:rPr>
          <w:bCs/>
          <w:szCs w:val="20"/>
        </w:rPr>
      </w:pPr>
      <w:r>
        <w:rPr>
          <w:bCs/>
          <w:szCs w:val="20"/>
        </w:rPr>
        <w:t>（a）</w:t>
      </w:r>
      <w:r>
        <w:rPr>
          <w:bCs/>
          <w:szCs w:val="20"/>
        </w:rPr>
        <w:tab/>
      </w:r>
      <w:r>
        <w:rPr>
          <w:bCs/>
          <w:szCs w:val="20"/>
        </w:rPr>
        <w:t>保险商已经获得充分的信息以便在假设该等信息不存在实质性误导的前提下评估对保单项下所有风险进行承保的风险；</w:t>
      </w:r>
    </w:p>
    <w:p>
      <w:pPr>
        <w:spacing w:before="120" w:after="120" w:line="360" w:lineRule="auto"/>
        <w:ind w:left="630"/>
        <w:rPr>
          <w:bCs/>
          <w:szCs w:val="20"/>
        </w:rPr>
      </w:pPr>
      <w:r>
        <w:rPr>
          <w:bCs/>
          <w:szCs w:val="20"/>
        </w:rPr>
        <w:t>（b）就其同意为禹州市住房和城乡规划建设局提供共同保险的决定而言，保险商并未依赖或要求任何信息；</w:t>
      </w:r>
    </w:p>
    <w:p>
      <w:pPr>
        <w:spacing w:before="120" w:after="120" w:line="360" w:lineRule="auto"/>
        <w:ind w:left="630"/>
        <w:rPr>
          <w:bCs/>
          <w:szCs w:val="20"/>
        </w:rPr>
      </w:pPr>
      <w:r>
        <w:rPr>
          <w:bCs/>
          <w:szCs w:val="20"/>
        </w:rPr>
        <w:t>（c）</w:t>
      </w:r>
      <w:r>
        <w:rPr>
          <w:bCs/>
          <w:szCs w:val="20"/>
        </w:rPr>
        <w:tab/>
      </w:r>
      <w:r>
        <w:rPr>
          <w:bCs/>
          <w:szCs w:val="20"/>
        </w:rPr>
        <w:t>禹州市住房和城乡规划建设局没有授权任何人，就禹州市住房和城乡规划建设局成为或作为共同被保险人代其作出任何声明。</w:t>
      </w:r>
    </w:p>
    <w:p>
      <w:pPr>
        <w:widowControl/>
        <w:numPr>
          <w:ilvl w:val="3"/>
          <w:numId w:val="29"/>
        </w:numPr>
        <w:spacing w:beforeLines="50" w:after="240" w:line="360" w:lineRule="auto"/>
        <w:ind w:left="426" w:hanging="426"/>
        <w:rPr>
          <w:b/>
          <w:lang w:val="en-GB"/>
        </w:rPr>
      </w:pPr>
      <w:r>
        <w:rPr>
          <w:b/>
          <w:lang w:val="en-GB"/>
        </w:rPr>
        <w:t>未能获得和维持保险</w:t>
      </w:r>
    </w:p>
    <w:p>
      <w:pPr>
        <w:spacing w:before="120" w:after="120" w:line="360" w:lineRule="auto"/>
        <w:ind w:firstLine="480"/>
        <w:rPr>
          <w:bCs/>
          <w:szCs w:val="20"/>
        </w:rPr>
      </w:pPr>
      <w:r>
        <w:rPr>
          <w:bCs/>
          <w:szCs w:val="20"/>
        </w:rPr>
        <w:t>如果项目公司未取得或拒绝取得本附件所述的保险或未向禹州市住房和城乡规划建设局提供上述第4条所述的保险单、保险费付款凭据、续保证明及保险批单凭据等的复印件，则禹州市住房和城乡规划建设局应有权向项目公司发出要求其履行该等义务的书面通知，如果项目公司在收到该等通知后七（7）个工作日内没有购买或维持相关保险，则禹州市住房和城乡规划建设局有权代表项目公司并以项目公司为第一受益人购买该保险。禹州市住房和城乡规划建设局应向项目公司开具一份账单（并应就账单金额提供详细证明）。如果项目公司在收到该等账单后七（7）个工作日内没有支付该等账单金额，则禹州市住房和城乡规划建设局有权根据本合同从履约保函中兑取需支付的保险费金额。项目公司未取得或拒绝取得上述保险并不解除或限制其在本合同项下规定的任何义务和责任。</w:t>
      </w:r>
    </w:p>
    <w:p>
      <w:pPr>
        <w:widowControl/>
        <w:numPr>
          <w:ilvl w:val="3"/>
          <w:numId w:val="29"/>
        </w:numPr>
        <w:spacing w:beforeLines="50" w:after="240" w:line="360" w:lineRule="auto"/>
        <w:ind w:left="426" w:hanging="426"/>
        <w:rPr>
          <w:b/>
          <w:lang w:val="en-GB"/>
        </w:rPr>
      </w:pPr>
      <w:r>
        <w:rPr>
          <w:b/>
          <w:lang w:val="en-GB"/>
        </w:rPr>
        <w:t>索赔及协助通知</w:t>
      </w:r>
    </w:p>
    <w:p>
      <w:pPr>
        <w:spacing w:before="120" w:after="120" w:line="360" w:lineRule="auto"/>
        <w:ind w:firstLine="480"/>
        <w:rPr>
          <w:bCs/>
          <w:szCs w:val="20"/>
        </w:rPr>
      </w:pPr>
      <w:r>
        <w:rPr>
          <w:bCs/>
          <w:szCs w:val="20"/>
        </w:rPr>
        <w:t>项目公司和禹州市住房和城乡规划建设局应遵守对其适用的保险单的条款及条件，并应遵循与保险商订立的索赔管理程序。该索赔管理程序应符协议类项目的合理的和惯常使用的条款。在准备文件及就索赔进行谈判方面，各方均同意向对方提供合理的协助。当本附录中任何保险单项下的任何索赔可能超过人民币二百万元（RMB2,000,000）时，项目公司应书面通知禹州市住房和城乡规划建设局并不时向禹州市住房和城乡规划建设局提供其合理要求的有关保险单项下索赔的任何信息。</w:t>
      </w:r>
    </w:p>
    <w:p>
      <w:pPr>
        <w:widowControl/>
        <w:numPr>
          <w:ilvl w:val="3"/>
          <w:numId w:val="29"/>
        </w:numPr>
        <w:spacing w:beforeLines="50" w:after="240" w:line="360" w:lineRule="auto"/>
        <w:ind w:left="426" w:hanging="426"/>
        <w:rPr>
          <w:b/>
          <w:lang w:val="en-GB"/>
        </w:rPr>
      </w:pPr>
      <w:r>
        <w:rPr>
          <w:b/>
          <w:lang w:val="en-GB"/>
        </w:rPr>
        <w:t>修复及修理，索赔款项</w:t>
      </w:r>
    </w:p>
    <w:p>
      <w:pPr>
        <w:spacing w:before="120" w:after="120" w:line="360" w:lineRule="auto"/>
        <w:ind w:firstLine="480"/>
        <w:rPr>
          <w:bCs/>
          <w:szCs w:val="20"/>
        </w:rPr>
      </w:pPr>
      <w:r>
        <w:rPr>
          <w:bCs/>
          <w:szCs w:val="20"/>
        </w:rPr>
        <w:t>在财产一切险及机器损坏险项下项目公司可获得的索赔款项应用于对保险标的的灭失或损害进行恢复及修理。业务中断险项下获得的赔款用于偿还贷款及项目公司规定的常规费用。第三者责任险的赔偿款项应支付给有权获得赔偿的个人或组织。未经禹州市住房和城乡规划建设局书面同意（禹州市住房和城乡规划建设局不得无理拒绝同意），项目公司及保险商不得就超过人民币二百万元（RMB2,000,000）的任何索赔达成妥协。</w:t>
      </w:r>
    </w:p>
    <w:p>
      <w:pPr>
        <w:widowControl/>
        <w:numPr>
          <w:ilvl w:val="3"/>
          <w:numId w:val="29"/>
        </w:numPr>
        <w:spacing w:beforeLines="50" w:after="240" w:line="360" w:lineRule="auto"/>
        <w:ind w:left="426" w:hanging="426"/>
        <w:rPr>
          <w:b/>
          <w:lang w:val="en-GB"/>
        </w:rPr>
      </w:pPr>
      <w:r>
        <w:rPr>
          <w:b/>
          <w:lang w:val="en-GB"/>
        </w:rPr>
        <w:t>通知禹州市住房和城乡规划建设局</w:t>
      </w:r>
    </w:p>
    <w:p>
      <w:pPr>
        <w:widowControl/>
        <w:spacing w:line="360" w:lineRule="auto"/>
        <w:ind w:firstLine="420" w:firstLineChars="200"/>
        <w:rPr>
          <w:rFonts w:eastAsia="黑体"/>
          <w:b/>
          <w:sz w:val="28"/>
        </w:rPr>
      </w:pPr>
      <w:r>
        <w:rPr>
          <w:bCs/>
          <w:szCs w:val="20"/>
        </w:rPr>
        <w:t>就根据本附录投保的所有保险，项目公司应促使保险商在保险条件中规定，在任何保险责任的取消、终止、期满或中止和/或保险的任何重大改变或保险金额的任何减少或责任限额的任何降低生效之前至少三十（30）日书面通知禹州市住房和城乡规划建设局。</w:t>
      </w:r>
    </w:p>
    <w:p>
      <w:pPr>
        <w:widowControl/>
        <w:rPr>
          <w:rFonts w:eastAsia="黑体"/>
          <w:b/>
          <w:bCs/>
          <w:sz w:val="28"/>
        </w:rPr>
      </w:pPr>
      <w:r>
        <w:rPr>
          <w:b/>
          <w:bCs/>
        </w:rPr>
        <w:br w:type="page"/>
      </w:r>
    </w:p>
    <w:p>
      <w:pPr>
        <w:pStyle w:val="212"/>
        <w:numPr>
          <w:ilvl w:val="0"/>
          <w:numId w:val="0"/>
        </w:numPr>
        <w:spacing w:before="468" w:after="156" w:line="360" w:lineRule="auto"/>
        <w:rPr>
          <w:b/>
        </w:rPr>
      </w:pPr>
      <w:bookmarkStart w:id="1318" w:name="_Toc534891132"/>
      <w:bookmarkStart w:id="1319" w:name="_Toc448060837"/>
      <w:r>
        <w:rPr>
          <w:rFonts w:hint="eastAsia"/>
          <w:b/>
        </w:rPr>
        <w:t>附件六绩效考核细则</w:t>
      </w:r>
      <w:r>
        <w:rPr>
          <w:rFonts w:hint="eastAsia" w:ascii="黑体" w:hAnsi="黑体"/>
          <w:b/>
        </w:rPr>
        <w:t>★</w:t>
      </w:r>
      <w:bookmarkEnd w:id="1318"/>
    </w:p>
    <w:p>
      <w:pPr>
        <w:pStyle w:val="154"/>
        <w:numPr>
          <w:ilvl w:val="0"/>
          <w:numId w:val="31"/>
        </w:numPr>
        <w:spacing w:before="120" w:after="120" w:line="360" w:lineRule="auto"/>
        <w:rPr>
          <w:b/>
          <w:bCs/>
          <w:sz w:val="24"/>
          <w:szCs w:val="20"/>
        </w:rPr>
      </w:pPr>
      <w:r>
        <w:rPr>
          <w:b/>
          <w:bCs/>
          <w:sz w:val="24"/>
          <w:szCs w:val="20"/>
        </w:rPr>
        <w:t>考核内容</w:t>
      </w:r>
    </w:p>
    <w:p>
      <w:pPr>
        <w:spacing w:before="120" w:after="120" w:line="360" w:lineRule="auto"/>
        <w:ind w:firstLine="480"/>
        <w:rPr>
          <w:bCs/>
          <w:szCs w:val="20"/>
        </w:rPr>
      </w:pPr>
      <w:r>
        <w:rPr>
          <w:bCs/>
          <w:szCs w:val="20"/>
        </w:rPr>
        <w:t>本项目的绩效考核由甲方负责牵头实施，甲方组织市相关部门和人员对乙方进行建设期绩效考核、运维绩效考核和移交绩效考核，具体考核参与单位及考核办法另行研究制定。其中建设期绩效考核主要从适用法律、工程质量、环境保护、施工安全、工期等方面进行考核。若乙方未能按照建设期绩效考核指标完成项目竣工验收的，甲方有权依据PPP项目合同约定要求乙方进行整改直至通过竣工验收。如该种情况导致工程延误，则甲方有权依据PPP项目合同约定向乙方收取违约金。</w:t>
      </w:r>
    </w:p>
    <w:p>
      <w:pPr>
        <w:spacing w:before="120" w:after="120" w:line="360" w:lineRule="auto"/>
        <w:ind w:firstLine="480"/>
        <w:rPr>
          <w:bCs/>
          <w:szCs w:val="20"/>
        </w:rPr>
      </w:pPr>
      <w:r>
        <w:rPr>
          <w:bCs/>
          <w:szCs w:val="20"/>
        </w:rPr>
        <w:t>运维绩效考核采取日常考核和抽检抽查相结合的方式，主要从出水水质、污水处理量、项目设施设备维护、公司运行情况四个方面开展。根据财政部《关于规范政府和社会资本合作（PPP）综合信息平台项目库管理的通知》（财办金〔2017〕92号）规定“项目建设成本不参与绩效考核，或实际与绩效考核结果挂钩部分占比不足30%，固化政府支出责任的”的不得入库，</w:t>
      </w:r>
      <w:r>
        <w:rPr>
          <w:b/>
          <w:bCs/>
          <w:szCs w:val="20"/>
        </w:rPr>
        <w:t>本项目由甲方根据达标污水处理量向乙方支付污水处理服务费，其运维绩效考核结果与政府付费100%挂钩</w:t>
      </w:r>
      <w:r>
        <w:rPr>
          <w:bCs/>
          <w:szCs w:val="20"/>
        </w:rPr>
        <w:t>，若运维绩效考核不达标，除按照PPP项目合同约定，对相应的污水处理量按照无效处理量处理，不予支付污水处理服务费外，乙方还须向甲方支付一定的违约金。</w:t>
      </w:r>
    </w:p>
    <w:p>
      <w:pPr>
        <w:spacing w:before="120" w:after="120" w:line="360" w:lineRule="auto"/>
        <w:ind w:firstLine="480"/>
        <w:rPr>
          <w:bCs/>
          <w:szCs w:val="20"/>
        </w:rPr>
      </w:pPr>
      <w:r>
        <w:rPr>
          <w:bCs/>
          <w:szCs w:val="20"/>
        </w:rPr>
        <w:t>移交绩效考核主要从移交组织、移交质量、移交进度等三方面进行考核，甲方有权根据移交绩效考核结果向乙方收取违约金或提取移交维修保函的相应金额。</w:t>
      </w:r>
    </w:p>
    <w:p>
      <w:pPr>
        <w:pStyle w:val="154"/>
        <w:numPr>
          <w:ilvl w:val="0"/>
          <w:numId w:val="31"/>
        </w:numPr>
        <w:spacing w:before="120" w:after="120" w:line="360" w:lineRule="auto"/>
        <w:rPr>
          <w:b/>
          <w:bCs/>
          <w:sz w:val="24"/>
          <w:szCs w:val="20"/>
        </w:rPr>
      </w:pPr>
      <w:r>
        <w:rPr>
          <w:b/>
          <w:bCs/>
          <w:sz w:val="24"/>
          <w:szCs w:val="20"/>
        </w:rPr>
        <w:t>考核方案</w:t>
      </w:r>
    </w:p>
    <w:p>
      <w:pPr>
        <w:spacing w:before="120" w:after="120" w:line="360" w:lineRule="auto"/>
        <w:ind w:firstLine="480"/>
        <w:rPr>
          <w:bCs/>
          <w:szCs w:val="20"/>
        </w:rPr>
      </w:pPr>
      <w:r>
        <w:rPr>
          <w:bCs/>
          <w:szCs w:val="20"/>
        </w:rPr>
        <w:t>（1）建设期考核</w:t>
      </w:r>
    </w:p>
    <w:p>
      <w:pPr>
        <w:spacing w:before="120" w:after="120" w:line="360" w:lineRule="auto"/>
        <w:ind w:firstLine="480"/>
        <w:rPr>
          <w:bCs/>
          <w:szCs w:val="20"/>
        </w:rPr>
        <w:sectPr>
          <w:headerReference r:id="rId12" w:type="first"/>
          <w:footerReference r:id="rId15" w:type="first"/>
          <w:footerReference r:id="rId13" w:type="default"/>
          <w:headerReference r:id="rId11" w:type="even"/>
          <w:footerReference r:id="rId14" w:type="even"/>
          <w:pgSz w:w="11906" w:h="16838"/>
          <w:pgMar w:top="1440" w:right="1800" w:bottom="1440" w:left="1800" w:header="851" w:footer="992" w:gutter="0"/>
          <w:cols w:space="425" w:num="1"/>
          <w:docGrid w:type="lines" w:linePitch="312" w:charSpace="0"/>
        </w:sectPr>
      </w:pPr>
      <w:r>
        <w:rPr>
          <w:bCs/>
          <w:szCs w:val="20"/>
        </w:rPr>
        <w:t>为有效督促乙方保质保量的建设完成污水处理厂，建设期内，甲方通过日常检查与竣工验收检查相结合的方式，对适用法律、工程质量、环境保护、施工安全、采购与合同、工期等方面进行考核，具体考核方案如下：</w:t>
      </w:r>
    </w:p>
    <w:p>
      <w:pPr>
        <w:pStyle w:val="224"/>
        <w:numPr>
          <w:ilvl w:val="0"/>
          <w:numId w:val="0"/>
        </w:numPr>
        <w:spacing w:after="114"/>
        <w:rPr>
          <w:rFonts w:eastAsiaTheme="minorEastAsia"/>
        </w:rPr>
      </w:pPr>
      <w:r>
        <w:rPr>
          <w:rFonts w:eastAsiaTheme="minorEastAsia"/>
        </w:rPr>
        <w:t>表6-1  建设期绩效考核方案</w:t>
      </w:r>
    </w:p>
    <w:tbl>
      <w:tblPr>
        <w:tblStyle w:val="52"/>
        <w:tblW w:w="14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6237"/>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jc w:val="center"/>
        </w:trPr>
        <w:tc>
          <w:tcPr>
            <w:tcW w:w="1316" w:type="dxa"/>
            <w:shd w:val="clear" w:color="auto" w:fill="auto"/>
            <w:vAlign w:val="center"/>
          </w:tcPr>
          <w:p>
            <w:pPr>
              <w:pStyle w:val="223"/>
              <w:rPr>
                <w:rFonts w:eastAsiaTheme="minorEastAsia"/>
                <w:b/>
              </w:rPr>
            </w:pPr>
            <w:r>
              <w:rPr>
                <w:rFonts w:eastAsiaTheme="minorEastAsia"/>
                <w:b/>
              </w:rPr>
              <w:t>考核指标</w:t>
            </w:r>
          </w:p>
        </w:tc>
        <w:tc>
          <w:tcPr>
            <w:tcW w:w="6237" w:type="dxa"/>
            <w:shd w:val="clear" w:color="auto" w:fill="auto"/>
            <w:vAlign w:val="center"/>
          </w:tcPr>
          <w:p>
            <w:pPr>
              <w:pStyle w:val="223"/>
              <w:rPr>
                <w:rFonts w:eastAsiaTheme="minorEastAsia"/>
                <w:b/>
              </w:rPr>
            </w:pPr>
            <w:r>
              <w:rPr>
                <w:rFonts w:eastAsiaTheme="minorEastAsia"/>
                <w:b/>
              </w:rPr>
              <w:t>具体要求</w:t>
            </w:r>
          </w:p>
        </w:tc>
        <w:tc>
          <w:tcPr>
            <w:tcW w:w="6485" w:type="dxa"/>
            <w:shd w:val="clear" w:color="auto" w:fill="auto"/>
            <w:vAlign w:val="center"/>
          </w:tcPr>
          <w:p>
            <w:pPr>
              <w:pStyle w:val="223"/>
              <w:rPr>
                <w:rFonts w:eastAsiaTheme="minorEastAsia"/>
                <w:b/>
              </w:rPr>
            </w:pPr>
            <w:r>
              <w:rPr>
                <w:rFonts w:eastAsiaTheme="minorEastAsia"/>
                <w:b/>
              </w:rPr>
              <w:t>考核说明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1316" w:type="dxa"/>
            <w:shd w:val="clear" w:color="auto" w:fill="auto"/>
            <w:vAlign w:val="center"/>
          </w:tcPr>
          <w:p>
            <w:pPr>
              <w:pStyle w:val="223"/>
              <w:rPr>
                <w:rFonts w:eastAsiaTheme="minorEastAsia"/>
              </w:rPr>
            </w:pPr>
            <w:r>
              <w:rPr>
                <w:rFonts w:eastAsiaTheme="minorEastAsia"/>
              </w:rPr>
              <w:t>适用法律</w:t>
            </w:r>
          </w:p>
        </w:tc>
        <w:tc>
          <w:tcPr>
            <w:tcW w:w="6237" w:type="dxa"/>
            <w:shd w:val="clear" w:color="auto" w:fill="auto"/>
            <w:vAlign w:val="center"/>
          </w:tcPr>
          <w:p>
            <w:pPr>
              <w:pStyle w:val="223"/>
              <w:jc w:val="left"/>
              <w:rPr>
                <w:rFonts w:eastAsiaTheme="minorEastAsia"/>
              </w:rPr>
            </w:pPr>
            <w:r>
              <w:rPr>
                <w:rFonts w:eastAsiaTheme="minorEastAsia"/>
              </w:rPr>
              <w:t>严格遵守《城市污水处理工程项目建设标准》、《建设工程安全生产管理条例》、《建设项目环境保护管理条例》、《污水再生利用工程设计规范》等适用法律、法规、地方性法规、规章及规范性文件（统称为法律）的规定。</w:t>
            </w:r>
          </w:p>
        </w:tc>
        <w:tc>
          <w:tcPr>
            <w:tcW w:w="6485" w:type="dxa"/>
            <w:shd w:val="clear" w:color="auto" w:fill="auto"/>
            <w:vAlign w:val="center"/>
          </w:tcPr>
          <w:p>
            <w:pPr>
              <w:pStyle w:val="223"/>
              <w:jc w:val="left"/>
              <w:rPr>
                <w:rFonts w:eastAsiaTheme="minorEastAsia"/>
              </w:rPr>
            </w:pPr>
            <w:r>
              <w:rPr>
                <w:rFonts w:eastAsiaTheme="minorEastAsia"/>
              </w:rPr>
              <w:t>在本项目实施期间，相关法律修正的，以修正后的规定为准。</w:t>
            </w:r>
            <w:r>
              <w:rPr>
                <w:rFonts w:eastAsiaTheme="minorEastAsia"/>
              </w:rPr>
              <w:br w:type="textWrapping"/>
            </w:r>
            <w:r>
              <w:rPr>
                <w:rFonts w:eastAsiaTheme="minorEastAsia"/>
              </w:rPr>
              <w:t>若项目设计及建设过程中，出现任何违反适用法律规定的行为，乙方应及时整改，相关费用由乙方承担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1316" w:type="dxa"/>
            <w:shd w:val="clear" w:color="auto" w:fill="auto"/>
            <w:vAlign w:val="center"/>
          </w:tcPr>
          <w:p>
            <w:pPr>
              <w:pStyle w:val="223"/>
              <w:rPr>
                <w:rFonts w:eastAsiaTheme="minorEastAsia"/>
              </w:rPr>
            </w:pPr>
            <w:r>
              <w:rPr>
                <w:rFonts w:eastAsiaTheme="minorEastAsia"/>
              </w:rPr>
              <w:t>质量验收规范</w:t>
            </w:r>
          </w:p>
        </w:tc>
        <w:tc>
          <w:tcPr>
            <w:tcW w:w="6237" w:type="dxa"/>
            <w:shd w:val="clear" w:color="auto" w:fill="auto"/>
            <w:vAlign w:val="center"/>
          </w:tcPr>
          <w:p>
            <w:pPr>
              <w:pStyle w:val="223"/>
              <w:jc w:val="left"/>
              <w:rPr>
                <w:rFonts w:eastAsiaTheme="minorEastAsia"/>
              </w:rPr>
            </w:pPr>
            <w:r>
              <w:rPr>
                <w:rFonts w:eastAsiaTheme="minorEastAsia"/>
              </w:rPr>
              <w:t>需符合《城镇污水处理厂工程质量验收规范》(GB 50334-2017)、、《混凝土结构工程施工质量验收规范》(GB50204-2015)、《自动化仪表工程施工及验收规范》（GB50093-2013）以及地方政府及相关行政机关出台的验收规范，并做到一次性验收合格。</w:t>
            </w:r>
          </w:p>
        </w:tc>
        <w:tc>
          <w:tcPr>
            <w:tcW w:w="6485" w:type="dxa"/>
            <w:shd w:val="clear" w:color="auto" w:fill="auto"/>
            <w:vAlign w:val="center"/>
          </w:tcPr>
          <w:p>
            <w:pPr>
              <w:pStyle w:val="223"/>
              <w:jc w:val="left"/>
              <w:rPr>
                <w:rFonts w:eastAsiaTheme="minorEastAsia"/>
              </w:rPr>
            </w:pPr>
            <w:r>
              <w:rPr>
                <w:rFonts w:eastAsiaTheme="minorEastAsia"/>
              </w:rPr>
              <w:t>在本项目实施期间，国家及地方验收规范有进行调整的，以调整后为准。</w:t>
            </w:r>
            <w:r>
              <w:rPr>
                <w:rFonts w:eastAsiaTheme="minorEastAsia"/>
              </w:rPr>
              <w:br w:type="textWrapping"/>
            </w:r>
            <w:r>
              <w:rPr>
                <w:rFonts w:eastAsiaTheme="minorEastAsia"/>
              </w:rPr>
              <w:t>若项目不能一次性验收合格，乙方须及时进行整改，相关费用由乙方承担，并承担政府方由此造成的损失。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1316" w:type="dxa"/>
            <w:shd w:val="clear" w:color="auto" w:fill="auto"/>
            <w:vAlign w:val="center"/>
          </w:tcPr>
          <w:p>
            <w:pPr>
              <w:pStyle w:val="223"/>
              <w:rPr>
                <w:rFonts w:eastAsiaTheme="minorEastAsia"/>
              </w:rPr>
            </w:pPr>
            <w:r>
              <w:rPr>
                <w:rFonts w:eastAsiaTheme="minorEastAsia"/>
              </w:rPr>
              <w:t>环境保护</w:t>
            </w:r>
          </w:p>
        </w:tc>
        <w:tc>
          <w:tcPr>
            <w:tcW w:w="6237" w:type="dxa"/>
            <w:shd w:val="clear" w:color="auto" w:fill="auto"/>
            <w:vAlign w:val="center"/>
          </w:tcPr>
          <w:p>
            <w:pPr>
              <w:pStyle w:val="223"/>
              <w:jc w:val="left"/>
              <w:rPr>
                <w:rFonts w:eastAsiaTheme="minorEastAsia"/>
              </w:rPr>
            </w:pPr>
            <w:r>
              <w:rPr>
                <w:rFonts w:eastAsiaTheme="minorEastAsia"/>
              </w:rPr>
              <w:t>严格遵守本项目环境影响评价中关于“环境保护对策措施”（施工期污染防治措施）及相关环境保护政策的规定。</w:t>
            </w:r>
          </w:p>
        </w:tc>
        <w:tc>
          <w:tcPr>
            <w:tcW w:w="6485" w:type="dxa"/>
            <w:shd w:val="clear" w:color="auto" w:fill="auto"/>
            <w:vAlign w:val="center"/>
          </w:tcPr>
          <w:p>
            <w:pPr>
              <w:pStyle w:val="223"/>
              <w:jc w:val="left"/>
              <w:rPr>
                <w:rFonts w:eastAsiaTheme="minorEastAsia"/>
              </w:rPr>
            </w:pPr>
            <w:r>
              <w:rPr>
                <w:rFonts w:eastAsiaTheme="minorEastAsia"/>
              </w:rPr>
              <w:t>建设期内若发现一次环境保护措施不到位的，除按照相关规定接受环境保护部门的处罚并及时整改外，并自行承担由此导致的工期延误、成本增加等风险。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1316" w:type="dxa"/>
            <w:shd w:val="clear" w:color="auto" w:fill="auto"/>
            <w:vAlign w:val="center"/>
          </w:tcPr>
          <w:p>
            <w:pPr>
              <w:pStyle w:val="223"/>
              <w:rPr>
                <w:rFonts w:eastAsiaTheme="minorEastAsia"/>
              </w:rPr>
            </w:pPr>
            <w:r>
              <w:rPr>
                <w:rFonts w:eastAsiaTheme="minorEastAsia"/>
              </w:rPr>
              <w:t>施工安全</w:t>
            </w:r>
          </w:p>
        </w:tc>
        <w:tc>
          <w:tcPr>
            <w:tcW w:w="6237" w:type="dxa"/>
            <w:shd w:val="clear" w:color="auto" w:fill="auto"/>
            <w:vAlign w:val="center"/>
          </w:tcPr>
          <w:p>
            <w:pPr>
              <w:pStyle w:val="223"/>
              <w:jc w:val="left"/>
              <w:rPr>
                <w:rFonts w:eastAsiaTheme="minorEastAsia"/>
              </w:rPr>
            </w:pPr>
            <w:r>
              <w:rPr>
                <w:rFonts w:eastAsiaTheme="minorEastAsia"/>
              </w:rPr>
              <w:t>需符合《建筑施工安全检查标准》(JGJ59-2011) 、地方政府及相关行政机关出台施工安全的其他规范及规定。</w:t>
            </w:r>
          </w:p>
        </w:tc>
        <w:tc>
          <w:tcPr>
            <w:tcW w:w="6485" w:type="dxa"/>
            <w:shd w:val="clear" w:color="auto" w:fill="auto"/>
            <w:vAlign w:val="center"/>
          </w:tcPr>
          <w:p>
            <w:pPr>
              <w:pStyle w:val="223"/>
              <w:jc w:val="left"/>
              <w:rPr>
                <w:rFonts w:eastAsiaTheme="minorEastAsia"/>
              </w:rPr>
            </w:pPr>
            <w:r>
              <w:rPr>
                <w:rFonts w:eastAsiaTheme="minorEastAsia"/>
              </w:rPr>
              <w:t>在本项目实施期间，国家和地方施工安全规范及规定有进行调整的，以调整后为准。</w:t>
            </w:r>
            <w:r>
              <w:rPr>
                <w:rFonts w:eastAsiaTheme="minorEastAsia"/>
              </w:rPr>
              <w:br w:type="textWrapping"/>
            </w:r>
            <w:r>
              <w:rPr>
                <w:rFonts w:eastAsiaTheme="minorEastAsia"/>
              </w:rPr>
              <w:t>建设期内若发现施工安全保护措施不到位的，除按照相关规定及时整改外，并自行承担由此导致的工期延误、成本增加等风险。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jc w:val="center"/>
        </w:trPr>
        <w:tc>
          <w:tcPr>
            <w:tcW w:w="1316" w:type="dxa"/>
            <w:shd w:val="clear" w:color="auto" w:fill="auto"/>
            <w:vAlign w:val="center"/>
          </w:tcPr>
          <w:p>
            <w:pPr>
              <w:pStyle w:val="223"/>
              <w:rPr>
                <w:rFonts w:eastAsiaTheme="minorEastAsia"/>
              </w:rPr>
            </w:pPr>
            <w:r>
              <w:rPr>
                <w:rFonts w:eastAsiaTheme="minorEastAsia"/>
              </w:rPr>
              <w:t>采购与合同</w:t>
            </w:r>
          </w:p>
        </w:tc>
        <w:tc>
          <w:tcPr>
            <w:tcW w:w="6237" w:type="dxa"/>
            <w:shd w:val="clear" w:color="auto" w:fill="auto"/>
            <w:vAlign w:val="center"/>
          </w:tcPr>
          <w:p>
            <w:pPr>
              <w:pStyle w:val="223"/>
              <w:jc w:val="left"/>
              <w:rPr>
                <w:rFonts w:eastAsiaTheme="minorEastAsia"/>
              </w:rPr>
            </w:pPr>
            <w:r>
              <w:rPr>
                <w:rFonts w:eastAsiaTheme="minorEastAsia"/>
              </w:rPr>
              <w:t>按照《招标投标法》等法律法规和PPP项目合同约定进行采购；</w:t>
            </w:r>
          </w:p>
          <w:p>
            <w:pPr>
              <w:pStyle w:val="223"/>
              <w:jc w:val="left"/>
              <w:rPr>
                <w:rFonts w:eastAsiaTheme="minorEastAsia"/>
              </w:rPr>
            </w:pPr>
            <w:r>
              <w:rPr>
                <w:rFonts w:eastAsiaTheme="minorEastAsia"/>
              </w:rPr>
              <w:t>加强合同管理，有效避免合同纠纷，保障工程建设顺利实施。</w:t>
            </w:r>
          </w:p>
        </w:tc>
        <w:tc>
          <w:tcPr>
            <w:tcW w:w="6485" w:type="dxa"/>
            <w:shd w:val="clear" w:color="auto" w:fill="auto"/>
            <w:vAlign w:val="center"/>
          </w:tcPr>
          <w:p>
            <w:pPr>
              <w:pStyle w:val="223"/>
              <w:jc w:val="left"/>
              <w:rPr>
                <w:rFonts w:eastAsiaTheme="minorEastAsia"/>
              </w:rPr>
            </w:pPr>
            <w:r>
              <w:rPr>
                <w:rFonts w:eastAsiaTheme="minorEastAsia"/>
              </w:rPr>
              <w:t>乙方出现采购活动违反法律法规或PPP项目合同约定的或未实施有效合同管理，且因合同纠纷影响项目实施的，除按照相关规定及时整改，并自行承担由此导致的工期延误、成本增加等风险。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jc w:val="center"/>
        </w:trPr>
        <w:tc>
          <w:tcPr>
            <w:tcW w:w="1316" w:type="dxa"/>
            <w:shd w:val="clear" w:color="auto" w:fill="auto"/>
            <w:vAlign w:val="center"/>
          </w:tcPr>
          <w:p>
            <w:pPr>
              <w:pStyle w:val="223"/>
              <w:rPr>
                <w:rFonts w:eastAsiaTheme="minorEastAsia"/>
              </w:rPr>
            </w:pPr>
            <w:r>
              <w:rPr>
                <w:rFonts w:eastAsiaTheme="minorEastAsia"/>
              </w:rPr>
              <w:t>工期</w:t>
            </w:r>
          </w:p>
        </w:tc>
        <w:tc>
          <w:tcPr>
            <w:tcW w:w="6237" w:type="dxa"/>
            <w:shd w:val="clear" w:color="auto" w:fill="auto"/>
            <w:vAlign w:val="center"/>
          </w:tcPr>
          <w:p>
            <w:pPr>
              <w:pStyle w:val="223"/>
              <w:jc w:val="left"/>
              <w:rPr>
                <w:rFonts w:eastAsiaTheme="minorEastAsia"/>
              </w:rPr>
            </w:pPr>
            <w:r>
              <w:rPr>
                <w:rFonts w:eastAsiaTheme="minorEastAsia"/>
              </w:rPr>
              <w:t>开工日：依据本合同相关条款执行。</w:t>
            </w:r>
          </w:p>
          <w:p>
            <w:pPr>
              <w:pStyle w:val="223"/>
              <w:jc w:val="left"/>
              <w:rPr>
                <w:rFonts w:eastAsiaTheme="minorEastAsia"/>
              </w:rPr>
            </w:pPr>
            <w:r>
              <w:rPr>
                <w:rFonts w:eastAsiaTheme="minorEastAsia"/>
              </w:rPr>
              <w:t>竣工日期：依据本合同相关条款执行。</w:t>
            </w:r>
          </w:p>
        </w:tc>
        <w:tc>
          <w:tcPr>
            <w:tcW w:w="6485" w:type="dxa"/>
            <w:shd w:val="clear" w:color="auto" w:fill="auto"/>
            <w:vAlign w:val="center"/>
          </w:tcPr>
          <w:p>
            <w:pPr>
              <w:pStyle w:val="223"/>
              <w:jc w:val="left"/>
              <w:rPr>
                <w:rFonts w:eastAsiaTheme="minorEastAsia"/>
              </w:rPr>
            </w:pPr>
            <w:r>
              <w:rPr>
                <w:rFonts w:eastAsiaTheme="minorEastAsia"/>
              </w:rPr>
              <w:t>其中第一个延误30日内，每日支付人民币 0.5万元；第二个延误30日内，每日支付人民币0.8万元；此后延误每日支付人民币1万元。</w:t>
            </w:r>
          </w:p>
          <w:p>
            <w:pPr>
              <w:pStyle w:val="223"/>
              <w:jc w:val="left"/>
              <w:rPr>
                <w:rFonts w:eastAsiaTheme="minorEastAsia"/>
              </w:rPr>
            </w:pPr>
            <w:r>
              <w:rPr>
                <w:rFonts w:eastAsiaTheme="minorEastAsia"/>
              </w:rPr>
              <w:t>上述违约金应在延误总日数的基础上累积，直至已达到试运行日。工期延误的违约金累计不超过工程投资额的5%。</w:t>
            </w:r>
          </w:p>
        </w:tc>
      </w:tr>
    </w:tbl>
    <w:p>
      <w:pPr>
        <w:pStyle w:val="154"/>
        <w:spacing w:before="156" w:after="156"/>
        <w:ind w:firstLine="329" w:firstLineChars="149"/>
        <w:rPr>
          <w:b/>
          <w:szCs w:val="32"/>
          <w:lang w:eastAsia="zh-CN"/>
        </w:rPr>
        <w:sectPr>
          <w:headerReference r:id="rId16" w:type="default"/>
          <w:pgSz w:w="16838" w:h="11906" w:orient="landscape"/>
          <w:pgMar w:top="1800" w:right="1440" w:bottom="1800" w:left="1440" w:header="851" w:footer="992" w:gutter="0"/>
          <w:cols w:space="425" w:num="1"/>
          <w:docGrid w:type="lines" w:linePitch="381" w:charSpace="0"/>
        </w:sectPr>
      </w:pPr>
    </w:p>
    <w:p>
      <w:pPr>
        <w:spacing w:before="120" w:after="120" w:line="360" w:lineRule="auto"/>
        <w:ind w:firstLine="480"/>
        <w:rPr>
          <w:bCs/>
          <w:szCs w:val="20"/>
        </w:rPr>
      </w:pPr>
      <w:r>
        <w:rPr>
          <w:bCs/>
          <w:szCs w:val="20"/>
        </w:rPr>
        <w:t>（2）运维绩效考核</w:t>
      </w:r>
    </w:p>
    <w:p>
      <w:pPr>
        <w:spacing w:before="120" w:after="120" w:line="360" w:lineRule="auto"/>
        <w:ind w:firstLine="480"/>
        <w:rPr>
          <w:bCs/>
          <w:szCs w:val="20"/>
        </w:rPr>
      </w:pPr>
      <w:r>
        <w:rPr>
          <w:bCs/>
          <w:szCs w:val="20"/>
        </w:rPr>
        <w:t>为进一步规范乙方日常运营维护管理，切实提高乙方管理水平和污水处理质量水平，充分发挥各项设施的使用功能，确保各项设施的完好和正常运行，根据相关法律法规，结合以往项目案例，本项目主要从出水水质、污水处理量、项目设施设备维护、公司运行情况四个方面开展。根据财政部《关于规范政府和社会资本合作（PPP）综合信息平台项目库管理的通知》（财办金〔2017〕92号）规定“项目建设成本不参与绩效考核，或实际与绩效考核结果挂钩部分占比不足30%，固化政府支出责任的”的不得入库，</w:t>
      </w:r>
      <w:r>
        <w:rPr>
          <w:b/>
          <w:bCs/>
          <w:szCs w:val="20"/>
        </w:rPr>
        <w:t>本项目由甲方根据达标污水处理量向乙方支付污水处理服务费，其运维绩效考核结果与政府付费100%挂钩</w:t>
      </w:r>
      <w:r>
        <w:rPr>
          <w:bCs/>
          <w:szCs w:val="20"/>
        </w:rPr>
        <w:t>，若运维绩效考核不达标，除按照PPP项目合同约定，对相应的污水处理量按照无效处理量处理，不予支付污水处理服务费外，乙方还应向甲方支付一定的违约金。</w:t>
      </w:r>
      <w:r>
        <w:rPr>
          <w:rFonts w:hint="eastAsia"/>
          <w:bCs/>
          <w:szCs w:val="20"/>
        </w:rPr>
        <w:t>运维绩效考核主要分日常考核和定期考核两种方式，其中日常考核主要是在运营期内每天通过在线检测系统和人工抽查的方式，对出水水质和污水处理量进行考核；定期考核主要是在每个运营年结束后第一个月由甲方组织对项目设施设备维护、公司运行情况等进行统一考核。各项考核方式</w:t>
      </w:r>
      <w:r>
        <w:rPr>
          <w:bCs/>
          <w:szCs w:val="20"/>
        </w:rPr>
        <w:t>具体考核方案如下：</w:t>
      </w:r>
    </w:p>
    <w:p>
      <w:pPr>
        <w:pStyle w:val="154"/>
        <w:spacing w:before="156" w:after="156"/>
        <w:rPr>
          <w:szCs w:val="32"/>
          <w:lang w:eastAsia="zh-CN"/>
        </w:rPr>
        <w:sectPr>
          <w:headerReference r:id="rId17" w:type="default"/>
          <w:pgSz w:w="11906" w:h="16838"/>
          <w:pgMar w:top="1440" w:right="1800" w:bottom="1440" w:left="1800" w:header="851" w:footer="992" w:gutter="0"/>
          <w:cols w:space="720" w:num="1"/>
          <w:titlePg/>
          <w:docGrid w:type="lines" w:linePitch="381" w:charSpace="0"/>
        </w:sectPr>
      </w:pPr>
    </w:p>
    <w:p>
      <w:pPr>
        <w:pStyle w:val="224"/>
        <w:numPr>
          <w:ilvl w:val="0"/>
          <w:numId w:val="0"/>
        </w:numPr>
        <w:spacing w:after="114"/>
        <w:rPr>
          <w:rFonts w:eastAsiaTheme="minorEastAsia"/>
        </w:rPr>
      </w:pPr>
      <w:r>
        <w:rPr>
          <w:rFonts w:eastAsiaTheme="minorEastAsia"/>
        </w:rPr>
        <w:t>表6-2  运营维护绩效考核</w:t>
      </w:r>
      <w:r>
        <w:rPr>
          <w:rFonts w:hint="eastAsia" w:eastAsiaTheme="minorEastAsia"/>
        </w:rPr>
        <w:t>日常考核</w:t>
      </w:r>
      <w:r>
        <w:rPr>
          <w:rFonts w:eastAsiaTheme="minorEastAsia"/>
        </w:rPr>
        <w:t>方案</w:t>
      </w:r>
    </w:p>
    <w:tbl>
      <w:tblPr>
        <w:tblStyle w:val="52"/>
        <w:tblW w:w="14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6237"/>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316" w:type="dxa"/>
            <w:shd w:val="clear" w:color="auto" w:fill="auto"/>
            <w:vAlign w:val="center"/>
          </w:tcPr>
          <w:p>
            <w:pPr>
              <w:pStyle w:val="223"/>
              <w:rPr>
                <w:rFonts w:eastAsiaTheme="minorEastAsia"/>
                <w:b/>
              </w:rPr>
            </w:pPr>
            <w:r>
              <w:rPr>
                <w:rFonts w:eastAsiaTheme="minorEastAsia"/>
                <w:b/>
              </w:rPr>
              <w:t>考核指标</w:t>
            </w:r>
          </w:p>
        </w:tc>
        <w:tc>
          <w:tcPr>
            <w:tcW w:w="6237" w:type="dxa"/>
            <w:shd w:val="clear" w:color="auto" w:fill="auto"/>
            <w:vAlign w:val="center"/>
          </w:tcPr>
          <w:p>
            <w:pPr>
              <w:pStyle w:val="223"/>
              <w:rPr>
                <w:rFonts w:eastAsiaTheme="minorEastAsia"/>
                <w:b/>
              </w:rPr>
            </w:pPr>
            <w:r>
              <w:rPr>
                <w:rFonts w:eastAsiaTheme="minorEastAsia"/>
                <w:b/>
              </w:rPr>
              <w:t>具体要求</w:t>
            </w:r>
          </w:p>
        </w:tc>
        <w:tc>
          <w:tcPr>
            <w:tcW w:w="6485" w:type="dxa"/>
            <w:shd w:val="clear" w:color="auto" w:fill="auto"/>
            <w:vAlign w:val="center"/>
          </w:tcPr>
          <w:p>
            <w:pPr>
              <w:pStyle w:val="223"/>
              <w:rPr>
                <w:rFonts w:eastAsiaTheme="minorEastAsia"/>
                <w:b/>
              </w:rPr>
            </w:pPr>
            <w:r>
              <w:rPr>
                <w:rFonts w:eastAsiaTheme="minorEastAsia"/>
                <w:b/>
              </w:rPr>
              <w:t>考核说明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1316" w:type="dxa"/>
            <w:shd w:val="clear" w:color="auto" w:fill="auto"/>
            <w:vAlign w:val="center"/>
          </w:tcPr>
          <w:p>
            <w:pPr>
              <w:pStyle w:val="223"/>
              <w:rPr>
                <w:rFonts w:eastAsiaTheme="minorEastAsia"/>
              </w:rPr>
            </w:pPr>
            <w:r>
              <w:rPr>
                <w:rFonts w:eastAsiaTheme="minorEastAsia"/>
              </w:rPr>
              <w:t>出水水质</w:t>
            </w:r>
          </w:p>
        </w:tc>
        <w:tc>
          <w:tcPr>
            <w:tcW w:w="6237" w:type="dxa"/>
            <w:shd w:val="clear" w:color="auto" w:fill="auto"/>
            <w:vAlign w:val="center"/>
          </w:tcPr>
          <w:p>
            <w:pPr>
              <w:pStyle w:val="223"/>
              <w:jc w:val="both"/>
              <w:rPr>
                <w:rFonts w:eastAsiaTheme="minorEastAsia"/>
              </w:rPr>
            </w:pPr>
            <w:r>
              <w:rPr>
                <w:rFonts w:eastAsiaTheme="minorEastAsia"/>
              </w:rPr>
              <w:t>运营期内，在进水水质不超标的情况下，日考核指标均需满足PPP项目合同和《城镇污水处理厂工程质量验收规范》（GB 50334-2017）的相关规定</w:t>
            </w:r>
          </w:p>
        </w:tc>
        <w:tc>
          <w:tcPr>
            <w:tcW w:w="6485" w:type="dxa"/>
            <w:shd w:val="clear" w:color="auto" w:fill="auto"/>
            <w:vAlign w:val="center"/>
          </w:tcPr>
          <w:p>
            <w:pPr>
              <w:pStyle w:val="223"/>
              <w:jc w:val="both"/>
              <w:rPr>
                <w:rFonts w:eastAsiaTheme="minorEastAsia"/>
              </w:rPr>
            </w:pPr>
            <w:r>
              <w:rPr>
                <w:rFonts w:hint="eastAsia" w:eastAsiaTheme="minorEastAsia"/>
              </w:rPr>
              <w:t>运营期内，如果日考核指标中任何一种出水水质指标的平均值超过出水水质标准，则视为出水水质超标。</w:t>
            </w:r>
            <w:r>
              <w:rPr>
                <w:rFonts w:hint="eastAsia" w:eastAsiaTheme="minorEastAsia"/>
                <w:b/>
              </w:rPr>
              <w:t>出水水质超标，则当日实际污水处理量为</w:t>
            </w:r>
            <w:r>
              <w:rPr>
                <w:rFonts w:eastAsiaTheme="minorEastAsia"/>
                <w:b/>
              </w:rPr>
              <w:t>0</w:t>
            </w:r>
            <w:r>
              <w:rPr>
                <w:rFonts w:hint="eastAsia" w:eastAsiaTheme="minorEastAsia"/>
                <w:b/>
              </w:rPr>
              <w:t>，不予支付污水处理服务费，同时以超标当日的污染物排放量和污染物的当量值为标准计算违约金</w:t>
            </w:r>
            <w:r>
              <w:rPr>
                <w:rFonts w:hint="eastAsia" w:eastAsiaTheme="minorEastAsia"/>
              </w:rPr>
              <w:t>。具体违约金计算标准见本合同第</w:t>
            </w:r>
            <w:r>
              <w:fldChar w:fldCharType="begin"/>
            </w:r>
            <w:r>
              <w:instrText xml:space="preserve">REF _Ref493000033 \r \h  \* MERGEFORMAT </w:instrText>
            </w:r>
            <w:r>
              <w:fldChar w:fldCharType="separate"/>
            </w:r>
            <w:r>
              <w:rPr>
                <w:rFonts w:eastAsiaTheme="minorEastAsia"/>
              </w:rPr>
              <w:t>11.6</w:t>
            </w:r>
            <w:r>
              <w:rPr>
                <w:rFonts w:eastAsiaTheme="minorEastAsia"/>
              </w:rPr>
              <w:fldChar w:fldCharType="end"/>
            </w:r>
            <w:r>
              <w:rPr>
                <w:rFonts w:hint="eastAsia" w:eastAsiaTheme="minorEastAsia"/>
              </w:rPr>
              <w:t>条款约定的的</w:t>
            </w:r>
            <w:r>
              <w:rPr>
                <w:rFonts w:eastAsiaTheme="minorEastAsia"/>
              </w:rPr>
              <w:t>“出水水质超标的违约金”</w:t>
            </w:r>
            <w:r>
              <w:rPr>
                <w:rFonts w:hint="eastAsia" w:eastAsiaTheme="minorEastAsia"/>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1316" w:type="dxa"/>
            <w:shd w:val="clear" w:color="auto" w:fill="auto"/>
            <w:vAlign w:val="center"/>
          </w:tcPr>
          <w:p>
            <w:pPr>
              <w:pStyle w:val="223"/>
              <w:rPr>
                <w:rFonts w:eastAsiaTheme="minorEastAsia"/>
              </w:rPr>
            </w:pPr>
            <w:r>
              <w:rPr>
                <w:rFonts w:eastAsiaTheme="minorEastAsia"/>
              </w:rPr>
              <w:t>处理水量</w:t>
            </w:r>
          </w:p>
        </w:tc>
        <w:tc>
          <w:tcPr>
            <w:tcW w:w="6237" w:type="dxa"/>
            <w:shd w:val="clear" w:color="auto" w:fill="auto"/>
            <w:vAlign w:val="center"/>
          </w:tcPr>
          <w:p>
            <w:pPr>
              <w:pStyle w:val="223"/>
              <w:jc w:val="both"/>
              <w:rPr>
                <w:rFonts w:eastAsiaTheme="minorEastAsia"/>
              </w:rPr>
            </w:pPr>
            <w:r>
              <w:rPr>
                <w:rFonts w:eastAsiaTheme="minorEastAsia"/>
              </w:rPr>
              <w:t>运营期内，乙方应及时处理厂内污水，避免因污水处理不及时，影响污水厂及产业园区的正常运转。</w:t>
            </w:r>
          </w:p>
        </w:tc>
        <w:tc>
          <w:tcPr>
            <w:tcW w:w="6485" w:type="dxa"/>
            <w:shd w:val="clear" w:color="auto" w:fill="auto"/>
            <w:vAlign w:val="center"/>
          </w:tcPr>
          <w:p>
            <w:pPr>
              <w:pStyle w:val="223"/>
              <w:jc w:val="both"/>
              <w:rPr>
                <w:rFonts w:eastAsiaTheme="minorEastAsia"/>
              </w:rPr>
            </w:pPr>
            <w:r>
              <w:rPr>
                <w:rFonts w:hint="eastAsia" w:eastAsiaTheme="minorEastAsia"/>
              </w:rPr>
              <w:t>1</w:t>
            </w:r>
            <w:r>
              <w:rPr>
                <w:rFonts w:eastAsiaTheme="minorEastAsia"/>
              </w:rPr>
              <w:t>、计划内暂停期间的任一运营日，若实际处理水量小于计划内暂停期间保底处理量，视为处理量不足，非乙方原因导致的除外。</w:t>
            </w:r>
          </w:p>
          <w:p>
            <w:pPr>
              <w:pStyle w:val="223"/>
              <w:jc w:val="both"/>
              <w:rPr>
                <w:rFonts w:eastAsiaTheme="minorEastAsia"/>
              </w:rPr>
            </w:pPr>
            <w:r>
              <w:rPr>
                <w:rFonts w:eastAsiaTheme="minorEastAsia"/>
                <w:b/>
              </w:rPr>
              <w:t>处理量不足违约金＝（计划内暂停期间保底处理量－当日实际处理水量）×污水处理服务费单价×2</w:t>
            </w:r>
            <w:r>
              <w:rPr>
                <w:rFonts w:eastAsiaTheme="minorEastAsia"/>
              </w:rPr>
              <w:t>；其中，计划内暂停期间保底处理量为当日实际进水量和设计处理规模的70%水量中的较小值。</w:t>
            </w:r>
          </w:p>
          <w:p>
            <w:pPr>
              <w:pStyle w:val="223"/>
              <w:jc w:val="both"/>
              <w:rPr>
                <w:rFonts w:eastAsiaTheme="minorEastAsia"/>
              </w:rPr>
            </w:pPr>
            <w:r>
              <w:rPr>
                <w:rFonts w:hint="eastAsia" w:eastAsiaTheme="minorEastAsia"/>
              </w:rPr>
              <w:t>2</w:t>
            </w:r>
            <w:r>
              <w:rPr>
                <w:rFonts w:eastAsiaTheme="minorEastAsia"/>
              </w:rPr>
              <w:t>、由于乙方原因导致污水厂发生计划外暂停，在计划外暂停期间的任一运营日，若实际处理水量小于设置的基本水量，按照以下公式计算处理量不足的违约金。</w:t>
            </w:r>
          </w:p>
          <w:p>
            <w:pPr>
              <w:pStyle w:val="223"/>
              <w:jc w:val="both"/>
              <w:rPr>
                <w:rFonts w:eastAsiaTheme="minorEastAsia"/>
                <w:b/>
              </w:rPr>
            </w:pPr>
            <w:r>
              <w:rPr>
                <w:rFonts w:eastAsiaTheme="minorEastAsia"/>
                <w:b/>
              </w:rPr>
              <w:t>处理量不足违约金＝（基本水量－该日实际处理水量）×污水处理服务费单价×2</w:t>
            </w:r>
          </w:p>
        </w:tc>
      </w:tr>
    </w:tbl>
    <w:p>
      <w:pPr>
        <w:pStyle w:val="224"/>
        <w:numPr>
          <w:ilvl w:val="0"/>
          <w:numId w:val="0"/>
        </w:numPr>
        <w:spacing w:after="114"/>
      </w:pPr>
      <w:r>
        <w:rPr>
          <w:rFonts w:eastAsiaTheme="minorEastAsia"/>
        </w:rPr>
        <w:t>表6-2  运营维护绩效考核</w:t>
      </w:r>
      <w:r>
        <w:rPr>
          <w:rFonts w:hint="eastAsia" w:eastAsiaTheme="minorEastAsia"/>
        </w:rPr>
        <w:t>定期考核</w:t>
      </w:r>
      <w:r>
        <w:rPr>
          <w:rFonts w:eastAsiaTheme="minorEastAsia"/>
        </w:rPr>
        <w:t>方案</w:t>
      </w:r>
    </w:p>
    <w:tbl>
      <w:tblPr>
        <w:tblStyle w:val="52"/>
        <w:tblW w:w="14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6237"/>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1316" w:type="dxa"/>
            <w:shd w:val="clear" w:color="auto" w:fill="auto"/>
            <w:vAlign w:val="center"/>
          </w:tcPr>
          <w:p>
            <w:pPr>
              <w:pStyle w:val="223"/>
              <w:rPr>
                <w:rFonts w:eastAsiaTheme="minorEastAsia"/>
              </w:rPr>
            </w:pPr>
            <w:r>
              <w:rPr>
                <w:rFonts w:eastAsiaTheme="minorEastAsia"/>
              </w:rPr>
              <w:t>项目设施运营维护</w:t>
            </w:r>
          </w:p>
        </w:tc>
        <w:tc>
          <w:tcPr>
            <w:tcW w:w="6237" w:type="dxa"/>
            <w:shd w:val="clear" w:color="auto" w:fill="auto"/>
            <w:vAlign w:val="center"/>
          </w:tcPr>
          <w:p>
            <w:pPr>
              <w:pStyle w:val="223"/>
              <w:jc w:val="both"/>
              <w:rPr>
                <w:rFonts w:eastAsiaTheme="minorEastAsia"/>
              </w:rPr>
            </w:pPr>
            <w:r>
              <w:rPr>
                <w:rFonts w:eastAsiaTheme="minorEastAsia"/>
              </w:rPr>
              <w:t>1、对污水厂厂区建筑、道路等进行日常保洁、维护管理等；</w:t>
            </w:r>
          </w:p>
          <w:p>
            <w:pPr>
              <w:pStyle w:val="223"/>
              <w:jc w:val="both"/>
              <w:rPr>
                <w:rFonts w:eastAsiaTheme="minorEastAsia"/>
              </w:rPr>
            </w:pPr>
            <w:r>
              <w:rPr>
                <w:rFonts w:eastAsiaTheme="minorEastAsia"/>
              </w:rPr>
              <w:t>2、制定完善的设备运行管理制度和</w:t>
            </w:r>
            <w:r>
              <w:fldChar w:fldCharType="begin"/>
            </w:r>
            <w:r>
              <w:instrText xml:space="preserve"> HYPERLINK "https://wenwen.sogou.com/s/?w=%E8%AE%BE%E5%A4%87%E7%BB%B4%E6%8A%A4%E8%A7%84%E7%A8%8B&amp;ch=ww.xqy.chain" \t "_blank" </w:instrText>
            </w:r>
            <w:r>
              <w:fldChar w:fldCharType="separate"/>
            </w:r>
            <w:r>
              <w:rPr>
                <w:rFonts w:eastAsiaTheme="minorEastAsia"/>
              </w:rPr>
              <w:t>设备维护规程</w:t>
            </w:r>
            <w:r>
              <w:rPr>
                <w:rFonts w:eastAsiaTheme="minorEastAsia"/>
              </w:rPr>
              <w:fldChar w:fldCharType="end"/>
            </w:r>
            <w:r>
              <w:rPr>
                <w:rFonts w:eastAsiaTheme="minorEastAsia"/>
              </w:rPr>
              <w:t>；加强</w:t>
            </w:r>
            <w:r>
              <w:fldChar w:fldCharType="begin"/>
            </w:r>
            <w:r>
              <w:instrText xml:space="preserve"> HYPERLINK "https://wenwen.sogou.com/s/?w=%E5%A4%87%E5%93%81%E9%85%8D%E4%BB%B6&amp;ch=ww.xqy.chain" \t "_blank" </w:instrText>
            </w:r>
            <w:r>
              <w:fldChar w:fldCharType="separate"/>
            </w:r>
            <w:r>
              <w:rPr>
                <w:rFonts w:eastAsiaTheme="minorEastAsia"/>
              </w:rPr>
              <w:t>备品配件</w:t>
            </w:r>
            <w:r>
              <w:rPr>
                <w:rFonts w:eastAsiaTheme="minorEastAsia"/>
              </w:rPr>
              <w:fldChar w:fldCharType="end"/>
            </w:r>
            <w:r>
              <w:rPr>
                <w:rFonts w:eastAsiaTheme="minorEastAsia"/>
              </w:rPr>
              <w:t>的计划管理；</w:t>
            </w:r>
          </w:p>
          <w:p>
            <w:pPr>
              <w:pStyle w:val="223"/>
              <w:jc w:val="both"/>
              <w:rPr>
                <w:rFonts w:eastAsiaTheme="minorEastAsia"/>
              </w:rPr>
            </w:pPr>
            <w:r>
              <w:rPr>
                <w:rFonts w:eastAsiaTheme="minorEastAsia"/>
              </w:rPr>
              <w:t>3、对损坏的设施设备进行维修保养，避免影响正常使用。</w:t>
            </w:r>
          </w:p>
          <w:p>
            <w:pPr>
              <w:pStyle w:val="223"/>
              <w:jc w:val="both"/>
              <w:rPr>
                <w:rFonts w:eastAsiaTheme="minorEastAsia"/>
              </w:rPr>
            </w:pPr>
            <w:r>
              <w:rPr>
                <w:rFonts w:hint="eastAsia" w:eastAsiaTheme="minorEastAsia"/>
              </w:rPr>
              <w:t>4、符合国家及地方关于污水厂运营的相关管理规定。</w:t>
            </w:r>
          </w:p>
        </w:tc>
        <w:tc>
          <w:tcPr>
            <w:tcW w:w="6485" w:type="dxa"/>
            <w:shd w:val="clear" w:color="auto" w:fill="auto"/>
            <w:vAlign w:val="center"/>
          </w:tcPr>
          <w:p>
            <w:pPr>
              <w:pStyle w:val="223"/>
              <w:jc w:val="both"/>
              <w:rPr>
                <w:rFonts w:eastAsiaTheme="minorEastAsia"/>
              </w:rPr>
            </w:pPr>
            <w:r>
              <w:rPr>
                <w:rFonts w:eastAsiaTheme="minorEastAsia"/>
              </w:rPr>
              <w:t>1、若出现厂区环境脏乱差、管理制度不完善、项目设施设备损坏的</w:t>
            </w:r>
            <w:r>
              <w:rPr>
                <w:rFonts w:hint="eastAsia" w:eastAsiaTheme="minorEastAsia"/>
              </w:rPr>
              <w:t>或其他不符合国家及地方关于污水厂运营的相关管理规定的</w:t>
            </w:r>
            <w:r>
              <w:rPr>
                <w:rFonts w:eastAsiaTheme="minorEastAsia"/>
              </w:rPr>
              <w:t>，乙方需按照1万元/次的标准向甲方支付违约金；</w:t>
            </w:r>
          </w:p>
          <w:p>
            <w:pPr>
              <w:pStyle w:val="223"/>
              <w:jc w:val="both"/>
              <w:rPr>
                <w:rFonts w:eastAsiaTheme="minorEastAsia"/>
              </w:rPr>
            </w:pPr>
            <w:r>
              <w:rPr>
                <w:rFonts w:eastAsiaTheme="minorEastAsia"/>
              </w:rPr>
              <w:t>2、对由于项目设施设备维护不到位，影响污水厂运行，导致出水水质不达标，处理水量不足，除按照上述标准缴纳违约金外，还应根据出水水质和污水处理情况按照PPP项目合同约定缴纳水质不达标和处理量不足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1" w:hRule="atLeast"/>
          <w:jc w:val="center"/>
        </w:trPr>
        <w:tc>
          <w:tcPr>
            <w:tcW w:w="1316" w:type="dxa"/>
            <w:shd w:val="clear" w:color="auto" w:fill="auto"/>
            <w:vAlign w:val="center"/>
          </w:tcPr>
          <w:p>
            <w:pPr>
              <w:pStyle w:val="223"/>
              <w:rPr>
                <w:rFonts w:eastAsiaTheme="minorEastAsia"/>
              </w:rPr>
            </w:pPr>
            <w:r>
              <w:rPr>
                <w:rFonts w:eastAsiaTheme="minorEastAsia"/>
              </w:rPr>
              <w:t>项目公司运行管理</w:t>
            </w:r>
          </w:p>
        </w:tc>
        <w:tc>
          <w:tcPr>
            <w:tcW w:w="6237" w:type="dxa"/>
            <w:shd w:val="clear" w:color="auto" w:fill="auto"/>
            <w:vAlign w:val="center"/>
          </w:tcPr>
          <w:p>
            <w:pPr>
              <w:pStyle w:val="223"/>
              <w:jc w:val="both"/>
              <w:rPr>
                <w:rFonts w:eastAsiaTheme="minorEastAsia"/>
              </w:rPr>
            </w:pPr>
            <w:r>
              <w:rPr>
                <w:rFonts w:eastAsiaTheme="minorEastAsia"/>
              </w:rPr>
              <w:t>1、及时处理应急及投诉事件并向甲方及时汇报；</w:t>
            </w:r>
          </w:p>
          <w:p>
            <w:pPr>
              <w:pStyle w:val="223"/>
              <w:jc w:val="both"/>
              <w:rPr>
                <w:rFonts w:eastAsiaTheme="minorEastAsia"/>
              </w:rPr>
            </w:pPr>
            <w:r>
              <w:rPr>
                <w:rFonts w:eastAsiaTheme="minorEastAsia"/>
              </w:rPr>
              <w:t>2、不得出现媒体不良报道。</w:t>
            </w:r>
          </w:p>
        </w:tc>
        <w:tc>
          <w:tcPr>
            <w:tcW w:w="6485" w:type="dxa"/>
            <w:shd w:val="clear" w:color="auto" w:fill="auto"/>
            <w:vAlign w:val="center"/>
          </w:tcPr>
          <w:p>
            <w:pPr>
              <w:pStyle w:val="223"/>
              <w:jc w:val="both"/>
              <w:rPr>
                <w:rFonts w:eastAsiaTheme="minorEastAsia"/>
              </w:rPr>
            </w:pPr>
            <w:r>
              <w:rPr>
                <w:rFonts w:eastAsiaTheme="minorEastAsia"/>
              </w:rPr>
              <w:t>1、每出现一次应急或投诉时间处理不及时，乙方需向甲方缴纳违约金2万元；</w:t>
            </w:r>
          </w:p>
          <w:p>
            <w:pPr>
              <w:pStyle w:val="223"/>
              <w:jc w:val="both"/>
              <w:rPr>
                <w:rFonts w:eastAsiaTheme="minorEastAsia"/>
              </w:rPr>
            </w:pPr>
            <w:r>
              <w:rPr>
                <w:rFonts w:eastAsiaTheme="minorEastAsia"/>
              </w:rPr>
              <w:t>2、被市级环境保护主管部门通报批评一次，乙方需向甲方缴纳违约金5万元；</w:t>
            </w:r>
          </w:p>
          <w:p>
            <w:pPr>
              <w:pStyle w:val="223"/>
              <w:jc w:val="both"/>
              <w:rPr>
                <w:rFonts w:eastAsiaTheme="minorEastAsia"/>
              </w:rPr>
            </w:pPr>
            <w:r>
              <w:rPr>
                <w:rFonts w:eastAsiaTheme="minorEastAsia"/>
              </w:rPr>
              <w:t>3、被省级及省级以上环境保护主管部门通报批评一次，</w:t>
            </w:r>
            <w:r>
              <w:rPr>
                <w:rFonts w:hint="eastAsia" w:eastAsiaTheme="minorEastAsia"/>
              </w:rPr>
              <w:t>乙方</w:t>
            </w:r>
            <w:r>
              <w:rPr>
                <w:rFonts w:eastAsiaTheme="minorEastAsia"/>
              </w:rPr>
              <w:t>需向甲方缴纳违约金10万元；</w:t>
            </w:r>
          </w:p>
        </w:tc>
      </w:tr>
    </w:tbl>
    <w:p>
      <w:pPr>
        <w:spacing w:before="156" w:after="156"/>
        <w:jc w:val="center"/>
        <w:rPr>
          <w:b/>
          <w:szCs w:val="32"/>
        </w:rPr>
        <w:sectPr>
          <w:headerReference r:id="rId18" w:type="first"/>
          <w:pgSz w:w="16838" w:h="11906" w:orient="landscape"/>
          <w:pgMar w:top="1800" w:right="1440" w:bottom="1800" w:left="1440" w:header="851" w:footer="992" w:gutter="0"/>
          <w:cols w:space="720" w:num="1"/>
          <w:titlePg/>
          <w:docGrid w:type="lines" w:linePitch="381" w:charSpace="0"/>
        </w:sectPr>
      </w:pPr>
    </w:p>
    <w:p>
      <w:pPr>
        <w:spacing w:before="120" w:after="120" w:line="360" w:lineRule="auto"/>
        <w:ind w:firstLine="480"/>
        <w:rPr>
          <w:bCs/>
          <w:szCs w:val="20"/>
        </w:rPr>
      </w:pPr>
      <w:r>
        <w:rPr>
          <w:bCs/>
          <w:szCs w:val="20"/>
        </w:rPr>
        <w:t>（3）移交绩效考核</w:t>
      </w:r>
    </w:p>
    <w:p>
      <w:pPr>
        <w:spacing w:before="120" w:after="120" w:line="360" w:lineRule="auto"/>
        <w:ind w:firstLine="480"/>
        <w:rPr>
          <w:bCs/>
          <w:szCs w:val="20"/>
        </w:rPr>
      </w:pPr>
      <w:r>
        <w:rPr>
          <w:bCs/>
          <w:szCs w:val="20"/>
        </w:rPr>
        <w:t>移交绩效考核主要从移交组织、移交质量、移交进度等三方面进行考核，考核标准如下表所示。</w:t>
      </w:r>
    </w:p>
    <w:p>
      <w:pPr>
        <w:pStyle w:val="224"/>
        <w:numPr>
          <w:ilvl w:val="0"/>
          <w:numId w:val="0"/>
        </w:numPr>
        <w:spacing w:after="93"/>
        <w:rPr>
          <w:rFonts w:eastAsiaTheme="minorEastAsia"/>
        </w:rPr>
      </w:pPr>
      <w:bookmarkStart w:id="1320" w:name="_Ref495496845"/>
      <w:r>
        <w:rPr>
          <w:rFonts w:eastAsiaTheme="minorEastAsia"/>
        </w:rPr>
        <w:t>表6-3   移交绩效考核标准</w:t>
      </w:r>
      <w:bookmarkEnd w:id="1320"/>
    </w:p>
    <w:tbl>
      <w:tblPr>
        <w:tblStyle w:val="52"/>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796"/>
        <w:gridCol w:w="378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blHeader/>
          <w:jc w:val="center"/>
        </w:trPr>
        <w:tc>
          <w:tcPr>
            <w:tcW w:w="1791" w:type="dxa"/>
            <w:shd w:val="clear" w:color="auto" w:fill="D9D9D9"/>
            <w:vAlign w:val="center"/>
          </w:tcPr>
          <w:p>
            <w:pPr>
              <w:pStyle w:val="223"/>
              <w:rPr>
                <w:rFonts w:eastAsiaTheme="minorEastAsia"/>
                <w:b/>
              </w:rPr>
            </w:pPr>
            <w:r>
              <w:rPr>
                <w:rFonts w:eastAsiaTheme="minorEastAsia"/>
                <w:b/>
              </w:rPr>
              <w:t>考核指标</w:t>
            </w:r>
          </w:p>
        </w:tc>
        <w:tc>
          <w:tcPr>
            <w:tcW w:w="796" w:type="dxa"/>
            <w:shd w:val="clear" w:color="auto" w:fill="D9D9D9"/>
            <w:vAlign w:val="center"/>
          </w:tcPr>
          <w:p>
            <w:pPr>
              <w:pStyle w:val="223"/>
              <w:rPr>
                <w:rFonts w:eastAsiaTheme="minorEastAsia"/>
                <w:b/>
              </w:rPr>
            </w:pPr>
            <w:r>
              <w:rPr>
                <w:rFonts w:eastAsiaTheme="minorEastAsia"/>
                <w:b/>
              </w:rPr>
              <w:t>分值</w:t>
            </w:r>
          </w:p>
        </w:tc>
        <w:tc>
          <w:tcPr>
            <w:tcW w:w="3787" w:type="dxa"/>
            <w:shd w:val="clear" w:color="auto" w:fill="D9D9D9"/>
            <w:vAlign w:val="center"/>
          </w:tcPr>
          <w:p>
            <w:pPr>
              <w:pStyle w:val="223"/>
              <w:rPr>
                <w:rFonts w:eastAsiaTheme="minorEastAsia"/>
                <w:b/>
              </w:rPr>
            </w:pPr>
            <w:r>
              <w:rPr>
                <w:rFonts w:eastAsiaTheme="minorEastAsia"/>
                <w:b/>
              </w:rPr>
              <w:t>考核标准</w:t>
            </w:r>
          </w:p>
        </w:tc>
        <w:tc>
          <w:tcPr>
            <w:tcW w:w="2835" w:type="dxa"/>
            <w:shd w:val="clear" w:color="auto" w:fill="D9D9D9"/>
            <w:vAlign w:val="center"/>
          </w:tcPr>
          <w:p>
            <w:pPr>
              <w:pStyle w:val="223"/>
              <w:rPr>
                <w:rFonts w:eastAsiaTheme="minorEastAsia"/>
                <w:b/>
              </w:rPr>
            </w:pPr>
            <w:r>
              <w:rPr>
                <w:rFonts w:eastAsiaTheme="minorEastAsia"/>
                <w:b/>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1791" w:type="dxa"/>
            <w:shd w:val="clear" w:color="auto" w:fill="auto"/>
            <w:vAlign w:val="center"/>
          </w:tcPr>
          <w:p>
            <w:pPr>
              <w:pStyle w:val="223"/>
              <w:rPr>
                <w:rFonts w:eastAsiaTheme="minorEastAsia"/>
                <w:szCs w:val="28"/>
              </w:rPr>
            </w:pPr>
            <w:r>
              <w:rPr>
                <w:rFonts w:eastAsiaTheme="minorEastAsia"/>
                <w:szCs w:val="28"/>
              </w:rPr>
              <w:t>T</w:t>
            </w:r>
            <w:r>
              <w:rPr>
                <w:rFonts w:eastAsiaTheme="minorEastAsia"/>
                <w:szCs w:val="28"/>
                <w:vertAlign w:val="subscript"/>
              </w:rPr>
              <w:t>1</w:t>
            </w:r>
            <w:r>
              <w:rPr>
                <w:rFonts w:eastAsiaTheme="minorEastAsia"/>
                <w:szCs w:val="28"/>
              </w:rPr>
              <w:t>移交组织</w:t>
            </w:r>
          </w:p>
        </w:tc>
        <w:tc>
          <w:tcPr>
            <w:tcW w:w="796" w:type="dxa"/>
            <w:shd w:val="clear" w:color="auto" w:fill="auto"/>
            <w:vAlign w:val="center"/>
          </w:tcPr>
          <w:p>
            <w:pPr>
              <w:pStyle w:val="223"/>
              <w:rPr>
                <w:rFonts w:eastAsiaTheme="minorEastAsia"/>
                <w:szCs w:val="28"/>
              </w:rPr>
            </w:pPr>
            <w:r>
              <w:rPr>
                <w:rFonts w:eastAsiaTheme="minorEastAsia"/>
                <w:szCs w:val="28"/>
              </w:rPr>
              <w:t>15</w:t>
            </w:r>
          </w:p>
        </w:tc>
        <w:tc>
          <w:tcPr>
            <w:tcW w:w="3787" w:type="dxa"/>
            <w:shd w:val="clear" w:color="auto" w:fill="auto"/>
            <w:vAlign w:val="center"/>
          </w:tcPr>
          <w:p>
            <w:pPr>
              <w:pStyle w:val="223"/>
              <w:jc w:val="left"/>
              <w:rPr>
                <w:rFonts w:eastAsiaTheme="minorEastAsia"/>
                <w:szCs w:val="28"/>
              </w:rPr>
            </w:pPr>
            <w:r>
              <w:rPr>
                <w:rFonts w:eastAsiaTheme="minorEastAsia"/>
                <w:szCs w:val="28"/>
              </w:rPr>
              <w:t>1.移交程序符合PPP项目合同约定，组织有序，保证移交工作顺利开展；</w:t>
            </w:r>
          </w:p>
          <w:p>
            <w:pPr>
              <w:pStyle w:val="223"/>
              <w:jc w:val="left"/>
              <w:rPr>
                <w:rFonts w:eastAsiaTheme="minorEastAsia"/>
                <w:szCs w:val="28"/>
              </w:rPr>
            </w:pPr>
            <w:r>
              <w:rPr>
                <w:rFonts w:eastAsiaTheme="minorEastAsia"/>
                <w:szCs w:val="28"/>
              </w:rPr>
              <w:t>2.员工得到妥善安置，员工合法权益得到保障，未发生劳动纠纷；</w:t>
            </w:r>
          </w:p>
          <w:p>
            <w:pPr>
              <w:pStyle w:val="223"/>
              <w:jc w:val="left"/>
              <w:rPr>
                <w:rFonts w:eastAsiaTheme="minorEastAsia"/>
                <w:szCs w:val="28"/>
              </w:rPr>
            </w:pPr>
            <w:r>
              <w:rPr>
                <w:rFonts w:eastAsiaTheme="minorEastAsia"/>
                <w:szCs w:val="28"/>
              </w:rPr>
              <w:t>3.积极配合移交工作组开展工作，不得推诿扯皮、弄虚作假，保障移交工作按时完成。</w:t>
            </w:r>
          </w:p>
        </w:tc>
        <w:tc>
          <w:tcPr>
            <w:tcW w:w="2835" w:type="dxa"/>
            <w:shd w:val="clear" w:color="auto" w:fill="auto"/>
            <w:vAlign w:val="center"/>
          </w:tcPr>
          <w:p>
            <w:pPr>
              <w:pStyle w:val="223"/>
              <w:jc w:val="left"/>
              <w:rPr>
                <w:rFonts w:eastAsiaTheme="minorEastAsia"/>
                <w:szCs w:val="28"/>
              </w:rPr>
            </w:pPr>
            <w:r>
              <w:rPr>
                <w:rFonts w:eastAsiaTheme="minorEastAsia"/>
                <w:szCs w:val="28"/>
              </w:rPr>
              <w:t>移交程序不符合PPP项目合同约定，组织不力、工作混乱的，扣3分；</w:t>
            </w:r>
          </w:p>
          <w:p>
            <w:pPr>
              <w:pStyle w:val="223"/>
              <w:jc w:val="left"/>
              <w:rPr>
                <w:rFonts w:eastAsiaTheme="minorEastAsia"/>
                <w:szCs w:val="28"/>
              </w:rPr>
            </w:pPr>
            <w:r>
              <w:rPr>
                <w:rFonts w:eastAsiaTheme="minorEastAsia"/>
                <w:szCs w:val="28"/>
              </w:rPr>
              <w:t>员工未得到妥善安置引发劳动纠纷的，扣5分；</w:t>
            </w:r>
          </w:p>
          <w:p>
            <w:pPr>
              <w:pStyle w:val="223"/>
              <w:jc w:val="left"/>
              <w:rPr>
                <w:rFonts w:eastAsiaTheme="minorEastAsia"/>
                <w:szCs w:val="28"/>
              </w:rPr>
            </w:pPr>
            <w:r>
              <w:rPr>
                <w:rFonts w:eastAsiaTheme="minorEastAsia"/>
                <w:szCs w:val="28"/>
              </w:rPr>
              <w:t>不积极配合移交工作组开展工作，弄虚作假、推诿扯皮的，扣5分。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jc w:val="center"/>
        </w:trPr>
        <w:tc>
          <w:tcPr>
            <w:tcW w:w="1791" w:type="dxa"/>
            <w:shd w:val="clear" w:color="auto" w:fill="auto"/>
            <w:vAlign w:val="center"/>
          </w:tcPr>
          <w:p>
            <w:pPr>
              <w:pStyle w:val="223"/>
              <w:rPr>
                <w:rFonts w:eastAsiaTheme="minorEastAsia"/>
                <w:szCs w:val="28"/>
              </w:rPr>
            </w:pPr>
            <w:r>
              <w:rPr>
                <w:rFonts w:eastAsiaTheme="minorEastAsia"/>
                <w:szCs w:val="28"/>
              </w:rPr>
              <w:t>T</w:t>
            </w:r>
            <w:r>
              <w:rPr>
                <w:rFonts w:eastAsiaTheme="minorEastAsia"/>
                <w:szCs w:val="28"/>
                <w:vertAlign w:val="subscript"/>
              </w:rPr>
              <w:t>2</w:t>
            </w:r>
            <w:r>
              <w:rPr>
                <w:rFonts w:eastAsiaTheme="minorEastAsia"/>
                <w:szCs w:val="28"/>
              </w:rPr>
              <w:t>移交质量</w:t>
            </w:r>
          </w:p>
        </w:tc>
        <w:tc>
          <w:tcPr>
            <w:tcW w:w="796" w:type="dxa"/>
            <w:shd w:val="clear" w:color="auto" w:fill="auto"/>
            <w:vAlign w:val="center"/>
          </w:tcPr>
          <w:p>
            <w:pPr>
              <w:pStyle w:val="223"/>
              <w:rPr>
                <w:rFonts w:eastAsiaTheme="minorEastAsia"/>
                <w:szCs w:val="28"/>
              </w:rPr>
            </w:pPr>
            <w:r>
              <w:rPr>
                <w:rFonts w:eastAsiaTheme="minorEastAsia"/>
                <w:szCs w:val="28"/>
              </w:rPr>
              <w:t>70</w:t>
            </w:r>
          </w:p>
        </w:tc>
        <w:tc>
          <w:tcPr>
            <w:tcW w:w="3787" w:type="dxa"/>
            <w:shd w:val="clear" w:color="auto" w:fill="auto"/>
            <w:vAlign w:val="center"/>
          </w:tcPr>
          <w:p>
            <w:pPr>
              <w:pStyle w:val="223"/>
              <w:jc w:val="left"/>
              <w:rPr>
                <w:rFonts w:eastAsiaTheme="minorEastAsia"/>
                <w:szCs w:val="28"/>
              </w:rPr>
            </w:pPr>
            <w:r>
              <w:rPr>
                <w:rFonts w:eastAsiaTheme="minorEastAsia"/>
                <w:szCs w:val="28"/>
              </w:rPr>
              <w:t>1.在移交日，所移交的项目设施均处于良好的运营和使用状态，并且符合适用法律及PPP项目合同约定的安全和环境保护等相关标准。</w:t>
            </w:r>
          </w:p>
          <w:p>
            <w:pPr>
              <w:pStyle w:val="223"/>
              <w:jc w:val="left"/>
              <w:rPr>
                <w:rFonts w:eastAsiaTheme="minorEastAsia"/>
                <w:szCs w:val="28"/>
              </w:rPr>
            </w:pPr>
            <w:r>
              <w:rPr>
                <w:rFonts w:eastAsiaTheme="minorEastAsia"/>
                <w:szCs w:val="28"/>
              </w:rPr>
              <w:t>2.所有与移交的设施、权益、文件等有关的负债、违约、侵权责任、抵押、质押等担保权益、产权约束或索赔权，均已全部清偿、赔偿或解除完毕。</w:t>
            </w:r>
          </w:p>
          <w:p>
            <w:pPr>
              <w:pStyle w:val="223"/>
              <w:jc w:val="left"/>
              <w:rPr>
                <w:rFonts w:eastAsiaTheme="minorEastAsia"/>
                <w:szCs w:val="28"/>
              </w:rPr>
            </w:pPr>
            <w:r>
              <w:rPr>
                <w:rFonts w:eastAsiaTheme="minorEastAsia"/>
                <w:szCs w:val="28"/>
              </w:rPr>
              <w:t>3.缺陷责任期内，按适用法律对项目履行保修义务，对移交项目设施出现的任何缺陷或损坏予以及时修复，并提供满足正常运营需要的技术咨询服务。</w:t>
            </w:r>
          </w:p>
        </w:tc>
        <w:tc>
          <w:tcPr>
            <w:tcW w:w="2835" w:type="dxa"/>
            <w:shd w:val="clear" w:color="auto" w:fill="auto"/>
            <w:vAlign w:val="center"/>
          </w:tcPr>
          <w:p>
            <w:pPr>
              <w:pStyle w:val="223"/>
              <w:jc w:val="left"/>
              <w:rPr>
                <w:rFonts w:eastAsiaTheme="minorEastAsia"/>
                <w:szCs w:val="28"/>
              </w:rPr>
            </w:pPr>
            <w:r>
              <w:rPr>
                <w:rFonts w:eastAsiaTheme="minorEastAsia"/>
                <w:szCs w:val="28"/>
              </w:rPr>
              <w:t>性能测试未达标的，每一次扣5分；</w:t>
            </w:r>
          </w:p>
          <w:p>
            <w:pPr>
              <w:pStyle w:val="223"/>
              <w:jc w:val="left"/>
              <w:rPr>
                <w:rFonts w:eastAsiaTheme="minorEastAsia"/>
                <w:szCs w:val="28"/>
              </w:rPr>
            </w:pPr>
            <w:r>
              <w:rPr>
                <w:rFonts w:eastAsiaTheme="minorEastAsia"/>
                <w:szCs w:val="28"/>
              </w:rPr>
              <w:t>移交范围不符合约定的，或者与移交的设施、权益、文件等有关的负债、违约、侵权责任、抵押、质押等担保权益、产权约束或索赔权未清偿、赔偿或解除的，扣10分；</w:t>
            </w:r>
          </w:p>
          <w:p>
            <w:pPr>
              <w:pStyle w:val="223"/>
              <w:jc w:val="left"/>
              <w:rPr>
                <w:rFonts w:eastAsiaTheme="minorEastAsia"/>
                <w:szCs w:val="28"/>
              </w:rPr>
            </w:pPr>
            <w:r>
              <w:rPr>
                <w:rFonts w:eastAsiaTheme="minorEastAsia"/>
                <w:szCs w:val="28"/>
              </w:rPr>
              <w:t>缺陷责任期内出现重大质量缺陷的，每一处扣10分（考核扣分不免除乙方或社会资本方应承担的质量缺陷保修责任）；</w:t>
            </w:r>
          </w:p>
          <w:p>
            <w:pPr>
              <w:pStyle w:val="223"/>
              <w:jc w:val="left"/>
              <w:rPr>
                <w:rFonts w:eastAsiaTheme="minorEastAsia"/>
                <w:szCs w:val="28"/>
              </w:rPr>
            </w:pPr>
            <w:r>
              <w:rPr>
                <w:rFonts w:eastAsiaTheme="minorEastAsia"/>
                <w:szCs w:val="28"/>
              </w:rPr>
              <w:t>缺陷责任期内拒不履行保修义务，未及时修复缺陷或损坏的，每一处扣20分。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 w:hRule="atLeast"/>
          <w:jc w:val="center"/>
        </w:trPr>
        <w:tc>
          <w:tcPr>
            <w:tcW w:w="1791" w:type="dxa"/>
            <w:shd w:val="clear" w:color="auto" w:fill="auto"/>
            <w:vAlign w:val="center"/>
          </w:tcPr>
          <w:p>
            <w:pPr>
              <w:pStyle w:val="223"/>
              <w:rPr>
                <w:rFonts w:eastAsiaTheme="minorEastAsia"/>
                <w:szCs w:val="28"/>
              </w:rPr>
            </w:pPr>
            <w:r>
              <w:rPr>
                <w:rFonts w:eastAsiaTheme="minorEastAsia"/>
                <w:szCs w:val="28"/>
              </w:rPr>
              <w:t>T</w:t>
            </w:r>
            <w:r>
              <w:rPr>
                <w:rFonts w:eastAsiaTheme="minorEastAsia"/>
                <w:szCs w:val="28"/>
                <w:vertAlign w:val="subscript"/>
              </w:rPr>
              <w:t>3</w:t>
            </w:r>
            <w:r>
              <w:rPr>
                <w:rFonts w:eastAsiaTheme="minorEastAsia"/>
                <w:szCs w:val="28"/>
              </w:rPr>
              <w:t>移交进度</w:t>
            </w:r>
          </w:p>
        </w:tc>
        <w:tc>
          <w:tcPr>
            <w:tcW w:w="796" w:type="dxa"/>
            <w:shd w:val="clear" w:color="auto" w:fill="auto"/>
            <w:vAlign w:val="center"/>
          </w:tcPr>
          <w:p>
            <w:pPr>
              <w:pStyle w:val="223"/>
              <w:rPr>
                <w:rFonts w:eastAsiaTheme="minorEastAsia"/>
                <w:szCs w:val="28"/>
              </w:rPr>
            </w:pPr>
            <w:r>
              <w:rPr>
                <w:rFonts w:eastAsiaTheme="minorEastAsia"/>
                <w:szCs w:val="28"/>
              </w:rPr>
              <w:t>15</w:t>
            </w:r>
          </w:p>
        </w:tc>
        <w:tc>
          <w:tcPr>
            <w:tcW w:w="3787" w:type="dxa"/>
            <w:shd w:val="clear" w:color="auto" w:fill="auto"/>
            <w:vAlign w:val="center"/>
          </w:tcPr>
          <w:p>
            <w:pPr>
              <w:pStyle w:val="223"/>
              <w:jc w:val="left"/>
              <w:rPr>
                <w:rFonts w:eastAsiaTheme="minorEastAsia"/>
                <w:szCs w:val="28"/>
              </w:rPr>
            </w:pPr>
            <w:r>
              <w:rPr>
                <w:rFonts w:eastAsiaTheme="minorEastAsia"/>
                <w:szCs w:val="28"/>
              </w:rPr>
              <w:t>移交进度符合PPP项目合同约定，移交工作按时完成。</w:t>
            </w:r>
          </w:p>
        </w:tc>
        <w:tc>
          <w:tcPr>
            <w:tcW w:w="2835" w:type="dxa"/>
            <w:shd w:val="clear" w:color="auto" w:fill="auto"/>
            <w:vAlign w:val="center"/>
          </w:tcPr>
          <w:p>
            <w:pPr>
              <w:pStyle w:val="223"/>
              <w:jc w:val="left"/>
              <w:rPr>
                <w:rFonts w:eastAsiaTheme="minorEastAsia"/>
                <w:szCs w:val="28"/>
              </w:rPr>
            </w:pPr>
            <w:r>
              <w:rPr>
                <w:rFonts w:eastAsiaTheme="minorEastAsia"/>
                <w:szCs w:val="28"/>
              </w:rPr>
              <w:t>因乙方原因导致移交进度延误的，每延误1日扣1分。</w:t>
            </w:r>
          </w:p>
        </w:tc>
      </w:tr>
    </w:tbl>
    <w:p>
      <w:pPr>
        <w:spacing w:before="120" w:after="120" w:line="360" w:lineRule="auto"/>
        <w:ind w:firstLine="480"/>
        <w:rPr>
          <w:bCs/>
          <w:szCs w:val="20"/>
        </w:rPr>
      </w:pPr>
      <w:r>
        <w:rPr>
          <w:bCs/>
          <w:szCs w:val="20"/>
        </w:rPr>
        <w:t>移交绩效考核为一次性考核，在缺陷责任期届满之日前30日内进行，由考核小组根据移交设施性能测试报告、项目移交报告、缺陷责任期内维修记录等资料进行综合打分，满分为100分，合格为80分以上。甲方有权根据移交绩效考核结果向乙方收取违约金或提取移交维修保函的相应金额，违约金具体确定方式如下：</w:t>
      </w:r>
    </w:p>
    <w:p>
      <w:pPr>
        <w:pStyle w:val="224"/>
        <w:numPr>
          <w:ilvl w:val="0"/>
          <w:numId w:val="0"/>
        </w:numPr>
        <w:spacing w:after="93"/>
        <w:rPr>
          <w:rFonts w:eastAsiaTheme="minorEastAsia"/>
        </w:rPr>
      </w:pPr>
      <w:r>
        <w:rPr>
          <w:rFonts w:eastAsiaTheme="minorEastAsia"/>
        </w:rPr>
        <w:t>表6-4  移交绩效考核违约金金额确定表</w:t>
      </w:r>
    </w:p>
    <w:tbl>
      <w:tblPr>
        <w:tblStyle w:val="53"/>
        <w:tblW w:w="8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3620" w:type="dxa"/>
            <w:vAlign w:val="center"/>
          </w:tcPr>
          <w:p>
            <w:pPr>
              <w:pStyle w:val="223"/>
              <w:rPr>
                <w:rFonts w:cs="黑体" w:eastAsiaTheme="minorEastAsia"/>
                <w:b/>
              </w:rPr>
            </w:pPr>
            <w:r>
              <w:rPr>
                <w:rFonts w:cs="黑体" w:eastAsiaTheme="minorEastAsia"/>
                <w:b/>
              </w:rPr>
              <w:t>移交绩效考核结果（T）</w:t>
            </w:r>
          </w:p>
        </w:tc>
        <w:tc>
          <w:tcPr>
            <w:tcW w:w="5245" w:type="dxa"/>
            <w:vAlign w:val="center"/>
          </w:tcPr>
          <w:p>
            <w:pPr>
              <w:pStyle w:val="223"/>
              <w:rPr>
                <w:rFonts w:cs="黑体" w:eastAsiaTheme="minorEastAsia"/>
                <w:b/>
              </w:rPr>
            </w:pPr>
            <w:r>
              <w:rPr>
                <w:rFonts w:cs="黑体" w:eastAsiaTheme="minorEastAsia"/>
                <w:b/>
              </w:rPr>
              <w:t>违约金金额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3620" w:type="dxa"/>
            <w:vAlign w:val="center"/>
          </w:tcPr>
          <w:p>
            <w:pPr>
              <w:pStyle w:val="223"/>
              <w:rPr>
                <w:rFonts w:cs="黑体" w:eastAsiaTheme="minorEastAsia"/>
              </w:rPr>
            </w:pPr>
            <w:r>
              <w:rPr>
                <w:rFonts w:cs="黑体" w:eastAsiaTheme="minorEastAsia"/>
              </w:rPr>
              <w:t>T≥80</w:t>
            </w:r>
          </w:p>
        </w:tc>
        <w:tc>
          <w:tcPr>
            <w:tcW w:w="5245" w:type="dxa"/>
            <w:vAlign w:val="center"/>
          </w:tcPr>
          <w:p>
            <w:pPr>
              <w:pStyle w:val="223"/>
              <w:rPr>
                <w:rFonts w:cs="黑体" w:eastAsiaTheme="minorEastAsia"/>
              </w:rPr>
            </w:pPr>
            <w:r>
              <w:rPr>
                <w:rFonts w:cs="黑体"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3620" w:type="dxa"/>
            <w:vAlign w:val="center"/>
          </w:tcPr>
          <w:p>
            <w:pPr>
              <w:pStyle w:val="223"/>
              <w:rPr>
                <w:rFonts w:cs="黑体" w:eastAsiaTheme="minorEastAsia"/>
              </w:rPr>
            </w:pPr>
            <w:r>
              <w:rPr>
                <w:rFonts w:cs="黑体" w:eastAsiaTheme="minorEastAsia"/>
              </w:rPr>
              <w:t>70≤T＜80</w:t>
            </w:r>
          </w:p>
        </w:tc>
        <w:tc>
          <w:tcPr>
            <w:tcW w:w="5245" w:type="dxa"/>
            <w:vAlign w:val="center"/>
          </w:tcPr>
          <w:p>
            <w:pPr>
              <w:pStyle w:val="223"/>
              <w:rPr>
                <w:rFonts w:cs="黑体" w:eastAsiaTheme="minorEastAsia"/>
              </w:rPr>
            </w:pPr>
            <w:r>
              <w:rPr>
                <w:rFonts w:cs="黑体" w:eastAsiaTheme="minorEastAsia"/>
              </w:rPr>
              <w:t>（80-T）×5万元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3620" w:type="dxa"/>
            <w:vAlign w:val="center"/>
          </w:tcPr>
          <w:p>
            <w:pPr>
              <w:pStyle w:val="223"/>
              <w:rPr>
                <w:rFonts w:cs="黑体" w:eastAsiaTheme="minorEastAsia"/>
              </w:rPr>
            </w:pPr>
            <w:r>
              <w:rPr>
                <w:rFonts w:cs="黑体" w:eastAsiaTheme="minorEastAsia"/>
              </w:rPr>
              <w:t>60≤T＜70</w:t>
            </w:r>
          </w:p>
        </w:tc>
        <w:tc>
          <w:tcPr>
            <w:tcW w:w="5245" w:type="dxa"/>
            <w:vAlign w:val="center"/>
          </w:tcPr>
          <w:p>
            <w:pPr>
              <w:pStyle w:val="223"/>
              <w:rPr>
                <w:rFonts w:cs="黑体" w:eastAsiaTheme="minorEastAsia"/>
              </w:rPr>
            </w:pPr>
            <w:r>
              <w:rPr>
                <w:rFonts w:cs="黑体" w:eastAsiaTheme="minorEastAsia"/>
              </w:rPr>
              <w:t>50万元+（70-T）×10万元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3620" w:type="dxa"/>
            <w:vAlign w:val="center"/>
          </w:tcPr>
          <w:p>
            <w:pPr>
              <w:pStyle w:val="223"/>
              <w:rPr>
                <w:rFonts w:cs="黑体" w:eastAsiaTheme="minorEastAsia"/>
              </w:rPr>
            </w:pPr>
            <w:r>
              <w:rPr>
                <w:rFonts w:cs="黑体" w:eastAsiaTheme="minorEastAsia"/>
              </w:rPr>
              <w:t>T＜60</w:t>
            </w:r>
          </w:p>
        </w:tc>
        <w:tc>
          <w:tcPr>
            <w:tcW w:w="5245" w:type="dxa"/>
            <w:vAlign w:val="center"/>
          </w:tcPr>
          <w:p>
            <w:pPr>
              <w:pStyle w:val="223"/>
              <w:rPr>
                <w:rFonts w:cs="黑体" w:eastAsiaTheme="minorEastAsia"/>
              </w:rPr>
            </w:pPr>
            <w:r>
              <w:rPr>
                <w:rFonts w:cs="黑体" w:eastAsiaTheme="minorEastAsia"/>
              </w:rPr>
              <w:t>300万元</w:t>
            </w:r>
          </w:p>
        </w:tc>
      </w:tr>
    </w:tbl>
    <w:p>
      <w:pPr>
        <w:pStyle w:val="154"/>
        <w:numPr>
          <w:ilvl w:val="0"/>
          <w:numId w:val="31"/>
        </w:numPr>
        <w:spacing w:before="120" w:after="120" w:line="360" w:lineRule="auto"/>
        <w:rPr>
          <w:b/>
          <w:bCs/>
          <w:sz w:val="24"/>
          <w:szCs w:val="20"/>
        </w:rPr>
      </w:pPr>
      <w:r>
        <w:rPr>
          <w:b/>
          <w:bCs/>
          <w:sz w:val="24"/>
          <w:szCs w:val="20"/>
        </w:rPr>
        <w:t>考核办法</w:t>
      </w:r>
    </w:p>
    <w:p>
      <w:pPr>
        <w:spacing w:before="120" w:after="120" w:line="360" w:lineRule="auto"/>
        <w:ind w:firstLine="480"/>
        <w:rPr>
          <w:bCs/>
          <w:szCs w:val="20"/>
        </w:rPr>
      </w:pPr>
      <w:r>
        <w:rPr>
          <w:bCs/>
          <w:szCs w:val="20"/>
        </w:rPr>
        <w:t>运营维护期内，甲方主要通过日常考核和抽检抽查的方式对乙方运营维护服务质量进行考核，具体考核细则，将根据禹州市污水处理厂相关考核办法进行完善，考核细则可在运营期内由双方协商后根据运营维护状况及时调整。</w:t>
      </w:r>
    </w:p>
    <w:p>
      <w:pPr>
        <w:spacing w:before="120" w:after="120" w:line="360" w:lineRule="auto"/>
        <w:ind w:firstLine="480"/>
        <w:rPr>
          <w:bCs/>
          <w:szCs w:val="20"/>
        </w:rPr>
      </w:pPr>
      <w:r>
        <w:rPr>
          <w:bCs/>
          <w:szCs w:val="20"/>
        </w:rPr>
        <w:t>（1）日常考核</w:t>
      </w:r>
    </w:p>
    <w:p>
      <w:pPr>
        <w:spacing w:before="120" w:after="120" w:line="360" w:lineRule="auto"/>
        <w:ind w:firstLine="480"/>
        <w:rPr>
          <w:bCs/>
          <w:szCs w:val="20"/>
        </w:rPr>
      </w:pPr>
      <w:r>
        <w:rPr>
          <w:bCs/>
          <w:szCs w:val="20"/>
        </w:rPr>
        <w:t>日常考核由甲方或政府方指定机构亲自或委托第三方检测机构采取混合样和瞬时样相结合的方式，对污水厂进、出水取样检测。同时，出水水质日常在线监测结果也作为当日考核的重要依据。运营期内，当日考核结果作为当日污水实际处理量的结算依据。乙方在甲方的监督下，配合甲方在规定的考核现场对运营维护设施进行检查。</w:t>
      </w:r>
    </w:p>
    <w:p>
      <w:pPr>
        <w:spacing w:before="120" w:after="120" w:line="360" w:lineRule="auto"/>
        <w:ind w:firstLine="480"/>
        <w:rPr>
          <w:bCs/>
          <w:szCs w:val="20"/>
        </w:rPr>
      </w:pPr>
      <w:r>
        <w:rPr>
          <w:bCs/>
          <w:szCs w:val="20"/>
        </w:rPr>
        <w:t>（2）抽检抽查</w:t>
      </w:r>
    </w:p>
    <w:p>
      <w:pPr>
        <w:spacing w:before="120" w:after="120" w:line="360" w:lineRule="auto"/>
        <w:ind w:firstLine="480"/>
        <w:rPr>
          <w:bCs/>
          <w:szCs w:val="20"/>
        </w:rPr>
      </w:pPr>
      <w:r>
        <w:rPr>
          <w:bCs/>
          <w:szCs w:val="20"/>
        </w:rPr>
        <w:t>甲方可以随时自行考核乙方的运维服务质量，如发现缺陷，则需在24小时内以书面形式通知乙方。乙方在接到通知后，应及时修复缺陷。临时考核结果一般不作为乙方违约情形处理，除非临时考核发现的缺陷会导致设施的使用受到严重影响，或存在重大安全隐患。</w:t>
      </w:r>
    </w:p>
    <w:p>
      <w:pPr>
        <w:spacing w:before="120" w:after="120" w:line="360" w:lineRule="auto"/>
        <w:ind w:firstLine="480"/>
        <w:rPr>
          <w:b/>
        </w:rPr>
      </w:pPr>
      <w:r>
        <w:rPr>
          <w:bCs/>
          <w:szCs w:val="20"/>
        </w:rPr>
        <w:t>无论是日常考核还是临时考核，乙方皆应及时修复缺陷，否则甲方可根据相关约定提取乙方提交的履约保函项下的相应金额自行修复。</w:t>
      </w:r>
      <w:r>
        <w:rPr>
          <w:b/>
        </w:rPr>
        <w:br w:type="page"/>
      </w:r>
    </w:p>
    <w:p>
      <w:pPr>
        <w:pStyle w:val="212"/>
        <w:numPr>
          <w:ilvl w:val="0"/>
          <w:numId w:val="0"/>
        </w:numPr>
        <w:spacing w:before="595" w:after="198" w:line="360" w:lineRule="auto"/>
        <w:rPr>
          <w:b/>
        </w:rPr>
      </w:pPr>
      <w:bookmarkStart w:id="1321" w:name="_Toc534891133"/>
      <w:r>
        <w:rPr>
          <w:b/>
        </w:rPr>
        <w:t>附件七     联合体协议</w:t>
      </w:r>
      <w:bookmarkEnd w:id="1321"/>
    </w:p>
    <w:p>
      <w:pPr>
        <w:widowControl/>
        <w:rPr>
          <w:rFonts w:eastAsia="黑体"/>
          <w:b/>
          <w:sz w:val="28"/>
        </w:rPr>
      </w:pPr>
      <w:r>
        <w:rPr>
          <w:b/>
        </w:rPr>
        <w:br w:type="page"/>
      </w:r>
    </w:p>
    <w:bookmarkEnd w:id="1319"/>
    <w:p>
      <w:pPr>
        <w:jc w:val="center"/>
        <w:outlineLvl w:val="0"/>
        <w:rPr>
          <w:rFonts w:eastAsia="黑体"/>
          <w:b/>
          <w:bCs/>
          <w:sz w:val="28"/>
          <w:szCs w:val="28"/>
        </w:rPr>
      </w:pPr>
      <w:bookmarkStart w:id="1322" w:name="_Toc534891134"/>
      <w:r>
        <w:rPr>
          <w:rFonts w:eastAsia="黑体"/>
          <w:b/>
          <w:bCs/>
          <w:sz w:val="28"/>
          <w:szCs w:val="28"/>
        </w:rPr>
        <w:t>附件八     招标文件及投标文件中双方承诺事项</w:t>
      </w:r>
      <w:bookmarkEnd w:id="1322"/>
    </w:p>
    <w:p>
      <w:pPr>
        <w:jc w:val="center"/>
        <w:outlineLvl w:val="0"/>
        <w:rPr>
          <w:rFonts w:eastAsia="黑体"/>
          <w:b/>
          <w:bCs/>
          <w:sz w:val="28"/>
          <w:szCs w:val="28"/>
        </w:rPr>
      </w:pPr>
    </w:p>
    <w:p>
      <w:pPr>
        <w:jc w:val="center"/>
        <w:outlineLvl w:val="0"/>
        <w:rPr>
          <w:rFonts w:eastAsia="黑体"/>
          <w:b/>
          <w:bCs/>
          <w:sz w:val="28"/>
          <w:szCs w:val="28"/>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5"/>
        <w:ind w:left="440" w:firstLine="440"/>
        <w:rPr>
          <w:rFonts w:ascii="Arial" w:hAnsi="Arial" w:cs="Arial"/>
        </w:rPr>
      </w:pPr>
    </w:p>
    <w:p>
      <w:pPr>
        <w:pStyle w:val="7"/>
        <w:jc w:val="center"/>
        <w:rPr>
          <w:rFonts w:ascii="Arial" w:hAnsi="Arial" w:cs="Arial"/>
        </w:rPr>
      </w:pPr>
      <w:bookmarkStart w:id="1323" w:name="_Toc531614651"/>
      <w:bookmarkStart w:id="1324" w:name="_Toc534813008"/>
      <w:r>
        <w:rPr>
          <w:rFonts w:ascii="Arial" w:hAnsi="Arial" w:cs="Arial"/>
        </w:rPr>
        <w:t>第</w:t>
      </w:r>
      <w:r>
        <w:rPr>
          <w:rFonts w:hint="eastAsia" w:ascii="Arial" w:hAnsi="Arial" w:cs="Arial"/>
        </w:rPr>
        <w:t>四章</w:t>
      </w:r>
      <w:r>
        <w:rPr>
          <w:rFonts w:hint="eastAsia"/>
        </w:rPr>
        <w:t>项目采购需求</w:t>
      </w:r>
      <w:bookmarkEnd w:id="1323"/>
      <w:bookmarkEnd w:id="1324"/>
    </w:p>
    <w:p>
      <w:pPr>
        <w:pStyle w:val="189"/>
        <w:widowControl/>
        <w:numPr>
          <w:ilvl w:val="0"/>
          <w:numId w:val="32"/>
        </w:numPr>
        <w:ind w:left="173"/>
      </w:pPr>
      <w:bookmarkStart w:id="1325" w:name="_Toc534813009"/>
      <w:bookmarkStart w:id="1326" w:name="_Toc527559986"/>
      <w:bookmarkStart w:id="1327" w:name="_Toc437271278"/>
      <w:r>
        <w:t>项目概况</w:t>
      </w:r>
      <w:bookmarkEnd w:id="1325"/>
      <w:bookmarkEnd w:id="1326"/>
      <w:bookmarkEnd w:id="1327"/>
    </w:p>
    <w:p>
      <w:pPr>
        <w:widowControl/>
        <w:spacing w:line="360" w:lineRule="auto"/>
        <w:ind w:left="173"/>
        <w:rPr>
          <w:sz w:val="24"/>
          <w:szCs w:val="22"/>
        </w:rPr>
      </w:pPr>
      <w:r>
        <w:rPr>
          <w:sz w:val="24"/>
          <w:szCs w:val="22"/>
        </w:rPr>
        <w:t>详见“</w:t>
      </w:r>
      <w:r>
        <w:rPr>
          <w:b/>
          <w:bCs/>
          <w:sz w:val="24"/>
          <w:szCs w:val="22"/>
        </w:rPr>
        <w:t>投标人须知前附表</w:t>
      </w:r>
      <w:r>
        <w:rPr>
          <w:sz w:val="24"/>
          <w:szCs w:val="22"/>
        </w:rPr>
        <w:t>”。</w:t>
      </w:r>
      <w:bookmarkStart w:id="1328" w:name="_Toc437271279"/>
      <w:bookmarkStart w:id="1329" w:name="_Toc534813010"/>
      <w:bookmarkStart w:id="1330" w:name="_Toc527559987"/>
    </w:p>
    <w:p>
      <w:pPr>
        <w:pStyle w:val="189"/>
        <w:widowControl/>
        <w:numPr>
          <w:ilvl w:val="0"/>
          <w:numId w:val="32"/>
        </w:numPr>
        <w:ind w:left="173"/>
      </w:pPr>
      <w:r>
        <w:t>风险分配基本框架</w:t>
      </w:r>
      <w:bookmarkEnd w:id="1328"/>
      <w:bookmarkEnd w:id="1329"/>
      <w:bookmarkEnd w:id="1330"/>
    </w:p>
    <w:p>
      <w:pPr>
        <w:widowControl/>
        <w:spacing w:line="360" w:lineRule="auto"/>
        <w:ind w:firstLine="498" w:firstLineChars="200"/>
        <w:rPr>
          <w:sz w:val="24"/>
          <w:szCs w:val="22"/>
        </w:rPr>
      </w:pPr>
      <w:bookmarkStart w:id="1331" w:name="_Toc437271280"/>
      <w:r>
        <w:rPr>
          <w:sz w:val="24"/>
          <w:szCs w:val="22"/>
        </w:rPr>
        <w:t>本项目采用专家德尔菲法，从微观和宏观角度，结合项目的全生命周期进行了风险识别，共涉及</w:t>
      </w:r>
      <w:r>
        <w:rPr>
          <w:rFonts w:hint="eastAsia"/>
          <w:sz w:val="24"/>
          <w:szCs w:val="22"/>
        </w:rPr>
        <w:t>7</w:t>
      </w:r>
      <w:r>
        <w:rPr>
          <w:sz w:val="24"/>
          <w:szCs w:val="22"/>
        </w:rPr>
        <w:t>大类</w:t>
      </w:r>
      <w:r>
        <w:rPr>
          <w:rFonts w:hint="eastAsia"/>
          <w:sz w:val="24"/>
          <w:szCs w:val="22"/>
        </w:rPr>
        <w:t>33</w:t>
      </w:r>
      <w:r>
        <w:rPr>
          <w:sz w:val="24"/>
          <w:szCs w:val="22"/>
        </w:rPr>
        <w:t>项风险。根据风险分配优化、风险收益对等和风险可控等原则，综合考虑各方风险管理能力、项目交易结构及权利义务分配等因素，在政府方与社会资本方（项目公司）之间合理分配项目风险。</w:t>
      </w:r>
    </w:p>
    <w:p>
      <w:pPr>
        <w:widowControl/>
        <w:spacing w:line="360" w:lineRule="auto"/>
        <w:ind w:firstLine="498" w:firstLineChars="200"/>
        <w:rPr>
          <w:sz w:val="24"/>
          <w:szCs w:val="22"/>
        </w:rPr>
      </w:pPr>
      <w:r>
        <w:rPr>
          <w:sz w:val="24"/>
          <w:szCs w:val="22"/>
        </w:rPr>
        <w:t>政府方承担的风险主要包括：行政部门强制征收/征用风险、地区布局规划风险、政策/法律/法规变更风险、征地拆迁风险、公共设备服务提供、由于污泥外运地点发生变化导致项目公司经营成本增加、水量达不到基本水量、进水水质超标等</w:t>
      </w:r>
      <w:r>
        <w:rPr>
          <w:rFonts w:hint="eastAsia"/>
          <w:sz w:val="24"/>
          <w:szCs w:val="22"/>
        </w:rPr>
        <w:t>8</w:t>
      </w:r>
      <w:r>
        <w:rPr>
          <w:sz w:val="24"/>
          <w:szCs w:val="22"/>
        </w:rPr>
        <w:t>项风险；</w:t>
      </w:r>
    </w:p>
    <w:p>
      <w:pPr>
        <w:widowControl/>
        <w:spacing w:line="360" w:lineRule="auto"/>
        <w:ind w:firstLine="498" w:firstLineChars="200"/>
        <w:rPr>
          <w:sz w:val="24"/>
          <w:szCs w:val="22"/>
        </w:rPr>
      </w:pPr>
      <w:r>
        <w:rPr>
          <w:rFonts w:hint="eastAsia"/>
          <w:sz w:val="24"/>
          <w:szCs w:val="22"/>
        </w:rPr>
        <w:t>中标社会资本或</w:t>
      </w:r>
      <w:r>
        <w:rPr>
          <w:sz w:val="24"/>
          <w:szCs w:val="22"/>
        </w:rPr>
        <w:t>项目公司承担的风险主要包括：未筹足所需资金风险、再融资不确定性风险、设计风险、承包商违约风险、工程质量风险、施工安全风险、技术故障风险、劳动争议风险、效率低/材料浪费风险、建造成本超支风险、由于项目公司的管理问题造成项目运营成本超支风险、运营质量不达标风险、维修过于频繁风险、运营效率低、利率变动、没有达到移交条件风险等</w:t>
      </w:r>
      <w:r>
        <w:rPr>
          <w:rFonts w:hint="eastAsia"/>
          <w:sz w:val="24"/>
          <w:szCs w:val="22"/>
        </w:rPr>
        <w:t>16</w:t>
      </w:r>
      <w:r>
        <w:rPr>
          <w:sz w:val="24"/>
          <w:szCs w:val="22"/>
        </w:rPr>
        <w:t>项风险；</w:t>
      </w:r>
    </w:p>
    <w:p>
      <w:pPr>
        <w:widowControl/>
        <w:spacing w:line="360" w:lineRule="auto"/>
        <w:ind w:firstLine="498" w:firstLineChars="200"/>
        <w:rPr>
          <w:sz w:val="24"/>
          <w:szCs w:val="22"/>
        </w:rPr>
      </w:pPr>
      <w:r>
        <w:rPr>
          <w:sz w:val="24"/>
          <w:szCs w:val="22"/>
        </w:rPr>
        <w:t>政府方和项目公司共同承担的风险主要包括审批获得/延误风险、完工延误风险、工程变更、由于动力/主要原材料价格/人员工资等主要成本因素价格上涨导致成本超支风险、考古文物保护风险、水文/气候变化风险、税收政策、通货膨胀风险、不可抗力风险等</w:t>
      </w:r>
      <w:r>
        <w:rPr>
          <w:rFonts w:hint="eastAsia"/>
          <w:sz w:val="24"/>
          <w:szCs w:val="22"/>
        </w:rPr>
        <w:t>9</w:t>
      </w:r>
      <w:r>
        <w:rPr>
          <w:sz w:val="24"/>
          <w:szCs w:val="22"/>
        </w:rPr>
        <w:t>项风险。</w:t>
      </w:r>
    </w:p>
    <w:p>
      <w:pPr>
        <w:keepNext/>
        <w:widowControl/>
        <w:numPr>
          <w:ilvl w:val="0"/>
          <w:numId w:val="32"/>
        </w:numPr>
        <w:tabs>
          <w:tab w:val="left" w:pos="0"/>
          <w:tab w:val="left" w:pos="280"/>
        </w:tabs>
        <w:spacing w:before="360" w:after="120" w:line="360" w:lineRule="auto"/>
        <w:ind w:firstLine="498" w:firstLineChars="200"/>
        <w:jc w:val="left"/>
        <w:outlineLvl w:val="1"/>
        <w:rPr>
          <w:b/>
          <w:bCs/>
          <w:sz w:val="24"/>
          <w:szCs w:val="32"/>
        </w:rPr>
      </w:pPr>
      <w:bookmarkStart w:id="1332" w:name="_Toc527559988"/>
      <w:bookmarkStart w:id="1333" w:name="_Toc534813011"/>
      <w:r>
        <w:rPr>
          <w:b/>
          <w:bCs/>
          <w:sz w:val="24"/>
          <w:szCs w:val="32"/>
        </w:rPr>
        <w:t>项目运作方式</w:t>
      </w:r>
      <w:bookmarkEnd w:id="1331"/>
      <w:bookmarkEnd w:id="1332"/>
      <w:bookmarkEnd w:id="1333"/>
    </w:p>
    <w:p>
      <w:pPr>
        <w:widowControl/>
        <w:spacing w:line="360" w:lineRule="auto"/>
        <w:ind w:firstLine="498" w:firstLineChars="200"/>
        <w:rPr>
          <w:sz w:val="24"/>
          <w:szCs w:val="22"/>
        </w:rPr>
      </w:pPr>
      <w:bookmarkStart w:id="1334" w:name="_Toc437271281"/>
      <w:r>
        <w:rPr>
          <w:sz w:val="24"/>
          <w:szCs w:val="22"/>
        </w:rPr>
        <w:t>本项目属于新建项目，为保障本项目顺利实施，综合考虑本项目特点、建设规模、回报机制、项目投资收益水平、风险分配基本框架以及融资需求等因素，本项目拟采取</w:t>
      </w:r>
      <w:r>
        <w:rPr>
          <w:b/>
          <w:sz w:val="24"/>
          <w:szCs w:val="28"/>
        </w:rPr>
        <w:t>建设-运营-移交（BOT）</w:t>
      </w:r>
      <w:r>
        <w:rPr>
          <w:sz w:val="24"/>
          <w:szCs w:val="22"/>
        </w:rPr>
        <w:t>的运作方式。合作期限内，由项目公司负责本项目的设计、投融资、建设和运营工作，并获得污水处理服务费。合作期满后，项目公司将项目设施按照移交标准无偿移交给项目实施机构或政府指定的其他机构。</w:t>
      </w:r>
    </w:p>
    <w:p>
      <w:pPr>
        <w:keepNext/>
        <w:widowControl/>
        <w:numPr>
          <w:ilvl w:val="0"/>
          <w:numId w:val="32"/>
        </w:numPr>
        <w:tabs>
          <w:tab w:val="left" w:pos="0"/>
          <w:tab w:val="left" w:pos="280"/>
        </w:tabs>
        <w:spacing w:before="360" w:after="120" w:line="360" w:lineRule="auto"/>
        <w:ind w:firstLine="498" w:firstLineChars="200"/>
        <w:jc w:val="left"/>
        <w:outlineLvl w:val="1"/>
        <w:rPr>
          <w:b/>
          <w:bCs/>
          <w:sz w:val="24"/>
          <w:szCs w:val="32"/>
        </w:rPr>
      </w:pPr>
      <w:r>
        <w:rPr>
          <w:b/>
          <w:bCs/>
          <w:sz w:val="24"/>
          <w:szCs w:val="32"/>
        </w:rPr>
        <w:tab/>
      </w:r>
      <w:bookmarkStart w:id="1335" w:name="_Toc534813012"/>
      <w:bookmarkStart w:id="1336" w:name="_Toc527559989"/>
      <w:r>
        <w:rPr>
          <w:b/>
          <w:bCs/>
          <w:sz w:val="24"/>
          <w:szCs w:val="32"/>
        </w:rPr>
        <w:t>项目交易结构</w:t>
      </w:r>
      <w:bookmarkEnd w:id="1335"/>
      <w:bookmarkEnd w:id="1336"/>
    </w:p>
    <w:p>
      <w:pPr>
        <w:widowControl/>
        <w:numPr>
          <w:ilvl w:val="0"/>
          <w:numId w:val="33"/>
        </w:numPr>
        <w:tabs>
          <w:tab w:val="left" w:pos="284"/>
        </w:tabs>
        <w:spacing w:line="360" w:lineRule="auto"/>
        <w:ind w:firstLine="498" w:firstLineChars="200"/>
        <w:jc w:val="left"/>
        <w:outlineLvl w:val="2"/>
        <w:rPr>
          <w:bCs/>
          <w:sz w:val="24"/>
          <w:szCs w:val="32"/>
        </w:rPr>
      </w:pPr>
      <w:r>
        <w:rPr>
          <w:bCs/>
          <w:sz w:val="24"/>
          <w:szCs w:val="32"/>
        </w:rPr>
        <w:t>项目交易结构图</w:t>
      </w:r>
    </w:p>
    <w:p>
      <w:pPr>
        <w:widowControl/>
        <w:spacing w:line="360" w:lineRule="auto"/>
        <w:ind w:left="353"/>
        <w:jc w:val="center"/>
        <w:rPr>
          <w:sz w:val="24"/>
          <w:szCs w:val="22"/>
        </w:rPr>
      </w:pPr>
      <w:r>
        <w:object>
          <v:shape id="_x0000_i1025" o:spt="75" type="#_x0000_t75" style="height:255.4pt;width:366.8pt;" o:ole="t" filled="f" o:preferrelative="t" stroked="f" coordsize="21600,21600">
            <v:path/>
            <v:fill on="f" focussize="0,0"/>
            <v:stroke on="f" joinstyle="miter"/>
            <v:imagedata r:id="rId32" o:title=""/>
            <o:lock v:ext="edit" aspectratio="t"/>
            <w10:wrap type="none"/>
            <w10:anchorlock/>
          </v:shape>
          <o:OLEObject Type="Embed" ProgID="Visio.Drawing.11" ShapeID="_x0000_i1025" DrawAspect="Content" ObjectID="_1468075725" r:id="rId31">
            <o:LockedField>false</o:LockedField>
          </o:OLEObject>
        </w:object>
      </w:r>
    </w:p>
    <w:p>
      <w:pPr>
        <w:keepNext/>
        <w:widowControl/>
        <w:ind w:left="1776" w:firstLine="180"/>
        <w:jc w:val="center"/>
        <w:rPr>
          <w:rFonts w:eastAsia="仿宋_GB2312"/>
          <w:b/>
          <w:sz w:val="24"/>
          <w:szCs w:val="21"/>
        </w:rPr>
      </w:pPr>
    </w:p>
    <w:p>
      <w:pPr>
        <w:widowControl/>
        <w:numPr>
          <w:ilvl w:val="0"/>
          <w:numId w:val="33"/>
        </w:numPr>
        <w:tabs>
          <w:tab w:val="left" w:pos="284"/>
        </w:tabs>
        <w:spacing w:line="360" w:lineRule="auto"/>
        <w:ind w:firstLine="498" w:firstLineChars="200"/>
        <w:jc w:val="left"/>
        <w:outlineLvl w:val="2"/>
        <w:rPr>
          <w:bCs/>
          <w:sz w:val="24"/>
          <w:szCs w:val="32"/>
        </w:rPr>
      </w:pPr>
      <w:r>
        <w:rPr>
          <w:bCs/>
          <w:sz w:val="24"/>
          <w:szCs w:val="32"/>
        </w:rPr>
        <w:t>项目投融资结构</w:t>
      </w:r>
      <w:bookmarkEnd w:id="1334"/>
    </w:p>
    <w:p>
      <w:pPr>
        <w:widowControl/>
        <w:spacing w:line="360" w:lineRule="auto"/>
        <w:ind w:firstLine="498" w:firstLineChars="200"/>
        <w:rPr>
          <w:sz w:val="24"/>
          <w:szCs w:val="22"/>
        </w:rPr>
      </w:pPr>
      <w:r>
        <w:rPr>
          <w:sz w:val="24"/>
          <w:szCs w:val="22"/>
        </w:rPr>
        <w:t>根据《国务院关于固定资产投资项目试行资本金制度》的通知（国发〔1996〕35号），“交通运输、煤炭项目，资本金比例为35%及以上；钢铁、邮电、化肥项目，资本金比例为25%及以上；电力、机电、建材、化工、石油加工、有色、轻工、纺织、商贸及其他行业的项目，资本金比例为20%及以上”。及2015年9月14日国务院印发的《国务院关于调整和完善固定资产投资项目资本金制度的通知》（国发〔2015〕51号），“其他项目最低资本金比例为20%”的要求，结合本项目实际情况，为有效防范资金风险，保障项目的顺利实施，本项目资本金要求为项目投资总额的20%，其他资金可通过银行贷款等方式筹集。</w:t>
      </w:r>
    </w:p>
    <w:p>
      <w:pPr>
        <w:widowControl/>
        <w:spacing w:line="360" w:lineRule="auto"/>
        <w:ind w:firstLine="498" w:firstLineChars="200"/>
        <w:rPr>
          <w:sz w:val="24"/>
          <w:szCs w:val="22"/>
        </w:rPr>
      </w:pPr>
      <w:r>
        <w:rPr>
          <w:rFonts w:hint="eastAsia"/>
          <w:sz w:val="24"/>
          <w:szCs w:val="22"/>
        </w:rPr>
        <w:t>投标人</w:t>
      </w:r>
      <w:r>
        <w:rPr>
          <w:sz w:val="24"/>
          <w:szCs w:val="22"/>
        </w:rPr>
        <w:t>需在投标文件中注明资金使用计划，项目实施机构有权依据该计划及建设实际需求对项目公司融资情况、建设资金到位情况及支付使用情况全过程进行监督（项目公司成立后，应开设建设资金专户，专款专用、专户存储，接受项目实施机构的监管</w:t>
      </w:r>
      <w:r>
        <w:rPr>
          <w:rFonts w:hint="eastAsia"/>
          <w:sz w:val="24"/>
          <w:szCs w:val="22"/>
        </w:rPr>
        <w:t>。</w:t>
      </w:r>
      <w:r>
        <w:rPr>
          <w:sz w:val="24"/>
          <w:szCs w:val="22"/>
        </w:rPr>
        <w:t>项目公司应按计划进度安排计量支付工程款。严禁超计划支付或将建设资金用于项目外工程）。</w:t>
      </w:r>
    </w:p>
    <w:p>
      <w:pPr>
        <w:widowControl/>
        <w:spacing w:line="360" w:lineRule="auto"/>
        <w:ind w:firstLine="498" w:firstLineChars="200"/>
        <w:rPr>
          <w:sz w:val="24"/>
          <w:szCs w:val="22"/>
        </w:rPr>
      </w:pPr>
      <w:r>
        <w:rPr>
          <w:rFonts w:hint="eastAsia"/>
          <w:sz w:val="24"/>
          <w:szCs w:val="22"/>
        </w:rPr>
        <w:t>中标人应按PPP项目合同约定及时成立项目公司，项目公司</w:t>
      </w:r>
      <w:r>
        <w:rPr>
          <w:sz w:val="24"/>
          <w:szCs w:val="22"/>
        </w:rPr>
        <w:t>应在</w:t>
      </w:r>
      <w:r>
        <w:rPr>
          <w:rFonts w:hint="eastAsia"/>
          <w:sz w:val="24"/>
          <w:szCs w:val="22"/>
        </w:rPr>
        <w:t>PPP项目</w:t>
      </w:r>
      <w:r>
        <w:rPr>
          <w:sz w:val="24"/>
          <w:szCs w:val="22"/>
        </w:rPr>
        <w:t>合同生效日起</w:t>
      </w:r>
      <w:r>
        <w:rPr>
          <w:rFonts w:hint="eastAsia"/>
          <w:sz w:val="24"/>
          <w:szCs w:val="22"/>
        </w:rPr>
        <w:t>60个工作日内，将首笔资本金缴纳到位，并在PPP项目合同生效120</w:t>
      </w:r>
      <w:r>
        <w:rPr>
          <w:sz w:val="24"/>
          <w:szCs w:val="22"/>
        </w:rPr>
        <w:t>个工作日内，完成融资交割</w:t>
      </w:r>
      <w:r>
        <w:rPr>
          <w:rFonts w:hint="eastAsia"/>
          <w:sz w:val="24"/>
          <w:szCs w:val="22"/>
        </w:rPr>
        <w:t>。</w:t>
      </w:r>
    </w:p>
    <w:p>
      <w:pPr>
        <w:widowControl/>
        <w:numPr>
          <w:ilvl w:val="0"/>
          <w:numId w:val="33"/>
        </w:numPr>
        <w:tabs>
          <w:tab w:val="left" w:pos="284"/>
        </w:tabs>
        <w:spacing w:line="360" w:lineRule="auto"/>
        <w:ind w:firstLine="498" w:firstLineChars="200"/>
        <w:jc w:val="left"/>
        <w:outlineLvl w:val="2"/>
        <w:rPr>
          <w:bCs/>
          <w:sz w:val="24"/>
          <w:szCs w:val="32"/>
        </w:rPr>
      </w:pPr>
      <w:r>
        <w:rPr>
          <w:bCs/>
          <w:sz w:val="24"/>
          <w:szCs w:val="32"/>
        </w:rPr>
        <w:t>回报机制</w:t>
      </w:r>
    </w:p>
    <w:p>
      <w:pPr>
        <w:pStyle w:val="2"/>
        <w:ind w:firstLine="250"/>
        <w:rPr>
          <w:rFonts w:ascii="宋体" w:hAnsi="宋体" w:cs="宋体"/>
          <w:bCs/>
          <w:sz w:val="24"/>
          <w:szCs w:val="24"/>
        </w:rPr>
      </w:pPr>
      <w:r>
        <w:rPr>
          <w:rFonts w:ascii="宋体" w:hAnsi="宋体" w:cs="宋体"/>
          <w:bCs/>
          <w:sz w:val="24"/>
          <w:szCs w:val="24"/>
        </w:rPr>
        <w:t>项目回报机制</w:t>
      </w:r>
      <w:r>
        <w:rPr>
          <w:rFonts w:hint="eastAsia" w:ascii="宋体" w:hAnsi="宋体" w:cs="宋体"/>
          <w:bCs/>
          <w:sz w:val="24"/>
          <w:szCs w:val="24"/>
        </w:rPr>
        <w:t>为可行性缺口补助</w:t>
      </w:r>
      <w:r>
        <w:rPr>
          <w:rFonts w:ascii="宋体" w:hAnsi="宋体" w:cs="宋体"/>
          <w:bCs/>
          <w:sz w:val="24"/>
          <w:szCs w:val="24"/>
        </w:rPr>
        <w:t>。即在本项目竣工验收合格后，由乙方为</w:t>
      </w:r>
      <w:r>
        <w:rPr>
          <w:rFonts w:hint="eastAsia" w:ascii="宋体" w:hAnsi="宋体" w:cs="宋体"/>
          <w:bCs/>
          <w:sz w:val="24"/>
          <w:szCs w:val="24"/>
        </w:rPr>
        <w:t>禹州市绿色铸造园区和陶瓷园区</w:t>
      </w:r>
      <w:r>
        <w:rPr>
          <w:rFonts w:ascii="宋体" w:hAnsi="宋体" w:cs="宋体"/>
          <w:bCs/>
          <w:sz w:val="24"/>
          <w:szCs w:val="24"/>
        </w:rPr>
        <w:t>提供</w:t>
      </w:r>
      <w:r>
        <w:rPr>
          <w:rFonts w:hint="eastAsia" w:ascii="宋体" w:hAnsi="宋体" w:cs="宋体"/>
          <w:bCs/>
          <w:sz w:val="24"/>
          <w:szCs w:val="24"/>
        </w:rPr>
        <w:t>污水处理</w:t>
      </w:r>
      <w:r>
        <w:rPr>
          <w:rFonts w:ascii="宋体" w:hAnsi="宋体" w:cs="宋体"/>
          <w:bCs/>
          <w:sz w:val="24"/>
          <w:szCs w:val="24"/>
        </w:rPr>
        <w:t>服务。运营期内，</w:t>
      </w:r>
      <w:r>
        <w:rPr>
          <w:rFonts w:hint="eastAsia" w:ascii="宋体" w:hAnsi="宋体" w:cs="宋体"/>
          <w:bCs/>
          <w:sz w:val="24"/>
          <w:szCs w:val="24"/>
        </w:rPr>
        <w:t>乙方根据达标污水处理情况及绩效考核结果获得污水处理服务费。项目公司获得的污水处理服务费主要由两部分构成：一是从污水排放企业获得污水处理费，二是由政府对污水处理费与项目公司应获得污水处理服务费之间的差额部分进行补贴，</w:t>
      </w:r>
      <w:r>
        <w:rPr>
          <w:rFonts w:ascii="宋体" w:hAnsi="宋体" w:cs="宋体"/>
          <w:bCs/>
          <w:sz w:val="24"/>
          <w:szCs w:val="24"/>
        </w:rPr>
        <w:t>以使项目公司收回投资并获得合理回报。</w:t>
      </w:r>
    </w:p>
    <w:p>
      <w:pPr>
        <w:widowControl/>
        <w:numPr>
          <w:ilvl w:val="0"/>
          <w:numId w:val="33"/>
        </w:numPr>
        <w:tabs>
          <w:tab w:val="left" w:pos="284"/>
        </w:tabs>
        <w:spacing w:before="100" w:after="100" w:line="360" w:lineRule="auto"/>
        <w:ind w:firstLine="498" w:firstLineChars="200"/>
        <w:jc w:val="left"/>
        <w:outlineLvl w:val="2"/>
        <w:rPr>
          <w:bCs/>
          <w:sz w:val="24"/>
          <w:szCs w:val="32"/>
        </w:rPr>
      </w:pPr>
      <w:r>
        <w:rPr>
          <w:bCs/>
          <w:sz w:val="24"/>
          <w:szCs w:val="32"/>
        </w:rPr>
        <w:t>相关配套安排</w:t>
      </w:r>
    </w:p>
    <w:p>
      <w:pPr>
        <w:widowControl/>
        <w:numPr>
          <w:ilvl w:val="0"/>
          <w:numId w:val="34"/>
        </w:numPr>
        <w:tabs>
          <w:tab w:val="left" w:pos="851"/>
        </w:tabs>
        <w:adjustRightInd w:val="0"/>
        <w:snapToGrid w:val="0"/>
        <w:spacing w:line="360" w:lineRule="auto"/>
        <w:ind w:firstLine="498" w:firstLineChars="200"/>
        <w:jc w:val="left"/>
        <w:outlineLvl w:val="2"/>
        <w:rPr>
          <w:rFonts w:ascii="Arial" w:hAnsi="Arial"/>
          <w:b/>
          <w:bCs/>
          <w:sz w:val="24"/>
          <w:szCs w:val="32"/>
        </w:rPr>
      </w:pPr>
      <w:r>
        <w:rPr>
          <w:rFonts w:ascii="Arial" w:hAnsi="Arial"/>
          <w:b/>
          <w:bCs/>
          <w:sz w:val="24"/>
          <w:szCs w:val="32"/>
        </w:rPr>
        <w:t>土地使用</w:t>
      </w:r>
    </w:p>
    <w:p>
      <w:pPr>
        <w:widowControl/>
        <w:spacing w:line="360" w:lineRule="auto"/>
        <w:ind w:firstLine="498" w:firstLineChars="200"/>
        <w:rPr>
          <w:sz w:val="24"/>
          <w:szCs w:val="22"/>
        </w:rPr>
      </w:pPr>
      <w:r>
        <w:rPr>
          <w:sz w:val="24"/>
          <w:szCs w:val="22"/>
        </w:rPr>
        <w:t>禹州市绿色铸造园区与陶瓷园区污水处理厂项目厂区总占地面积为55.07亩（最终以政府批复文件为准），根据《土地划拨目录》，本项目作为城市基础设施中的环境卫生设施用地，可通过划拨的方式取得。故本项目涉及建设用地可由项目实施机构以划拨的方式取得，并提供给项目公司使用。项目涉及征地拆迁工作由政府负责并承担相应的土地费用，且该部分费用不计入项目总投资。</w:t>
      </w:r>
    </w:p>
    <w:p>
      <w:pPr>
        <w:widowControl/>
        <w:numPr>
          <w:ilvl w:val="0"/>
          <w:numId w:val="35"/>
        </w:numPr>
        <w:tabs>
          <w:tab w:val="left" w:pos="851"/>
        </w:tabs>
        <w:adjustRightInd w:val="0"/>
        <w:snapToGrid w:val="0"/>
        <w:spacing w:line="360" w:lineRule="auto"/>
        <w:ind w:firstLine="498" w:firstLineChars="200"/>
        <w:jc w:val="left"/>
        <w:outlineLvl w:val="2"/>
        <w:rPr>
          <w:rFonts w:ascii="Arial" w:hAnsi="Arial"/>
          <w:b/>
          <w:bCs/>
          <w:sz w:val="24"/>
          <w:szCs w:val="32"/>
        </w:rPr>
      </w:pPr>
      <w:r>
        <w:rPr>
          <w:rFonts w:ascii="Arial" w:hAnsi="Arial"/>
          <w:b/>
          <w:bCs/>
          <w:sz w:val="24"/>
          <w:szCs w:val="32"/>
        </w:rPr>
        <w:t>项目前期工作</w:t>
      </w:r>
    </w:p>
    <w:p>
      <w:pPr>
        <w:widowControl/>
        <w:spacing w:line="360" w:lineRule="auto"/>
        <w:ind w:firstLine="498" w:firstLineChars="200"/>
        <w:rPr>
          <w:sz w:val="24"/>
          <w:szCs w:val="22"/>
        </w:rPr>
      </w:pPr>
      <w:r>
        <w:rPr>
          <w:sz w:val="24"/>
          <w:szCs w:val="22"/>
        </w:rPr>
        <w:t>本项目由项目实施机构组织或委托相关机构开展相关前期工作包括但不限于：</w:t>
      </w:r>
    </w:p>
    <w:p>
      <w:pPr>
        <w:widowControl/>
        <w:spacing w:line="360" w:lineRule="auto"/>
        <w:ind w:firstLine="498" w:firstLineChars="200"/>
        <w:rPr>
          <w:sz w:val="24"/>
          <w:szCs w:val="22"/>
        </w:rPr>
      </w:pPr>
      <w:r>
        <w:rPr>
          <w:sz w:val="24"/>
          <w:szCs w:val="22"/>
        </w:rPr>
        <w:t>（1）项目立项，即项目建议书或可行性研究报告的编制；</w:t>
      </w:r>
    </w:p>
    <w:p>
      <w:pPr>
        <w:widowControl/>
        <w:spacing w:line="360" w:lineRule="auto"/>
        <w:ind w:firstLine="498" w:firstLineChars="200"/>
        <w:rPr>
          <w:sz w:val="24"/>
          <w:szCs w:val="22"/>
        </w:rPr>
      </w:pPr>
      <w:r>
        <w:rPr>
          <w:sz w:val="24"/>
          <w:szCs w:val="22"/>
        </w:rPr>
        <w:t>（2）项目建设用地的用地申请、征地拆迁等工作；</w:t>
      </w:r>
    </w:p>
    <w:p>
      <w:pPr>
        <w:widowControl/>
        <w:spacing w:line="360" w:lineRule="auto"/>
        <w:ind w:firstLine="498" w:firstLineChars="200"/>
        <w:rPr>
          <w:sz w:val="24"/>
          <w:szCs w:val="22"/>
        </w:rPr>
      </w:pPr>
      <w:r>
        <w:rPr>
          <w:sz w:val="24"/>
          <w:szCs w:val="22"/>
        </w:rPr>
        <w:t>（3）委托咨询机构开展项目环评等前期工作；</w:t>
      </w:r>
    </w:p>
    <w:p>
      <w:pPr>
        <w:widowControl/>
        <w:spacing w:line="360" w:lineRule="auto"/>
        <w:ind w:firstLine="498" w:firstLineChars="200"/>
        <w:rPr>
          <w:sz w:val="24"/>
          <w:szCs w:val="22"/>
        </w:rPr>
      </w:pPr>
      <w:r>
        <w:rPr>
          <w:sz w:val="24"/>
          <w:szCs w:val="22"/>
        </w:rPr>
        <w:t>（4）委托专业咨询机构为本项目提供PPP咨询服务；</w:t>
      </w:r>
    </w:p>
    <w:p>
      <w:pPr>
        <w:widowControl/>
        <w:spacing w:line="360" w:lineRule="auto"/>
        <w:ind w:firstLine="498" w:firstLineChars="200"/>
        <w:rPr>
          <w:sz w:val="24"/>
          <w:szCs w:val="22"/>
        </w:rPr>
      </w:pPr>
      <w:r>
        <w:rPr>
          <w:sz w:val="24"/>
          <w:szCs w:val="22"/>
        </w:rPr>
        <w:t>（5）委托监理单位为本项目提供工程监理服务。</w:t>
      </w:r>
    </w:p>
    <w:p>
      <w:pPr>
        <w:widowControl/>
        <w:spacing w:line="360" w:lineRule="auto"/>
        <w:ind w:firstLine="498" w:firstLineChars="200"/>
        <w:rPr>
          <w:sz w:val="24"/>
          <w:szCs w:val="22"/>
          <w:u w:val="single"/>
        </w:rPr>
      </w:pPr>
      <w:r>
        <w:rPr>
          <w:sz w:val="24"/>
          <w:szCs w:val="22"/>
        </w:rPr>
        <w:t>本项目的项目建议书费用、可研报告编制费、环评费用、工程勘察费、工程设计费、建设工程监理费等前期工作相关费用由项目公司承担，计入项目全部建设成本，前期已由政府方支付的前期工作费用，待项目公司成立后由项目公司返还给项目实施机构或政府指定的其他机构。</w:t>
      </w:r>
    </w:p>
    <w:p>
      <w:pPr>
        <w:widowControl/>
        <w:spacing w:line="360" w:lineRule="auto"/>
        <w:ind w:firstLine="498" w:firstLineChars="200"/>
        <w:rPr>
          <w:sz w:val="24"/>
          <w:szCs w:val="22"/>
        </w:rPr>
      </w:pPr>
      <w:r>
        <w:rPr>
          <w:sz w:val="24"/>
          <w:szCs w:val="22"/>
        </w:rPr>
        <w:t>项目公司成立后，由项目公司继续完成本项目尚未完成的前期手续办理，取得相关部门的许可、批准，项目实施机构须提供必要的协助和协调。</w:t>
      </w:r>
    </w:p>
    <w:p>
      <w:pPr>
        <w:keepNext/>
        <w:widowControl/>
        <w:numPr>
          <w:ilvl w:val="0"/>
          <w:numId w:val="32"/>
        </w:numPr>
        <w:tabs>
          <w:tab w:val="left" w:pos="0"/>
          <w:tab w:val="left" w:pos="280"/>
        </w:tabs>
        <w:spacing w:before="360" w:after="120" w:line="360" w:lineRule="auto"/>
        <w:ind w:firstLine="498" w:firstLineChars="200"/>
        <w:jc w:val="left"/>
        <w:outlineLvl w:val="1"/>
        <w:rPr>
          <w:b/>
          <w:bCs/>
          <w:sz w:val="24"/>
          <w:szCs w:val="32"/>
        </w:rPr>
      </w:pPr>
      <w:r>
        <w:rPr>
          <w:b/>
          <w:bCs/>
          <w:sz w:val="24"/>
          <w:szCs w:val="32"/>
        </w:rPr>
        <w:tab/>
      </w:r>
      <w:bookmarkStart w:id="1337" w:name="_Toc534813013"/>
      <w:bookmarkStart w:id="1338" w:name="_Toc527559990"/>
      <w:r>
        <w:rPr>
          <w:b/>
          <w:bCs/>
          <w:sz w:val="24"/>
          <w:szCs w:val="32"/>
        </w:rPr>
        <w:t>项目合同体系</w:t>
      </w:r>
      <w:bookmarkEnd w:id="1337"/>
      <w:bookmarkEnd w:id="1338"/>
    </w:p>
    <w:p>
      <w:pPr>
        <w:widowControl/>
        <w:spacing w:line="360" w:lineRule="auto"/>
        <w:ind w:firstLine="498" w:firstLineChars="200"/>
        <w:rPr>
          <w:sz w:val="24"/>
          <w:szCs w:val="22"/>
        </w:rPr>
      </w:pPr>
      <w:r>
        <w:rPr>
          <w:sz w:val="24"/>
          <w:szCs w:val="22"/>
        </w:rPr>
        <w:t>本项目的合同体系分为两个层次：</w:t>
      </w:r>
    </w:p>
    <w:p>
      <w:pPr>
        <w:widowControl/>
        <w:spacing w:line="360" w:lineRule="auto"/>
        <w:ind w:firstLine="498" w:firstLineChars="200"/>
        <w:rPr>
          <w:sz w:val="24"/>
          <w:szCs w:val="22"/>
        </w:rPr>
      </w:pPr>
      <w:r>
        <w:rPr>
          <w:sz w:val="24"/>
          <w:szCs w:val="22"/>
        </w:rPr>
        <w:t>第一层次为由项目实施机构、中选社会资本之间围绕项目投资、设计、建设、运营、收益、移交等签署的PPP项目合同。确定中选社会资本之后，项目实施机构与中选社会资本先行签署《PPP项目合同》，待中选社会资本成立项目公司后，再由项目实施机构和项目公司重新签署《PPP项目合同》。</w:t>
      </w:r>
    </w:p>
    <w:p>
      <w:pPr>
        <w:widowControl/>
        <w:spacing w:line="360" w:lineRule="auto"/>
        <w:ind w:firstLine="498" w:firstLineChars="200"/>
        <w:rPr>
          <w:sz w:val="24"/>
          <w:szCs w:val="22"/>
        </w:rPr>
      </w:pPr>
      <w:r>
        <w:rPr>
          <w:sz w:val="24"/>
          <w:szCs w:val="22"/>
        </w:rPr>
        <w:t>PPP项目合同是整体合同体系的核心，合同中明确政府方和项目公司之间的权利义务关系和项目边界条件，合理分配项目风险，保障双方能够依据合同约定合理主张权利，妥善履行义务，确保本项目顺利实施。</w:t>
      </w:r>
    </w:p>
    <w:p>
      <w:pPr>
        <w:widowControl/>
        <w:spacing w:line="360" w:lineRule="auto"/>
        <w:ind w:firstLine="498" w:firstLineChars="200"/>
        <w:rPr>
          <w:sz w:val="24"/>
          <w:szCs w:val="22"/>
        </w:rPr>
      </w:pPr>
      <w:r>
        <w:rPr>
          <w:sz w:val="24"/>
          <w:szCs w:val="22"/>
        </w:rPr>
        <w:t>第二层次为由项目公司和本项目推进过程中的各有关主体签署的协议体系。包括由项目公司与金融机构签署的《融资协议》、与设计单位签署的《勘察设计合同》、与施工单位签署的《施工总承包合同》、与设备供应商签署的《设备采购合同》、与保险机构之间签署的《保险合同》、与员工签署的《劳动合同》，项目实施机构与监理单位签署的《工程监理合同》等。</w:t>
      </w:r>
    </w:p>
    <w:p>
      <w:pPr>
        <w:widowControl/>
        <w:spacing w:line="360" w:lineRule="auto"/>
        <w:ind w:firstLine="498" w:firstLineChars="200"/>
        <w:rPr>
          <w:sz w:val="24"/>
          <w:szCs w:val="22"/>
        </w:rPr>
      </w:pPr>
      <w:r>
        <w:rPr>
          <w:sz w:val="24"/>
          <w:szCs w:val="22"/>
        </w:rPr>
        <w:t>融资协议：金融机构向项目公司借款，到期返还借款并支付利息的协议。协议中会载明借款数额、币种、利率、期限等内容。</w:t>
      </w:r>
    </w:p>
    <w:p>
      <w:pPr>
        <w:widowControl/>
        <w:spacing w:line="360" w:lineRule="auto"/>
        <w:ind w:firstLine="498" w:firstLineChars="200"/>
        <w:rPr>
          <w:sz w:val="24"/>
          <w:szCs w:val="22"/>
        </w:rPr>
      </w:pPr>
      <w:r>
        <w:rPr>
          <w:sz w:val="24"/>
          <w:szCs w:val="22"/>
        </w:rPr>
        <w:t>施工总承包合同：是项目公司与施工单位签订负责实施建设本项目施工阶段全部工作的承包合同。合同中会载明工程概况、工程主要建设方案、工程的计划开工日期及计划竣工日期、工程质量标准、合同价格和付款货币等内容。</w:t>
      </w:r>
    </w:p>
    <w:p>
      <w:pPr>
        <w:widowControl/>
        <w:spacing w:line="360" w:lineRule="auto"/>
        <w:ind w:firstLine="498" w:firstLineChars="200"/>
        <w:rPr>
          <w:sz w:val="24"/>
          <w:szCs w:val="22"/>
        </w:rPr>
      </w:pPr>
      <w:r>
        <w:rPr>
          <w:sz w:val="24"/>
          <w:szCs w:val="22"/>
        </w:rPr>
        <w:t>设备采购合同：项目公司与设备供应商签订的负责项目所需设备供应的合同。合同中会载明供应商提供的产品名称、规格型号、数量单价等基本信息，以及产品的质量标准和保证期，技术材料和文件，交付、验收及付款等内容。</w:t>
      </w:r>
    </w:p>
    <w:p>
      <w:pPr>
        <w:widowControl/>
        <w:spacing w:line="360" w:lineRule="auto"/>
        <w:ind w:firstLine="498" w:firstLineChars="200"/>
        <w:rPr>
          <w:sz w:val="24"/>
          <w:szCs w:val="22"/>
        </w:rPr>
      </w:pPr>
      <w:r>
        <w:rPr>
          <w:sz w:val="24"/>
          <w:szCs w:val="22"/>
        </w:rPr>
        <w:t>保险合同：项目公司与保险公司约定保险权利义务关系的合同。合同中会载明项目有关保险标的的情况、保险价值与保险金额、保险风险、保险费率、保险期限违约责任与争议处理以及双方当事人的应尽义务与享受的权利等内容。</w:t>
      </w:r>
    </w:p>
    <w:p>
      <w:pPr>
        <w:widowControl/>
        <w:spacing w:line="360" w:lineRule="auto"/>
        <w:ind w:firstLine="498" w:firstLineChars="200"/>
        <w:rPr>
          <w:sz w:val="24"/>
          <w:szCs w:val="22"/>
        </w:rPr>
      </w:pPr>
      <w:r>
        <w:rPr>
          <w:sz w:val="24"/>
          <w:szCs w:val="22"/>
        </w:rPr>
        <w:t>劳动合同：项目公司与员工签订的民事服务合同。合同中会载明工作岗位、劳动报酬、社会保险和福利待遇、工作时间、劳动保护、劳动条件和职业危害防护等内容。</w:t>
      </w:r>
    </w:p>
    <w:p>
      <w:pPr>
        <w:widowControl/>
        <w:spacing w:line="360" w:lineRule="auto"/>
        <w:ind w:firstLine="498" w:firstLineChars="200"/>
        <w:rPr>
          <w:sz w:val="24"/>
          <w:szCs w:val="22"/>
        </w:rPr>
      </w:pPr>
      <w:r>
        <w:rPr>
          <w:sz w:val="24"/>
          <w:szCs w:val="22"/>
        </w:rPr>
        <w:t>工程监理合同：实施机构和监理单位就项目工程监理事宜订立的合同。合同中会载明监理范围和监理内容、监理的期限和地点、监理工作要求、监理费的计取和支付、双方的权利和义务等内容。</w:t>
      </w:r>
    </w:p>
    <w:p>
      <w:pPr>
        <w:widowControl/>
        <w:spacing w:line="360" w:lineRule="auto"/>
        <w:ind w:firstLine="498" w:firstLineChars="200"/>
        <w:rPr>
          <w:sz w:val="24"/>
          <w:szCs w:val="22"/>
        </w:rPr>
      </w:pPr>
      <w:r>
        <w:rPr>
          <w:sz w:val="24"/>
          <w:szCs w:val="22"/>
        </w:rPr>
        <w:t>设计合同：项目公司和设计单位就项目工程勘察设计事宜订立的合同。合同中会载明勘察设计范围和内容、勘察设计工作的工期和费用、双方的权利和义务等内容。</w:t>
      </w:r>
    </w:p>
    <w:p>
      <w:pPr>
        <w:keepNext/>
        <w:widowControl/>
        <w:numPr>
          <w:ilvl w:val="0"/>
          <w:numId w:val="32"/>
        </w:numPr>
        <w:tabs>
          <w:tab w:val="left" w:pos="0"/>
          <w:tab w:val="left" w:pos="280"/>
        </w:tabs>
        <w:spacing w:before="360" w:after="120" w:line="360" w:lineRule="auto"/>
        <w:ind w:firstLine="498" w:firstLineChars="200"/>
        <w:jc w:val="left"/>
        <w:outlineLvl w:val="1"/>
        <w:rPr>
          <w:b/>
          <w:bCs/>
          <w:sz w:val="24"/>
          <w:szCs w:val="32"/>
        </w:rPr>
      </w:pPr>
      <w:bookmarkStart w:id="1339" w:name="_Toc527559991"/>
      <w:bookmarkStart w:id="1340" w:name="_Toc534813014"/>
      <w:r>
        <w:rPr>
          <w:b/>
          <w:bCs/>
          <w:sz w:val="24"/>
          <w:szCs w:val="32"/>
        </w:rPr>
        <w:t>项目监管架构</w:t>
      </w:r>
      <w:bookmarkEnd w:id="1339"/>
      <w:bookmarkEnd w:id="1340"/>
    </w:p>
    <w:p>
      <w:pPr>
        <w:widowControl/>
        <w:spacing w:line="360" w:lineRule="auto"/>
        <w:ind w:firstLine="498" w:firstLineChars="200"/>
        <w:rPr>
          <w:sz w:val="24"/>
          <w:szCs w:val="22"/>
        </w:rPr>
      </w:pPr>
      <w:r>
        <w:rPr>
          <w:sz w:val="24"/>
          <w:szCs w:val="22"/>
        </w:rPr>
        <w:t>本项目的监管体系主要由项目实施机构对本项目的履约管理、相关行政主管部门对本项目的行政监管以及社会公众对本项目的公众监督三部分构成，以此形成全方位的监管合力，确保公共利益得到充分保障。</w:t>
      </w:r>
    </w:p>
    <w:p>
      <w:pPr>
        <w:spacing w:after="120" w:line="360" w:lineRule="auto"/>
        <w:jc w:val="left"/>
        <w:rPr>
          <w:rFonts w:eastAsia="仿宋"/>
          <w:b/>
          <w:sz w:val="24"/>
          <w:szCs w:val="32"/>
        </w:rPr>
      </w:pPr>
      <w:r>
        <w:rPr>
          <w:rFonts w:eastAsia="仿宋"/>
          <w:b/>
          <w:sz w:val="24"/>
          <w:szCs w:val="32"/>
        </w:rPr>
        <w:pict>
          <v:shape id="_x0000_i1026" o:spt="75" type="#_x0000_t75" style="height:199.7pt;width:405.5pt;" filled="f" o:preferrelative="t" stroked="f" coordsize="21600,21600">
            <v:path/>
            <v:fill on="f" focussize="0,0"/>
            <v:stroke on="f" joinstyle="miter"/>
            <v:imagedata r:id="rId33" o:title=""/>
            <o:lock v:ext="edit" aspectratio="t"/>
            <w10:wrap type="none"/>
            <w10:anchorlock/>
          </v:shape>
        </w:pict>
      </w:r>
    </w:p>
    <w:p>
      <w:pPr>
        <w:keepNext/>
        <w:widowControl/>
        <w:numPr>
          <w:ilvl w:val="0"/>
          <w:numId w:val="32"/>
        </w:numPr>
        <w:tabs>
          <w:tab w:val="left" w:pos="0"/>
          <w:tab w:val="left" w:pos="280"/>
        </w:tabs>
        <w:spacing w:before="360" w:after="120" w:line="360" w:lineRule="auto"/>
        <w:ind w:firstLine="498" w:firstLineChars="200"/>
        <w:jc w:val="left"/>
        <w:outlineLvl w:val="1"/>
        <w:rPr>
          <w:b/>
          <w:bCs/>
          <w:sz w:val="24"/>
          <w:szCs w:val="32"/>
        </w:rPr>
      </w:pPr>
      <w:bookmarkStart w:id="1341" w:name="_Toc498357458"/>
      <w:bookmarkEnd w:id="1341"/>
      <w:bookmarkStart w:id="1342" w:name="_Toc499822127"/>
      <w:bookmarkEnd w:id="1342"/>
      <w:bookmarkStart w:id="1343" w:name="_Toc499827112"/>
      <w:bookmarkEnd w:id="1343"/>
      <w:bookmarkStart w:id="1344" w:name="_Toc499823239"/>
      <w:bookmarkEnd w:id="1344"/>
      <w:bookmarkStart w:id="1345" w:name="_Toc500514195"/>
      <w:bookmarkEnd w:id="1345"/>
      <w:bookmarkStart w:id="1346" w:name="_Toc498357314"/>
      <w:bookmarkEnd w:id="1346"/>
      <w:bookmarkStart w:id="1347" w:name="_Toc499710714"/>
      <w:bookmarkEnd w:id="1347"/>
      <w:bookmarkStart w:id="1348" w:name="_Toc499826679"/>
      <w:bookmarkEnd w:id="1348"/>
      <w:bookmarkStart w:id="1349" w:name="_Toc499827330"/>
      <w:bookmarkEnd w:id="1349"/>
      <w:bookmarkStart w:id="1350" w:name="_Toc500344901"/>
      <w:bookmarkEnd w:id="1350"/>
      <w:bookmarkStart w:id="1351" w:name="_Toc499826895"/>
      <w:bookmarkEnd w:id="1351"/>
      <w:bookmarkStart w:id="1352" w:name="_Toc499822345"/>
      <w:bookmarkEnd w:id="1352"/>
      <w:bookmarkStart w:id="1353" w:name="_Toc499826462"/>
      <w:bookmarkEnd w:id="1353"/>
      <w:bookmarkStart w:id="1354" w:name="_Toc534813015"/>
      <w:bookmarkStart w:id="1355" w:name="_Toc527559992"/>
      <w:r>
        <w:rPr>
          <w:b/>
          <w:bCs/>
          <w:sz w:val="24"/>
          <w:szCs w:val="32"/>
        </w:rPr>
        <w:t>附件</w:t>
      </w:r>
      <w:bookmarkEnd w:id="1354"/>
      <w:bookmarkEnd w:id="1355"/>
    </w:p>
    <w:p>
      <w:pPr>
        <w:widowControl/>
        <w:spacing w:line="360" w:lineRule="auto"/>
        <w:ind w:firstLine="498" w:firstLineChars="200"/>
        <w:rPr>
          <w:sz w:val="24"/>
          <w:szCs w:val="22"/>
        </w:rPr>
      </w:pPr>
      <w:r>
        <w:rPr>
          <w:sz w:val="24"/>
          <w:szCs w:val="22"/>
        </w:rPr>
        <w:t>详见“第二章1.2 项目采购须具备条件”。</w:t>
      </w:r>
    </w:p>
    <w:p>
      <w:pPr>
        <w:spacing w:line="360" w:lineRule="auto"/>
        <w:ind w:left="996"/>
        <w:outlineLvl w:val="1"/>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pStyle w:val="2"/>
        <w:ind w:firstLine="220"/>
      </w:pPr>
    </w:p>
    <w:p>
      <w:pPr>
        <w:pStyle w:val="5"/>
        <w:ind w:left="440" w:firstLine="440"/>
      </w:pPr>
    </w:p>
    <w:p>
      <w:pPr>
        <w:widowControl/>
        <w:jc w:val="left"/>
      </w:pPr>
    </w:p>
    <w:p>
      <w:pPr>
        <w:pStyle w:val="2"/>
        <w:ind w:firstLine="220"/>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pStyle w:val="7"/>
        <w:jc w:val="center"/>
        <w:rPr>
          <w:rFonts w:ascii="Arial" w:hAnsi="Arial" w:cs="Arial"/>
        </w:rPr>
      </w:pPr>
      <w:bookmarkStart w:id="1356" w:name="_Toc531614699"/>
    </w:p>
    <w:p>
      <w:pPr>
        <w:pStyle w:val="7"/>
        <w:jc w:val="center"/>
        <w:rPr>
          <w:rFonts w:ascii="Arial" w:hAnsi="Arial" w:cs="Arial"/>
        </w:rPr>
      </w:pPr>
    </w:p>
    <w:p>
      <w:pPr>
        <w:pStyle w:val="7"/>
        <w:jc w:val="center"/>
        <w:rPr>
          <w:rFonts w:ascii="Arial" w:hAnsi="Arial" w:cs="Arial"/>
        </w:rPr>
      </w:pPr>
    </w:p>
    <w:p>
      <w:pPr>
        <w:pStyle w:val="7"/>
        <w:jc w:val="center"/>
      </w:pPr>
      <w:bookmarkStart w:id="1357" w:name="_Toc534813016"/>
      <w:r>
        <w:rPr>
          <w:rFonts w:ascii="Arial" w:hAnsi="Arial" w:cs="Arial"/>
        </w:rPr>
        <w:t>第</w:t>
      </w:r>
      <w:r>
        <w:rPr>
          <w:rFonts w:hint="eastAsia" w:ascii="Arial" w:hAnsi="Arial" w:cs="Arial"/>
        </w:rPr>
        <w:t>五章</w:t>
      </w:r>
      <w:r>
        <w:rPr>
          <w:rFonts w:hint="eastAsia"/>
        </w:rPr>
        <w:t>评审方法</w:t>
      </w:r>
      <w:bookmarkEnd w:id="1356"/>
      <w:bookmarkEnd w:id="1357"/>
    </w:p>
    <w:p>
      <w:pPr>
        <w:pStyle w:val="9"/>
        <w:jc w:val="center"/>
        <w:rPr>
          <w:rFonts w:cs="Arial"/>
          <w:sz w:val="28"/>
          <w:szCs w:val="28"/>
        </w:rPr>
      </w:pPr>
      <w:r>
        <w:rPr>
          <w:rFonts w:cs="Arial"/>
          <w:sz w:val="20"/>
          <w:szCs w:val="20"/>
        </w:rPr>
        <w:br w:type="page"/>
      </w:r>
      <w:bookmarkStart w:id="1358" w:name="_Toc152045599"/>
      <w:bookmarkStart w:id="1359" w:name="_Toc414277162"/>
      <w:bookmarkStart w:id="1360" w:name="_Toc152042376"/>
      <w:bookmarkStart w:id="1361" w:name="_Toc414112650"/>
      <w:bookmarkStart w:id="1362" w:name="_Toc144974566"/>
      <w:bookmarkStart w:id="1363" w:name="_Toc534813017"/>
      <w:bookmarkStart w:id="1364" w:name="_Toc531614700"/>
      <w:bookmarkStart w:id="1365" w:name="_Toc414277163"/>
      <w:bookmarkStart w:id="1366" w:name="_Toc152042377"/>
      <w:bookmarkStart w:id="1367" w:name="_Toc144974567"/>
      <w:bookmarkStart w:id="1368" w:name="_Toc414112651"/>
      <w:bookmarkStart w:id="1369" w:name="_Toc152045600"/>
      <w:r>
        <w:rPr>
          <w:rFonts w:hint="eastAsia" w:cs="Arial"/>
          <w:sz w:val="28"/>
          <w:szCs w:val="28"/>
        </w:rPr>
        <w:t>评审方法前附表</w:t>
      </w:r>
      <w:bookmarkEnd w:id="1358"/>
      <w:bookmarkEnd w:id="1359"/>
      <w:bookmarkEnd w:id="1360"/>
      <w:bookmarkEnd w:id="1361"/>
      <w:bookmarkEnd w:id="1362"/>
      <w:bookmarkEnd w:id="1363"/>
      <w:bookmarkEnd w:id="1364"/>
    </w:p>
    <w:tbl>
      <w:tblPr>
        <w:tblStyle w:val="52"/>
        <w:tblW w:w="8460" w:type="dxa"/>
        <w:jc w:val="center"/>
        <w:tblInd w:w="110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6"/>
        <w:gridCol w:w="709"/>
        <w:gridCol w:w="524"/>
        <w:gridCol w:w="1035"/>
        <w:gridCol w:w="5441"/>
        <w:gridCol w:w="50"/>
        <w:gridCol w:w="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2"/>
          <w:wAfter w:w="75" w:type="dxa"/>
          <w:trHeight w:val="243" w:hRule="atLeast"/>
          <w:jc w:val="center"/>
        </w:trPr>
        <w:tc>
          <w:tcPr>
            <w:tcW w:w="1385" w:type="dxa"/>
            <w:gridSpan w:val="2"/>
            <w:vAlign w:val="center"/>
          </w:tcPr>
          <w:p>
            <w:pPr>
              <w:rPr>
                <w:b/>
                <w:bCs/>
              </w:rPr>
            </w:pPr>
            <w:r>
              <w:rPr>
                <w:rFonts w:hint="eastAsia"/>
                <w:b/>
                <w:bCs/>
              </w:rPr>
              <w:t>条款号</w:t>
            </w:r>
          </w:p>
        </w:tc>
        <w:tc>
          <w:tcPr>
            <w:tcW w:w="1559" w:type="dxa"/>
            <w:gridSpan w:val="2"/>
            <w:vAlign w:val="center"/>
          </w:tcPr>
          <w:p>
            <w:pPr>
              <w:rPr>
                <w:b/>
                <w:bCs/>
              </w:rPr>
            </w:pPr>
            <w:r>
              <w:rPr>
                <w:rFonts w:hint="eastAsia"/>
                <w:b/>
                <w:bCs/>
              </w:rPr>
              <w:t>评审因素</w:t>
            </w:r>
          </w:p>
        </w:tc>
        <w:tc>
          <w:tcPr>
            <w:tcW w:w="5441" w:type="dxa"/>
            <w:vAlign w:val="center"/>
          </w:tcPr>
          <w:p>
            <w:pPr>
              <w:rPr>
                <w:b/>
                <w:bCs/>
              </w:rPr>
            </w:pPr>
            <w:r>
              <w:rPr>
                <w:rFonts w:hint="eastAsia"/>
                <w:b/>
                <w:bCs/>
              </w:rPr>
              <w:t>评审标准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2"/>
          <w:wAfter w:w="75" w:type="dxa"/>
          <w:trHeight w:val="702" w:hRule="atLeast"/>
          <w:jc w:val="center"/>
        </w:trPr>
        <w:tc>
          <w:tcPr>
            <w:tcW w:w="676" w:type="dxa"/>
            <w:vMerge w:val="restart"/>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3.1</w:t>
            </w:r>
          </w:p>
        </w:tc>
        <w:tc>
          <w:tcPr>
            <w:tcW w:w="709" w:type="dxa"/>
            <w:vMerge w:val="restart"/>
            <w:vAlign w:val="center"/>
          </w:tcPr>
          <w:p>
            <w:pPr>
              <w:spacing w:line="360" w:lineRule="auto"/>
              <w:jc w:val="center"/>
              <w:rPr>
                <w:rFonts w:ascii="宋体" w:hAnsi="宋体" w:cs="宋体"/>
                <w:szCs w:val="21"/>
              </w:rPr>
            </w:pPr>
            <w:r>
              <w:rPr>
                <w:rFonts w:hint="eastAsia" w:ascii="宋体" w:hAnsi="宋体" w:cs="宋体"/>
                <w:szCs w:val="21"/>
              </w:rPr>
              <w:t>资格性检查评审标准</w:t>
            </w:r>
          </w:p>
        </w:tc>
        <w:tc>
          <w:tcPr>
            <w:tcW w:w="1559" w:type="dxa"/>
            <w:gridSpan w:val="2"/>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资格审查</w:t>
            </w:r>
          </w:p>
          <w:p>
            <w:pPr>
              <w:adjustRightInd w:val="0"/>
              <w:spacing w:line="360" w:lineRule="auto"/>
              <w:jc w:val="center"/>
              <w:textAlignment w:val="baseline"/>
              <w:rPr>
                <w:rFonts w:ascii="宋体" w:hAnsi="宋体" w:cs="宋体"/>
                <w:szCs w:val="21"/>
              </w:rPr>
            </w:pPr>
          </w:p>
        </w:tc>
        <w:tc>
          <w:tcPr>
            <w:tcW w:w="5441" w:type="dxa"/>
            <w:vAlign w:val="center"/>
          </w:tcPr>
          <w:p>
            <w:pPr>
              <w:pStyle w:val="5"/>
              <w:numPr>
                <w:ilvl w:val="0"/>
                <w:numId w:val="36"/>
              </w:numPr>
              <w:spacing w:after="0" w:line="360" w:lineRule="auto"/>
              <w:ind w:left="0" w:leftChars="0" w:firstLine="0" w:firstLineChars="0"/>
              <w:rPr>
                <w:rFonts w:ascii="宋体" w:hAnsi="宋体" w:cs="宋体"/>
                <w:bCs/>
                <w:szCs w:val="21"/>
              </w:rPr>
            </w:pPr>
            <w:r>
              <w:rPr>
                <w:rFonts w:hint="eastAsia" w:ascii="宋体" w:hAnsi="宋体" w:cs="宋体"/>
                <w:bCs/>
                <w:szCs w:val="21"/>
              </w:rPr>
              <w:t>已通过资格预审，投标人的资格条件没有发生重大变化的（与资格预审申请时比较），可不提供资格审查资料，评审小组在评审阶段不再对投标人进行资格审查。</w:t>
            </w:r>
          </w:p>
          <w:p>
            <w:pPr>
              <w:pStyle w:val="5"/>
              <w:numPr>
                <w:ilvl w:val="0"/>
                <w:numId w:val="36"/>
              </w:numPr>
              <w:spacing w:after="0" w:line="360" w:lineRule="auto"/>
              <w:ind w:left="0" w:leftChars="0" w:firstLine="0" w:firstLineChars="0"/>
              <w:rPr>
                <w:rFonts w:ascii="宋体" w:hAnsi="宋体" w:cs="宋体"/>
                <w:bCs/>
                <w:szCs w:val="21"/>
              </w:rPr>
            </w:pPr>
            <w:r>
              <w:rPr>
                <w:rFonts w:hint="eastAsia" w:ascii="宋体" w:hAnsi="宋体" w:cs="宋体"/>
                <w:bCs/>
                <w:szCs w:val="21"/>
              </w:rPr>
              <w:t>当投标人与资格预审申请时比较，投标人的资格条件内容发生重大变化时，应提交其更新资料。评审小组依据资格预审文件规定的相应审查标准对其更新资料进行评审。有一项不符合审查标准的，投标文件将不进入下一步评审。</w:t>
            </w:r>
          </w:p>
          <w:p>
            <w:pPr>
              <w:pStyle w:val="2"/>
              <w:ind w:firstLine="0" w:firstLineChars="0"/>
              <w:rPr>
                <w:rFonts w:hint="eastAsia" w:ascii="宋体" w:hAnsi="宋体" w:cs="宋体"/>
                <w:bCs/>
              </w:rPr>
            </w:pPr>
            <w:r>
              <w:rPr>
                <w:rFonts w:hint="eastAsia" w:ascii="宋体" w:hAnsi="宋体" w:cs="宋体"/>
                <w:bCs/>
              </w:rPr>
              <w:t>注：投标人需对没有发生重大变化的资格条件内容进行承诺，发生重大变化的提交其更新资料。</w:t>
            </w:r>
          </w:p>
          <w:p>
            <w:pPr>
              <w:pStyle w:val="2"/>
              <w:ind w:firstLine="0" w:firstLineChars="0"/>
              <w:rPr>
                <w:b/>
                <w:color w:val="FF0000"/>
              </w:rPr>
            </w:pPr>
            <w:r>
              <w:rPr>
                <w:rFonts w:hint="eastAsia"/>
                <w:color w:val="FF0000"/>
              </w:rPr>
              <w:t>（3）未参加资格预审的单位，按照禹州市绿色铸造园区与陶瓷园区污水处理厂ppp项目（二次）资格预审文件规定的审查标准对投标人进行资格后审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2"/>
          <w:wAfter w:w="75" w:type="dxa"/>
          <w:trHeight w:val="562" w:hRule="atLeast"/>
          <w:jc w:val="center"/>
        </w:trPr>
        <w:tc>
          <w:tcPr>
            <w:tcW w:w="676" w:type="dxa"/>
            <w:vMerge w:val="continue"/>
            <w:vAlign w:val="center"/>
          </w:tcPr>
          <w:p/>
        </w:tc>
        <w:tc>
          <w:tcPr>
            <w:tcW w:w="709" w:type="dxa"/>
            <w:vMerge w:val="continue"/>
            <w:vAlign w:val="center"/>
          </w:tcPr>
          <w:p/>
        </w:tc>
        <w:tc>
          <w:tcPr>
            <w:tcW w:w="1559" w:type="dxa"/>
            <w:gridSpan w:val="2"/>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投标保证金</w:t>
            </w:r>
          </w:p>
        </w:tc>
        <w:tc>
          <w:tcPr>
            <w:tcW w:w="5441" w:type="dxa"/>
            <w:vAlign w:val="center"/>
          </w:tcPr>
          <w:p>
            <w:pPr>
              <w:adjustRightInd w:val="0"/>
              <w:spacing w:line="360" w:lineRule="auto"/>
              <w:jc w:val="left"/>
              <w:textAlignment w:val="baseline"/>
              <w:rPr>
                <w:rFonts w:ascii="宋体" w:hAnsi="宋体" w:cs="宋体"/>
                <w:bCs/>
                <w:szCs w:val="21"/>
              </w:rPr>
            </w:pPr>
            <w:r>
              <w:rPr>
                <w:rFonts w:hint="eastAsia" w:ascii="宋体" w:hAnsi="宋体" w:cs="宋体"/>
                <w:bCs/>
                <w:szCs w:val="21"/>
              </w:rPr>
              <w:t>符合“投标人须知前附表”第3.7.1条规定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2"/>
          <w:wAfter w:w="75" w:type="dxa"/>
          <w:trHeight w:val="562" w:hRule="atLeast"/>
          <w:jc w:val="center"/>
        </w:trPr>
        <w:tc>
          <w:tcPr>
            <w:tcW w:w="676" w:type="dxa"/>
            <w:vMerge w:val="continue"/>
            <w:vAlign w:val="center"/>
          </w:tcPr>
          <w:p/>
        </w:tc>
        <w:tc>
          <w:tcPr>
            <w:tcW w:w="709" w:type="dxa"/>
            <w:vMerge w:val="continue"/>
            <w:vAlign w:val="center"/>
          </w:tcPr>
          <w:p/>
        </w:tc>
        <w:tc>
          <w:tcPr>
            <w:tcW w:w="1559" w:type="dxa"/>
            <w:gridSpan w:val="2"/>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投标有效期</w:t>
            </w:r>
          </w:p>
        </w:tc>
        <w:tc>
          <w:tcPr>
            <w:tcW w:w="5441" w:type="dxa"/>
            <w:vAlign w:val="center"/>
          </w:tcPr>
          <w:p>
            <w:pPr>
              <w:adjustRightInd w:val="0"/>
              <w:spacing w:line="360" w:lineRule="auto"/>
              <w:jc w:val="left"/>
              <w:textAlignment w:val="baseline"/>
              <w:rPr>
                <w:rFonts w:ascii="宋体" w:hAnsi="宋体" w:cs="宋体"/>
                <w:bCs/>
                <w:szCs w:val="21"/>
              </w:rPr>
            </w:pPr>
            <w:r>
              <w:rPr>
                <w:rFonts w:hint="eastAsia" w:ascii="宋体" w:hAnsi="宋体" w:cs="宋体"/>
                <w:bCs/>
                <w:szCs w:val="21"/>
              </w:rPr>
              <w:t>符合“投标人须知前附表”第3.6.1条规定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76" w:type="dxa"/>
            <w:vMerge w:val="restart"/>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3.2</w:t>
            </w:r>
          </w:p>
        </w:tc>
        <w:tc>
          <w:tcPr>
            <w:tcW w:w="709" w:type="dxa"/>
            <w:vMerge w:val="restart"/>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符合性检查评审标准</w:t>
            </w:r>
          </w:p>
        </w:tc>
        <w:tc>
          <w:tcPr>
            <w:tcW w:w="1559" w:type="dxa"/>
            <w:gridSpan w:val="2"/>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文件签署</w:t>
            </w:r>
          </w:p>
        </w:tc>
        <w:tc>
          <w:tcPr>
            <w:tcW w:w="5516" w:type="dxa"/>
            <w:gridSpan w:val="3"/>
            <w:vAlign w:val="center"/>
          </w:tcPr>
          <w:p>
            <w:pPr>
              <w:adjustRightInd w:val="0"/>
              <w:spacing w:line="360" w:lineRule="auto"/>
              <w:jc w:val="left"/>
              <w:textAlignment w:val="baseline"/>
              <w:rPr>
                <w:rFonts w:ascii="宋体" w:hAnsi="宋体" w:cs="宋体"/>
                <w:bCs/>
                <w:szCs w:val="21"/>
              </w:rPr>
            </w:pPr>
            <w:r>
              <w:rPr>
                <w:rFonts w:hint="eastAsia" w:ascii="宋体" w:hAnsi="宋体" w:cs="宋体"/>
                <w:bCs/>
                <w:szCs w:val="21"/>
              </w:rPr>
              <w:t>符合第二章投标人须知和第六章投标文件格式要求签署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1559" w:type="dxa"/>
            <w:gridSpan w:val="2"/>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投标文件格式</w:t>
            </w:r>
          </w:p>
        </w:tc>
        <w:tc>
          <w:tcPr>
            <w:tcW w:w="5516" w:type="dxa"/>
            <w:gridSpan w:val="3"/>
            <w:vAlign w:val="center"/>
          </w:tcPr>
          <w:p>
            <w:pPr>
              <w:adjustRightInd w:val="0"/>
              <w:spacing w:line="360" w:lineRule="auto"/>
              <w:jc w:val="left"/>
              <w:textAlignment w:val="baseline"/>
              <w:rPr>
                <w:rFonts w:ascii="宋体" w:hAnsi="宋体" w:cs="宋体"/>
                <w:bCs/>
                <w:szCs w:val="21"/>
              </w:rPr>
            </w:pPr>
            <w:r>
              <w:rPr>
                <w:rFonts w:hint="eastAsia" w:ascii="宋体" w:hAnsi="宋体" w:cs="宋体"/>
                <w:bCs/>
                <w:szCs w:val="21"/>
              </w:rPr>
              <w:t>符合第六章 “投标文件格式”的要求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1559" w:type="dxa"/>
            <w:gridSpan w:val="2"/>
            <w:vAlign w:val="center"/>
          </w:tcPr>
          <w:p>
            <w:pPr>
              <w:jc w:val="center"/>
              <w:rPr>
                <w:szCs w:val="21"/>
              </w:rPr>
            </w:pPr>
            <w:r>
              <w:rPr>
                <w:szCs w:val="21"/>
              </w:rPr>
              <w:t>投标报价</w:t>
            </w:r>
          </w:p>
        </w:tc>
        <w:tc>
          <w:tcPr>
            <w:tcW w:w="5516" w:type="dxa"/>
            <w:gridSpan w:val="3"/>
            <w:vAlign w:val="center"/>
          </w:tcPr>
          <w:p>
            <w:pPr>
              <w:jc w:val="left"/>
              <w:rPr>
                <w:rFonts w:ascii="宋体" w:hAnsi="宋体" w:cs="宋体"/>
                <w:bCs/>
                <w:szCs w:val="21"/>
              </w:rPr>
            </w:pPr>
            <w:r>
              <w:rPr>
                <w:rFonts w:ascii="宋体" w:hAnsi="宋体" w:cs="宋体"/>
                <w:bCs/>
                <w:szCs w:val="21"/>
              </w:rPr>
              <w:t>符合第二章“投标人须知”第3.3条规定</w:t>
            </w:r>
            <w:r>
              <w:rPr>
                <w:rFonts w:hint="eastAsia" w:ascii="宋体" w:hAnsi="宋体" w:cs="宋体"/>
                <w:bCs/>
                <w:szCs w:val="21"/>
              </w:rPr>
              <w:t>，报价明显低于成本的按无效投标处理。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9"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1559" w:type="dxa"/>
            <w:gridSpan w:val="2"/>
            <w:vAlign w:val="center"/>
          </w:tcPr>
          <w:p>
            <w:pPr>
              <w:jc w:val="center"/>
              <w:rPr>
                <w:szCs w:val="21"/>
              </w:rPr>
            </w:pPr>
            <w:r>
              <w:rPr>
                <w:szCs w:val="21"/>
              </w:rPr>
              <w:t>联合体</w:t>
            </w:r>
          </w:p>
        </w:tc>
        <w:tc>
          <w:tcPr>
            <w:tcW w:w="5516" w:type="dxa"/>
            <w:gridSpan w:val="3"/>
            <w:vAlign w:val="center"/>
          </w:tcPr>
          <w:p>
            <w:pPr>
              <w:jc w:val="left"/>
              <w:rPr>
                <w:rFonts w:ascii="宋体" w:hAnsi="宋体" w:cs="宋体"/>
                <w:bCs/>
                <w:szCs w:val="21"/>
              </w:rPr>
            </w:pPr>
            <w:r>
              <w:rPr>
                <w:rFonts w:ascii="宋体" w:hAnsi="宋体" w:cs="宋体"/>
                <w:bCs/>
                <w:szCs w:val="21"/>
              </w:rPr>
              <w:t>提交有效的联合体协议原件，联合体协议上加盖各成员单位公章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826" w:hRule="atLeast"/>
          <w:jc w:val="center"/>
        </w:trPr>
        <w:tc>
          <w:tcPr>
            <w:tcW w:w="676" w:type="dxa"/>
            <w:vAlign w:val="center"/>
          </w:tcPr>
          <w:p>
            <w:pPr>
              <w:spacing w:line="360" w:lineRule="auto"/>
              <w:jc w:val="center"/>
              <w:rPr>
                <w:rFonts w:ascii="宋体" w:hAnsi="宋体" w:cs="宋体"/>
                <w:b/>
                <w:szCs w:val="21"/>
              </w:rPr>
            </w:pPr>
            <w:r>
              <w:rPr>
                <w:rFonts w:hint="eastAsia" w:ascii="宋体" w:hAnsi="宋体" w:cs="宋体"/>
                <w:b/>
                <w:szCs w:val="21"/>
              </w:rPr>
              <w:t>条款号</w:t>
            </w:r>
          </w:p>
        </w:tc>
        <w:tc>
          <w:tcPr>
            <w:tcW w:w="2268" w:type="dxa"/>
            <w:gridSpan w:val="3"/>
            <w:vAlign w:val="center"/>
          </w:tcPr>
          <w:p>
            <w:pPr>
              <w:spacing w:line="360" w:lineRule="auto"/>
              <w:jc w:val="center"/>
              <w:rPr>
                <w:rFonts w:ascii="宋体" w:hAnsi="宋体" w:cs="宋体"/>
                <w:b/>
                <w:szCs w:val="21"/>
              </w:rPr>
            </w:pPr>
            <w:r>
              <w:rPr>
                <w:rFonts w:hint="eastAsia" w:ascii="宋体" w:hAnsi="宋体" w:cs="宋体"/>
                <w:b/>
                <w:szCs w:val="21"/>
              </w:rPr>
              <w:t>评分因素</w:t>
            </w:r>
          </w:p>
        </w:tc>
        <w:tc>
          <w:tcPr>
            <w:tcW w:w="5491" w:type="dxa"/>
            <w:gridSpan w:val="2"/>
            <w:vAlign w:val="center"/>
          </w:tcPr>
          <w:p>
            <w:pPr>
              <w:spacing w:line="360" w:lineRule="auto"/>
              <w:jc w:val="center"/>
              <w:rPr>
                <w:rFonts w:ascii="宋体" w:hAnsi="宋体" w:cs="宋体"/>
                <w:bCs/>
                <w:szCs w:val="21"/>
              </w:rPr>
            </w:pPr>
            <w:r>
              <w:rPr>
                <w:rFonts w:hint="eastAsia" w:ascii="宋体" w:hAnsi="宋体" w:cs="宋体"/>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6" w:type="dxa"/>
            <w:vMerge w:val="restart"/>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3.3</w:t>
            </w:r>
          </w:p>
        </w:tc>
        <w:tc>
          <w:tcPr>
            <w:tcW w:w="709" w:type="dxa"/>
            <w:vMerge w:val="restart"/>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详细评审评审标准</w:t>
            </w:r>
          </w:p>
        </w:tc>
        <w:tc>
          <w:tcPr>
            <w:tcW w:w="1559" w:type="dxa"/>
            <w:gridSpan w:val="2"/>
            <w:vAlign w:val="center"/>
          </w:tcPr>
          <w:p>
            <w:pPr>
              <w:spacing w:line="360" w:lineRule="auto"/>
              <w:jc w:val="center"/>
              <w:rPr>
                <w:rFonts w:ascii="宋体" w:hAnsi="宋体" w:cs="宋体"/>
                <w:szCs w:val="21"/>
              </w:rPr>
            </w:pPr>
            <w:r>
              <w:rPr>
                <w:rFonts w:hint="eastAsia" w:ascii="宋体" w:hAnsi="宋体" w:cs="宋体"/>
                <w:szCs w:val="21"/>
              </w:rPr>
              <w:t>分值构成</w:t>
            </w:r>
          </w:p>
          <w:p>
            <w:pPr>
              <w:spacing w:line="360" w:lineRule="auto"/>
              <w:jc w:val="center"/>
              <w:rPr>
                <w:rFonts w:ascii="宋体" w:hAnsi="宋体" w:cs="宋体"/>
                <w:szCs w:val="21"/>
              </w:rPr>
            </w:pPr>
            <w:r>
              <w:rPr>
                <w:rFonts w:hint="eastAsia" w:ascii="宋体" w:hAnsi="宋体" w:cs="宋体"/>
                <w:szCs w:val="21"/>
              </w:rPr>
              <w:t>(总分100分)</w:t>
            </w:r>
          </w:p>
        </w:tc>
        <w:tc>
          <w:tcPr>
            <w:tcW w:w="5516" w:type="dxa"/>
            <w:gridSpan w:val="3"/>
            <w:vAlign w:val="center"/>
          </w:tcPr>
          <w:p>
            <w:pPr>
              <w:spacing w:line="360" w:lineRule="auto"/>
              <w:rPr>
                <w:rFonts w:ascii="宋体" w:hAnsi="宋体" w:cs="宋体"/>
                <w:bCs/>
                <w:szCs w:val="21"/>
              </w:rPr>
            </w:pPr>
            <w:r>
              <w:rPr>
                <w:rFonts w:hint="eastAsia" w:ascii="宋体" w:hAnsi="宋体" w:cs="宋体"/>
                <w:bCs/>
                <w:szCs w:val="21"/>
              </w:rPr>
              <w:t>投标价格：   30  分</w:t>
            </w:r>
          </w:p>
          <w:p>
            <w:pPr>
              <w:pStyle w:val="2"/>
              <w:spacing w:after="0"/>
              <w:ind w:firstLine="0" w:firstLineChars="0"/>
              <w:rPr>
                <w:rFonts w:ascii="宋体" w:hAnsi="宋体" w:cs="宋体"/>
                <w:bCs/>
              </w:rPr>
            </w:pPr>
            <w:r>
              <w:rPr>
                <w:rFonts w:hint="eastAsia" w:ascii="宋体" w:hAnsi="宋体" w:cs="宋体"/>
                <w:bCs/>
              </w:rPr>
              <w:t>企业实力：  20  分</w:t>
            </w:r>
          </w:p>
          <w:p>
            <w:pPr>
              <w:pStyle w:val="2"/>
              <w:spacing w:after="0"/>
              <w:ind w:firstLine="0" w:firstLineChars="0"/>
              <w:rPr>
                <w:rFonts w:ascii="宋体" w:hAnsi="宋体" w:cs="宋体"/>
                <w:bCs/>
              </w:rPr>
            </w:pPr>
            <w:r>
              <w:rPr>
                <w:rFonts w:hint="eastAsia" w:ascii="宋体" w:hAnsi="宋体" w:cs="宋体"/>
                <w:bCs/>
              </w:rPr>
              <w:t>财务方案：  10 分</w:t>
            </w:r>
          </w:p>
          <w:p>
            <w:pPr>
              <w:spacing w:line="360" w:lineRule="auto"/>
              <w:rPr>
                <w:rFonts w:ascii="宋体" w:hAnsi="宋体" w:cs="宋体"/>
                <w:bCs/>
                <w:szCs w:val="21"/>
              </w:rPr>
            </w:pPr>
            <w:r>
              <w:rPr>
                <w:rFonts w:hint="eastAsia" w:ascii="宋体" w:hAnsi="宋体" w:cs="宋体"/>
                <w:bCs/>
                <w:szCs w:val="21"/>
              </w:rPr>
              <w:t>建设和运营方案： 35分</w:t>
            </w:r>
          </w:p>
          <w:p>
            <w:pPr>
              <w:pStyle w:val="2"/>
              <w:ind w:firstLine="0" w:firstLineChars="0"/>
            </w:pPr>
            <w:r>
              <w:rPr>
                <w:rFonts w:hint="eastAsia"/>
              </w:rPr>
              <w:t>法律方案：5分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Align w:val="center"/>
          </w:tcPr>
          <w:p>
            <w:pPr>
              <w:adjustRightInd w:val="0"/>
              <w:spacing w:line="360" w:lineRule="auto"/>
              <w:jc w:val="center"/>
              <w:textAlignment w:val="baseline"/>
              <w:rPr>
                <w:rFonts w:ascii="宋体" w:hAnsi="宋体" w:cs="宋体"/>
                <w:bCs/>
                <w:szCs w:val="21"/>
              </w:rPr>
            </w:pPr>
            <w:r>
              <w:rPr>
                <w:rFonts w:hint="eastAsia" w:ascii="宋体" w:hAnsi="宋体" w:cs="宋体"/>
                <w:bCs/>
                <w:szCs w:val="21"/>
              </w:rPr>
              <w:t>投标价格（30分）</w:t>
            </w:r>
          </w:p>
        </w:tc>
        <w:tc>
          <w:tcPr>
            <w:tcW w:w="1035" w:type="dxa"/>
            <w:vAlign w:val="center"/>
          </w:tcPr>
          <w:p>
            <w:pPr>
              <w:adjustRightInd w:val="0"/>
              <w:spacing w:line="360" w:lineRule="auto"/>
              <w:jc w:val="center"/>
              <w:textAlignment w:val="baseline"/>
              <w:rPr>
                <w:rFonts w:ascii="宋体" w:hAnsi="宋体" w:cs="宋体"/>
                <w:bCs/>
                <w:szCs w:val="21"/>
              </w:rPr>
            </w:pPr>
            <w:r>
              <w:rPr>
                <w:rFonts w:ascii="宋体" w:hAnsi="宋体" w:cs="宋体"/>
                <w:bCs/>
                <w:szCs w:val="21"/>
              </w:rPr>
              <w:t>运营期</w:t>
            </w:r>
            <w:r>
              <w:rPr>
                <w:rFonts w:hint="eastAsia" w:ascii="宋体" w:hAnsi="宋体" w:cs="宋体"/>
                <w:bCs/>
                <w:szCs w:val="21"/>
              </w:rPr>
              <w:t>第一年污水处理服务费单价（30分）</w:t>
            </w:r>
          </w:p>
        </w:tc>
        <w:tc>
          <w:tcPr>
            <w:tcW w:w="5516" w:type="dxa"/>
            <w:gridSpan w:val="3"/>
            <w:vAlign w:val="center"/>
          </w:tcPr>
          <w:p>
            <w:pPr>
              <w:pStyle w:val="2"/>
              <w:ind w:firstLine="220"/>
              <w:rPr>
                <w:rFonts w:ascii="宋体" w:hAnsi="宋体" w:cs="宋体"/>
                <w:bCs/>
              </w:rPr>
            </w:pPr>
            <w:r>
              <w:rPr>
                <w:rFonts w:ascii="宋体" w:hAnsi="宋体" w:cs="宋体"/>
                <w:bCs/>
              </w:rPr>
              <w:t>满足采购文件要求且投标报价最低的投标报价为评标基准价，其投标报价得分为满分（</w:t>
            </w:r>
            <w:r>
              <w:rPr>
                <w:rFonts w:hint="eastAsia" w:ascii="宋体" w:hAnsi="宋体" w:cs="宋体"/>
                <w:bCs/>
              </w:rPr>
              <w:t>30</w:t>
            </w:r>
            <w:r>
              <w:rPr>
                <w:rFonts w:ascii="宋体" w:hAnsi="宋体" w:cs="宋体"/>
                <w:bCs/>
              </w:rPr>
              <w:t>分）；</w:t>
            </w:r>
          </w:p>
          <w:p>
            <w:pPr>
              <w:pStyle w:val="2"/>
              <w:ind w:firstLine="220"/>
              <w:rPr>
                <w:rFonts w:ascii="宋体" w:hAnsi="宋体" w:cs="宋体"/>
                <w:bCs/>
              </w:rPr>
            </w:pPr>
            <w:r>
              <w:rPr>
                <w:rFonts w:ascii="宋体" w:hAnsi="宋体" w:cs="宋体"/>
                <w:bCs/>
              </w:rPr>
              <w:t>其他投标人的价格分统一按照下列公式计算：</w:t>
            </w:r>
          </w:p>
          <w:p>
            <w:pPr>
              <w:pStyle w:val="2"/>
              <w:ind w:firstLine="220"/>
              <w:rPr>
                <w:rFonts w:ascii="宋体" w:hAnsi="宋体" w:cs="宋体"/>
                <w:bCs/>
              </w:rPr>
            </w:pPr>
            <w:r>
              <w:rPr>
                <w:rFonts w:ascii="宋体" w:hAnsi="宋体" w:cs="宋体"/>
                <w:bCs/>
              </w:rPr>
              <w:t>投标报价得分=（评标基准价/投标报价）×</w:t>
            </w:r>
            <w:r>
              <w:rPr>
                <w:rFonts w:hint="eastAsia" w:ascii="宋体" w:hAnsi="宋体" w:cs="宋体"/>
                <w:bCs/>
              </w:rPr>
              <w:t>30</w:t>
            </w:r>
          </w:p>
          <w:p>
            <w:pPr>
              <w:pStyle w:val="2"/>
              <w:spacing w:after="0"/>
              <w:ind w:firstLine="0" w:firstLineChars="0"/>
              <w:rPr>
                <w:rFonts w:ascii="宋体" w:hAnsi="宋体" w:cs="宋体"/>
                <w:bCs/>
              </w:rPr>
            </w:pPr>
            <w:r>
              <w:rPr>
                <w:rFonts w:ascii="宋体" w:hAnsi="宋体" w:cs="宋体"/>
                <w:bCs/>
              </w:rPr>
              <w:t>注：不接受零报价和低于成本报价。在评审过程中，评审小组认为投标人的投标报价明显低于其他通过符合性审查投标人的报价，有可能影响产品质量或者不能诚信履约的，将要求该投标人在评审现场规定的时间内提供书面文件予以解释说明，并提交相关证明材料；由评审小组判定该投标人的投标报价是否低于成本报价或者不能诚信履约。如该投标人不提供相关证明材料或证明材料不能证明其报价合理性、诚信履约的，评审小组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4"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restart"/>
            <w:vAlign w:val="center"/>
          </w:tcPr>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p>
          <w:p>
            <w:pPr>
              <w:adjustRightInd w:val="0"/>
              <w:textAlignment w:val="baseline"/>
              <w:rPr>
                <w:rFonts w:ascii="宋体" w:hAnsi="宋体" w:cs="宋体"/>
                <w:bCs/>
                <w:szCs w:val="21"/>
              </w:rPr>
            </w:pPr>
            <w:r>
              <w:rPr>
                <w:rFonts w:hint="eastAsia" w:ascii="宋体" w:hAnsi="宋体" w:cs="宋体"/>
                <w:bCs/>
                <w:szCs w:val="21"/>
              </w:rPr>
              <w:t>企业实力20分</w:t>
            </w:r>
          </w:p>
        </w:tc>
        <w:tc>
          <w:tcPr>
            <w:tcW w:w="1035" w:type="dxa"/>
            <w:vAlign w:val="center"/>
          </w:tcPr>
          <w:p>
            <w:pPr>
              <w:pStyle w:val="2"/>
              <w:spacing w:after="0"/>
              <w:ind w:firstLine="0" w:firstLineChars="0"/>
              <w:jc w:val="center"/>
              <w:rPr>
                <w:rFonts w:ascii="宋体" w:hAnsi="宋体" w:cs="宋体"/>
                <w:bCs/>
              </w:rPr>
            </w:pPr>
            <w:r>
              <w:rPr>
                <w:rFonts w:hint="eastAsia" w:ascii="宋体" w:hAnsi="宋体" w:cs="宋体"/>
                <w:bCs/>
              </w:rPr>
              <w:t>设计业绩2分</w:t>
            </w:r>
          </w:p>
        </w:tc>
        <w:tc>
          <w:tcPr>
            <w:tcW w:w="5516" w:type="dxa"/>
            <w:gridSpan w:val="3"/>
            <w:vAlign w:val="center"/>
          </w:tcPr>
          <w:p>
            <w:pPr>
              <w:pStyle w:val="2"/>
              <w:spacing w:after="0"/>
              <w:ind w:firstLine="0" w:firstLineChars="0"/>
              <w:rPr>
                <w:rFonts w:ascii="宋体" w:hAnsi="宋体" w:cs="宋体"/>
                <w:bCs/>
              </w:rPr>
            </w:pPr>
            <w:r>
              <w:rPr>
                <w:rFonts w:ascii="宋体" w:hAnsi="宋体" w:cs="宋体"/>
                <w:bCs/>
              </w:rPr>
              <w:t>自201</w:t>
            </w:r>
            <w:r>
              <w:rPr>
                <w:rFonts w:hint="eastAsia" w:ascii="宋体" w:hAnsi="宋体" w:cs="宋体"/>
                <w:bCs/>
              </w:rPr>
              <w:t>3</w:t>
            </w:r>
            <w:r>
              <w:rPr>
                <w:rFonts w:ascii="宋体" w:hAnsi="宋体" w:cs="宋体"/>
                <w:bCs/>
              </w:rPr>
              <w:t>年</w:t>
            </w:r>
            <w:r>
              <w:rPr>
                <w:rFonts w:hint="eastAsia" w:ascii="宋体" w:hAnsi="宋体" w:cs="宋体"/>
                <w:bCs/>
              </w:rPr>
              <w:t>9</w:t>
            </w:r>
            <w:r>
              <w:rPr>
                <w:rFonts w:ascii="宋体" w:hAnsi="宋体" w:cs="宋体"/>
                <w:bCs/>
              </w:rPr>
              <w:t>月</w:t>
            </w:r>
            <w:r>
              <w:rPr>
                <w:rFonts w:hint="eastAsia" w:ascii="宋体" w:hAnsi="宋体" w:cs="宋体"/>
                <w:bCs/>
              </w:rPr>
              <w:t>1日</w:t>
            </w:r>
            <w:r>
              <w:rPr>
                <w:rFonts w:ascii="宋体" w:hAnsi="宋体" w:cs="宋体"/>
                <w:bCs/>
              </w:rPr>
              <w:t>起至投标截止日，投标人</w:t>
            </w:r>
            <w:r>
              <w:rPr>
                <w:rFonts w:hint="eastAsia" w:ascii="宋体" w:hAnsi="宋体" w:cs="宋体"/>
                <w:bCs/>
              </w:rPr>
              <w:t>（联合体中承担设计工作的单位）</w:t>
            </w:r>
            <w:r>
              <w:rPr>
                <w:rFonts w:ascii="宋体" w:hAnsi="宋体" w:cs="宋体"/>
                <w:bCs/>
              </w:rPr>
              <w:t>承担的</w:t>
            </w:r>
            <w:r>
              <w:rPr>
                <w:rFonts w:hint="eastAsia" w:ascii="宋体" w:hAnsi="宋体" w:cs="宋体"/>
                <w:bCs/>
              </w:rPr>
              <w:t>污水处理</w:t>
            </w:r>
            <w:r>
              <w:rPr>
                <w:rFonts w:ascii="宋体" w:hAnsi="宋体" w:cs="宋体"/>
                <w:bCs/>
              </w:rPr>
              <w:t>类</w:t>
            </w:r>
            <w:r>
              <w:rPr>
                <w:rFonts w:hint="eastAsia" w:ascii="宋体" w:hAnsi="宋体" w:cs="宋体"/>
                <w:bCs/>
              </w:rPr>
              <w:t>项目设计</w:t>
            </w:r>
            <w:r>
              <w:rPr>
                <w:rFonts w:ascii="宋体" w:hAnsi="宋体" w:cs="宋体"/>
                <w:bCs/>
              </w:rPr>
              <w:t>业绩：</w:t>
            </w:r>
            <w:r>
              <w:rPr>
                <w:rFonts w:hint="eastAsia" w:ascii="宋体" w:hAnsi="宋体" w:cs="宋体"/>
                <w:bCs/>
              </w:rPr>
              <w:t>日处理规模</w:t>
            </w:r>
            <w:r>
              <w:rPr>
                <w:rFonts w:ascii="宋体" w:hAnsi="宋体" w:cs="宋体"/>
                <w:bCs/>
              </w:rPr>
              <w:t>在</w:t>
            </w:r>
            <w:r>
              <w:rPr>
                <w:rFonts w:hint="eastAsia" w:ascii="宋体" w:hAnsi="宋体" w:cs="宋体"/>
                <w:bCs/>
              </w:rPr>
              <w:t>2万立方米</w:t>
            </w:r>
            <w:r>
              <w:rPr>
                <w:rFonts w:ascii="宋体" w:hAnsi="宋体" w:cs="宋体"/>
                <w:bCs/>
              </w:rPr>
              <w:t>（</w:t>
            </w:r>
            <w:r>
              <w:rPr>
                <w:rFonts w:hint="eastAsia" w:ascii="宋体" w:hAnsi="宋体" w:cs="宋体"/>
                <w:bCs/>
              </w:rPr>
              <w:t>不</w:t>
            </w:r>
            <w:r>
              <w:rPr>
                <w:rFonts w:ascii="宋体" w:hAnsi="宋体" w:cs="宋体"/>
                <w:bCs/>
              </w:rPr>
              <w:t>含</w:t>
            </w:r>
            <w:r>
              <w:rPr>
                <w:rFonts w:hint="eastAsia" w:ascii="宋体" w:hAnsi="宋体" w:cs="宋体"/>
                <w:bCs/>
              </w:rPr>
              <w:t>2万</w:t>
            </w:r>
            <w:r>
              <w:rPr>
                <w:rFonts w:ascii="宋体" w:hAnsi="宋体" w:cs="宋体"/>
                <w:bCs/>
              </w:rPr>
              <w:t>）以上、</w:t>
            </w:r>
            <w:r>
              <w:rPr>
                <w:rFonts w:hint="eastAsia" w:ascii="宋体" w:hAnsi="宋体" w:cs="宋体"/>
                <w:bCs/>
              </w:rPr>
              <w:t>3万立方米</w:t>
            </w:r>
            <w:r>
              <w:rPr>
                <w:rFonts w:ascii="宋体" w:hAnsi="宋体" w:cs="宋体"/>
                <w:bCs/>
              </w:rPr>
              <w:t>（不含</w:t>
            </w:r>
            <w:r>
              <w:rPr>
                <w:rFonts w:hint="eastAsia" w:ascii="宋体" w:hAnsi="宋体" w:cs="宋体"/>
                <w:bCs/>
              </w:rPr>
              <w:t>3万</w:t>
            </w:r>
            <w:r>
              <w:rPr>
                <w:rFonts w:ascii="宋体" w:hAnsi="宋体" w:cs="宋体"/>
                <w:bCs/>
              </w:rPr>
              <w:t>）以下的，每个项目得</w:t>
            </w:r>
            <w:r>
              <w:rPr>
                <w:rFonts w:hint="eastAsia" w:ascii="宋体" w:hAnsi="宋体" w:cs="宋体"/>
                <w:bCs/>
              </w:rPr>
              <w:t>1</w:t>
            </w:r>
            <w:r>
              <w:rPr>
                <w:rFonts w:ascii="宋体" w:hAnsi="宋体" w:cs="宋体"/>
                <w:bCs/>
              </w:rPr>
              <w:t>分</w:t>
            </w:r>
            <w:r>
              <w:rPr>
                <w:rFonts w:hint="eastAsia" w:ascii="宋体" w:hAnsi="宋体" w:cs="宋体"/>
                <w:bCs/>
              </w:rPr>
              <w:t>,日处理规模</w:t>
            </w:r>
            <w:r>
              <w:rPr>
                <w:rFonts w:ascii="宋体" w:hAnsi="宋体" w:cs="宋体"/>
                <w:bCs/>
              </w:rPr>
              <w:t>在</w:t>
            </w:r>
            <w:r>
              <w:rPr>
                <w:rFonts w:hint="eastAsia" w:ascii="宋体" w:hAnsi="宋体" w:cs="宋体"/>
                <w:bCs/>
              </w:rPr>
              <w:t>3万立方米</w:t>
            </w:r>
            <w:r>
              <w:rPr>
                <w:rFonts w:ascii="宋体" w:hAnsi="宋体" w:cs="宋体"/>
                <w:bCs/>
              </w:rPr>
              <w:t>（含</w:t>
            </w:r>
            <w:r>
              <w:rPr>
                <w:rFonts w:hint="eastAsia" w:ascii="宋体" w:hAnsi="宋体" w:cs="宋体"/>
                <w:bCs/>
              </w:rPr>
              <w:t>3万</w:t>
            </w:r>
            <w:r>
              <w:rPr>
                <w:rFonts w:ascii="宋体" w:hAnsi="宋体" w:cs="宋体"/>
                <w:bCs/>
              </w:rPr>
              <w:t>）以</w:t>
            </w:r>
            <w:r>
              <w:rPr>
                <w:rFonts w:hint="eastAsia" w:ascii="宋体" w:hAnsi="宋体" w:cs="宋体"/>
                <w:bCs/>
              </w:rPr>
              <w:t>上</w:t>
            </w:r>
            <w:r>
              <w:rPr>
                <w:rFonts w:ascii="宋体" w:hAnsi="宋体" w:cs="宋体"/>
                <w:bCs/>
              </w:rPr>
              <w:t>的，每个项目得</w:t>
            </w:r>
            <w:r>
              <w:rPr>
                <w:rFonts w:hint="eastAsia" w:ascii="宋体" w:hAnsi="宋体" w:cs="宋体"/>
                <w:bCs/>
              </w:rPr>
              <w:t>2</w:t>
            </w:r>
            <w:r>
              <w:rPr>
                <w:rFonts w:ascii="宋体" w:hAnsi="宋体" w:cs="宋体"/>
                <w:bCs/>
              </w:rPr>
              <w:t>分</w:t>
            </w:r>
            <w:r>
              <w:rPr>
                <w:rFonts w:hint="eastAsia" w:ascii="宋体" w:hAnsi="宋体" w:cs="宋体"/>
                <w:bCs/>
              </w:rPr>
              <w:t>，此项最多得2分</w:t>
            </w:r>
            <w:r>
              <w:rPr>
                <w:rFonts w:ascii="宋体" w:hAnsi="宋体" w:cs="宋体"/>
                <w:bCs/>
              </w:rPr>
              <w:t>。</w:t>
            </w:r>
            <w:r>
              <w:rPr>
                <w:rFonts w:hint="eastAsia" w:ascii="宋体" w:hAnsi="宋体" w:cs="宋体"/>
                <w:bCs/>
              </w:rPr>
              <w:t>（业绩以签订的合同签订时间为准，须提供原件）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9"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textAlignment w:val="baseline"/>
              <w:rPr>
                <w:rFonts w:ascii="宋体" w:hAnsi="宋体" w:cs="宋体"/>
                <w:bCs/>
                <w:szCs w:val="21"/>
              </w:rPr>
            </w:pPr>
          </w:p>
        </w:tc>
        <w:tc>
          <w:tcPr>
            <w:tcW w:w="1035" w:type="dxa"/>
            <w:vAlign w:val="center"/>
          </w:tcPr>
          <w:p>
            <w:pPr>
              <w:pStyle w:val="2"/>
              <w:spacing w:after="0"/>
              <w:ind w:firstLine="0" w:firstLineChars="0"/>
              <w:jc w:val="center"/>
              <w:rPr>
                <w:rFonts w:ascii="宋体" w:hAnsi="宋体" w:cs="宋体"/>
              </w:rPr>
            </w:pPr>
            <w:r>
              <w:rPr>
                <w:rFonts w:hint="eastAsia" w:ascii="宋体" w:hAnsi="宋体" w:cs="宋体"/>
              </w:rPr>
              <w:t>施工业绩2分</w:t>
            </w:r>
          </w:p>
        </w:tc>
        <w:tc>
          <w:tcPr>
            <w:tcW w:w="5516" w:type="dxa"/>
            <w:gridSpan w:val="3"/>
            <w:vAlign w:val="center"/>
          </w:tcPr>
          <w:p>
            <w:pPr>
              <w:pStyle w:val="2"/>
              <w:ind w:firstLine="0" w:firstLineChars="0"/>
              <w:rPr>
                <w:rFonts w:ascii="宋体" w:hAnsi="宋体" w:cs="宋体"/>
                <w:bCs/>
              </w:rPr>
            </w:pPr>
            <w:r>
              <w:rPr>
                <w:rFonts w:ascii="宋体" w:hAnsi="宋体" w:cs="宋体"/>
                <w:bCs/>
              </w:rPr>
              <w:t>自201</w:t>
            </w:r>
            <w:r>
              <w:rPr>
                <w:rFonts w:hint="eastAsia" w:ascii="宋体" w:hAnsi="宋体" w:cs="宋体"/>
                <w:bCs/>
              </w:rPr>
              <w:t>3</w:t>
            </w:r>
            <w:r>
              <w:rPr>
                <w:rFonts w:ascii="宋体" w:hAnsi="宋体" w:cs="宋体"/>
                <w:bCs/>
              </w:rPr>
              <w:t>年</w:t>
            </w:r>
            <w:r>
              <w:rPr>
                <w:rFonts w:hint="eastAsia" w:ascii="宋体" w:hAnsi="宋体" w:cs="宋体"/>
                <w:bCs/>
              </w:rPr>
              <w:t>9</w:t>
            </w:r>
            <w:r>
              <w:rPr>
                <w:rFonts w:ascii="宋体" w:hAnsi="宋体" w:cs="宋体"/>
                <w:bCs/>
              </w:rPr>
              <w:t>月</w:t>
            </w:r>
            <w:r>
              <w:rPr>
                <w:rFonts w:hint="eastAsia" w:ascii="宋体" w:hAnsi="宋体" w:cs="宋体"/>
                <w:bCs/>
              </w:rPr>
              <w:t>1日</w:t>
            </w:r>
            <w:r>
              <w:rPr>
                <w:rFonts w:ascii="宋体" w:hAnsi="宋体" w:cs="宋体"/>
                <w:bCs/>
              </w:rPr>
              <w:t>起至投标截止日，投标人</w:t>
            </w:r>
            <w:r>
              <w:rPr>
                <w:rFonts w:hint="eastAsia" w:ascii="宋体" w:hAnsi="宋体" w:cs="宋体"/>
                <w:bCs/>
              </w:rPr>
              <w:t>（联合体中承担施工工作的单位）</w:t>
            </w:r>
            <w:r>
              <w:rPr>
                <w:rFonts w:ascii="宋体" w:hAnsi="宋体" w:cs="宋体"/>
                <w:bCs/>
              </w:rPr>
              <w:t>承担的</w:t>
            </w:r>
            <w:r>
              <w:rPr>
                <w:rFonts w:hint="eastAsia" w:ascii="宋体" w:hAnsi="宋体" w:cs="宋体"/>
                <w:bCs/>
              </w:rPr>
              <w:t>污水处理</w:t>
            </w:r>
            <w:r>
              <w:rPr>
                <w:rFonts w:ascii="宋体" w:hAnsi="宋体" w:cs="宋体"/>
                <w:bCs/>
              </w:rPr>
              <w:t>类</w:t>
            </w:r>
            <w:r>
              <w:rPr>
                <w:rFonts w:hint="eastAsia" w:ascii="宋体" w:hAnsi="宋体" w:cs="宋体"/>
                <w:bCs/>
              </w:rPr>
              <w:t>项目设计</w:t>
            </w:r>
            <w:r>
              <w:rPr>
                <w:rFonts w:ascii="宋体" w:hAnsi="宋体" w:cs="宋体"/>
                <w:bCs/>
              </w:rPr>
              <w:t>业绩：</w:t>
            </w:r>
            <w:r>
              <w:rPr>
                <w:rFonts w:hint="eastAsia" w:ascii="宋体" w:hAnsi="宋体" w:cs="宋体"/>
                <w:bCs/>
              </w:rPr>
              <w:t>日处理规模</w:t>
            </w:r>
            <w:r>
              <w:rPr>
                <w:rFonts w:ascii="宋体" w:hAnsi="宋体" w:cs="宋体"/>
                <w:bCs/>
              </w:rPr>
              <w:t>在</w:t>
            </w:r>
            <w:r>
              <w:rPr>
                <w:rFonts w:hint="eastAsia" w:ascii="宋体" w:hAnsi="宋体" w:cs="宋体"/>
                <w:bCs/>
              </w:rPr>
              <w:t>2万立方米</w:t>
            </w:r>
            <w:r>
              <w:rPr>
                <w:rFonts w:ascii="宋体" w:hAnsi="宋体" w:cs="宋体"/>
                <w:bCs/>
              </w:rPr>
              <w:t>（</w:t>
            </w:r>
            <w:r>
              <w:rPr>
                <w:rFonts w:hint="eastAsia" w:ascii="宋体" w:hAnsi="宋体" w:cs="宋体"/>
                <w:bCs/>
              </w:rPr>
              <w:t>不</w:t>
            </w:r>
            <w:r>
              <w:rPr>
                <w:rFonts w:ascii="宋体" w:hAnsi="宋体" w:cs="宋体"/>
                <w:bCs/>
              </w:rPr>
              <w:t>含</w:t>
            </w:r>
            <w:r>
              <w:rPr>
                <w:rFonts w:hint="eastAsia" w:ascii="宋体" w:hAnsi="宋体" w:cs="宋体"/>
                <w:bCs/>
              </w:rPr>
              <w:t>2万</w:t>
            </w:r>
            <w:r>
              <w:rPr>
                <w:rFonts w:ascii="宋体" w:hAnsi="宋体" w:cs="宋体"/>
                <w:bCs/>
              </w:rPr>
              <w:t>）以上、</w:t>
            </w:r>
            <w:r>
              <w:rPr>
                <w:rFonts w:hint="eastAsia" w:ascii="宋体" w:hAnsi="宋体" w:cs="宋体"/>
                <w:bCs/>
              </w:rPr>
              <w:t>3万立方米</w:t>
            </w:r>
            <w:r>
              <w:rPr>
                <w:rFonts w:ascii="宋体" w:hAnsi="宋体" w:cs="宋体"/>
                <w:bCs/>
              </w:rPr>
              <w:t>（不含</w:t>
            </w:r>
            <w:r>
              <w:rPr>
                <w:rFonts w:hint="eastAsia" w:ascii="宋体" w:hAnsi="宋体" w:cs="宋体"/>
                <w:bCs/>
              </w:rPr>
              <w:t>3万</w:t>
            </w:r>
            <w:r>
              <w:rPr>
                <w:rFonts w:ascii="宋体" w:hAnsi="宋体" w:cs="宋体"/>
                <w:bCs/>
              </w:rPr>
              <w:t>）以下的，每个项目得</w:t>
            </w:r>
            <w:r>
              <w:rPr>
                <w:rFonts w:hint="eastAsia" w:ascii="宋体" w:hAnsi="宋体" w:cs="宋体"/>
                <w:bCs/>
              </w:rPr>
              <w:t>1</w:t>
            </w:r>
            <w:r>
              <w:rPr>
                <w:rFonts w:ascii="宋体" w:hAnsi="宋体" w:cs="宋体"/>
                <w:bCs/>
              </w:rPr>
              <w:t>分</w:t>
            </w:r>
            <w:r>
              <w:rPr>
                <w:rFonts w:hint="eastAsia" w:ascii="宋体" w:hAnsi="宋体" w:cs="宋体"/>
                <w:bCs/>
              </w:rPr>
              <w:t>,日处理规模</w:t>
            </w:r>
            <w:r>
              <w:rPr>
                <w:rFonts w:ascii="宋体" w:hAnsi="宋体" w:cs="宋体"/>
                <w:bCs/>
              </w:rPr>
              <w:t>在</w:t>
            </w:r>
            <w:r>
              <w:rPr>
                <w:rFonts w:hint="eastAsia" w:ascii="宋体" w:hAnsi="宋体" w:cs="宋体"/>
                <w:bCs/>
              </w:rPr>
              <w:t>3万立方米</w:t>
            </w:r>
            <w:r>
              <w:rPr>
                <w:rFonts w:ascii="宋体" w:hAnsi="宋体" w:cs="宋体"/>
                <w:bCs/>
              </w:rPr>
              <w:t>（含</w:t>
            </w:r>
            <w:r>
              <w:rPr>
                <w:rFonts w:hint="eastAsia" w:ascii="宋体" w:hAnsi="宋体" w:cs="宋体"/>
                <w:bCs/>
              </w:rPr>
              <w:t>3万</w:t>
            </w:r>
            <w:r>
              <w:rPr>
                <w:rFonts w:ascii="宋体" w:hAnsi="宋体" w:cs="宋体"/>
                <w:bCs/>
              </w:rPr>
              <w:t>）以</w:t>
            </w:r>
            <w:r>
              <w:rPr>
                <w:rFonts w:hint="eastAsia" w:ascii="宋体" w:hAnsi="宋体" w:cs="宋体"/>
                <w:bCs/>
              </w:rPr>
              <w:t>上</w:t>
            </w:r>
            <w:r>
              <w:rPr>
                <w:rFonts w:ascii="宋体" w:hAnsi="宋体" w:cs="宋体"/>
                <w:bCs/>
              </w:rPr>
              <w:t>的，每个项目得</w:t>
            </w:r>
            <w:r>
              <w:rPr>
                <w:rFonts w:hint="eastAsia" w:ascii="宋体" w:hAnsi="宋体" w:cs="宋体"/>
                <w:bCs/>
              </w:rPr>
              <w:t>2</w:t>
            </w:r>
            <w:r>
              <w:rPr>
                <w:rFonts w:ascii="宋体" w:hAnsi="宋体" w:cs="宋体"/>
                <w:bCs/>
              </w:rPr>
              <w:t>分</w:t>
            </w:r>
            <w:r>
              <w:rPr>
                <w:rFonts w:hint="eastAsia" w:ascii="宋体" w:hAnsi="宋体" w:cs="宋体"/>
                <w:bCs/>
              </w:rPr>
              <w:t>，此项最多得2分</w:t>
            </w:r>
            <w:r>
              <w:rPr>
                <w:rFonts w:ascii="宋体" w:hAnsi="宋体" w:cs="宋体"/>
                <w:bCs/>
              </w:rPr>
              <w:t>。</w:t>
            </w:r>
            <w:r>
              <w:rPr>
                <w:rFonts w:hint="eastAsia" w:ascii="宋体" w:hAnsi="宋体" w:cs="宋体"/>
                <w:bCs/>
              </w:rPr>
              <w:t>（业绩以签订的合同签订时间为准，须提供原件）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1"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textAlignment w:val="baseline"/>
              <w:rPr>
                <w:rFonts w:ascii="宋体" w:hAnsi="宋体" w:cs="宋体"/>
                <w:bCs/>
                <w:szCs w:val="21"/>
              </w:rPr>
            </w:pPr>
          </w:p>
        </w:tc>
        <w:tc>
          <w:tcPr>
            <w:tcW w:w="1035" w:type="dxa"/>
            <w:vAlign w:val="center"/>
          </w:tcPr>
          <w:p>
            <w:pPr>
              <w:jc w:val="center"/>
              <w:rPr>
                <w:rFonts w:ascii="宋体" w:hAnsi="宋体" w:cs="宋体"/>
                <w:szCs w:val="21"/>
              </w:rPr>
            </w:pPr>
            <w:r>
              <w:rPr>
                <w:rFonts w:hint="eastAsia" w:ascii="宋体" w:hAnsi="宋体" w:cs="宋体"/>
                <w:szCs w:val="21"/>
              </w:rPr>
              <w:t>运营业绩4分</w:t>
            </w:r>
          </w:p>
        </w:tc>
        <w:tc>
          <w:tcPr>
            <w:tcW w:w="5516" w:type="dxa"/>
            <w:gridSpan w:val="3"/>
            <w:vAlign w:val="center"/>
          </w:tcPr>
          <w:p>
            <w:pPr>
              <w:snapToGrid w:val="0"/>
              <w:spacing w:line="360" w:lineRule="auto"/>
              <w:rPr>
                <w:rFonts w:ascii="宋体" w:hAnsi="宋体" w:cs="宋体"/>
                <w:szCs w:val="21"/>
              </w:rPr>
            </w:pPr>
            <w:r>
              <w:rPr>
                <w:rFonts w:ascii="宋体" w:hAnsi="宋体" w:cs="宋体"/>
                <w:bCs/>
                <w:szCs w:val="21"/>
              </w:rPr>
              <w:t>自201</w:t>
            </w:r>
            <w:r>
              <w:rPr>
                <w:rFonts w:hint="eastAsia" w:ascii="宋体" w:hAnsi="宋体" w:cs="宋体"/>
                <w:bCs/>
                <w:szCs w:val="21"/>
              </w:rPr>
              <w:t>3</w:t>
            </w:r>
            <w:r>
              <w:rPr>
                <w:rFonts w:ascii="宋体" w:hAnsi="宋体" w:cs="宋体"/>
                <w:bCs/>
                <w:szCs w:val="21"/>
              </w:rPr>
              <w:t>年</w:t>
            </w:r>
            <w:r>
              <w:rPr>
                <w:rFonts w:hint="eastAsia" w:ascii="宋体" w:hAnsi="宋体" w:cs="宋体"/>
                <w:bCs/>
                <w:szCs w:val="21"/>
              </w:rPr>
              <w:t>9</w:t>
            </w:r>
            <w:r>
              <w:rPr>
                <w:rFonts w:ascii="宋体" w:hAnsi="宋体" w:cs="宋体"/>
                <w:bCs/>
                <w:szCs w:val="21"/>
              </w:rPr>
              <w:t>月</w:t>
            </w:r>
            <w:r>
              <w:rPr>
                <w:rFonts w:hint="eastAsia" w:ascii="宋体" w:hAnsi="宋体" w:cs="宋体"/>
                <w:bCs/>
                <w:szCs w:val="21"/>
              </w:rPr>
              <w:t>1日</w:t>
            </w:r>
            <w:r>
              <w:rPr>
                <w:rFonts w:ascii="宋体" w:hAnsi="宋体" w:cs="宋体"/>
                <w:bCs/>
                <w:szCs w:val="21"/>
              </w:rPr>
              <w:t>起至投标截止日，投标人</w:t>
            </w:r>
            <w:r>
              <w:rPr>
                <w:rFonts w:hint="eastAsia" w:ascii="宋体" w:hAnsi="宋体" w:cs="宋体"/>
                <w:bCs/>
                <w:szCs w:val="21"/>
              </w:rPr>
              <w:t>（联合体中承担运营工作的单位）</w:t>
            </w:r>
            <w:r>
              <w:rPr>
                <w:rFonts w:ascii="宋体" w:hAnsi="宋体" w:cs="宋体"/>
                <w:bCs/>
                <w:szCs w:val="21"/>
              </w:rPr>
              <w:t>承担的</w:t>
            </w:r>
            <w:r>
              <w:rPr>
                <w:rFonts w:hint="eastAsia" w:ascii="宋体" w:hAnsi="宋体" w:cs="宋体"/>
                <w:bCs/>
                <w:szCs w:val="21"/>
              </w:rPr>
              <w:t>污水处理</w:t>
            </w:r>
            <w:r>
              <w:rPr>
                <w:rFonts w:ascii="宋体" w:hAnsi="宋体" w:cs="宋体"/>
                <w:bCs/>
                <w:szCs w:val="21"/>
              </w:rPr>
              <w:t>类</w:t>
            </w:r>
            <w:r>
              <w:rPr>
                <w:rFonts w:hint="eastAsia" w:ascii="宋体" w:hAnsi="宋体" w:cs="宋体"/>
                <w:bCs/>
                <w:szCs w:val="21"/>
              </w:rPr>
              <w:t>项目设计</w:t>
            </w:r>
            <w:r>
              <w:rPr>
                <w:rFonts w:ascii="宋体" w:hAnsi="宋体" w:cs="宋体"/>
                <w:bCs/>
                <w:szCs w:val="21"/>
              </w:rPr>
              <w:t>业绩：</w:t>
            </w:r>
            <w:r>
              <w:rPr>
                <w:rFonts w:hint="eastAsia" w:ascii="宋体" w:hAnsi="宋体" w:cs="宋体"/>
                <w:bCs/>
                <w:szCs w:val="21"/>
              </w:rPr>
              <w:t>日处理规模</w:t>
            </w:r>
            <w:r>
              <w:rPr>
                <w:rFonts w:ascii="宋体" w:hAnsi="宋体" w:cs="宋体"/>
                <w:bCs/>
                <w:szCs w:val="21"/>
              </w:rPr>
              <w:t>在</w:t>
            </w:r>
            <w:r>
              <w:rPr>
                <w:rFonts w:hint="eastAsia" w:ascii="宋体" w:hAnsi="宋体" w:cs="宋体"/>
                <w:bCs/>
                <w:szCs w:val="21"/>
              </w:rPr>
              <w:t>2万立方米</w:t>
            </w:r>
            <w:r>
              <w:rPr>
                <w:rFonts w:ascii="宋体" w:hAnsi="宋体" w:cs="宋体"/>
                <w:bCs/>
                <w:szCs w:val="21"/>
              </w:rPr>
              <w:t>（</w:t>
            </w:r>
            <w:r>
              <w:rPr>
                <w:rFonts w:hint="eastAsia" w:ascii="宋体" w:hAnsi="宋体" w:cs="宋体"/>
                <w:bCs/>
                <w:szCs w:val="21"/>
              </w:rPr>
              <w:t>不</w:t>
            </w:r>
            <w:r>
              <w:rPr>
                <w:rFonts w:ascii="宋体" w:hAnsi="宋体" w:cs="宋体"/>
                <w:bCs/>
                <w:szCs w:val="21"/>
              </w:rPr>
              <w:t>含</w:t>
            </w:r>
            <w:r>
              <w:rPr>
                <w:rFonts w:hint="eastAsia" w:ascii="宋体" w:hAnsi="宋体" w:cs="宋体"/>
                <w:bCs/>
                <w:szCs w:val="21"/>
              </w:rPr>
              <w:t>2万</w:t>
            </w:r>
            <w:r>
              <w:rPr>
                <w:rFonts w:ascii="宋体" w:hAnsi="宋体" w:cs="宋体"/>
                <w:bCs/>
                <w:szCs w:val="21"/>
              </w:rPr>
              <w:t>）以上、</w:t>
            </w:r>
            <w:r>
              <w:rPr>
                <w:rFonts w:hint="eastAsia" w:ascii="宋体" w:hAnsi="宋体" w:cs="宋体"/>
                <w:bCs/>
                <w:szCs w:val="21"/>
              </w:rPr>
              <w:t>5万立方米</w:t>
            </w:r>
            <w:r>
              <w:rPr>
                <w:rFonts w:ascii="宋体" w:hAnsi="宋体" w:cs="宋体"/>
                <w:bCs/>
                <w:szCs w:val="21"/>
              </w:rPr>
              <w:t>（不含</w:t>
            </w:r>
            <w:r>
              <w:rPr>
                <w:rFonts w:hint="eastAsia" w:ascii="宋体" w:hAnsi="宋体" w:cs="宋体"/>
                <w:bCs/>
                <w:szCs w:val="21"/>
              </w:rPr>
              <w:t>5万</w:t>
            </w:r>
            <w:r>
              <w:rPr>
                <w:rFonts w:ascii="宋体" w:hAnsi="宋体" w:cs="宋体"/>
                <w:bCs/>
                <w:szCs w:val="21"/>
              </w:rPr>
              <w:t>）以下的，每个项目得</w:t>
            </w:r>
            <w:r>
              <w:rPr>
                <w:rFonts w:hint="eastAsia" w:ascii="宋体" w:hAnsi="宋体" w:cs="宋体"/>
                <w:bCs/>
                <w:szCs w:val="21"/>
              </w:rPr>
              <w:t>2</w:t>
            </w:r>
            <w:r>
              <w:rPr>
                <w:rFonts w:ascii="宋体" w:hAnsi="宋体" w:cs="宋体"/>
                <w:bCs/>
                <w:szCs w:val="21"/>
              </w:rPr>
              <w:t>分</w:t>
            </w:r>
            <w:r>
              <w:rPr>
                <w:rFonts w:hint="eastAsia" w:ascii="宋体" w:hAnsi="宋体" w:cs="宋体"/>
                <w:bCs/>
                <w:szCs w:val="21"/>
              </w:rPr>
              <w:t>,日处理规模</w:t>
            </w:r>
            <w:r>
              <w:rPr>
                <w:rFonts w:ascii="宋体" w:hAnsi="宋体" w:cs="宋体"/>
                <w:bCs/>
                <w:szCs w:val="21"/>
              </w:rPr>
              <w:t>在</w:t>
            </w:r>
            <w:r>
              <w:rPr>
                <w:rFonts w:hint="eastAsia" w:ascii="宋体" w:hAnsi="宋体" w:cs="宋体"/>
                <w:bCs/>
                <w:szCs w:val="21"/>
              </w:rPr>
              <w:t>5万立方米</w:t>
            </w:r>
            <w:r>
              <w:rPr>
                <w:rFonts w:ascii="宋体" w:hAnsi="宋体" w:cs="宋体"/>
                <w:bCs/>
                <w:szCs w:val="21"/>
              </w:rPr>
              <w:t>（含</w:t>
            </w:r>
            <w:r>
              <w:rPr>
                <w:rFonts w:hint="eastAsia" w:ascii="宋体" w:hAnsi="宋体" w:cs="宋体"/>
                <w:bCs/>
                <w:szCs w:val="21"/>
              </w:rPr>
              <w:t>5万</w:t>
            </w:r>
            <w:r>
              <w:rPr>
                <w:rFonts w:ascii="宋体" w:hAnsi="宋体" w:cs="宋体"/>
                <w:bCs/>
                <w:szCs w:val="21"/>
              </w:rPr>
              <w:t>）以</w:t>
            </w:r>
            <w:r>
              <w:rPr>
                <w:rFonts w:hint="eastAsia" w:ascii="宋体" w:hAnsi="宋体" w:cs="宋体"/>
                <w:bCs/>
                <w:szCs w:val="21"/>
              </w:rPr>
              <w:t>上</w:t>
            </w:r>
            <w:r>
              <w:rPr>
                <w:rFonts w:ascii="宋体" w:hAnsi="宋体" w:cs="宋体"/>
                <w:bCs/>
                <w:szCs w:val="21"/>
              </w:rPr>
              <w:t>的，每个项目得</w:t>
            </w:r>
            <w:r>
              <w:rPr>
                <w:rFonts w:hint="eastAsia" w:ascii="宋体" w:hAnsi="宋体" w:cs="宋体"/>
                <w:bCs/>
                <w:szCs w:val="21"/>
              </w:rPr>
              <w:t>4</w:t>
            </w:r>
            <w:r>
              <w:rPr>
                <w:rFonts w:ascii="宋体" w:hAnsi="宋体" w:cs="宋体"/>
                <w:bCs/>
                <w:szCs w:val="21"/>
              </w:rPr>
              <w:t>分</w:t>
            </w:r>
            <w:r>
              <w:rPr>
                <w:rFonts w:hint="eastAsia" w:ascii="宋体" w:hAnsi="宋体" w:cs="宋体"/>
                <w:bCs/>
                <w:szCs w:val="21"/>
              </w:rPr>
              <w:t>,</w:t>
            </w:r>
            <w:r>
              <w:rPr>
                <w:rFonts w:ascii="宋体" w:hAnsi="宋体" w:cs="宋体"/>
                <w:bCs/>
                <w:szCs w:val="21"/>
              </w:rPr>
              <w:t>此项最高得</w:t>
            </w:r>
            <w:r>
              <w:rPr>
                <w:rFonts w:hint="eastAsia" w:ascii="宋体" w:hAnsi="宋体" w:cs="宋体"/>
                <w:bCs/>
                <w:szCs w:val="21"/>
              </w:rPr>
              <w:t>4</w:t>
            </w:r>
            <w:r>
              <w:rPr>
                <w:rFonts w:ascii="宋体" w:hAnsi="宋体" w:cs="宋体"/>
                <w:bCs/>
                <w:szCs w:val="21"/>
              </w:rPr>
              <w:t>分。</w:t>
            </w:r>
            <w:r>
              <w:rPr>
                <w:rFonts w:hint="eastAsia" w:ascii="宋体" w:hAnsi="宋体" w:cs="宋体"/>
                <w:bCs/>
                <w:szCs w:val="21"/>
              </w:rPr>
              <w:t>（业绩以签订的合同签订时间为准，须提供原件）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PPP或EPC业绩4分</w:t>
            </w:r>
          </w:p>
        </w:tc>
        <w:tc>
          <w:tcPr>
            <w:tcW w:w="5516" w:type="dxa"/>
            <w:gridSpan w:val="3"/>
            <w:vAlign w:val="center"/>
          </w:tcPr>
          <w:p>
            <w:pPr>
              <w:pStyle w:val="2"/>
              <w:spacing w:after="0"/>
              <w:ind w:firstLine="0" w:firstLineChars="0"/>
              <w:rPr>
                <w:rFonts w:ascii="宋体" w:hAnsi="宋体" w:cs="宋体"/>
                <w:bCs/>
              </w:rPr>
            </w:pPr>
            <w:r>
              <w:rPr>
                <w:rFonts w:ascii="宋体" w:hAnsi="宋体" w:cs="宋体"/>
                <w:bCs/>
              </w:rPr>
              <w:t>自201</w:t>
            </w:r>
            <w:r>
              <w:rPr>
                <w:rFonts w:hint="eastAsia" w:ascii="宋体" w:hAnsi="宋体" w:cs="宋体"/>
                <w:bCs/>
              </w:rPr>
              <w:t>3</w:t>
            </w:r>
            <w:r>
              <w:rPr>
                <w:rFonts w:ascii="宋体" w:hAnsi="宋体" w:cs="宋体"/>
                <w:bCs/>
              </w:rPr>
              <w:t>年</w:t>
            </w:r>
            <w:r>
              <w:rPr>
                <w:rFonts w:hint="eastAsia" w:ascii="宋体" w:hAnsi="宋体" w:cs="宋体"/>
                <w:bCs/>
              </w:rPr>
              <w:t>9</w:t>
            </w:r>
            <w:r>
              <w:rPr>
                <w:rFonts w:ascii="宋体" w:hAnsi="宋体" w:cs="宋体"/>
                <w:bCs/>
              </w:rPr>
              <w:t>月</w:t>
            </w:r>
            <w:r>
              <w:rPr>
                <w:rFonts w:hint="eastAsia" w:ascii="宋体" w:hAnsi="宋体" w:cs="宋体"/>
                <w:bCs/>
              </w:rPr>
              <w:t>1日</w:t>
            </w:r>
            <w:r>
              <w:rPr>
                <w:rFonts w:ascii="宋体" w:hAnsi="宋体" w:cs="宋体"/>
                <w:bCs/>
              </w:rPr>
              <w:t>起至投标截止日，投标人</w:t>
            </w:r>
            <w:r>
              <w:rPr>
                <w:rFonts w:hint="eastAsia" w:ascii="宋体" w:hAnsi="宋体" w:cs="宋体"/>
                <w:bCs/>
              </w:rPr>
              <w:t>（联合体中任一单位）</w:t>
            </w:r>
            <w:r>
              <w:rPr>
                <w:rFonts w:ascii="宋体" w:hAnsi="宋体" w:cs="宋体"/>
                <w:bCs/>
              </w:rPr>
              <w:t>承担的</w:t>
            </w:r>
            <w:r>
              <w:rPr>
                <w:rFonts w:hint="eastAsia" w:ascii="宋体" w:hAnsi="宋体" w:cs="宋体"/>
                <w:bCs/>
              </w:rPr>
              <w:t>污水处理</w:t>
            </w:r>
            <w:r>
              <w:rPr>
                <w:rFonts w:ascii="宋体" w:hAnsi="宋体" w:cs="宋体"/>
                <w:bCs/>
              </w:rPr>
              <w:t>类</w:t>
            </w:r>
            <w:r>
              <w:rPr>
                <w:rFonts w:hint="eastAsia" w:ascii="宋体" w:hAnsi="宋体" w:cs="宋体"/>
                <w:bCs/>
              </w:rPr>
              <w:t>项目设计</w:t>
            </w:r>
            <w:r>
              <w:rPr>
                <w:rFonts w:ascii="宋体" w:hAnsi="宋体" w:cs="宋体"/>
                <w:bCs/>
              </w:rPr>
              <w:t>业绩：</w:t>
            </w:r>
            <w:r>
              <w:rPr>
                <w:rFonts w:hint="eastAsia" w:ascii="宋体" w:hAnsi="宋体" w:cs="宋体"/>
                <w:bCs/>
              </w:rPr>
              <w:t>日处理规模</w:t>
            </w:r>
            <w:r>
              <w:rPr>
                <w:rFonts w:ascii="宋体" w:hAnsi="宋体" w:cs="宋体"/>
                <w:bCs/>
              </w:rPr>
              <w:t>在</w:t>
            </w:r>
            <w:r>
              <w:rPr>
                <w:rFonts w:hint="eastAsia" w:ascii="宋体" w:hAnsi="宋体" w:cs="宋体"/>
                <w:bCs/>
              </w:rPr>
              <w:t>2万立方米</w:t>
            </w:r>
            <w:r>
              <w:rPr>
                <w:rFonts w:ascii="宋体" w:hAnsi="宋体" w:cs="宋体"/>
                <w:bCs/>
              </w:rPr>
              <w:t>（</w:t>
            </w:r>
            <w:r>
              <w:rPr>
                <w:rFonts w:hint="eastAsia" w:ascii="宋体" w:hAnsi="宋体" w:cs="宋体"/>
                <w:bCs/>
              </w:rPr>
              <w:t>不</w:t>
            </w:r>
            <w:r>
              <w:rPr>
                <w:rFonts w:ascii="宋体" w:hAnsi="宋体" w:cs="宋体"/>
                <w:bCs/>
              </w:rPr>
              <w:t>含</w:t>
            </w:r>
            <w:r>
              <w:rPr>
                <w:rFonts w:hint="eastAsia" w:ascii="宋体" w:hAnsi="宋体" w:cs="宋体"/>
                <w:bCs/>
              </w:rPr>
              <w:t>2万</w:t>
            </w:r>
            <w:r>
              <w:rPr>
                <w:rFonts w:ascii="宋体" w:hAnsi="宋体" w:cs="宋体"/>
                <w:bCs/>
              </w:rPr>
              <w:t>）以上、</w:t>
            </w:r>
            <w:r>
              <w:rPr>
                <w:rFonts w:hint="eastAsia" w:ascii="宋体" w:hAnsi="宋体" w:cs="宋体"/>
                <w:bCs/>
              </w:rPr>
              <w:t>3万立方米</w:t>
            </w:r>
            <w:r>
              <w:rPr>
                <w:rFonts w:ascii="宋体" w:hAnsi="宋体" w:cs="宋体"/>
                <w:bCs/>
              </w:rPr>
              <w:t>（不含</w:t>
            </w:r>
            <w:r>
              <w:rPr>
                <w:rFonts w:hint="eastAsia" w:ascii="宋体" w:hAnsi="宋体" w:cs="宋体"/>
                <w:bCs/>
              </w:rPr>
              <w:t>3万</w:t>
            </w:r>
            <w:r>
              <w:rPr>
                <w:rFonts w:ascii="宋体" w:hAnsi="宋体" w:cs="宋体"/>
                <w:bCs/>
              </w:rPr>
              <w:t>）以下的，每个项目得</w:t>
            </w:r>
            <w:r>
              <w:rPr>
                <w:rFonts w:hint="eastAsia" w:ascii="宋体" w:hAnsi="宋体" w:cs="宋体"/>
                <w:bCs/>
              </w:rPr>
              <w:t>2</w:t>
            </w:r>
            <w:r>
              <w:rPr>
                <w:rFonts w:ascii="宋体" w:hAnsi="宋体" w:cs="宋体"/>
                <w:bCs/>
              </w:rPr>
              <w:t>分；</w:t>
            </w:r>
            <w:r>
              <w:rPr>
                <w:rFonts w:hint="eastAsia" w:ascii="宋体" w:hAnsi="宋体" w:cs="宋体"/>
                <w:bCs/>
              </w:rPr>
              <w:t>日处理规模</w:t>
            </w:r>
            <w:r>
              <w:rPr>
                <w:rFonts w:ascii="宋体" w:hAnsi="宋体" w:cs="宋体"/>
                <w:bCs/>
              </w:rPr>
              <w:t>在</w:t>
            </w:r>
            <w:r>
              <w:rPr>
                <w:rFonts w:hint="eastAsia" w:ascii="宋体" w:hAnsi="宋体" w:cs="宋体"/>
                <w:bCs/>
              </w:rPr>
              <w:t>3万立方米</w:t>
            </w:r>
            <w:r>
              <w:rPr>
                <w:rFonts w:ascii="宋体" w:hAnsi="宋体" w:cs="宋体"/>
                <w:bCs/>
              </w:rPr>
              <w:t>（含</w:t>
            </w:r>
            <w:r>
              <w:rPr>
                <w:rFonts w:hint="eastAsia" w:ascii="宋体" w:hAnsi="宋体" w:cs="宋体"/>
                <w:bCs/>
              </w:rPr>
              <w:t>3万</w:t>
            </w:r>
            <w:r>
              <w:rPr>
                <w:rFonts w:ascii="宋体" w:hAnsi="宋体" w:cs="宋体"/>
                <w:bCs/>
              </w:rPr>
              <w:t>）以</w:t>
            </w:r>
            <w:r>
              <w:rPr>
                <w:rFonts w:hint="eastAsia" w:ascii="宋体" w:hAnsi="宋体" w:cs="宋体"/>
                <w:bCs/>
              </w:rPr>
              <w:t>上</w:t>
            </w:r>
            <w:r>
              <w:rPr>
                <w:rFonts w:ascii="宋体" w:hAnsi="宋体" w:cs="宋体"/>
                <w:bCs/>
              </w:rPr>
              <w:t>的，每个项目得</w:t>
            </w:r>
            <w:r>
              <w:rPr>
                <w:rFonts w:hint="eastAsia" w:ascii="宋体" w:hAnsi="宋体" w:cs="宋体"/>
                <w:bCs/>
              </w:rPr>
              <w:t>4</w:t>
            </w:r>
            <w:r>
              <w:rPr>
                <w:rFonts w:ascii="宋体" w:hAnsi="宋体" w:cs="宋体"/>
                <w:bCs/>
              </w:rPr>
              <w:t>分</w:t>
            </w:r>
            <w:r>
              <w:rPr>
                <w:rFonts w:hint="eastAsia" w:ascii="宋体" w:hAnsi="宋体" w:cs="宋体"/>
                <w:bCs/>
              </w:rPr>
              <w:t>,</w:t>
            </w:r>
            <w:r>
              <w:rPr>
                <w:rFonts w:ascii="宋体" w:hAnsi="宋体" w:cs="宋体"/>
                <w:bCs/>
              </w:rPr>
              <w:t>此项最高得</w:t>
            </w:r>
            <w:r>
              <w:rPr>
                <w:rFonts w:hint="eastAsia" w:ascii="宋体" w:hAnsi="宋体" w:cs="宋体"/>
                <w:bCs/>
              </w:rPr>
              <w:t>4</w:t>
            </w:r>
            <w:r>
              <w:rPr>
                <w:rFonts w:ascii="宋体" w:hAnsi="宋体" w:cs="宋体"/>
                <w:bCs/>
              </w:rPr>
              <w:t>分。</w:t>
            </w:r>
            <w:r>
              <w:rPr>
                <w:rFonts w:hint="eastAsia" w:ascii="宋体" w:hAnsi="宋体" w:cs="宋体"/>
                <w:bCs/>
              </w:rPr>
              <w:t>（业绩以签订的合同签订时间为准，须提供原件）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1"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企业管理体系3分</w:t>
            </w:r>
          </w:p>
        </w:tc>
        <w:tc>
          <w:tcPr>
            <w:tcW w:w="5516" w:type="dxa"/>
            <w:gridSpan w:val="3"/>
            <w:vAlign w:val="center"/>
          </w:tcPr>
          <w:p>
            <w:pPr>
              <w:pStyle w:val="2"/>
              <w:ind w:firstLine="220"/>
              <w:rPr>
                <w:rFonts w:ascii="宋体" w:hAnsi="宋体" w:cs="宋体"/>
                <w:bCs/>
              </w:rPr>
            </w:pPr>
            <w:r>
              <w:rPr>
                <w:rFonts w:hint="eastAsia" w:ascii="宋体" w:hAnsi="宋体" w:cs="宋体"/>
                <w:bCs/>
              </w:rPr>
              <w:t>投标人具备完善的管理体系，通过ISO9001质量管理体系、ISO14000环境管理体系、OHSAS18000职业健康安全管理体系认证的，得3分，每少一项认证扣1分。</w:t>
            </w:r>
          </w:p>
          <w:p>
            <w:pPr>
              <w:pStyle w:val="2"/>
              <w:spacing w:after="0"/>
              <w:ind w:firstLine="0" w:firstLineChars="0"/>
              <w:rPr>
                <w:rFonts w:ascii="宋体" w:hAnsi="宋体" w:cs="宋体"/>
                <w:bCs/>
              </w:rPr>
            </w:pPr>
            <w:r>
              <w:rPr>
                <w:rFonts w:hint="eastAsia" w:ascii="宋体" w:hAnsi="宋体" w:cs="宋体"/>
                <w:bCs/>
              </w:rPr>
              <w:t>（投标人或联合体牵头人提供原件者得分）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专业人员3分</w:t>
            </w:r>
          </w:p>
        </w:tc>
        <w:tc>
          <w:tcPr>
            <w:tcW w:w="5516" w:type="dxa"/>
            <w:gridSpan w:val="3"/>
            <w:vAlign w:val="center"/>
          </w:tcPr>
          <w:p>
            <w:pPr>
              <w:pStyle w:val="2"/>
              <w:ind w:firstLine="220"/>
              <w:rPr>
                <w:rFonts w:ascii="宋体" w:hAnsi="宋体" w:cs="宋体"/>
                <w:bCs/>
              </w:rPr>
            </w:pPr>
            <w:r>
              <w:rPr>
                <w:rFonts w:hint="eastAsia" w:ascii="宋体" w:hAnsi="宋体" w:cs="宋体"/>
                <w:bCs/>
              </w:rPr>
              <w:t>投标人的专业人员，主要人员具有注册环保工程师、注册一级建造师、注册机电工程师，每个得1分，最高得3分。</w:t>
            </w:r>
          </w:p>
          <w:p>
            <w:pPr>
              <w:pStyle w:val="2"/>
              <w:spacing w:after="0"/>
              <w:ind w:firstLine="0" w:firstLineChars="0"/>
              <w:rPr>
                <w:rFonts w:ascii="宋体" w:hAnsi="宋体" w:cs="宋体"/>
                <w:bCs/>
              </w:rPr>
            </w:pPr>
            <w:r>
              <w:rPr>
                <w:rFonts w:ascii="宋体" w:hAnsi="宋体" w:cs="宋体"/>
                <w:bCs/>
              </w:rPr>
              <w:t>注：须提供</w:t>
            </w:r>
            <w:r>
              <w:rPr>
                <w:rFonts w:hint="eastAsia" w:ascii="宋体" w:hAnsi="宋体" w:cs="宋体"/>
                <w:bCs/>
              </w:rPr>
              <w:t>证书原件及单位社保缴纳证明，</w:t>
            </w:r>
            <w:r>
              <w:rPr>
                <w:rFonts w:ascii="宋体" w:hAnsi="宋体" w:cs="宋体"/>
                <w:bCs/>
              </w:rPr>
              <w:t>原件备查</w:t>
            </w:r>
            <w:r>
              <w:rPr>
                <w:rFonts w:hint="eastAsia" w:ascii="宋体" w:hAnsi="宋体" w:cs="宋体"/>
                <w:bCs/>
              </w:rPr>
              <w:t>，项目负责人的一级建造师不再加分</w:t>
            </w:r>
            <w:r>
              <w:rPr>
                <w:rFonts w:ascii="宋体" w:hAnsi="宋体" w:cs="宋体"/>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jc w:val="center"/>
              <w:rPr>
                <w:rFonts w:ascii="宋体" w:hAnsi="宋体"/>
                <w:kern w:val="0"/>
                <w:szCs w:val="21"/>
              </w:rPr>
            </w:pPr>
            <w:r>
              <w:rPr>
                <w:rFonts w:hint="eastAsia" w:ascii="宋体" w:hAnsi="宋体"/>
                <w:kern w:val="0"/>
                <w:szCs w:val="21"/>
              </w:rPr>
              <w:t>企业信誉1分</w:t>
            </w:r>
          </w:p>
        </w:tc>
        <w:tc>
          <w:tcPr>
            <w:tcW w:w="5516" w:type="dxa"/>
            <w:gridSpan w:val="3"/>
            <w:vAlign w:val="center"/>
          </w:tcPr>
          <w:p>
            <w:pPr>
              <w:rPr>
                <w:rFonts w:ascii="宋体" w:hAnsi="宋体"/>
                <w:szCs w:val="21"/>
              </w:rPr>
            </w:pPr>
            <w:r>
              <w:rPr>
                <w:rFonts w:hint="eastAsia" w:ascii="宋体" w:hAnsi="宋体"/>
                <w:kern w:val="0"/>
                <w:szCs w:val="21"/>
              </w:rPr>
              <w:t>投标人具备守合同重信用的良好信誉，</w:t>
            </w:r>
            <w:r>
              <w:rPr>
                <w:rFonts w:ascii="宋体" w:hAnsi="宋体"/>
                <w:kern w:val="0"/>
                <w:szCs w:val="21"/>
              </w:rPr>
              <w:t>201</w:t>
            </w:r>
            <w:r>
              <w:rPr>
                <w:rFonts w:hint="eastAsia" w:ascii="宋体" w:hAnsi="宋体"/>
                <w:kern w:val="0"/>
                <w:szCs w:val="21"/>
              </w:rPr>
              <w:t>3</w:t>
            </w:r>
            <w:r>
              <w:rPr>
                <w:rFonts w:ascii="宋体" w:hAnsi="宋体"/>
                <w:kern w:val="0"/>
                <w:szCs w:val="21"/>
              </w:rPr>
              <w:t>年</w:t>
            </w:r>
            <w:r>
              <w:rPr>
                <w:rFonts w:hint="eastAsia" w:ascii="宋体" w:hAnsi="宋体"/>
                <w:kern w:val="0"/>
                <w:szCs w:val="21"/>
              </w:rPr>
              <w:t>以来获得省级认定的，每个得0.5分,获得国家级认定的，得1分,此项最多得1分。</w:t>
            </w:r>
            <w:r>
              <w:rPr>
                <w:rFonts w:hint="eastAsia" w:ascii="宋体" w:hAnsi="宋体"/>
                <w:bCs/>
                <w:kern w:val="0"/>
                <w:szCs w:val="21"/>
              </w:rPr>
              <w:t>（投标人或联合体牵头人提供原件者得分）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rPr>
                <w:rFonts w:ascii="宋体" w:hAnsi="宋体"/>
                <w:kern w:val="0"/>
                <w:szCs w:val="21"/>
              </w:rPr>
            </w:pPr>
            <w:r>
              <w:rPr>
                <w:rFonts w:hint="eastAsia" w:ascii="宋体" w:hAnsi="宋体"/>
                <w:kern w:val="0"/>
                <w:szCs w:val="21"/>
              </w:rPr>
              <w:t>技术实力1分</w:t>
            </w:r>
          </w:p>
        </w:tc>
        <w:tc>
          <w:tcPr>
            <w:tcW w:w="5516" w:type="dxa"/>
            <w:gridSpan w:val="3"/>
            <w:vAlign w:val="center"/>
          </w:tcPr>
          <w:p>
            <w:pPr>
              <w:pStyle w:val="2"/>
              <w:spacing w:line="240" w:lineRule="auto"/>
              <w:ind w:firstLine="220"/>
              <w:rPr>
                <w:rFonts w:ascii="宋体" w:hAnsi="宋体"/>
                <w:kern w:val="0"/>
              </w:rPr>
            </w:pPr>
            <w:r>
              <w:rPr>
                <w:rFonts w:ascii="宋体" w:hAnsi="宋体"/>
                <w:kern w:val="0"/>
              </w:rPr>
              <w:t>自201</w:t>
            </w:r>
            <w:r>
              <w:rPr>
                <w:rFonts w:hint="eastAsia" w:ascii="宋体" w:hAnsi="宋体"/>
                <w:kern w:val="0"/>
              </w:rPr>
              <w:t>3</w:t>
            </w:r>
            <w:r>
              <w:rPr>
                <w:rFonts w:ascii="宋体" w:hAnsi="宋体"/>
                <w:kern w:val="0"/>
              </w:rPr>
              <w:t>年</w:t>
            </w:r>
            <w:r>
              <w:rPr>
                <w:rFonts w:hint="eastAsia" w:ascii="宋体" w:hAnsi="宋体"/>
                <w:kern w:val="0"/>
              </w:rPr>
              <w:t>9</w:t>
            </w:r>
            <w:r>
              <w:rPr>
                <w:rFonts w:ascii="宋体" w:hAnsi="宋体"/>
                <w:kern w:val="0"/>
              </w:rPr>
              <w:t>月</w:t>
            </w:r>
            <w:r>
              <w:rPr>
                <w:rFonts w:hint="eastAsia" w:ascii="宋体" w:hAnsi="宋体"/>
                <w:kern w:val="0"/>
              </w:rPr>
              <w:t>1日</w:t>
            </w:r>
            <w:r>
              <w:rPr>
                <w:rFonts w:ascii="宋体" w:hAnsi="宋体"/>
                <w:kern w:val="0"/>
              </w:rPr>
              <w:t>至投标截止日，投标人</w:t>
            </w:r>
            <w:r>
              <w:rPr>
                <w:rFonts w:hint="eastAsia" w:ascii="宋体" w:hAnsi="宋体"/>
                <w:kern w:val="0"/>
              </w:rPr>
              <w:t>或联合体成员</w:t>
            </w:r>
            <w:r>
              <w:rPr>
                <w:rFonts w:ascii="宋体" w:hAnsi="宋体"/>
                <w:kern w:val="0"/>
              </w:rPr>
              <w:t>具备</w:t>
            </w:r>
            <w:r>
              <w:rPr>
                <w:rFonts w:hint="eastAsia" w:ascii="宋体" w:hAnsi="宋体"/>
                <w:kern w:val="0"/>
              </w:rPr>
              <w:t>污水处理</w:t>
            </w:r>
            <w:r>
              <w:rPr>
                <w:rFonts w:ascii="宋体" w:hAnsi="宋体"/>
                <w:kern w:val="0"/>
              </w:rPr>
              <w:t>领域技术开发能力，获得过</w:t>
            </w:r>
            <w:r>
              <w:rPr>
                <w:rFonts w:hint="eastAsia" w:ascii="宋体" w:hAnsi="宋体"/>
                <w:kern w:val="0"/>
              </w:rPr>
              <w:t>国家、省部级相关奖项的（含设计、施工、运营、EPC）</w:t>
            </w:r>
            <w:r>
              <w:rPr>
                <w:rFonts w:ascii="宋体" w:hAnsi="宋体"/>
                <w:kern w:val="0"/>
              </w:rPr>
              <w:t>，每项得</w:t>
            </w:r>
            <w:r>
              <w:rPr>
                <w:rFonts w:hint="eastAsia" w:ascii="宋体" w:hAnsi="宋体"/>
                <w:kern w:val="0"/>
              </w:rPr>
              <w:t>0.5</w:t>
            </w:r>
            <w:r>
              <w:rPr>
                <w:rFonts w:ascii="宋体" w:hAnsi="宋体"/>
                <w:kern w:val="0"/>
              </w:rPr>
              <w:t>分，此项最高得</w:t>
            </w:r>
            <w:r>
              <w:rPr>
                <w:rFonts w:hint="eastAsia" w:ascii="宋体" w:hAnsi="宋体"/>
                <w:kern w:val="0"/>
              </w:rPr>
              <w:t>1</w:t>
            </w:r>
            <w:r>
              <w:rPr>
                <w:rFonts w:ascii="宋体" w:hAnsi="宋体"/>
                <w:kern w:val="0"/>
              </w:rPr>
              <w:t>分。</w:t>
            </w:r>
          </w:p>
          <w:p>
            <w:pPr>
              <w:pStyle w:val="2"/>
              <w:spacing w:line="240" w:lineRule="auto"/>
              <w:ind w:firstLine="220"/>
              <w:rPr>
                <w:rFonts w:ascii="宋体" w:hAnsi="宋体"/>
                <w:kern w:val="0"/>
              </w:rPr>
            </w:pPr>
            <w:r>
              <w:rPr>
                <w:rFonts w:ascii="宋体" w:hAnsi="宋体"/>
                <w:kern w:val="0"/>
              </w:rPr>
              <w:t>注：须提供获奖证书原件。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7075" w:type="dxa"/>
            <w:gridSpan w:val="5"/>
            <w:vAlign w:val="center"/>
          </w:tcPr>
          <w:p>
            <w:pPr>
              <w:pStyle w:val="2"/>
              <w:spacing w:line="240" w:lineRule="auto"/>
              <w:ind w:firstLine="221"/>
              <w:rPr>
                <w:rFonts w:ascii="宋体" w:hAnsi="宋体"/>
                <w:b/>
                <w:kern w:val="0"/>
              </w:rPr>
            </w:pPr>
            <w:r>
              <w:rPr>
                <w:rFonts w:hint="eastAsia" w:ascii="宋体" w:hAnsi="宋体"/>
                <w:b/>
                <w:kern w:val="0"/>
              </w:rPr>
              <w:t>备注：企业实力涉及到的业绩、证书、同一个项目只能按照得分较高的计算一次，不可累计计算。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1"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restart"/>
            <w:vAlign w:val="center"/>
          </w:tcPr>
          <w:p>
            <w:pPr>
              <w:pStyle w:val="2"/>
              <w:spacing w:after="0"/>
              <w:ind w:firstLine="0" w:firstLineChars="0"/>
              <w:rPr>
                <w:rFonts w:ascii="宋体" w:hAnsi="宋体" w:cs="宋体"/>
                <w:bCs/>
              </w:rPr>
            </w:pPr>
            <w:r>
              <w:rPr>
                <w:rFonts w:hint="eastAsia" w:ascii="宋体" w:hAnsi="宋体" w:cs="宋体"/>
                <w:bCs/>
              </w:rPr>
              <w:t>建设</w:t>
            </w:r>
            <w:r>
              <w:rPr>
                <w:rFonts w:ascii="宋体" w:hAnsi="宋体" w:cs="宋体"/>
                <w:bCs/>
              </w:rPr>
              <w:t>运营</w:t>
            </w:r>
            <w:r>
              <w:rPr>
                <w:rFonts w:hint="eastAsia" w:ascii="宋体" w:hAnsi="宋体" w:cs="宋体"/>
                <w:bCs/>
              </w:rPr>
              <w:t>方案</w:t>
            </w:r>
            <w:r>
              <w:rPr>
                <w:rFonts w:ascii="宋体" w:hAnsi="宋体" w:cs="宋体"/>
                <w:bCs/>
              </w:rPr>
              <w:t>设计</w:t>
            </w:r>
            <w:r>
              <w:rPr>
                <w:rFonts w:hint="eastAsia" w:ascii="宋体" w:hAnsi="宋体" w:cs="宋体"/>
                <w:bCs/>
              </w:rPr>
              <w:t>35分</w:t>
            </w:r>
          </w:p>
        </w:tc>
        <w:tc>
          <w:tcPr>
            <w:tcW w:w="1035" w:type="dxa"/>
            <w:vAlign w:val="center"/>
          </w:tcPr>
          <w:p>
            <w:pPr>
              <w:rPr>
                <w:rFonts w:ascii="宋体" w:hAnsi="宋体"/>
                <w:kern w:val="0"/>
                <w:szCs w:val="21"/>
              </w:rPr>
            </w:pPr>
            <w:r>
              <w:rPr>
                <w:rFonts w:hint="eastAsia" w:ascii="宋体" w:hAnsi="宋体"/>
                <w:kern w:val="0"/>
                <w:szCs w:val="21"/>
              </w:rPr>
              <w:t>建设运营一体化5分</w:t>
            </w:r>
          </w:p>
        </w:tc>
        <w:tc>
          <w:tcPr>
            <w:tcW w:w="5516" w:type="dxa"/>
            <w:gridSpan w:val="3"/>
            <w:vAlign w:val="center"/>
          </w:tcPr>
          <w:p>
            <w:pPr>
              <w:pStyle w:val="2"/>
              <w:spacing w:line="240" w:lineRule="auto"/>
              <w:ind w:firstLine="220"/>
              <w:rPr>
                <w:rFonts w:ascii="宋体" w:hAnsi="宋体"/>
                <w:kern w:val="0"/>
              </w:rPr>
            </w:pPr>
            <w:r>
              <w:rPr>
                <w:rFonts w:hint="eastAsia" w:ascii="宋体" w:hAnsi="宋体"/>
                <w:kern w:val="0"/>
              </w:rPr>
              <w:t>内容不完整得</w:t>
            </w:r>
            <w:r>
              <w:rPr>
                <w:rFonts w:ascii="宋体" w:hAnsi="宋体"/>
                <w:kern w:val="0"/>
              </w:rPr>
              <w:t>0-</w:t>
            </w:r>
            <w:r>
              <w:rPr>
                <w:rFonts w:hint="eastAsia" w:ascii="宋体" w:hAnsi="宋体"/>
                <w:kern w:val="0"/>
              </w:rPr>
              <w:t>1</w:t>
            </w:r>
            <w:r>
              <w:rPr>
                <w:rFonts w:ascii="宋体" w:hAnsi="宋体"/>
                <w:kern w:val="0"/>
              </w:rPr>
              <w:t>分，内容完整得</w:t>
            </w:r>
            <w:r>
              <w:rPr>
                <w:rFonts w:hint="eastAsia" w:ascii="宋体" w:hAnsi="宋体"/>
                <w:kern w:val="0"/>
              </w:rPr>
              <w:t>2</w:t>
            </w:r>
            <w:r>
              <w:rPr>
                <w:rFonts w:ascii="宋体" w:hAnsi="宋体"/>
                <w:kern w:val="0"/>
              </w:rPr>
              <w:t>分；</w:t>
            </w:r>
          </w:p>
          <w:p>
            <w:pPr>
              <w:pStyle w:val="2"/>
              <w:spacing w:after="0" w:line="240" w:lineRule="auto"/>
              <w:ind w:firstLine="0" w:firstLineChars="0"/>
              <w:rPr>
                <w:rFonts w:ascii="宋体" w:hAnsi="宋体"/>
                <w:kern w:val="0"/>
              </w:rPr>
            </w:pPr>
            <w:r>
              <w:rPr>
                <w:rFonts w:hint="eastAsia" w:ascii="宋体" w:hAnsi="宋体"/>
                <w:kern w:val="0"/>
              </w:rPr>
              <w:t>在内容完整的基础上，根据建设、运营一体化的整合程度进行打分，分值范围为3-5</w:t>
            </w:r>
            <w:r>
              <w:rPr>
                <w:rFonts w:ascii="宋体" w:hAnsi="宋体"/>
                <w:kern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Merge w:val="restart"/>
            <w:vAlign w:val="center"/>
          </w:tcPr>
          <w:p>
            <w:pPr>
              <w:adjustRightInd w:val="0"/>
              <w:spacing w:line="360" w:lineRule="auto"/>
              <w:jc w:val="center"/>
              <w:textAlignment w:val="baseline"/>
              <w:rPr>
                <w:rFonts w:ascii="宋体" w:hAnsi="宋体" w:cs="宋体"/>
                <w:bCs/>
                <w:szCs w:val="21"/>
              </w:rPr>
            </w:pPr>
            <w:r>
              <w:rPr>
                <w:rFonts w:hint="eastAsia" w:ascii="宋体" w:hAnsi="宋体" w:cs="宋体"/>
                <w:bCs/>
                <w:szCs w:val="21"/>
              </w:rPr>
              <w:t>工程建设管理方案15分</w:t>
            </w:r>
          </w:p>
        </w:tc>
        <w:tc>
          <w:tcPr>
            <w:tcW w:w="5516" w:type="dxa"/>
            <w:gridSpan w:val="3"/>
            <w:vAlign w:val="center"/>
          </w:tcPr>
          <w:p>
            <w:pPr>
              <w:pStyle w:val="2"/>
              <w:ind w:firstLine="220"/>
              <w:rPr>
                <w:rFonts w:ascii="宋体" w:hAnsi="宋体" w:cs="宋体"/>
                <w:bCs/>
              </w:rPr>
            </w:pPr>
            <w:r>
              <w:rPr>
                <w:rFonts w:hint="eastAsia" w:ascii="宋体" w:hAnsi="宋体" w:cs="宋体"/>
                <w:bCs/>
              </w:rPr>
              <w:t>内容不完整得</w:t>
            </w:r>
            <w:r>
              <w:rPr>
                <w:rFonts w:ascii="宋体" w:hAnsi="宋体" w:cs="宋体"/>
                <w:bCs/>
              </w:rPr>
              <w:t>0-</w:t>
            </w:r>
            <w:r>
              <w:rPr>
                <w:rFonts w:hint="eastAsia" w:ascii="宋体" w:hAnsi="宋体" w:cs="宋体"/>
                <w:bCs/>
              </w:rPr>
              <w:t>1</w:t>
            </w:r>
            <w:r>
              <w:rPr>
                <w:rFonts w:ascii="宋体" w:hAnsi="宋体" w:cs="宋体"/>
                <w:bCs/>
              </w:rPr>
              <w:t>分，内容完整得</w:t>
            </w:r>
            <w:r>
              <w:rPr>
                <w:rFonts w:hint="eastAsia" w:ascii="宋体" w:hAnsi="宋体" w:cs="宋体"/>
                <w:bCs/>
              </w:rPr>
              <w:t>2</w:t>
            </w:r>
            <w:r>
              <w:rPr>
                <w:rFonts w:ascii="宋体" w:hAnsi="宋体" w:cs="宋体"/>
                <w:bCs/>
              </w:rPr>
              <w:t>分；</w:t>
            </w:r>
          </w:p>
          <w:p>
            <w:pPr>
              <w:pStyle w:val="2"/>
              <w:spacing w:after="0"/>
              <w:ind w:firstLine="0" w:firstLineChars="0"/>
              <w:rPr>
                <w:rFonts w:ascii="宋体" w:hAnsi="宋体" w:cs="宋体"/>
                <w:bCs/>
              </w:rPr>
            </w:pPr>
            <w:r>
              <w:rPr>
                <w:rFonts w:hint="eastAsia" w:ascii="宋体" w:hAnsi="宋体" w:cs="宋体"/>
                <w:bCs/>
              </w:rPr>
              <w:t>在内容完整的基础上，根据方案的可操作性、合理性进行打分进行打分，分值范围为3-5</w:t>
            </w:r>
            <w:r>
              <w:rPr>
                <w:rFonts w:ascii="宋体" w:hAnsi="宋体" w:cs="宋体"/>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Merge w:val="continue"/>
            <w:vAlign w:val="center"/>
          </w:tcPr>
          <w:p>
            <w:pPr>
              <w:adjustRightInd w:val="0"/>
              <w:spacing w:line="360" w:lineRule="auto"/>
              <w:jc w:val="center"/>
              <w:textAlignment w:val="baseline"/>
              <w:rPr>
                <w:rFonts w:ascii="宋体" w:hAnsi="宋体" w:cs="宋体"/>
                <w:bCs/>
                <w:szCs w:val="21"/>
              </w:rPr>
            </w:pPr>
          </w:p>
        </w:tc>
        <w:tc>
          <w:tcPr>
            <w:tcW w:w="5516" w:type="dxa"/>
            <w:gridSpan w:val="3"/>
            <w:vAlign w:val="center"/>
          </w:tcPr>
          <w:p>
            <w:pPr>
              <w:pStyle w:val="2"/>
              <w:ind w:firstLine="220"/>
              <w:rPr>
                <w:rFonts w:ascii="宋体" w:hAnsi="宋体" w:cs="宋体"/>
                <w:bCs/>
              </w:rPr>
            </w:pPr>
            <w:r>
              <w:rPr>
                <w:rFonts w:hint="eastAsia" w:ascii="宋体" w:hAnsi="宋体" w:cs="宋体"/>
                <w:bCs/>
              </w:rPr>
              <w:t>工期在7个月及以下得10分，在7-12（包含）个月得7分，在12-18（包含）个月得5分，在18-24个月得2分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highlight w:val="yellow"/>
              </w:rPr>
            </w:pPr>
            <w:r>
              <w:rPr>
                <w:rFonts w:hint="eastAsia" w:ascii="宋体" w:hAnsi="宋体"/>
                <w:kern w:val="0"/>
                <w:szCs w:val="21"/>
              </w:rPr>
              <w:t>运营服务</w:t>
            </w:r>
            <w:r>
              <w:rPr>
                <w:rFonts w:hint="eastAsia" w:ascii="宋体" w:hAnsi="宋体" w:cs="宋体"/>
                <w:szCs w:val="21"/>
              </w:rPr>
              <w:t>方案7分</w:t>
            </w:r>
          </w:p>
        </w:tc>
        <w:tc>
          <w:tcPr>
            <w:tcW w:w="5516" w:type="dxa"/>
            <w:gridSpan w:val="3"/>
            <w:vAlign w:val="center"/>
          </w:tcPr>
          <w:p>
            <w:pPr>
              <w:jc w:val="left"/>
              <w:rPr>
                <w:rFonts w:ascii="宋体" w:hAnsi="宋体"/>
                <w:kern w:val="0"/>
                <w:szCs w:val="21"/>
              </w:rPr>
            </w:pPr>
            <w:r>
              <w:rPr>
                <w:rFonts w:hint="eastAsia" w:ascii="宋体" w:hAnsi="宋体"/>
                <w:kern w:val="0"/>
                <w:szCs w:val="21"/>
              </w:rPr>
              <w:t>运营服务方案包括但不限于运营管理团队、设施维护手册、服务质量要求、运营成本分析、大中修计划等内容。</w:t>
            </w:r>
          </w:p>
          <w:p>
            <w:pPr>
              <w:jc w:val="left"/>
              <w:rPr>
                <w:rFonts w:ascii="宋体" w:hAnsi="宋体"/>
                <w:kern w:val="0"/>
                <w:szCs w:val="21"/>
              </w:rPr>
            </w:pPr>
            <w:r>
              <w:rPr>
                <w:rFonts w:hint="eastAsia" w:ascii="宋体" w:hAnsi="宋体"/>
                <w:kern w:val="0"/>
                <w:szCs w:val="21"/>
              </w:rPr>
              <w:t>此项内容不完整或缺项，得0-2分；</w:t>
            </w:r>
          </w:p>
          <w:p>
            <w:pPr>
              <w:rPr>
                <w:rFonts w:ascii="宋体" w:hAnsi="宋体"/>
                <w:kern w:val="0"/>
                <w:szCs w:val="21"/>
                <w:highlight w:val="yellow"/>
              </w:rPr>
            </w:pPr>
            <w:r>
              <w:rPr>
                <w:rFonts w:hint="eastAsia" w:ascii="宋体" w:hAnsi="宋体"/>
                <w:kern w:val="0"/>
                <w:szCs w:val="21"/>
              </w:rPr>
              <w:t>内容基本完整，运营人员配置、运营成本分析、质量满足要求的，得3-7分。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项目设施移交方案4分</w:t>
            </w:r>
          </w:p>
        </w:tc>
        <w:tc>
          <w:tcPr>
            <w:tcW w:w="5516" w:type="dxa"/>
            <w:gridSpan w:val="3"/>
            <w:vAlign w:val="center"/>
          </w:tcPr>
          <w:p>
            <w:pPr>
              <w:jc w:val="left"/>
              <w:rPr>
                <w:rFonts w:ascii="宋体" w:hAnsi="宋体"/>
                <w:kern w:val="0"/>
                <w:szCs w:val="21"/>
              </w:rPr>
            </w:pPr>
            <w:r>
              <w:rPr>
                <w:rFonts w:hint="eastAsia" w:ascii="宋体" w:hAnsi="宋体"/>
                <w:kern w:val="0"/>
                <w:szCs w:val="21"/>
              </w:rPr>
              <w:t>移交方案包括但不限于移交工作组织、移交时间安排、最后恢复检修计划、移交程序、移交内容、质量保证等。</w:t>
            </w:r>
          </w:p>
          <w:p>
            <w:pPr>
              <w:pStyle w:val="2"/>
              <w:spacing w:after="0"/>
              <w:ind w:firstLine="0" w:firstLineChars="0"/>
              <w:rPr>
                <w:rFonts w:ascii="宋体" w:hAnsi="宋体" w:cs="宋体"/>
                <w:bCs/>
              </w:rPr>
            </w:pPr>
            <w:r>
              <w:rPr>
                <w:rFonts w:hint="eastAsia" w:ascii="宋体" w:hAnsi="宋体"/>
                <w:kern w:val="0"/>
              </w:rPr>
              <w:t>此项若内容不完整、缺项，得0-2分；内容完整，方案合理、可行性的，得3-4分。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8"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服务承诺</w:t>
            </w:r>
          </w:p>
          <w:p>
            <w:pPr>
              <w:pStyle w:val="2"/>
              <w:ind w:firstLine="220"/>
            </w:pPr>
            <w:r>
              <w:rPr>
                <w:rFonts w:hint="eastAsia"/>
              </w:rPr>
              <w:t>4分</w:t>
            </w:r>
          </w:p>
        </w:tc>
        <w:tc>
          <w:tcPr>
            <w:tcW w:w="5516" w:type="dxa"/>
            <w:gridSpan w:val="3"/>
            <w:vAlign w:val="center"/>
          </w:tcPr>
          <w:p>
            <w:pPr>
              <w:jc w:val="left"/>
              <w:rPr>
                <w:rFonts w:ascii="宋体" w:hAnsi="宋体"/>
                <w:kern w:val="0"/>
                <w:szCs w:val="21"/>
              </w:rPr>
            </w:pPr>
            <w:r>
              <w:rPr>
                <w:rFonts w:hint="eastAsia" w:ascii="宋体" w:hAnsi="宋体"/>
                <w:kern w:val="0"/>
                <w:szCs w:val="21"/>
              </w:rPr>
              <w:t>针对本项目,投标人提出更有利于采购人的措施,从投资、工期保障、质量、优惠条件等做出承诺，内容可行得2-4分，没有不得分。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6"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restart"/>
            <w:vAlign w:val="center"/>
          </w:tcPr>
          <w:p>
            <w:pPr>
              <w:adjustRightInd w:val="0"/>
              <w:spacing w:line="360" w:lineRule="auto"/>
              <w:jc w:val="center"/>
              <w:textAlignment w:val="baseline"/>
              <w:rPr>
                <w:rFonts w:ascii="宋体" w:hAnsi="宋体" w:cs="宋体"/>
                <w:szCs w:val="21"/>
              </w:rPr>
            </w:pPr>
            <w:r>
              <w:rPr>
                <w:rFonts w:ascii="宋体" w:hAnsi="宋体" w:cs="宋体"/>
                <w:szCs w:val="21"/>
              </w:rPr>
              <w:t>财务方案</w:t>
            </w:r>
          </w:p>
          <w:p>
            <w:pPr>
              <w:adjustRightInd w:val="0"/>
              <w:spacing w:line="360" w:lineRule="auto"/>
              <w:jc w:val="center"/>
              <w:textAlignment w:val="baseline"/>
              <w:rPr>
                <w:rFonts w:ascii="宋体" w:hAnsi="宋体" w:cs="宋体"/>
                <w:szCs w:val="21"/>
              </w:rPr>
            </w:pPr>
            <w:r>
              <w:rPr>
                <w:rFonts w:ascii="宋体" w:hAnsi="宋体" w:cs="宋体"/>
                <w:szCs w:val="21"/>
              </w:rPr>
              <w:t>（</w:t>
            </w:r>
            <w:r>
              <w:rPr>
                <w:rFonts w:hint="eastAsia" w:ascii="宋体" w:hAnsi="宋体" w:cs="宋体"/>
                <w:szCs w:val="21"/>
              </w:rPr>
              <w:t>10</w:t>
            </w:r>
            <w:r>
              <w:rPr>
                <w:rFonts w:ascii="宋体" w:hAnsi="宋体" w:cs="宋体"/>
                <w:szCs w:val="21"/>
              </w:rPr>
              <w:t>分）</w:t>
            </w:r>
          </w:p>
        </w:tc>
        <w:tc>
          <w:tcPr>
            <w:tcW w:w="1035" w:type="dxa"/>
            <w:vAlign w:val="center"/>
          </w:tcPr>
          <w:p>
            <w:pPr>
              <w:adjustRightInd w:val="0"/>
              <w:spacing w:line="360" w:lineRule="auto"/>
              <w:jc w:val="center"/>
              <w:textAlignment w:val="baseline"/>
              <w:rPr>
                <w:rFonts w:ascii="宋体" w:hAnsi="宋体" w:cs="宋体"/>
                <w:szCs w:val="21"/>
              </w:rPr>
            </w:pPr>
            <w:r>
              <w:rPr>
                <w:rFonts w:ascii="宋体" w:hAnsi="宋体" w:cs="宋体"/>
                <w:szCs w:val="21"/>
              </w:rPr>
              <w:t>投融资能力</w:t>
            </w:r>
            <w:r>
              <w:rPr>
                <w:rFonts w:hint="eastAsia" w:ascii="宋体" w:hAnsi="宋体" w:cs="宋体"/>
                <w:szCs w:val="21"/>
              </w:rPr>
              <w:t>2分</w:t>
            </w:r>
          </w:p>
        </w:tc>
        <w:tc>
          <w:tcPr>
            <w:tcW w:w="5516" w:type="dxa"/>
            <w:gridSpan w:val="3"/>
            <w:vAlign w:val="center"/>
          </w:tcPr>
          <w:p>
            <w:pPr>
              <w:pStyle w:val="2"/>
              <w:ind w:firstLine="220"/>
            </w:pPr>
            <w:r>
              <w:rPr>
                <w:rFonts w:hint="eastAsia" w:ascii="宋体" w:hAnsi="宋体" w:cs="宋体"/>
              </w:rPr>
              <w:t>净资产：投标人（</w:t>
            </w:r>
            <w:r>
              <w:rPr>
                <w:rFonts w:ascii="宋体" w:hAnsi="宋体" w:cs="宋体"/>
              </w:rPr>
              <w:t>如为联合体，则指联合体</w:t>
            </w:r>
            <w:r>
              <w:rPr>
                <w:rFonts w:hint="eastAsia" w:ascii="宋体" w:hAnsi="宋体" w:cs="宋体"/>
              </w:rPr>
              <w:t>中承担财务投资工作的单位）净资产2亿的得1分；每增加0.5亿元加1分，此项最高得2分。</w:t>
            </w:r>
          </w:p>
          <w:p>
            <w:pPr>
              <w:pStyle w:val="2"/>
              <w:spacing w:after="0"/>
              <w:ind w:firstLine="0" w:firstLineChars="0"/>
            </w:pPr>
            <w:r>
              <w:t>注：以201</w:t>
            </w:r>
            <w:r>
              <w:rPr>
                <w:rFonts w:hint="eastAsia"/>
              </w:rPr>
              <w:t>7</w:t>
            </w:r>
            <w:r>
              <w:t>年度经审计的财务报告资产负债表中的货币资金期末数为准，须提供</w:t>
            </w:r>
            <w:r>
              <w:rPr>
                <w:rFonts w:hint="eastAsia"/>
              </w:rPr>
              <w:t>2017、</w:t>
            </w:r>
            <w:r>
              <w:t>2016年度经审计的财务报告原件。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7"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ascii="宋体" w:hAnsi="宋体" w:cs="宋体"/>
                <w:szCs w:val="21"/>
              </w:rPr>
              <w:t>银行授信</w:t>
            </w:r>
            <w:r>
              <w:rPr>
                <w:rFonts w:hint="eastAsia" w:ascii="宋体" w:hAnsi="宋体" w:cs="宋体"/>
                <w:szCs w:val="21"/>
              </w:rPr>
              <w:t>2分</w:t>
            </w:r>
          </w:p>
        </w:tc>
        <w:tc>
          <w:tcPr>
            <w:tcW w:w="5516" w:type="dxa"/>
            <w:gridSpan w:val="3"/>
            <w:vAlign w:val="center"/>
          </w:tcPr>
          <w:p>
            <w:pPr>
              <w:rPr>
                <w:kern w:val="0"/>
                <w:szCs w:val="21"/>
              </w:rPr>
            </w:pPr>
            <w:r>
              <w:rPr>
                <w:kern w:val="0"/>
                <w:szCs w:val="21"/>
              </w:rPr>
              <w:t>投标人（如为联合体，则指联合体</w:t>
            </w:r>
            <w:r>
              <w:rPr>
                <w:rFonts w:hint="eastAsia"/>
                <w:szCs w:val="21"/>
              </w:rPr>
              <w:t>中承担财务投资工作的单位</w:t>
            </w:r>
            <w:r>
              <w:rPr>
                <w:kern w:val="0"/>
                <w:szCs w:val="21"/>
              </w:rPr>
              <w:t>）</w:t>
            </w:r>
            <w:r>
              <w:rPr>
                <w:rFonts w:hint="eastAsia"/>
                <w:kern w:val="0"/>
                <w:szCs w:val="21"/>
              </w:rPr>
              <w:t>提供不少于</w:t>
            </w:r>
            <w:r>
              <w:rPr>
                <w:kern w:val="0"/>
                <w:szCs w:val="21"/>
              </w:rPr>
              <w:t>人民币</w:t>
            </w:r>
            <w:r>
              <w:rPr>
                <w:rFonts w:hint="eastAsia"/>
                <w:szCs w:val="21"/>
              </w:rPr>
              <w:t>1</w:t>
            </w:r>
            <w:r>
              <w:rPr>
                <w:kern w:val="0"/>
                <w:szCs w:val="21"/>
              </w:rPr>
              <w:t>亿元银行综合授信额度（有效期应超过投标</w:t>
            </w:r>
            <w:r>
              <w:rPr>
                <w:rFonts w:hint="eastAsia"/>
                <w:kern w:val="0"/>
                <w:szCs w:val="21"/>
              </w:rPr>
              <w:t>有效期</w:t>
            </w:r>
            <w:r>
              <w:rPr>
                <w:kern w:val="0"/>
                <w:szCs w:val="21"/>
              </w:rPr>
              <w:t>）</w:t>
            </w:r>
            <w:r>
              <w:rPr>
                <w:rFonts w:hint="eastAsia"/>
                <w:kern w:val="0"/>
                <w:szCs w:val="21"/>
              </w:rPr>
              <w:t>者得1分，每增加1亿元加1分，此项最高得2分。</w:t>
            </w:r>
          </w:p>
          <w:p>
            <w:pPr>
              <w:rPr>
                <w:szCs w:val="21"/>
              </w:rPr>
            </w:pPr>
            <w:r>
              <w:rPr>
                <w:kern w:val="0"/>
                <w:szCs w:val="21"/>
              </w:rPr>
              <w:t>注：须提供与银行签署的综合授信合同原件。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jc w:val="center"/>
        </w:trPr>
        <w:tc>
          <w:tcPr>
            <w:tcW w:w="676" w:type="dxa"/>
            <w:vMerge w:val="continue"/>
            <w:vAlign w:val="center"/>
          </w:tcPr>
          <w:p>
            <w:pPr>
              <w:adjustRightInd w:val="0"/>
              <w:spacing w:line="360" w:lineRule="auto"/>
              <w:jc w:val="center"/>
              <w:textAlignment w:val="baseline"/>
              <w:rPr>
                <w:rFonts w:ascii="宋体" w:hAnsi="宋体" w:cs="宋体"/>
                <w:szCs w:val="21"/>
              </w:rPr>
            </w:pPr>
          </w:p>
        </w:tc>
        <w:tc>
          <w:tcPr>
            <w:tcW w:w="709" w:type="dxa"/>
            <w:vMerge w:val="continue"/>
            <w:vAlign w:val="center"/>
          </w:tcPr>
          <w:p>
            <w:pPr>
              <w:adjustRightInd w:val="0"/>
              <w:spacing w:line="360" w:lineRule="auto"/>
              <w:jc w:val="center"/>
              <w:textAlignment w:val="baseline"/>
              <w:rPr>
                <w:rFonts w:ascii="宋体" w:hAnsi="宋体" w:cs="宋体"/>
                <w:szCs w:val="21"/>
              </w:rPr>
            </w:pPr>
          </w:p>
        </w:tc>
        <w:tc>
          <w:tcPr>
            <w:tcW w:w="524" w:type="dxa"/>
            <w:vMerge w:val="continue"/>
            <w:vAlign w:val="center"/>
          </w:tcPr>
          <w:p>
            <w:pPr>
              <w:adjustRightInd w:val="0"/>
              <w:spacing w:line="360" w:lineRule="auto"/>
              <w:jc w:val="center"/>
              <w:textAlignment w:val="baseline"/>
              <w:rPr>
                <w:rFonts w:ascii="宋体" w:hAnsi="宋体" w:cs="宋体"/>
                <w:szCs w:val="21"/>
              </w:rPr>
            </w:pPr>
          </w:p>
        </w:tc>
        <w:tc>
          <w:tcPr>
            <w:tcW w:w="1035" w:type="dxa"/>
            <w:vAlign w:val="center"/>
          </w:tcPr>
          <w:p>
            <w:pPr>
              <w:adjustRightInd w:val="0"/>
              <w:spacing w:line="360" w:lineRule="auto"/>
              <w:jc w:val="center"/>
              <w:textAlignment w:val="baseline"/>
              <w:rPr>
                <w:rFonts w:ascii="宋体" w:hAnsi="宋体" w:cs="宋体"/>
                <w:szCs w:val="21"/>
              </w:rPr>
            </w:pPr>
            <w:r>
              <w:rPr>
                <w:rFonts w:ascii="宋体" w:hAnsi="宋体" w:cs="宋体"/>
                <w:szCs w:val="21"/>
              </w:rPr>
              <w:t>投融资方案</w:t>
            </w:r>
            <w:r>
              <w:rPr>
                <w:rFonts w:hint="eastAsia" w:ascii="宋体" w:hAnsi="宋体" w:cs="宋体"/>
                <w:szCs w:val="21"/>
              </w:rPr>
              <w:t>6分</w:t>
            </w:r>
          </w:p>
        </w:tc>
        <w:tc>
          <w:tcPr>
            <w:tcW w:w="5516" w:type="dxa"/>
            <w:gridSpan w:val="3"/>
            <w:vAlign w:val="center"/>
          </w:tcPr>
          <w:p>
            <w:pPr>
              <w:rPr>
                <w:szCs w:val="21"/>
              </w:rPr>
            </w:pPr>
            <w:r>
              <w:rPr>
                <w:szCs w:val="21"/>
              </w:rPr>
              <w:t>投融资方案包括但不限于项目总投资、投资计划、融资方案、融资资金来源、融资成本、融资期限、融资增信措施、融资交割完成时间等内容。</w:t>
            </w:r>
          </w:p>
          <w:p>
            <w:pPr>
              <w:rPr>
                <w:szCs w:val="21"/>
              </w:rPr>
            </w:pPr>
            <w:r>
              <w:rPr>
                <w:szCs w:val="21"/>
              </w:rPr>
              <w:t>此项若内容不完整、缺项，得0-2分；</w:t>
            </w:r>
          </w:p>
          <w:p>
            <w:pPr>
              <w:rPr>
                <w:szCs w:val="21"/>
              </w:rPr>
            </w:pPr>
            <w:r>
              <w:rPr>
                <w:szCs w:val="21"/>
              </w:rPr>
              <w:t>内容基本完整，根据方案的合理性、可行性、合法性，得</w:t>
            </w:r>
            <w:r>
              <w:rPr>
                <w:rFonts w:hint="eastAsia"/>
                <w:szCs w:val="21"/>
              </w:rPr>
              <w:t>3</w:t>
            </w:r>
            <w:r>
              <w:rPr>
                <w:szCs w:val="21"/>
              </w:rPr>
              <w:t>-</w:t>
            </w:r>
            <w:r>
              <w:rPr>
                <w:rFonts w:hint="eastAsia"/>
                <w:szCs w:val="21"/>
              </w:rPr>
              <w:t>6</w:t>
            </w:r>
            <w:r>
              <w:rPr>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7" w:hRule="atLeast"/>
          <w:jc w:val="center"/>
        </w:trPr>
        <w:tc>
          <w:tcPr>
            <w:tcW w:w="676" w:type="dxa"/>
            <w:vAlign w:val="center"/>
          </w:tcPr>
          <w:p>
            <w:pPr>
              <w:adjustRightInd w:val="0"/>
              <w:spacing w:line="360" w:lineRule="auto"/>
              <w:jc w:val="center"/>
              <w:textAlignment w:val="baseline"/>
              <w:rPr>
                <w:rFonts w:ascii="宋体" w:hAnsi="宋体" w:cs="宋体"/>
                <w:szCs w:val="21"/>
              </w:rPr>
            </w:pPr>
          </w:p>
        </w:tc>
        <w:tc>
          <w:tcPr>
            <w:tcW w:w="709" w:type="dxa"/>
            <w:vAlign w:val="center"/>
          </w:tcPr>
          <w:p>
            <w:pPr>
              <w:adjustRightInd w:val="0"/>
              <w:spacing w:line="360" w:lineRule="auto"/>
              <w:jc w:val="center"/>
              <w:textAlignment w:val="baseline"/>
              <w:rPr>
                <w:rFonts w:ascii="宋体" w:hAnsi="宋体" w:cs="宋体"/>
                <w:szCs w:val="21"/>
              </w:rPr>
            </w:pPr>
          </w:p>
        </w:tc>
        <w:tc>
          <w:tcPr>
            <w:tcW w:w="524" w:type="dxa"/>
            <w:vAlign w:val="center"/>
          </w:tcPr>
          <w:p>
            <w:pPr>
              <w:adjustRightInd w:val="0"/>
              <w:spacing w:line="360" w:lineRule="auto"/>
              <w:jc w:val="center"/>
              <w:textAlignment w:val="baseline"/>
              <w:rPr>
                <w:rFonts w:ascii="宋体" w:hAnsi="宋体" w:cs="宋体"/>
                <w:szCs w:val="21"/>
              </w:rPr>
            </w:pPr>
            <w:r>
              <w:rPr>
                <w:rFonts w:hint="eastAsia" w:ascii="宋体" w:hAnsi="宋体" w:cs="宋体"/>
                <w:szCs w:val="21"/>
              </w:rPr>
              <w:t>法律方案</w:t>
            </w:r>
          </w:p>
          <w:p>
            <w:pPr>
              <w:adjustRightInd w:val="0"/>
              <w:spacing w:line="360" w:lineRule="auto"/>
              <w:jc w:val="center"/>
              <w:textAlignment w:val="baseline"/>
              <w:rPr>
                <w:rFonts w:ascii="宋体" w:hAnsi="宋体" w:cs="宋体"/>
                <w:szCs w:val="21"/>
              </w:rPr>
            </w:pPr>
            <w:r>
              <w:rPr>
                <w:rFonts w:hint="eastAsia" w:ascii="宋体" w:hAnsi="宋体" w:cs="宋体"/>
                <w:szCs w:val="21"/>
              </w:rPr>
              <w:t>5分</w:t>
            </w:r>
          </w:p>
        </w:tc>
        <w:tc>
          <w:tcPr>
            <w:tcW w:w="1035" w:type="dxa"/>
            <w:vAlign w:val="center"/>
          </w:tcPr>
          <w:p>
            <w:pPr>
              <w:adjustRightInd w:val="0"/>
              <w:spacing w:line="360" w:lineRule="auto"/>
              <w:jc w:val="center"/>
              <w:textAlignment w:val="baseline"/>
              <w:rPr>
                <w:rFonts w:ascii="宋体" w:hAnsi="宋体" w:cs="宋体"/>
                <w:szCs w:val="21"/>
              </w:rPr>
            </w:pPr>
            <w:r>
              <w:rPr>
                <w:rFonts w:ascii="宋体" w:hAnsi="宋体" w:cs="宋体"/>
                <w:szCs w:val="21"/>
              </w:rPr>
              <w:t>条款响应</w:t>
            </w:r>
          </w:p>
          <w:p>
            <w:pPr>
              <w:pStyle w:val="2"/>
              <w:ind w:firstLine="220"/>
            </w:pPr>
            <w:r>
              <w:rPr>
                <w:rFonts w:hint="eastAsia"/>
              </w:rPr>
              <w:t>5分</w:t>
            </w:r>
          </w:p>
        </w:tc>
        <w:tc>
          <w:tcPr>
            <w:tcW w:w="5516" w:type="dxa"/>
            <w:gridSpan w:val="3"/>
            <w:vAlign w:val="center"/>
          </w:tcPr>
          <w:p>
            <w:pPr>
              <w:rPr>
                <w:szCs w:val="21"/>
              </w:rPr>
            </w:pPr>
            <w:r>
              <w:rPr>
                <w:szCs w:val="21"/>
              </w:rPr>
              <w:t>对《禹州市绿色铸造园区与陶瓷园区污水处理厂PPP项目</w:t>
            </w:r>
            <w:r>
              <w:rPr>
                <w:rFonts w:hint="eastAsia"/>
                <w:szCs w:val="21"/>
              </w:rPr>
              <w:t>合同</w:t>
            </w:r>
            <w:r>
              <w:rPr>
                <w:szCs w:val="21"/>
              </w:rPr>
              <w:t>》非核心条款视以下情况扣分：</w:t>
            </w:r>
          </w:p>
          <w:p>
            <w:pPr>
              <w:rPr>
                <w:szCs w:val="21"/>
              </w:rPr>
            </w:pPr>
            <w:r>
              <w:rPr>
                <w:szCs w:val="21"/>
              </w:rPr>
              <w:t>投标人对非核心条款提出的修改意见实质增加了采购人的义务、责任和风险，修改意见在本项</w:t>
            </w:r>
            <w:r>
              <w:rPr>
                <w:rFonts w:hint="eastAsia"/>
                <w:szCs w:val="21"/>
              </w:rPr>
              <w:t>5分</w:t>
            </w:r>
            <w:r>
              <w:rPr>
                <w:szCs w:val="21"/>
              </w:rPr>
              <w:t>基础上每条扣1分，</w:t>
            </w:r>
            <w:r>
              <w:rPr>
                <w:rFonts w:hint="eastAsia"/>
                <w:szCs w:val="21"/>
              </w:rPr>
              <w:t>最多扣3分，不提出者得5分</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37" w:hRule="atLeast"/>
          <w:jc w:val="center"/>
        </w:trPr>
        <w:tc>
          <w:tcPr>
            <w:tcW w:w="8435" w:type="dxa"/>
            <w:gridSpan w:val="6"/>
            <w:vAlign w:val="center"/>
          </w:tcPr>
          <w:p>
            <w:pPr>
              <w:pStyle w:val="2"/>
              <w:spacing w:after="0"/>
              <w:ind w:firstLine="0" w:firstLineChars="0"/>
              <w:rPr>
                <w:rFonts w:ascii="宋体" w:hAnsi="宋体" w:cs="宋体"/>
                <w:bCs/>
              </w:rPr>
            </w:pPr>
            <w:r>
              <w:rPr>
                <w:rFonts w:hint="eastAsia" w:ascii="宋体" w:hAnsi="宋体" w:cs="宋体"/>
                <w:bCs/>
              </w:rPr>
              <w:t>投标人的最终得分：</w:t>
            </w:r>
          </w:p>
          <w:p>
            <w:pPr>
              <w:pStyle w:val="2"/>
              <w:spacing w:after="0"/>
              <w:ind w:firstLine="0" w:firstLineChars="0"/>
              <w:rPr>
                <w:rFonts w:ascii="宋体" w:hAnsi="宋体" w:cs="宋体"/>
                <w:bCs/>
              </w:rPr>
            </w:pPr>
            <w:r>
              <w:rPr>
                <w:rFonts w:hint="eastAsia" w:ascii="宋体" w:hAnsi="宋体" w:cs="宋体"/>
                <w:bCs/>
              </w:rPr>
              <w:t>1．投标人的最后得分为全部评委得分汇总后取算术平均值。</w:t>
            </w:r>
          </w:p>
          <w:p>
            <w:pPr>
              <w:pStyle w:val="2"/>
              <w:spacing w:after="0"/>
              <w:ind w:firstLine="0" w:firstLineChars="0"/>
              <w:rPr>
                <w:rFonts w:ascii="宋体" w:hAnsi="宋体" w:cs="宋体"/>
                <w:bCs/>
              </w:rPr>
            </w:pPr>
            <w:r>
              <w:rPr>
                <w:rFonts w:hint="eastAsia" w:ascii="宋体" w:hAnsi="宋体" w:cs="宋体"/>
                <w:bCs/>
              </w:rPr>
              <w:t>2．本办法计算过程中分值按四舍五入保留两位小数。</w:t>
            </w:r>
          </w:p>
        </w:tc>
      </w:tr>
    </w:tbl>
    <w:p>
      <w:pPr>
        <w:pStyle w:val="9"/>
        <w:rPr>
          <w:rFonts w:ascii="宋体" w:hAnsi="宋体" w:eastAsia="宋体" w:cs="宋体"/>
          <w:sz w:val="24"/>
          <w:szCs w:val="24"/>
        </w:rPr>
      </w:pPr>
      <w:bookmarkStart w:id="1370" w:name="_Toc531614701"/>
      <w:bookmarkStart w:id="1371" w:name="_Toc534813018"/>
      <w:r>
        <w:rPr>
          <w:rFonts w:hint="eastAsia" w:ascii="宋体" w:hAnsi="宋体" w:eastAsia="宋体" w:cs="宋体"/>
          <w:sz w:val="24"/>
          <w:szCs w:val="24"/>
        </w:rPr>
        <w:t>1. 评审方法</w:t>
      </w:r>
      <w:bookmarkEnd w:id="1365"/>
      <w:bookmarkEnd w:id="1366"/>
      <w:bookmarkEnd w:id="1367"/>
      <w:bookmarkEnd w:id="1368"/>
      <w:bookmarkEnd w:id="1369"/>
      <w:bookmarkEnd w:id="1370"/>
      <w:bookmarkEnd w:id="1371"/>
    </w:p>
    <w:p>
      <w:pPr>
        <w:spacing w:line="360" w:lineRule="auto"/>
        <w:ind w:firstLine="438" w:firstLineChars="200"/>
        <w:rPr>
          <w:rFonts w:ascii="宋体" w:hAnsi="宋体" w:cs="宋体"/>
          <w:szCs w:val="21"/>
        </w:rPr>
      </w:pPr>
      <w:r>
        <w:rPr>
          <w:rFonts w:hint="eastAsia" w:ascii="宋体" w:hAnsi="宋体" w:cs="宋体"/>
          <w:szCs w:val="21"/>
        </w:rPr>
        <w:t>本次评审采用综合评分法。评审小组对满足采购文件全部实质性要求的投标文件，按照本章规定的评审标准进行评审，按评审因素的量化指标评审得分由高到低顺序推荐候选投标人排名。评审得分相同的，按照最后报价由低到高的顺序推荐。评审得分且最后报价相同的，按照投标人拟定的建设运营方案得分由低到高顺序推荐。</w:t>
      </w:r>
    </w:p>
    <w:p>
      <w:pPr>
        <w:pStyle w:val="9"/>
        <w:rPr>
          <w:rFonts w:ascii="宋体" w:hAnsi="宋体" w:eastAsia="宋体" w:cs="宋体"/>
          <w:sz w:val="24"/>
          <w:szCs w:val="24"/>
        </w:rPr>
      </w:pPr>
      <w:bookmarkStart w:id="1372" w:name="_Toc531614702"/>
      <w:bookmarkStart w:id="1373" w:name="_Toc144974571"/>
      <w:bookmarkStart w:id="1374" w:name="_Toc414277167"/>
      <w:bookmarkStart w:id="1375" w:name="_Toc152045604"/>
      <w:bookmarkStart w:id="1376" w:name="_Toc414112655"/>
      <w:bookmarkStart w:id="1377" w:name="_Toc534813019"/>
      <w:bookmarkStart w:id="1378" w:name="_Toc152042381"/>
      <w:r>
        <w:rPr>
          <w:rFonts w:hint="eastAsia" w:ascii="宋体" w:hAnsi="宋体" w:eastAsia="宋体" w:cs="宋体"/>
          <w:sz w:val="24"/>
          <w:szCs w:val="24"/>
        </w:rPr>
        <w:t>2. 评审程序</w:t>
      </w:r>
      <w:bookmarkEnd w:id="1372"/>
      <w:bookmarkEnd w:id="1373"/>
      <w:bookmarkEnd w:id="1374"/>
      <w:bookmarkEnd w:id="1375"/>
      <w:bookmarkEnd w:id="1376"/>
      <w:bookmarkEnd w:id="1377"/>
      <w:bookmarkEnd w:id="1378"/>
    </w:p>
    <w:p>
      <w:pPr>
        <w:spacing w:line="360" w:lineRule="auto"/>
        <w:ind w:firstLine="438" w:firstLineChars="200"/>
        <w:rPr>
          <w:rFonts w:ascii="宋体" w:hAnsi="宋体" w:cs="宋体"/>
          <w:szCs w:val="21"/>
        </w:rPr>
      </w:pPr>
      <w:r>
        <w:rPr>
          <w:rFonts w:hint="eastAsia" w:ascii="宋体" w:hAnsi="宋体" w:cs="宋体"/>
          <w:szCs w:val="21"/>
        </w:rPr>
        <w:t>2.1评审工作按以下程序进行：</w:t>
      </w:r>
    </w:p>
    <w:p>
      <w:pPr>
        <w:spacing w:line="360" w:lineRule="auto"/>
        <w:ind w:firstLine="438" w:firstLineChars="200"/>
        <w:rPr>
          <w:rFonts w:ascii="宋体" w:hAnsi="宋体" w:cs="宋体"/>
          <w:szCs w:val="21"/>
        </w:rPr>
      </w:pPr>
      <w:r>
        <w:rPr>
          <w:rFonts w:hint="eastAsia" w:ascii="宋体" w:hAnsi="宋体" w:cs="宋体"/>
          <w:szCs w:val="21"/>
        </w:rPr>
        <w:t>（1）投标文件初审；</w:t>
      </w:r>
    </w:p>
    <w:p>
      <w:pPr>
        <w:spacing w:line="360" w:lineRule="auto"/>
        <w:ind w:firstLine="438" w:firstLineChars="200"/>
        <w:rPr>
          <w:rFonts w:ascii="宋体" w:hAnsi="宋体" w:cs="宋体"/>
          <w:szCs w:val="21"/>
        </w:rPr>
      </w:pPr>
      <w:r>
        <w:rPr>
          <w:rFonts w:hint="eastAsia" w:ascii="宋体" w:hAnsi="宋体" w:cs="宋体"/>
          <w:szCs w:val="21"/>
        </w:rPr>
        <w:t>（2）澄清有关问题；</w:t>
      </w:r>
    </w:p>
    <w:p>
      <w:pPr>
        <w:spacing w:line="360" w:lineRule="auto"/>
        <w:ind w:firstLine="438" w:firstLineChars="200"/>
        <w:rPr>
          <w:rFonts w:ascii="宋体" w:hAnsi="宋体" w:cs="宋体"/>
          <w:szCs w:val="21"/>
        </w:rPr>
      </w:pPr>
      <w:r>
        <w:rPr>
          <w:rFonts w:hint="eastAsia" w:ascii="宋体" w:hAnsi="宋体" w:cs="宋体"/>
          <w:szCs w:val="21"/>
        </w:rPr>
        <w:t>（3）比较与评价；</w:t>
      </w:r>
    </w:p>
    <w:p>
      <w:pPr>
        <w:spacing w:line="360" w:lineRule="auto"/>
        <w:ind w:firstLine="438" w:firstLineChars="200"/>
        <w:rPr>
          <w:rFonts w:ascii="宋体" w:hAnsi="宋体" w:cs="宋体"/>
          <w:szCs w:val="21"/>
        </w:rPr>
      </w:pPr>
      <w:r>
        <w:rPr>
          <w:rFonts w:hint="eastAsia" w:ascii="宋体" w:hAnsi="宋体" w:cs="宋体"/>
          <w:szCs w:val="21"/>
        </w:rPr>
        <w:t>（4）推荐中标候选人名单。</w:t>
      </w:r>
    </w:p>
    <w:p>
      <w:pPr>
        <w:spacing w:line="360" w:lineRule="auto"/>
        <w:ind w:firstLine="438" w:firstLineChars="200"/>
        <w:rPr>
          <w:rFonts w:ascii="宋体" w:hAnsi="宋体" w:cs="宋体"/>
          <w:szCs w:val="21"/>
        </w:rPr>
      </w:pPr>
      <w:r>
        <w:rPr>
          <w:rFonts w:hint="eastAsia" w:ascii="宋体" w:hAnsi="宋体" w:cs="宋体"/>
          <w:szCs w:val="21"/>
        </w:rPr>
        <w:t>2.2 评审小组按照上述程序审查投标人的投标文件，评审程序中的前一项程序未通过的投标文件不再进入下一程序的评审。</w:t>
      </w:r>
    </w:p>
    <w:p>
      <w:pPr>
        <w:pStyle w:val="9"/>
        <w:rPr>
          <w:rFonts w:ascii="宋体" w:hAnsi="宋体" w:eastAsia="宋体" w:cs="宋体"/>
          <w:sz w:val="24"/>
          <w:szCs w:val="24"/>
        </w:rPr>
      </w:pPr>
      <w:bookmarkStart w:id="1379" w:name="_Toc152042378"/>
      <w:bookmarkStart w:id="1380" w:name="_Toc144974568"/>
      <w:bookmarkStart w:id="1381" w:name="_Toc414277164"/>
      <w:bookmarkStart w:id="1382" w:name="_Toc414112652"/>
      <w:bookmarkStart w:id="1383" w:name="_Toc152045601"/>
      <w:bookmarkStart w:id="1384" w:name="_Toc531614703"/>
      <w:bookmarkStart w:id="1385" w:name="_Toc534813020"/>
      <w:r>
        <w:rPr>
          <w:rFonts w:hint="eastAsia" w:ascii="宋体" w:hAnsi="宋体" w:eastAsia="宋体" w:cs="宋体"/>
          <w:sz w:val="24"/>
          <w:szCs w:val="24"/>
        </w:rPr>
        <w:t xml:space="preserve">3. </w:t>
      </w:r>
      <w:bookmarkEnd w:id="1379"/>
      <w:bookmarkEnd w:id="1380"/>
      <w:bookmarkEnd w:id="1381"/>
      <w:bookmarkEnd w:id="1382"/>
      <w:bookmarkEnd w:id="1383"/>
      <w:r>
        <w:rPr>
          <w:rFonts w:hint="eastAsia" w:ascii="宋体" w:hAnsi="宋体" w:eastAsia="宋体" w:cs="宋体"/>
          <w:sz w:val="24"/>
          <w:szCs w:val="24"/>
        </w:rPr>
        <w:t>投标文件初审</w:t>
      </w:r>
      <w:bookmarkEnd w:id="1384"/>
      <w:bookmarkEnd w:id="1385"/>
    </w:p>
    <w:p>
      <w:pPr>
        <w:spacing w:line="360" w:lineRule="auto"/>
        <w:ind w:firstLine="438" w:firstLineChars="200"/>
        <w:rPr>
          <w:rFonts w:ascii="宋体" w:hAnsi="宋体" w:cs="宋体"/>
          <w:szCs w:val="21"/>
        </w:rPr>
      </w:pPr>
      <w:r>
        <w:rPr>
          <w:rFonts w:hint="eastAsia" w:ascii="宋体" w:hAnsi="宋体" w:cs="宋体"/>
          <w:szCs w:val="21"/>
        </w:rPr>
        <w:t>投标文件的初审分为资格性检查和符合性检查。</w:t>
      </w:r>
    </w:p>
    <w:p>
      <w:pPr>
        <w:spacing w:line="360" w:lineRule="auto"/>
        <w:ind w:firstLine="438" w:firstLineChars="200"/>
        <w:rPr>
          <w:rFonts w:ascii="宋体" w:hAnsi="宋体" w:cs="宋体"/>
          <w:szCs w:val="21"/>
        </w:rPr>
      </w:pPr>
      <w:r>
        <w:rPr>
          <w:rFonts w:hint="eastAsia" w:ascii="宋体" w:hAnsi="宋体" w:cs="宋体"/>
          <w:szCs w:val="21"/>
        </w:rPr>
        <w:t>3.1资格性检查</w:t>
      </w:r>
    </w:p>
    <w:p>
      <w:pPr>
        <w:spacing w:line="360" w:lineRule="auto"/>
        <w:ind w:firstLine="438" w:firstLineChars="200"/>
        <w:rPr>
          <w:rFonts w:ascii="宋体" w:hAnsi="宋体" w:cs="宋体"/>
          <w:szCs w:val="21"/>
        </w:rPr>
      </w:pPr>
      <w:r>
        <w:rPr>
          <w:rFonts w:hint="eastAsia" w:ascii="宋体" w:hAnsi="宋体" w:cs="宋体"/>
          <w:szCs w:val="21"/>
        </w:rPr>
        <w:t>3.1.1依据法律法规和采购文件的规定，对投标文件中的资格证明（已通过资格预审的，投标人的资格条件内容没有发生重大变化的（与资格预审申请时比较），可不提供资格审查资料，评审小组在评审阶段不再对投标人进行资格审查）、投标保证金、投标有效期进行审查，以确定投标人是否具备投标资格。资格性检查评审标准：见评审方法前附表。</w:t>
      </w:r>
    </w:p>
    <w:p>
      <w:pPr>
        <w:spacing w:line="360" w:lineRule="auto"/>
        <w:ind w:firstLine="438" w:firstLineChars="200"/>
        <w:rPr>
          <w:rFonts w:ascii="宋体" w:hAnsi="宋体" w:cs="宋体"/>
          <w:szCs w:val="21"/>
        </w:rPr>
      </w:pPr>
      <w:r>
        <w:rPr>
          <w:rFonts w:hint="eastAsia" w:ascii="宋体" w:hAnsi="宋体" w:cs="宋体"/>
          <w:szCs w:val="21"/>
        </w:rPr>
        <w:t>3.1.2当投标人与资格预审申请时比较，投标人的资格条件内容发生重大变化时，评审小组依据资格预审文件规定的相应审查标准对其更新资料进行评审。有一项不符合审查标准的，投标文件将不进入下一步评审。</w:t>
      </w:r>
    </w:p>
    <w:p>
      <w:pPr>
        <w:spacing w:line="360" w:lineRule="auto"/>
        <w:ind w:firstLine="438" w:firstLineChars="200"/>
        <w:rPr>
          <w:rFonts w:ascii="宋体" w:hAnsi="宋体" w:cs="宋体"/>
          <w:szCs w:val="21"/>
        </w:rPr>
      </w:pPr>
      <w:r>
        <w:rPr>
          <w:rFonts w:hint="eastAsia" w:ascii="宋体" w:hAnsi="宋体" w:cs="宋体"/>
          <w:szCs w:val="21"/>
        </w:rPr>
        <w:t>3.1.3投标人须知前附表规定允许未参加资格预审的投标人参与竞争并进行资格后审的，评审小组需按照资格预审文件规定的审查标准对投标人进行资格后审。有一项不符合审查标准的，投标文件将不进入下一步评审。</w:t>
      </w:r>
    </w:p>
    <w:p>
      <w:pPr>
        <w:spacing w:line="360" w:lineRule="auto"/>
        <w:ind w:firstLine="438" w:firstLineChars="200"/>
        <w:rPr>
          <w:rFonts w:ascii="宋体" w:hAnsi="宋体" w:cs="宋体"/>
          <w:szCs w:val="21"/>
        </w:rPr>
      </w:pPr>
      <w:r>
        <w:rPr>
          <w:rFonts w:hint="eastAsia" w:ascii="宋体" w:hAnsi="宋体" w:cs="宋体"/>
          <w:szCs w:val="21"/>
        </w:rPr>
        <w:t>3.2符合性检查</w:t>
      </w:r>
    </w:p>
    <w:p>
      <w:pPr>
        <w:spacing w:line="360" w:lineRule="auto"/>
        <w:ind w:firstLine="438" w:firstLineChars="200"/>
        <w:rPr>
          <w:rFonts w:ascii="宋体" w:hAnsi="宋体" w:cs="宋体"/>
          <w:szCs w:val="21"/>
        </w:rPr>
      </w:pPr>
      <w:r>
        <w:rPr>
          <w:rFonts w:hint="eastAsia" w:ascii="宋体" w:hAnsi="宋体" w:cs="宋体"/>
          <w:szCs w:val="21"/>
        </w:rPr>
        <w:t>依据采购文件的规定，从投标文件的有效性、完整性和对采购文件的响应程度进行审查，以确定是否对采购文件的实质性要求作出响应。符合性检查评审标准：见评审方法前附表。</w:t>
      </w:r>
    </w:p>
    <w:p>
      <w:pPr>
        <w:pStyle w:val="9"/>
        <w:rPr>
          <w:rFonts w:ascii="宋体" w:hAnsi="宋体" w:eastAsia="宋体" w:cs="宋体"/>
          <w:sz w:val="21"/>
          <w:szCs w:val="21"/>
        </w:rPr>
      </w:pPr>
      <w:bookmarkStart w:id="1386" w:name="_Toc531614704"/>
      <w:bookmarkStart w:id="1387" w:name="_Toc534813021"/>
      <w:bookmarkStart w:id="1388" w:name="_Toc152045607"/>
      <w:bookmarkStart w:id="1389" w:name="_Toc414277170"/>
      <w:bookmarkStart w:id="1390" w:name="_Toc152042385"/>
      <w:bookmarkStart w:id="1391" w:name="_Toc414112658"/>
      <w:bookmarkStart w:id="1392" w:name="_Toc144974575"/>
      <w:bookmarkStart w:id="1393" w:name="_Toc144974573"/>
      <w:bookmarkStart w:id="1394" w:name="_Toc414277169"/>
      <w:bookmarkStart w:id="1395" w:name="_Toc152042384"/>
      <w:bookmarkStart w:id="1396" w:name="_Toc152045606"/>
      <w:bookmarkStart w:id="1397" w:name="_Toc414112657"/>
      <w:r>
        <w:rPr>
          <w:rFonts w:hint="eastAsia" w:ascii="宋体" w:hAnsi="宋体" w:eastAsia="宋体" w:cs="宋体"/>
          <w:sz w:val="21"/>
          <w:szCs w:val="21"/>
        </w:rPr>
        <w:t>4. 澄清有关问题</w:t>
      </w:r>
      <w:bookmarkEnd w:id="1386"/>
      <w:bookmarkEnd w:id="1387"/>
    </w:p>
    <w:bookmarkEnd w:id="1388"/>
    <w:bookmarkEnd w:id="1389"/>
    <w:bookmarkEnd w:id="1390"/>
    <w:bookmarkEnd w:id="1391"/>
    <w:bookmarkEnd w:id="1392"/>
    <w:p>
      <w:pPr>
        <w:spacing w:line="360" w:lineRule="auto"/>
        <w:ind w:firstLine="438" w:firstLineChars="200"/>
        <w:rPr>
          <w:rFonts w:ascii="宋体" w:hAnsi="宋体" w:cs="宋体"/>
          <w:szCs w:val="21"/>
        </w:rPr>
      </w:pPr>
      <w:r>
        <w:rPr>
          <w:rFonts w:hint="eastAsia" w:ascii="宋体" w:hAnsi="宋体" w:cs="宋体"/>
          <w:szCs w:val="21"/>
        </w:rPr>
        <w:t>4.1对投标文件中含义不明确、同类问题表述不一致或者有明显文字和计算错误的内容，评审小组可以书面形式（应当由评审小组专家签字）要求投标人作出必要的澄清、说明或者纠正。投标人的澄清、说明或者补正应当采用书面形式，由其授权的委托代理人签字，并不得超出投标文件的范围或者改变投标文件的实质性内容。</w:t>
      </w:r>
    </w:p>
    <w:p>
      <w:pPr>
        <w:spacing w:line="360" w:lineRule="auto"/>
        <w:ind w:firstLine="438" w:firstLineChars="200"/>
        <w:rPr>
          <w:rFonts w:ascii="宋体" w:hAnsi="宋体" w:cs="宋体"/>
          <w:szCs w:val="21"/>
        </w:rPr>
      </w:pPr>
      <w:r>
        <w:rPr>
          <w:rFonts w:hint="eastAsia" w:ascii="宋体" w:hAnsi="宋体" w:cs="宋体"/>
          <w:szCs w:val="21"/>
        </w:rPr>
        <w:t>4.2评审小组要求投标人澄清、说明或者更正响应文件应当以书面形式作出。投标人的澄清、说明或者更正应当由法定代表人或其委托代理人签字或者加盖公章。由委托代理人签字的，应当附法定代表人授权书。投标人为自然人的，应当由本人签字并附身份证明。</w:t>
      </w:r>
    </w:p>
    <w:p>
      <w:pPr>
        <w:pStyle w:val="9"/>
        <w:rPr>
          <w:rFonts w:ascii="宋体" w:hAnsi="宋体" w:eastAsia="宋体" w:cs="宋体"/>
          <w:sz w:val="24"/>
          <w:szCs w:val="24"/>
        </w:rPr>
      </w:pPr>
      <w:bookmarkStart w:id="1398" w:name="_Toc531614705"/>
      <w:bookmarkStart w:id="1399" w:name="_Toc534813022"/>
      <w:r>
        <w:rPr>
          <w:rFonts w:hint="eastAsia" w:ascii="宋体" w:hAnsi="宋体" w:eastAsia="宋体" w:cs="宋体"/>
          <w:sz w:val="24"/>
          <w:szCs w:val="24"/>
        </w:rPr>
        <w:t xml:space="preserve">5. </w:t>
      </w:r>
      <w:bookmarkEnd w:id="1393"/>
      <w:bookmarkEnd w:id="1394"/>
      <w:bookmarkEnd w:id="1395"/>
      <w:bookmarkEnd w:id="1396"/>
      <w:bookmarkEnd w:id="1397"/>
      <w:r>
        <w:rPr>
          <w:rFonts w:hint="eastAsia" w:ascii="宋体" w:hAnsi="宋体" w:eastAsia="宋体" w:cs="宋体"/>
          <w:sz w:val="24"/>
          <w:szCs w:val="24"/>
        </w:rPr>
        <w:t>比较与评价</w:t>
      </w:r>
      <w:bookmarkEnd w:id="1398"/>
      <w:bookmarkEnd w:id="1399"/>
    </w:p>
    <w:p>
      <w:pPr>
        <w:spacing w:line="360" w:lineRule="auto"/>
        <w:ind w:firstLine="438" w:firstLineChars="200"/>
        <w:rPr>
          <w:rFonts w:ascii="宋体" w:hAnsi="宋体" w:cs="宋体"/>
          <w:szCs w:val="21"/>
        </w:rPr>
      </w:pPr>
      <w:r>
        <w:rPr>
          <w:rFonts w:hint="eastAsia" w:ascii="宋体" w:hAnsi="宋体" w:cs="宋体"/>
          <w:szCs w:val="21"/>
        </w:rPr>
        <w:t>5.1投标文件的大写金额和小写金额不一致的，以大写金额为准；投标总价金额与分项报价汇总金额不一致的，以分项报价金额计算结果为准修正投标总价；分项报价金额小数点有明显错位的，应以投标总价为准，并修正分项报价。如果投标人不接受对其算术错误的更正，其投标文件可能被否决。</w:t>
      </w:r>
    </w:p>
    <w:p>
      <w:pPr>
        <w:spacing w:line="360" w:lineRule="auto"/>
        <w:ind w:firstLine="438" w:firstLineChars="200"/>
        <w:rPr>
          <w:rFonts w:ascii="宋体" w:hAnsi="宋体" w:cs="宋体"/>
          <w:szCs w:val="21"/>
        </w:rPr>
      </w:pPr>
      <w:r>
        <w:rPr>
          <w:rFonts w:hint="eastAsia" w:ascii="宋体" w:hAnsi="宋体" w:cs="宋体"/>
          <w:szCs w:val="21"/>
        </w:rPr>
        <w:t>5.2按采购文件中规定的评标方法和标准，对资格性检查和符合性检查合格的投标文件进行详细评审，详细评审评审标准：见评审方法前附表。</w:t>
      </w:r>
    </w:p>
    <w:p>
      <w:pPr>
        <w:spacing w:line="360" w:lineRule="auto"/>
        <w:ind w:firstLine="438" w:firstLineChars="200"/>
        <w:rPr>
          <w:rFonts w:ascii="宋体" w:hAnsi="宋体" w:cs="宋体"/>
          <w:szCs w:val="21"/>
        </w:rPr>
      </w:pPr>
      <w:r>
        <w:rPr>
          <w:rFonts w:hint="eastAsia" w:ascii="宋体" w:hAnsi="宋体" w:cs="宋体"/>
          <w:szCs w:val="21"/>
        </w:rPr>
        <w:t>5.3 评审小组按规定的量化指标和分值进行打分，并计算出综合评审得分。</w:t>
      </w:r>
    </w:p>
    <w:p>
      <w:pPr>
        <w:spacing w:line="360" w:lineRule="auto"/>
        <w:ind w:firstLine="438" w:firstLineChars="200"/>
        <w:rPr>
          <w:rFonts w:ascii="宋体" w:hAnsi="宋体" w:cs="宋体"/>
          <w:szCs w:val="21"/>
        </w:rPr>
      </w:pPr>
      <w:r>
        <w:rPr>
          <w:rFonts w:hint="eastAsia" w:ascii="宋体" w:hAnsi="宋体" w:cs="宋体"/>
          <w:szCs w:val="21"/>
        </w:rPr>
        <w:t>5.4 汇总全体评审小组对各投标人的打分并计算算术平均值，即投标人的最终评审得分；</w:t>
      </w:r>
    </w:p>
    <w:p>
      <w:pPr>
        <w:spacing w:line="360" w:lineRule="auto"/>
        <w:ind w:firstLine="438" w:firstLineChars="200"/>
        <w:rPr>
          <w:rFonts w:ascii="宋体" w:hAnsi="宋体" w:cs="宋体"/>
          <w:szCs w:val="21"/>
        </w:rPr>
      </w:pPr>
      <w:r>
        <w:rPr>
          <w:rFonts w:hint="eastAsia" w:ascii="宋体" w:hAnsi="宋体" w:cs="宋体"/>
          <w:szCs w:val="21"/>
        </w:rPr>
        <w:t>5.5 评分分值计算保留小数点后两位，小数点后第三位“四舍五入”。</w:t>
      </w:r>
    </w:p>
    <w:p>
      <w:pPr>
        <w:pStyle w:val="9"/>
        <w:rPr>
          <w:rFonts w:ascii="宋体" w:hAnsi="宋体" w:eastAsia="宋体" w:cs="宋体"/>
          <w:sz w:val="24"/>
          <w:szCs w:val="24"/>
        </w:rPr>
      </w:pPr>
      <w:bookmarkStart w:id="1400" w:name="_Toc152045608"/>
      <w:bookmarkStart w:id="1401" w:name="_Toc531614706"/>
      <w:bookmarkStart w:id="1402" w:name="_Toc414112659"/>
      <w:bookmarkStart w:id="1403" w:name="_Toc534813023"/>
      <w:bookmarkStart w:id="1404" w:name="_Toc152042386"/>
      <w:bookmarkStart w:id="1405" w:name="_Toc144974576"/>
      <w:bookmarkStart w:id="1406" w:name="_Toc414277171"/>
      <w:r>
        <w:rPr>
          <w:rFonts w:hint="eastAsia" w:ascii="宋体" w:hAnsi="宋体" w:eastAsia="宋体" w:cs="宋体"/>
          <w:sz w:val="21"/>
          <w:szCs w:val="21"/>
        </w:rPr>
        <w:t>6．</w:t>
      </w:r>
      <w:r>
        <w:rPr>
          <w:rFonts w:hint="eastAsia" w:ascii="宋体" w:hAnsi="宋体" w:eastAsia="宋体" w:cs="宋体"/>
          <w:sz w:val="24"/>
          <w:szCs w:val="24"/>
        </w:rPr>
        <w:t>评审结果</w:t>
      </w:r>
      <w:bookmarkEnd w:id="1400"/>
      <w:bookmarkEnd w:id="1401"/>
      <w:bookmarkEnd w:id="1402"/>
      <w:bookmarkEnd w:id="1403"/>
      <w:bookmarkEnd w:id="1404"/>
      <w:bookmarkEnd w:id="1405"/>
      <w:bookmarkEnd w:id="1406"/>
    </w:p>
    <w:p>
      <w:pPr>
        <w:spacing w:line="360" w:lineRule="auto"/>
        <w:ind w:firstLine="438" w:firstLineChars="200"/>
        <w:rPr>
          <w:rFonts w:ascii="宋体" w:hAnsi="宋体" w:cs="宋体"/>
          <w:szCs w:val="21"/>
        </w:rPr>
      </w:pPr>
      <w:r>
        <w:rPr>
          <w:rFonts w:hint="eastAsia" w:ascii="宋体" w:hAnsi="宋体" w:cs="宋体"/>
          <w:szCs w:val="21"/>
        </w:rPr>
        <w:t>6.1评审小组按照综合评审得分由高到低的顺序推荐候选投标人，若出现投标人最终得分相同的情况，则确定污水处理服务费单价低的为第一中标候选人。</w:t>
      </w:r>
    </w:p>
    <w:p>
      <w:pPr>
        <w:spacing w:line="360" w:lineRule="auto"/>
        <w:ind w:firstLine="438" w:firstLineChars="200"/>
        <w:rPr>
          <w:rFonts w:ascii="宋体" w:hAnsi="宋体" w:cs="宋体"/>
          <w:szCs w:val="21"/>
        </w:rPr>
      </w:pPr>
      <w:r>
        <w:rPr>
          <w:rFonts w:hint="eastAsia" w:ascii="宋体" w:hAnsi="宋体" w:cs="宋体"/>
          <w:szCs w:val="21"/>
        </w:rPr>
        <w:t>6.2 评审小组完成评审后，应当向采购人提交书面评审报告，推荐3名中标候选人。</w:t>
      </w:r>
    </w:p>
    <w:p>
      <w:pPr>
        <w:spacing w:line="200" w:lineRule="exact"/>
        <w:rPr>
          <w:rFonts w:ascii="Arial" w:hAnsi="Arial" w:cs="Arial"/>
          <w:sz w:val="20"/>
          <w:szCs w:val="20"/>
        </w:rPr>
      </w:pPr>
    </w:p>
    <w:p>
      <w:pPr>
        <w:spacing w:line="200" w:lineRule="exact"/>
        <w:rPr>
          <w:rFonts w:ascii="Arial" w:hAnsi="Arial" w:cs="Arial"/>
          <w:sz w:val="20"/>
          <w:szCs w:val="20"/>
        </w:rPr>
      </w:pPr>
      <w:r>
        <w:rPr>
          <w:rFonts w:ascii="Arial" w:hAnsi="Arial" w:cs="Arial"/>
          <w:sz w:val="20"/>
          <w:szCs w:val="20"/>
        </w:rPr>
        <w:br w:type="page"/>
      </w: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spacing w:line="200" w:lineRule="exact"/>
        <w:rPr>
          <w:rFonts w:ascii="Arial" w:hAnsi="Arial" w:cs="Arial"/>
          <w:sz w:val="20"/>
          <w:szCs w:val="20"/>
        </w:rPr>
      </w:pPr>
    </w:p>
    <w:p>
      <w:pPr>
        <w:pStyle w:val="7"/>
        <w:jc w:val="center"/>
        <w:rPr>
          <w:rFonts w:ascii="Arial" w:hAnsi="Arial" w:cs="Arial"/>
        </w:rPr>
      </w:pPr>
      <w:bookmarkStart w:id="1407" w:name="_Toc414277231"/>
      <w:bookmarkStart w:id="1408" w:name="_Toc531614707"/>
      <w:bookmarkStart w:id="1409" w:name="_Toc534813024"/>
      <w:r>
        <w:rPr>
          <w:rFonts w:ascii="Arial" w:hAnsi="Arial" w:cs="Arial"/>
        </w:rPr>
        <w:t>第</w:t>
      </w:r>
      <w:r>
        <w:rPr>
          <w:rFonts w:hint="eastAsia" w:ascii="Arial" w:hAnsi="Arial" w:cs="Arial"/>
        </w:rPr>
        <w:t>六章</w:t>
      </w:r>
      <w:r>
        <w:rPr>
          <w:rFonts w:ascii="Arial" w:hAnsi="Arial" w:cs="Arial"/>
        </w:rPr>
        <w:t xml:space="preserve">  投标文件格式</w:t>
      </w:r>
      <w:bookmarkEnd w:id="1407"/>
      <w:bookmarkEnd w:id="1408"/>
      <w:bookmarkEnd w:id="1409"/>
    </w:p>
    <w:p/>
    <w:p>
      <w:pPr>
        <w:pStyle w:val="2"/>
        <w:ind w:firstLine="220"/>
      </w:pPr>
    </w:p>
    <w:p>
      <w:pPr>
        <w:pStyle w:val="5"/>
        <w:ind w:left="440" w:firstLine="440"/>
      </w:pPr>
    </w:p>
    <w:p>
      <w:pPr>
        <w:widowControl/>
        <w:jc w:val="left"/>
      </w:pPr>
    </w:p>
    <w:p>
      <w:pPr>
        <w:pStyle w:val="2"/>
        <w:ind w:firstLine="220"/>
      </w:pPr>
    </w:p>
    <w:p>
      <w:pPr>
        <w:pStyle w:val="5"/>
        <w:ind w:left="440" w:firstLine="440"/>
      </w:pPr>
    </w:p>
    <w:p>
      <w:pPr>
        <w:widowControl/>
        <w:jc w:val="left"/>
      </w:pPr>
    </w:p>
    <w:p>
      <w:pPr>
        <w:pStyle w:val="2"/>
        <w:ind w:firstLine="220"/>
      </w:pPr>
    </w:p>
    <w:p>
      <w:pPr>
        <w:pStyle w:val="5"/>
        <w:ind w:left="440" w:firstLine="440"/>
      </w:pPr>
    </w:p>
    <w:p>
      <w:pPr>
        <w:widowControl/>
        <w:jc w:val="left"/>
      </w:pPr>
    </w:p>
    <w:p>
      <w:pPr>
        <w:pStyle w:val="2"/>
        <w:ind w:firstLine="220"/>
      </w:pPr>
    </w:p>
    <w:p>
      <w:pPr>
        <w:pStyle w:val="5"/>
        <w:ind w:left="440" w:firstLine="440"/>
      </w:pPr>
    </w:p>
    <w:p>
      <w:pPr>
        <w:widowControl/>
        <w:jc w:val="left"/>
      </w:pPr>
    </w:p>
    <w:p>
      <w:pPr>
        <w:pStyle w:val="2"/>
        <w:ind w:firstLine="220"/>
      </w:pPr>
    </w:p>
    <w:p>
      <w:pPr>
        <w:pStyle w:val="5"/>
        <w:ind w:left="440" w:firstLine="440"/>
      </w:pPr>
    </w:p>
    <w:p>
      <w:pPr>
        <w:shd w:val="clear" w:color="auto" w:fill="FFFFFF"/>
        <w:snapToGrid w:val="0"/>
        <w:spacing w:line="360" w:lineRule="auto"/>
        <w:ind w:firstLine="898" w:firstLineChars="200"/>
        <w:jc w:val="center"/>
        <w:rPr>
          <w:rFonts w:ascii="宋体" w:hAnsi="宋体" w:cs="宋体"/>
          <w:b/>
          <w:bCs/>
          <w:sz w:val="44"/>
          <w:szCs w:val="44"/>
        </w:rPr>
      </w:pPr>
    </w:p>
    <w:p>
      <w:pPr>
        <w:shd w:val="clear" w:color="auto" w:fill="FFFFFF"/>
        <w:snapToGrid w:val="0"/>
        <w:spacing w:line="360" w:lineRule="auto"/>
        <w:ind w:firstLine="898" w:firstLineChars="200"/>
        <w:jc w:val="center"/>
        <w:rPr>
          <w:rFonts w:ascii="宋体" w:hAnsi="宋体" w:cs="宋体"/>
          <w:b/>
          <w:bCs/>
          <w:sz w:val="44"/>
          <w:szCs w:val="44"/>
        </w:rPr>
      </w:pPr>
      <w:r>
        <w:rPr>
          <w:rFonts w:hint="eastAsia" w:ascii="宋体" w:hAnsi="宋体" w:cs="宋体"/>
          <w:b/>
          <w:bCs/>
          <w:sz w:val="44"/>
          <w:szCs w:val="44"/>
        </w:rPr>
        <w:t>（项目名称）</w:t>
      </w:r>
    </w:p>
    <w:p>
      <w:pPr>
        <w:autoSpaceDE w:val="0"/>
        <w:autoSpaceDN w:val="0"/>
        <w:adjustRightInd w:val="0"/>
        <w:spacing w:line="360" w:lineRule="auto"/>
        <w:ind w:firstLine="1018" w:firstLineChars="200"/>
        <w:jc w:val="center"/>
        <w:rPr>
          <w:rFonts w:ascii="宋体" w:hAnsi="宋体" w:cs="宋体"/>
          <w:kern w:val="0"/>
          <w:sz w:val="50"/>
          <w:szCs w:val="50"/>
        </w:rPr>
      </w:pPr>
    </w:p>
    <w:p>
      <w:pPr>
        <w:autoSpaceDE w:val="0"/>
        <w:autoSpaceDN w:val="0"/>
        <w:adjustRightInd w:val="0"/>
        <w:spacing w:line="360" w:lineRule="auto"/>
        <w:ind w:firstLine="1658" w:firstLineChars="200"/>
        <w:jc w:val="center"/>
        <w:rPr>
          <w:rFonts w:ascii="宋体" w:hAnsi="宋体" w:cs="宋体"/>
          <w:b/>
          <w:spacing w:val="60"/>
          <w:kern w:val="0"/>
          <w:sz w:val="70"/>
          <w:szCs w:val="50"/>
        </w:rPr>
      </w:pPr>
    </w:p>
    <w:p>
      <w:pPr>
        <w:autoSpaceDE w:val="0"/>
        <w:autoSpaceDN w:val="0"/>
        <w:adjustRightInd w:val="0"/>
        <w:spacing w:line="360" w:lineRule="auto"/>
        <w:ind w:firstLine="1698" w:firstLineChars="200"/>
        <w:jc w:val="center"/>
        <w:rPr>
          <w:rFonts w:ascii="宋体" w:hAnsi="宋体" w:cs="宋体"/>
          <w:kern w:val="0"/>
          <w:sz w:val="40"/>
          <w:szCs w:val="23"/>
        </w:rPr>
      </w:pPr>
      <w:r>
        <w:rPr>
          <w:rFonts w:hint="eastAsia" w:ascii="宋体" w:hAnsi="宋体" w:cs="宋体"/>
          <w:b/>
          <w:spacing w:val="60"/>
          <w:kern w:val="0"/>
          <w:sz w:val="72"/>
          <w:szCs w:val="72"/>
        </w:rPr>
        <w:t>投标文件</w:t>
      </w:r>
    </w:p>
    <w:p>
      <w:pPr>
        <w:autoSpaceDE w:val="0"/>
        <w:autoSpaceDN w:val="0"/>
        <w:adjustRightInd w:val="0"/>
        <w:spacing w:line="360" w:lineRule="auto"/>
        <w:ind w:firstLine="1058" w:firstLineChars="200"/>
        <w:jc w:val="center"/>
        <w:rPr>
          <w:rFonts w:ascii="宋体" w:hAnsi="宋体" w:cs="宋体"/>
          <w:spacing w:val="60"/>
          <w:kern w:val="0"/>
          <w:sz w:val="40"/>
          <w:szCs w:val="23"/>
        </w:rPr>
      </w:pPr>
    </w:p>
    <w:p>
      <w:pPr>
        <w:autoSpaceDE w:val="0"/>
        <w:autoSpaceDN w:val="0"/>
        <w:adjustRightInd w:val="0"/>
        <w:spacing w:line="360" w:lineRule="auto"/>
        <w:ind w:firstLine="1058" w:firstLineChars="200"/>
        <w:jc w:val="center"/>
        <w:rPr>
          <w:rFonts w:ascii="宋体" w:hAnsi="宋体" w:cs="宋体"/>
          <w:spacing w:val="60"/>
          <w:kern w:val="0"/>
          <w:sz w:val="40"/>
          <w:szCs w:val="23"/>
        </w:rPr>
      </w:pPr>
    </w:p>
    <w:p>
      <w:pPr>
        <w:widowControl/>
        <w:spacing w:beforeLines="50" w:afterLines="50" w:line="480" w:lineRule="auto"/>
        <w:jc w:val="center"/>
        <w:rPr>
          <w:rFonts w:ascii="宋体" w:hAnsi="宋体" w:cs="宋体"/>
          <w:sz w:val="24"/>
        </w:rPr>
      </w:pPr>
      <w:r>
        <w:rPr>
          <w:rFonts w:hint="eastAsia" w:ascii="宋体" w:hAnsi="宋体" w:cs="宋体"/>
          <w:sz w:val="24"/>
        </w:rPr>
        <w:t xml:space="preserve"> 申 请 人：</w:t>
      </w:r>
      <w:r>
        <w:rPr>
          <w:rFonts w:hint="eastAsia" w:ascii="宋体" w:hAnsi="宋体" w:cs="宋体"/>
          <w:sz w:val="24"/>
          <w:u w:val="single"/>
        </w:rPr>
        <w:t xml:space="preserve">               </w:t>
      </w:r>
      <w:r>
        <w:rPr>
          <w:rFonts w:hint="eastAsia" w:ascii="宋体" w:hAnsi="宋体" w:cs="宋体"/>
          <w:sz w:val="24"/>
        </w:rPr>
        <w:t>(盖单位公章）</w:t>
      </w:r>
    </w:p>
    <w:p>
      <w:pPr>
        <w:spacing w:line="360" w:lineRule="auto"/>
        <w:ind w:firstLine="498" w:firstLineChars="200"/>
        <w:jc w:val="center"/>
        <w:rPr>
          <w:rFonts w:ascii="宋体" w:hAnsi="宋体" w:cs="宋体"/>
          <w:sz w:val="24"/>
        </w:rPr>
      </w:pPr>
      <w:r>
        <w:rPr>
          <w:rFonts w:hint="eastAsia" w:ascii="宋体" w:hAnsi="宋体" w:cs="宋体"/>
          <w:sz w:val="24"/>
        </w:rPr>
        <w:t>法定代表人或其委托代理人：</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(签字)</w:t>
      </w:r>
    </w:p>
    <w:p>
      <w:pPr>
        <w:spacing w:line="360" w:lineRule="auto"/>
        <w:ind w:firstLine="498" w:firstLineChars="200"/>
        <w:jc w:val="center"/>
        <w:rPr>
          <w:rFonts w:ascii="宋体" w:hAnsi="宋体" w:cs="宋体"/>
          <w:sz w:val="24"/>
        </w:rPr>
      </w:pPr>
    </w:p>
    <w:p>
      <w:pPr>
        <w:spacing w:line="360" w:lineRule="auto"/>
        <w:ind w:firstLine="2205" w:firstLineChars="886"/>
        <w:jc w:val="center"/>
        <w:rPr>
          <w:rFonts w:ascii="宋体" w:hAnsi="宋体" w:cs="宋体"/>
          <w:sz w:val="24"/>
        </w:rPr>
      </w:pPr>
      <w:r>
        <w:rPr>
          <w:rFonts w:hint="eastAsia" w:ascii="宋体" w:hAnsi="宋体" w:cs="宋体"/>
          <w:sz w:val="24"/>
        </w:rPr>
        <w:t>日   期：</w:t>
      </w:r>
      <w:r>
        <w:rPr>
          <w:rFonts w:hint="eastAsia" w:ascii="宋体" w:hAnsi="宋体" w:cs="宋体"/>
          <w:sz w:val="24"/>
          <w:u w:val="single"/>
        </w:rPr>
        <w:t>_________________________</w:t>
      </w:r>
    </w:p>
    <w:p>
      <w:pPr>
        <w:spacing w:beforeLines="50" w:afterLines="50" w:line="360" w:lineRule="auto"/>
        <w:ind w:firstLine="498" w:firstLineChars="200"/>
        <w:jc w:val="left"/>
        <w:rPr>
          <w:rFonts w:ascii="宋体" w:hAnsi="宋体" w:cs="宋体"/>
          <w:kern w:val="0"/>
          <w:sz w:val="24"/>
          <w:szCs w:val="21"/>
        </w:rPr>
      </w:pPr>
    </w:p>
    <w:p>
      <w:pPr>
        <w:spacing w:beforeLines="50" w:afterLines="50" w:line="360" w:lineRule="auto"/>
        <w:ind w:firstLine="498" w:firstLineChars="200"/>
        <w:jc w:val="left"/>
        <w:rPr>
          <w:b/>
          <w:sz w:val="32"/>
        </w:rPr>
      </w:pPr>
      <w:r>
        <w:rPr>
          <w:rFonts w:hint="eastAsia" w:ascii="宋体" w:hAnsi="宋体" w:cs="宋体"/>
          <w:kern w:val="0"/>
          <w:sz w:val="24"/>
          <w:szCs w:val="21"/>
        </w:rPr>
        <w:t>备注：联合体申请，须由联合体牵头人的法定代表人或其委托代理人签署，并盖联合体牵头人单位公章。</w:t>
      </w:r>
    </w:p>
    <w:p>
      <w:pPr>
        <w:spacing w:beforeLines="50" w:afterLines="50" w:line="360" w:lineRule="auto"/>
        <w:ind w:firstLine="658" w:firstLineChars="200"/>
        <w:jc w:val="center"/>
        <w:rPr>
          <w:b/>
          <w:sz w:val="32"/>
        </w:rPr>
      </w:pPr>
    </w:p>
    <w:p>
      <w:pPr>
        <w:widowControl/>
        <w:jc w:val="left"/>
      </w:pPr>
    </w:p>
    <w:p>
      <w:pPr>
        <w:wordWrap w:val="0"/>
        <w:topLinePunct/>
        <w:ind w:firstLine="438" w:firstLineChars="200"/>
        <w:jc w:val="center"/>
        <w:rPr>
          <w:rFonts w:ascii="宋体" w:hAnsi="宋体" w:cs="宋体"/>
          <w:b/>
          <w:bCs/>
          <w:sz w:val="40"/>
          <w:szCs w:val="44"/>
        </w:rPr>
      </w:pPr>
      <w:r>
        <w:br w:type="page"/>
      </w:r>
      <w:bookmarkEnd w:id="141"/>
      <w:bookmarkEnd w:id="142"/>
      <w:bookmarkEnd w:id="143"/>
      <w:bookmarkStart w:id="1410" w:name="_Toc515628061"/>
      <w:bookmarkStart w:id="1411" w:name="_Toc534813025"/>
      <w:bookmarkStart w:id="1412" w:name="_Toc437271299"/>
      <w:bookmarkStart w:id="1413" w:name="_Ref369086714"/>
      <w:bookmarkStart w:id="1414" w:name="_Toc431397893"/>
      <w:bookmarkStart w:id="1415" w:name="_Ref430359421"/>
      <w:bookmarkStart w:id="1416" w:name="_Toc531614720"/>
      <w:r>
        <w:rPr>
          <w:rFonts w:hint="eastAsia" w:ascii="宋体" w:hAnsi="宋体" w:cs="宋体"/>
          <w:b/>
          <w:bCs/>
          <w:sz w:val="40"/>
          <w:szCs w:val="44"/>
        </w:rPr>
        <w:t>目    录</w:t>
      </w:r>
    </w:p>
    <w:p>
      <w:pPr>
        <w:wordWrap w:val="0"/>
        <w:topLinePunct/>
        <w:spacing w:line="360" w:lineRule="auto"/>
        <w:rPr>
          <w:rFonts w:ascii="宋体" w:hAnsi="宋体" w:cs="宋体"/>
        </w:rPr>
      </w:pP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投标函</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开标一览表</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法定代表人身份证明</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授权委托书</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联合体协议书（如有）</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投标保证金</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资格文件</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投融资方案</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技术方案</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bCs/>
          <w:sz w:val="24"/>
        </w:rPr>
        <w:t>法律方案</w:t>
      </w:r>
    </w:p>
    <w:p>
      <w:pPr>
        <w:keepNext/>
        <w:keepLines/>
        <w:numPr>
          <w:ilvl w:val="0"/>
          <w:numId w:val="37"/>
        </w:numPr>
        <w:wordWrap w:val="0"/>
        <w:topLinePunct/>
        <w:spacing w:before="10" w:after="10" w:line="360" w:lineRule="auto"/>
        <w:ind w:firstLine="498" w:firstLineChars="200"/>
        <w:jc w:val="left"/>
        <w:rPr>
          <w:rFonts w:ascii="宋体" w:hAnsi="宋体" w:cs="宋体"/>
          <w:bCs/>
          <w:sz w:val="24"/>
        </w:rPr>
      </w:pPr>
      <w:r>
        <w:rPr>
          <w:rFonts w:hint="eastAsia" w:ascii="宋体" w:hAnsi="宋体" w:cs="宋体"/>
          <w:bCs/>
          <w:sz w:val="24"/>
        </w:rPr>
        <w:t>其他材料</w:t>
      </w:r>
    </w:p>
    <w:p>
      <w:pPr>
        <w:wordWrap w:val="0"/>
        <w:topLinePunct/>
        <w:spacing w:line="360" w:lineRule="auto"/>
        <w:rPr>
          <w:rFonts w:ascii="宋体" w:hAnsi="宋体" w:cs="宋体"/>
        </w:rPr>
      </w:pPr>
    </w:p>
    <w:p>
      <w:pPr>
        <w:pStyle w:val="2"/>
        <w:ind w:firstLine="220"/>
      </w:pPr>
    </w:p>
    <w:p>
      <w:pPr>
        <w:pStyle w:val="5"/>
        <w:ind w:left="440" w:firstLine="440"/>
      </w:pPr>
    </w:p>
    <w:p>
      <w:pPr>
        <w:widowControl/>
        <w:jc w:val="left"/>
      </w:pPr>
    </w:p>
    <w:p>
      <w:pPr>
        <w:pStyle w:val="2"/>
        <w:ind w:firstLine="220"/>
      </w:pPr>
    </w:p>
    <w:p>
      <w:pPr>
        <w:pStyle w:val="5"/>
        <w:ind w:left="440" w:firstLine="440"/>
      </w:pPr>
    </w:p>
    <w:p>
      <w:pPr>
        <w:widowControl/>
        <w:jc w:val="left"/>
      </w:pPr>
    </w:p>
    <w:p>
      <w:pPr>
        <w:pStyle w:val="5"/>
        <w:ind w:left="440" w:firstLine="440"/>
      </w:pPr>
    </w:p>
    <w:p>
      <w:pPr>
        <w:widowControl/>
        <w:jc w:val="left"/>
      </w:pPr>
    </w:p>
    <w:p>
      <w:pPr>
        <w:pStyle w:val="2"/>
        <w:ind w:firstLine="220"/>
      </w:pPr>
    </w:p>
    <w:p>
      <w:pPr>
        <w:pStyle w:val="9"/>
        <w:jc w:val="center"/>
        <w:rPr>
          <w:rFonts w:cs="Arial"/>
          <w:sz w:val="28"/>
          <w:szCs w:val="28"/>
        </w:rPr>
      </w:pPr>
      <w:r>
        <w:rPr>
          <w:rFonts w:cs="Arial"/>
          <w:sz w:val="28"/>
          <w:szCs w:val="28"/>
        </w:rPr>
        <w:t>一、投标函</w:t>
      </w:r>
      <w:bookmarkEnd w:id="1410"/>
      <w:bookmarkEnd w:id="1411"/>
    </w:p>
    <w:p>
      <w:pPr>
        <w:spacing w:line="440" w:lineRule="exact"/>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（采购人名称）：</w:t>
      </w:r>
    </w:p>
    <w:p>
      <w:pPr>
        <w:spacing w:line="440" w:lineRule="exact"/>
        <w:ind w:firstLine="438" w:firstLineChars="200"/>
        <w:rPr>
          <w:rFonts w:ascii="宋体" w:hAnsi="宋体" w:cs="宋体"/>
          <w:szCs w:val="21"/>
        </w:rPr>
      </w:pPr>
      <w:r>
        <w:rPr>
          <w:rFonts w:hint="eastAsia" w:ascii="宋体" w:hAnsi="宋体" w:cs="宋体"/>
          <w:szCs w:val="21"/>
        </w:rPr>
        <w:t>根据贵方的（项目名称）采购文件，签字代表</w:t>
      </w:r>
      <w:r>
        <w:rPr>
          <w:rFonts w:hint="eastAsia" w:ascii="宋体" w:hAnsi="宋体" w:cs="宋体"/>
          <w:szCs w:val="21"/>
          <w:u w:val="single"/>
        </w:rPr>
        <w:t>（姓名、职务）</w:t>
      </w:r>
      <w:r>
        <w:rPr>
          <w:rFonts w:hint="eastAsia" w:ascii="宋体" w:hAnsi="宋体" w:cs="宋体"/>
          <w:szCs w:val="21"/>
        </w:rPr>
        <w:t>经正式授权并代表投标人</w:t>
      </w:r>
      <w:r>
        <w:rPr>
          <w:rFonts w:hint="eastAsia" w:ascii="宋体" w:hAnsi="宋体" w:cs="宋体"/>
          <w:szCs w:val="21"/>
          <w:u w:val="single"/>
        </w:rPr>
        <w:t>（投标人名称（或联合体成员）、地址）</w:t>
      </w:r>
      <w:r>
        <w:rPr>
          <w:rFonts w:hint="eastAsia" w:ascii="宋体" w:hAnsi="宋体" w:cs="宋体"/>
          <w:szCs w:val="21"/>
        </w:rPr>
        <w:t>提交投标文件正本</w:t>
      </w:r>
      <w:r>
        <w:rPr>
          <w:rFonts w:hint="eastAsia" w:ascii="宋体" w:hAnsi="宋体" w:cs="宋体"/>
          <w:szCs w:val="21"/>
          <w:u w:val="single"/>
        </w:rPr>
        <w:t xml:space="preserve">    </w:t>
      </w:r>
      <w:r>
        <w:rPr>
          <w:rFonts w:hint="eastAsia" w:ascii="宋体" w:hAnsi="宋体" w:cs="宋体"/>
          <w:szCs w:val="21"/>
        </w:rPr>
        <w:t>份及副本</w:t>
      </w:r>
      <w:r>
        <w:rPr>
          <w:rFonts w:hint="eastAsia" w:ascii="宋体" w:hAnsi="宋体" w:cs="宋体"/>
          <w:szCs w:val="21"/>
          <w:u w:val="single"/>
        </w:rPr>
        <w:t xml:space="preserve">  </w:t>
      </w:r>
      <w:r>
        <w:rPr>
          <w:rFonts w:hint="eastAsia" w:ascii="宋体" w:hAnsi="宋体" w:cs="宋体"/>
          <w:szCs w:val="21"/>
        </w:rPr>
        <w:t>份：</w:t>
      </w:r>
    </w:p>
    <w:p>
      <w:pPr>
        <w:spacing w:line="440" w:lineRule="exact"/>
        <w:ind w:firstLine="438" w:firstLineChars="200"/>
        <w:rPr>
          <w:rFonts w:ascii="宋体" w:hAnsi="宋体" w:cs="宋体"/>
          <w:szCs w:val="21"/>
        </w:rPr>
      </w:pPr>
      <w:r>
        <w:rPr>
          <w:rFonts w:hint="eastAsia" w:ascii="宋体" w:hAnsi="宋体" w:cs="宋体"/>
          <w:szCs w:val="21"/>
        </w:rPr>
        <w:t>我方已仔细阅读并研究了</w:t>
      </w:r>
      <w:r>
        <w:rPr>
          <w:rFonts w:hint="eastAsia" w:ascii="宋体" w:hAnsi="宋体" w:cs="宋体"/>
          <w:szCs w:val="21"/>
          <w:u w:val="single"/>
        </w:rPr>
        <w:t xml:space="preserve">            </w:t>
      </w:r>
      <w:r>
        <w:rPr>
          <w:rFonts w:hint="eastAsia" w:ascii="宋体" w:hAnsi="宋体" w:cs="宋体"/>
          <w:szCs w:val="21"/>
        </w:rPr>
        <w:t>（项目名称）采购文件的全部内容（包含本项目的所有补遗、澄清和变更资料），我们完全熟悉其中的要求、条款和条件。</w:t>
      </w:r>
      <w:r>
        <w:rPr>
          <w:rFonts w:hint="eastAsia" w:ascii="宋体" w:hAnsi="宋体" w:cs="宋体"/>
          <w:bCs/>
          <w:szCs w:val="21"/>
        </w:rPr>
        <w:t>每立方米污水处理服务费单价</w:t>
      </w:r>
      <w:r>
        <w:rPr>
          <w:rFonts w:hint="eastAsia" w:ascii="宋体" w:hAnsi="宋体" w:cs="宋体"/>
          <w:szCs w:val="21"/>
        </w:rPr>
        <w:t>愿意以人民币（大写</w:t>
      </w:r>
      <w:r>
        <w:rPr>
          <w:rFonts w:hint="eastAsia" w:ascii="宋体" w:hAnsi="宋体" w:cs="宋体"/>
          <w:szCs w:val="21"/>
          <w:u w:val="single"/>
        </w:rPr>
        <w:t xml:space="preserve">   </w:t>
      </w:r>
      <w:r>
        <w:rPr>
          <w:rFonts w:hint="eastAsia" w:ascii="宋体" w:hAnsi="宋体" w:cs="宋体"/>
          <w:szCs w:val="21"/>
        </w:rPr>
        <w:t xml:space="preserve">）（¥小写 </w:t>
      </w:r>
      <w:r>
        <w:rPr>
          <w:rFonts w:hint="eastAsia" w:ascii="宋体" w:hAnsi="宋体" w:cs="宋体"/>
          <w:szCs w:val="21"/>
          <w:u w:val="single"/>
        </w:rPr>
        <w:tab/>
      </w:r>
      <w:r>
        <w:rPr>
          <w:rFonts w:hint="eastAsia" w:ascii="宋体" w:hAnsi="宋体" w:cs="宋体"/>
          <w:szCs w:val="21"/>
        </w:rPr>
        <w:t>）的投标报价</w:t>
      </w:r>
      <w:r>
        <w:rPr>
          <w:rFonts w:hint="eastAsia" w:ascii="宋体" w:hAnsi="宋体" w:cs="宋体"/>
          <w:bCs/>
          <w:szCs w:val="21"/>
        </w:rPr>
        <w:t>，建设期（含设计、试运行期）工期</w:t>
      </w:r>
      <w:r>
        <w:rPr>
          <w:rFonts w:hint="eastAsia" w:ascii="宋体" w:hAnsi="宋体" w:cs="宋体"/>
          <w:bCs/>
          <w:szCs w:val="21"/>
          <w:u w:val="single"/>
        </w:rPr>
        <w:t xml:space="preserve">   </w:t>
      </w:r>
      <w:r>
        <w:rPr>
          <w:rFonts w:hint="eastAsia" w:ascii="宋体" w:hAnsi="宋体" w:cs="宋体"/>
          <w:bCs/>
          <w:szCs w:val="21"/>
        </w:rPr>
        <w:t>个月，</w:t>
      </w:r>
      <w:r>
        <w:rPr>
          <w:rFonts w:hint="eastAsia" w:ascii="宋体" w:hAnsi="宋体" w:cs="宋体"/>
          <w:szCs w:val="21"/>
        </w:rPr>
        <w:t>按合同约定对本项目前期工作、建设、运营及移交等进行实施和完成。同时做出以下声明：</w:t>
      </w:r>
    </w:p>
    <w:p>
      <w:pPr>
        <w:spacing w:line="440" w:lineRule="exact"/>
        <w:ind w:firstLine="438" w:firstLineChars="200"/>
        <w:rPr>
          <w:rFonts w:ascii="宋体" w:hAnsi="宋体" w:cs="宋体"/>
          <w:szCs w:val="21"/>
        </w:rPr>
      </w:pPr>
      <w:r>
        <w:rPr>
          <w:rFonts w:hint="eastAsia" w:ascii="宋体" w:hAnsi="宋体" w:cs="宋体"/>
          <w:szCs w:val="21"/>
        </w:rPr>
        <w:t>1．我方按采购文件的要求编制响应文件。</w:t>
      </w:r>
    </w:p>
    <w:p>
      <w:pPr>
        <w:spacing w:line="440" w:lineRule="exact"/>
        <w:ind w:firstLine="438" w:firstLineChars="200"/>
        <w:rPr>
          <w:rFonts w:ascii="宋体" w:hAnsi="宋体" w:cs="宋体"/>
          <w:szCs w:val="21"/>
        </w:rPr>
      </w:pPr>
      <w:r>
        <w:rPr>
          <w:rFonts w:hint="eastAsia" w:ascii="宋体" w:hAnsi="宋体" w:cs="宋体"/>
          <w:szCs w:val="21"/>
        </w:rPr>
        <w:t>2．我方投标有效期为</w:t>
      </w:r>
      <w:r>
        <w:rPr>
          <w:rFonts w:hint="eastAsia" w:ascii="宋体" w:hAnsi="宋体" w:cs="宋体"/>
          <w:szCs w:val="21"/>
          <w:u w:val="single"/>
        </w:rPr>
        <w:t xml:space="preserve">     </w:t>
      </w:r>
      <w:r>
        <w:rPr>
          <w:rFonts w:hint="eastAsia" w:ascii="宋体" w:hAnsi="宋体" w:cs="宋体"/>
          <w:szCs w:val="21"/>
        </w:rPr>
        <w:t>天，投标保证金有效期为</w:t>
      </w:r>
      <w:r>
        <w:rPr>
          <w:rFonts w:hint="eastAsia" w:ascii="宋体" w:hAnsi="宋体" w:cs="宋体"/>
          <w:szCs w:val="21"/>
          <w:u w:val="single"/>
        </w:rPr>
        <w:t xml:space="preserve">    </w:t>
      </w:r>
      <w:r>
        <w:rPr>
          <w:rFonts w:hint="eastAsia" w:ascii="宋体" w:hAnsi="宋体" w:cs="宋体"/>
          <w:szCs w:val="21"/>
        </w:rPr>
        <w:t>天。</w:t>
      </w:r>
    </w:p>
    <w:p>
      <w:pPr>
        <w:spacing w:line="440" w:lineRule="exact"/>
        <w:ind w:firstLine="438" w:firstLineChars="200"/>
        <w:rPr>
          <w:rFonts w:ascii="宋体" w:hAnsi="宋体" w:cs="宋体"/>
          <w:szCs w:val="21"/>
        </w:rPr>
      </w:pPr>
      <w:r>
        <w:rPr>
          <w:rFonts w:hint="eastAsia" w:ascii="宋体" w:hAnsi="宋体" w:cs="宋体"/>
          <w:szCs w:val="21"/>
        </w:rPr>
        <w:t>3．我方承诺与采购人聘请的为此项目提供咨询服务的公司及任何附属机构均无关联，我方不是采购人的附属机构。</w:t>
      </w:r>
    </w:p>
    <w:p>
      <w:pPr>
        <w:spacing w:line="440" w:lineRule="exact"/>
        <w:ind w:firstLine="438" w:firstLineChars="200"/>
        <w:rPr>
          <w:rFonts w:ascii="宋体" w:hAnsi="宋体" w:cs="宋体"/>
          <w:szCs w:val="21"/>
        </w:rPr>
      </w:pPr>
      <w:r>
        <w:rPr>
          <w:rFonts w:hint="eastAsia" w:ascii="宋体" w:hAnsi="宋体" w:cs="宋体"/>
          <w:szCs w:val="21"/>
        </w:rPr>
        <w:t>4．我方将按采购文件的规定履行合同责任和义务。</w:t>
      </w:r>
    </w:p>
    <w:p>
      <w:pPr>
        <w:spacing w:line="440" w:lineRule="exact"/>
        <w:ind w:firstLine="438" w:firstLineChars="200"/>
        <w:rPr>
          <w:rFonts w:ascii="宋体" w:hAnsi="宋体" w:cs="宋体"/>
          <w:szCs w:val="21"/>
        </w:rPr>
      </w:pPr>
      <w:r>
        <w:rPr>
          <w:rFonts w:hint="eastAsia" w:ascii="宋体" w:hAnsi="宋体" w:cs="宋体"/>
          <w:szCs w:val="21"/>
        </w:rPr>
        <w:t>5．我方同意投标人须知中关于没收投标保证金的规定。</w:t>
      </w:r>
    </w:p>
    <w:p>
      <w:pPr>
        <w:spacing w:line="440" w:lineRule="exact"/>
        <w:ind w:firstLine="438" w:firstLineChars="200"/>
        <w:rPr>
          <w:rFonts w:ascii="宋体" w:hAnsi="宋体" w:cs="宋体"/>
          <w:szCs w:val="21"/>
        </w:rPr>
      </w:pPr>
      <w:r>
        <w:rPr>
          <w:rFonts w:hint="eastAsia" w:ascii="宋体" w:hAnsi="宋体" w:cs="宋体"/>
          <w:szCs w:val="21"/>
        </w:rPr>
        <w:t>6．我方同意提供贵方可能要求的与其招标有关的一切数据或资料。</w:t>
      </w:r>
    </w:p>
    <w:p>
      <w:pPr>
        <w:spacing w:line="440" w:lineRule="exact"/>
        <w:ind w:firstLine="438" w:firstLineChars="200"/>
        <w:rPr>
          <w:rFonts w:ascii="宋体" w:hAnsi="宋体" w:cs="宋体"/>
          <w:szCs w:val="21"/>
        </w:rPr>
      </w:pPr>
      <w:r>
        <w:rPr>
          <w:rFonts w:hint="eastAsia" w:ascii="宋体" w:hAnsi="宋体" w:cs="宋体"/>
          <w:szCs w:val="21"/>
        </w:rPr>
        <w:t>7．我方完全理解贵方不一定接受最低价的响应或收到的任何响应。</w:t>
      </w:r>
    </w:p>
    <w:p>
      <w:pPr>
        <w:spacing w:line="440" w:lineRule="exact"/>
        <w:ind w:firstLine="438" w:firstLineChars="200"/>
        <w:rPr>
          <w:rFonts w:ascii="宋体" w:hAnsi="宋体" w:cs="宋体"/>
          <w:szCs w:val="21"/>
        </w:rPr>
      </w:pPr>
      <w:r>
        <w:rPr>
          <w:rFonts w:hint="eastAsia" w:ascii="宋体" w:hAnsi="宋体" w:cs="宋体"/>
          <w:szCs w:val="21"/>
        </w:rPr>
        <w:t>8．我方承诺不泄露招投标活动中获取的项目信息、商业秘密。</w:t>
      </w:r>
    </w:p>
    <w:p>
      <w:pPr>
        <w:spacing w:line="440" w:lineRule="exact"/>
        <w:ind w:firstLine="438" w:firstLineChars="200"/>
        <w:rPr>
          <w:rFonts w:ascii="宋体" w:hAnsi="宋体" w:cs="宋体"/>
          <w:szCs w:val="21"/>
        </w:rPr>
      </w:pPr>
      <w:r>
        <w:rPr>
          <w:rFonts w:hint="eastAsia" w:ascii="宋体" w:hAnsi="宋体" w:cs="宋体"/>
          <w:szCs w:val="21"/>
        </w:rPr>
        <w:t>9.我方承诺完全响应采购文件要求。</w:t>
      </w:r>
    </w:p>
    <w:p>
      <w:pPr>
        <w:spacing w:line="440" w:lineRule="exact"/>
        <w:ind w:firstLine="438" w:firstLineChars="200"/>
        <w:rPr>
          <w:rFonts w:ascii="宋体" w:hAnsi="宋体" w:cs="宋体"/>
          <w:szCs w:val="21"/>
        </w:rPr>
      </w:pPr>
      <w:r>
        <w:rPr>
          <w:rFonts w:hint="eastAsia" w:ascii="宋体" w:hAnsi="宋体" w:cs="宋体"/>
          <w:szCs w:val="21"/>
        </w:rPr>
        <w:t>10．我方在此声明，所递交的投标文件及有关资料内容完整、真实和准确。</w:t>
      </w:r>
    </w:p>
    <w:p>
      <w:pPr>
        <w:spacing w:line="440" w:lineRule="exact"/>
        <w:ind w:firstLine="438" w:firstLineChars="200"/>
        <w:rPr>
          <w:rFonts w:ascii="宋体" w:hAnsi="宋体" w:cs="宋体"/>
          <w:szCs w:val="21"/>
        </w:rPr>
      </w:pPr>
      <w:r>
        <w:rPr>
          <w:rFonts w:hint="eastAsia" w:ascii="宋体" w:hAnsi="宋体" w:cs="宋体"/>
          <w:szCs w:val="21"/>
        </w:rPr>
        <w:t>与本招标有关的一切正式信函请寄：</w:t>
      </w:r>
    </w:p>
    <w:p>
      <w:pPr>
        <w:pStyle w:val="3"/>
        <w:tabs>
          <w:tab w:val="left" w:pos="4475"/>
          <w:tab w:val="left" w:pos="4706"/>
          <w:tab w:val="left" w:pos="5392"/>
          <w:tab w:val="left" w:pos="8498"/>
        </w:tabs>
        <w:spacing w:before="26" w:line="275" w:lineRule="auto"/>
        <w:ind w:left="562" w:right="507"/>
        <w:rPr>
          <w:rFonts w:ascii="宋体" w:hAnsi="宋体" w:cs="宋体"/>
          <w:szCs w:val="21"/>
        </w:rPr>
      </w:pPr>
      <w:r>
        <w:rPr>
          <w:rFonts w:hint="eastAsia" w:ascii="宋体" w:hAnsi="宋体" w:cs="宋体"/>
          <w:szCs w:val="21"/>
        </w:rPr>
        <w:t>联系人：</w:t>
      </w:r>
    </w:p>
    <w:p>
      <w:pPr>
        <w:pStyle w:val="3"/>
        <w:tabs>
          <w:tab w:val="left" w:pos="4475"/>
          <w:tab w:val="left" w:pos="4706"/>
          <w:tab w:val="left" w:pos="5392"/>
          <w:tab w:val="left" w:pos="8498"/>
        </w:tabs>
        <w:spacing w:before="26" w:line="275" w:lineRule="auto"/>
        <w:ind w:left="562" w:right="507"/>
        <w:rPr>
          <w:rFonts w:ascii="宋体" w:hAnsi="宋体" w:cs="宋体"/>
          <w:szCs w:val="21"/>
        </w:rPr>
      </w:pPr>
      <w:r>
        <w:rPr>
          <w:rFonts w:hint="eastAsia" w:ascii="宋体" w:hAnsi="宋体" w:cs="宋体"/>
          <w:szCs w:val="21"/>
        </w:rPr>
        <w:t>地址：</w:t>
      </w:r>
      <w:r>
        <w:rPr>
          <w:rFonts w:hint="eastAsia" w:ascii="宋体" w:hAnsi="宋体" w:cs="宋体"/>
          <w:szCs w:val="21"/>
          <w:u w:val="single" w:color="000000"/>
        </w:rPr>
        <w:tab/>
      </w:r>
      <w:r>
        <w:rPr>
          <w:rFonts w:hint="eastAsia" w:ascii="宋体" w:hAnsi="宋体" w:cs="宋体"/>
          <w:szCs w:val="21"/>
        </w:rPr>
        <w:tab/>
      </w:r>
    </w:p>
    <w:p>
      <w:pPr>
        <w:pStyle w:val="3"/>
        <w:tabs>
          <w:tab w:val="left" w:pos="4475"/>
          <w:tab w:val="left" w:pos="4706"/>
          <w:tab w:val="left" w:pos="5392"/>
          <w:tab w:val="left" w:pos="8498"/>
        </w:tabs>
        <w:spacing w:before="26" w:line="275" w:lineRule="auto"/>
        <w:ind w:left="562" w:right="507"/>
        <w:rPr>
          <w:rFonts w:ascii="宋体" w:hAnsi="宋体" w:cs="宋体"/>
          <w:szCs w:val="21"/>
        </w:rPr>
      </w:pPr>
      <w:r>
        <w:rPr>
          <w:rFonts w:hint="eastAsia" w:ascii="宋体" w:hAnsi="宋体" w:cs="宋体"/>
          <w:szCs w:val="21"/>
        </w:rPr>
        <w:t>传真：</w:t>
      </w:r>
      <w:r>
        <w:rPr>
          <w:rFonts w:hint="eastAsia" w:ascii="宋体" w:hAnsi="宋体" w:cs="宋体"/>
          <w:szCs w:val="21"/>
          <w:u w:val="single" w:color="000000"/>
        </w:rPr>
        <w:tab/>
      </w:r>
    </w:p>
    <w:p>
      <w:pPr>
        <w:pStyle w:val="3"/>
        <w:tabs>
          <w:tab w:val="left" w:pos="4475"/>
          <w:tab w:val="left" w:pos="4706"/>
          <w:tab w:val="left" w:pos="5392"/>
          <w:tab w:val="left" w:pos="8498"/>
        </w:tabs>
        <w:spacing w:before="26" w:line="275" w:lineRule="auto"/>
        <w:ind w:left="562" w:right="507"/>
        <w:rPr>
          <w:rFonts w:ascii="宋体" w:hAnsi="宋体" w:cs="宋体"/>
          <w:szCs w:val="21"/>
        </w:rPr>
      </w:pPr>
      <w:r>
        <w:rPr>
          <w:rFonts w:hint="eastAsia" w:ascii="宋体" w:hAnsi="宋体" w:cs="宋体"/>
          <w:szCs w:val="21"/>
        </w:rPr>
        <w:t>电话：</w:t>
      </w:r>
      <w:r>
        <w:rPr>
          <w:rFonts w:hint="eastAsia" w:ascii="宋体" w:hAnsi="宋体" w:cs="宋体"/>
          <w:szCs w:val="21"/>
          <w:u w:val="single" w:color="000000"/>
        </w:rPr>
        <w:tab/>
      </w:r>
      <w:r>
        <w:rPr>
          <w:rFonts w:hint="eastAsia" w:ascii="宋体" w:hAnsi="宋体" w:cs="宋体"/>
          <w:szCs w:val="21"/>
        </w:rPr>
        <w:tab/>
      </w:r>
    </w:p>
    <w:p>
      <w:pPr>
        <w:pStyle w:val="3"/>
        <w:tabs>
          <w:tab w:val="left" w:pos="4475"/>
          <w:tab w:val="left" w:pos="4706"/>
          <w:tab w:val="left" w:pos="5392"/>
          <w:tab w:val="left" w:pos="8498"/>
        </w:tabs>
        <w:spacing w:before="26" w:line="275" w:lineRule="auto"/>
        <w:ind w:left="562" w:right="507"/>
        <w:rPr>
          <w:rFonts w:ascii="宋体" w:hAnsi="宋体" w:cs="宋体"/>
          <w:szCs w:val="21"/>
        </w:rPr>
      </w:pPr>
      <w:r>
        <w:rPr>
          <w:rFonts w:hint="eastAsia" w:ascii="宋体" w:hAnsi="宋体" w:cs="宋体"/>
          <w:spacing w:val="-2"/>
          <w:szCs w:val="21"/>
        </w:rPr>
        <w:t>电子函件：</w:t>
      </w:r>
      <w:r>
        <w:rPr>
          <w:rFonts w:hint="eastAsia" w:ascii="宋体" w:hAnsi="宋体" w:cs="宋体"/>
          <w:szCs w:val="21"/>
          <w:u w:val="single" w:color="000000"/>
        </w:rPr>
        <w:tab/>
      </w:r>
    </w:p>
    <w:p>
      <w:pPr>
        <w:spacing w:before="4" w:line="190" w:lineRule="exact"/>
        <w:rPr>
          <w:rFonts w:ascii="宋体" w:hAnsi="宋体" w:cs="宋体"/>
          <w:szCs w:val="21"/>
        </w:rPr>
      </w:pPr>
    </w:p>
    <w:p>
      <w:pPr>
        <w:spacing w:line="200" w:lineRule="exact"/>
        <w:rPr>
          <w:rFonts w:ascii="宋体" w:hAnsi="宋体" w:cs="宋体"/>
          <w:szCs w:val="21"/>
        </w:rPr>
      </w:pPr>
    </w:p>
    <w:p>
      <w:pPr>
        <w:spacing w:line="200" w:lineRule="exact"/>
        <w:rPr>
          <w:rFonts w:ascii="宋体" w:hAnsi="宋体" w:cs="宋体"/>
          <w:szCs w:val="21"/>
        </w:rPr>
      </w:pPr>
    </w:p>
    <w:p>
      <w:pPr>
        <w:spacing w:line="200" w:lineRule="exact"/>
        <w:rPr>
          <w:rFonts w:ascii="宋体" w:hAnsi="宋体" w:cs="宋体"/>
          <w:szCs w:val="21"/>
        </w:rPr>
      </w:pPr>
    </w:p>
    <w:p>
      <w:pPr>
        <w:spacing w:line="360" w:lineRule="auto"/>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r>
        <w:rPr>
          <w:rFonts w:hint="eastAsia" w:ascii="宋体" w:hAnsi="宋体" w:cs="宋体"/>
          <w:szCs w:val="21"/>
        </w:rPr>
        <w:t>投标人（或联合体成员）：（盖单位章）</w:t>
      </w:r>
    </w:p>
    <w:p>
      <w:pPr>
        <w:spacing w:line="440" w:lineRule="exact"/>
        <w:rPr>
          <w:rFonts w:ascii="宋体" w:hAnsi="宋体" w:cs="宋体"/>
          <w:szCs w:val="21"/>
        </w:rPr>
      </w:pPr>
      <w:r>
        <w:rPr>
          <w:rFonts w:hint="eastAsia" w:ascii="宋体" w:hAnsi="宋体" w:cs="宋体"/>
          <w:szCs w:val="21"/>
        </w:rPr>
        <w:t>法定代表人或其委托代理人：（签字）</w:t>
      </w:r>
    </w:p>
    <w:p>
      <w:pPr>
        <w:spacing w:line="440" w:lineRule="exact"/>
        <w:rPr>
          <w:rFonts w:ascii="宋体" w:hAnsi="宋体" w:cs="宋体"/>
          <w:szCs w:val="21"/>
        </w:rPr>
      </w:pPr>
      <w:r>
        <w:rPr>
          <w:rFonts w:hint="eastAsia" w:ascii="宋体" w:hAnsi="宋体" w:cs="宋体"/>
          <w:szCs w:val="21"/>
        </w:rPr>
        <w:t>地址：</w:t>
      </w:r>
    </w:p>
    <w:p>
      <w:pPr>
        <w:spacing w:line="440" w:lineRule="exact"/>
        <w:rPr>
          <w:rFonts w:ascii="宋体" w:hAnsi="宋体" w:cs="宋体"/>
          <w:szCs w:val="21"/>
        </w:rPr>
      </w:pPr>
      <w:r>
        <w:rPr>
          <w:rFonts w:hint="eastAsia" w:ascii="宋体" w:hAnsi="宋体" w:cs="宋体"/>
          <w:szCs w:val="21"/>
        </w:rPr>
        <w:t>网址：</w:t>
      </w:r>
    </w:p>
    <w:p>
      <w:pPr>
        <w:spacing w:line="440" w:lineRule="exact"/>
        <w:rPr>
          <w:rFonts w:ascii="宋体" w:hAnsi="宋体" w:cs="宋体"/>
          <w:szCs w:val="21"/>
        </w:rPr>
      </w:pPr>
      <w:r>
        <w:rPr>
          <w:rFonts w:hint="eastAsia" w:ascii="宋体" w:hAnsi="宋体" w:cs="宋体"/>
          <w:szCs w:val="21"/>
        </w:rPr>
        <w:t>电话：</w:t>
      </w:r>
    </w:p>
    <w:p>
      <w:pPr>
        <w:spacing w:line="440" w:lineRule="exact"/>
        <w:rPr>
          <w:rFonts w:ascii="宋体" w:hAnsi="宋体" w:cs="宋体"/>
          <w:szCs w:val="21"/>
        </w:rPr>
      </w:pPr>
      <w:r>
        <w:rPr>
          <w:rFonts w:hint="eastAsia" w:ascii="宋体" w:hAnsi="宋体" w:cs="宋体"/>
          <w:szCs w:val="21"/>
        </w:rPr>
        <w:t>传真：</w:t>
      </w:r>
    </w:p>
    <w:p>
      <w:pPr>
        <w:spacing w:line="440" w:lineRule="exact"/>
        <w:rPr>
          <w:rFonts w:ascii="宋体" w:hAnsi="宋体" w:cs="宋体"/>
          <w:szCs w:val="21"/>
        </w:rPr>
      </w:pPr>
      <w:r>
        <w:rPr>
          <w:rFonts w:hint="eastAsia" w:ascii="宋体" w:hAnsi="宋体" w:cs="宋体"/>
          <w:szCs w:val="21"/>
        </w:rPr>
        <w:t>邮政编码：</w:t>
      </w:r>
    </w:p>
    <w:p>
      <w:pPr>
        <w:spacing w:line="440" w:lineRule="exact"/>
        <w:ind w:firstLine="3832" w:firstLineChars="1750"/>
        <w:rPr>
          <w:rFonts w:ascii="宋体" w:hAnsi="宋体" w:cs="宋体"/>
          <w:szCs w:val="21"/>
        </w:rPr>
      </w:pPr>
    </w:p>
    <w:p>
      <w:pPr>
        <w:spacing w:line="440" w:lineRule="exact"/>
        <w:ind w:firstLine="3504" w:firstLineChars="1600"/>
        <w:rPr>
          <w:rFonts w:ascii="宋体" w:hAnsi="宋体" w:cs="宋体"/>
          <w:szCs w:val="21"/>
        </w:rPr>
      </w:pPr>
      <w:r>
        <w:rPr>
          <w:rFonts w:hint="eastAsia" w:ascii="宋体" w:hAnsi="宋体" w:cs="宋体"/>
          <w:szCs w:val="21"/>
        </w:rPr>
        <w:t>年  月  日</w:t>
      </w:r>
    </w:p>
    <w:p>
      <w:pPr>
        <w:spacing w:line="360" w:lineRule="auto"/>
        <w:jc w:val="center"/>
        <w:rPr>
          <w:kern w:val="0"/>
          <w:sz w:val="24"/>
        </w:rPr>
      </w:pPr>
    </w:p>
    <w:p>
      <w:pPr>
        <w:widowControl/>
        <w:spacing w:beforeLines="50" w:afterLines="50" w:line="360" w:lineRule="auto"/>
        <w:ind w:firstLine="498" w:firstLineChars="200"/>
        <w:rPr>
          <w:kern w:val="0"/>
          <w:sz w:val="24"/>
        </w:rPr>
      </w:pPr>
    </w:p>
    <w:p>
      <w:pPr>
        <w:widowControl/>
        <w:spacing w:beforeLines="50" w:afterLines="50" w:line="360" w:lineRule="auto"/>
        <w:ind w:firstLine="438" w:firstLineChars="200"/>
        <w:rPr>
          <w:rFonts w:ascii="宋体" w:hAnsi="宋体" w:cs="宋体"/>
          <w:szCs w:val="21"/>
        </w:rPr>
      </w:pPr>
      <w:r>
        <w:rPr>
          <w:rFonts w:ascii="宋体" w:hAnsi="宋体" w:cs="宋体"/>
          <w:szCs w:val="21"/>
        </w:rPr>
        <w:t>备注：联合体投标，须由联合体牵头人的法定代表人或其委托代理人签署，并盖联合体牵头人单位公章。</w:t>
      </w:r>
    </w:p>
    <w:p>
      <w:pPr>
        <w:widowControl/>
        <w:spacing w:line="360" w:lineRule="auto"/>
        <w:ind w:right="1750"/>
        <w:rPr>
          <w:sz w:val="24"/>
          <w:u w:val="single"/>
        </w:rPr>
      </w:pPr>
    </w:p>
    <w:p>
      <w:pPr>
        <w:widowControl/>
        <w:tabs>
          <w:tab w:val="left" w:pos="0"/>
          <w:tab w:val="left" w:pos="280"/>
        </w:tabs>
        <w:spacing w:before="360" w:after="120" w:line="360" w:lineRule="auto"/>
        <w:ind w:left="576" w:firstLine="186"/>
        <w:jc w:val="center"/>
        <w:outlineLvl w:val="1"/>
        <w:rPr>
          <w:b/>
          <w:bCs/>
          <w:sz w:val="24"/>
        </w:rPr>
        <w:sectPr>
          <w:headerReference r:id="rId20" w:type="first"/>
          <w:footerReference r:id="rId22" w:type="first"/>
          <w:headerReference r:id="rId19" w:type="default"/>
          <w:footerReference r:id="rId21" w:type="default"/>
          <w:type w:val="nextColumn"/>
          <w:pgSz w:w="11849" w:h="16781"/>
          <w:pgMar w:top="1440" w:right="1803" w:bottom="1440" w:left="1803" w:header="1134" w:footer="737" w:gutter="0"/>
          <w:cols w:space="0" w:num="1"/>
          <w:titlePg/>
          <w:docGrid w:type="linesAndChars" w:linePitch="397" w:charSpace="2004"/>
        </w:sectPr>
      </w:pPr>
    </w:p>
    <w:p>
      <w:pPr>
        <w:keepNext/>
        <w:widowControl/>
        <w:tabs>
          <w:tab w:val="left" w:pos="0"/>
          <w:tab w:val="left" w:pos="280"/>
        </w:tabs>
        <w:spacing w:before="100" w:after="100" w:line="360" w:lineRule="auto"/>
        <w:ind w:left="3403"/>
        <w:outlineLvl w:val="1"/>
        <w:rPr>
          <w:b/>
          <w:bCs/>
          <w:sz w:val="24"/>
          <w:szCs w:val="32"/>
        </w:rPr>
      </w:pPr>
      <w:bookmarkStart w:id="1417" w:name="_Toc534813026"/>
      <w:bookmarkStart w:id="1418" w:name="_Toc437271300"/>
      <w:bookmarkStart w:id="1419" w:name="_Toc499034926"/>
      <w:bookmarkStart w:id="1420" w:name="_Toc527560003"/>
      <w:r>
        <w:rPr>
          <w:rFonts w:hint="eastAsia"/>
          <w:b/>
          <w:bCs/>
          <w:sz w:val="24"/>
          <w:szCs w:val="32"/>
        </w:rPr>
        <w:t>二、</w:t>
      </w:r>
      <w:r>
        <w:rPr>
          <w:b/>
          <w:bCs/>
          <w:sz w:val="24"/>
          <w:szCs w:val="32"/>
        </w:rPr>
        <w:t>开标一览表</w:t>
      </w:r>
      <w:bookmarkEnd w:id="1417"/>
      <w:bookmarkEnd w:id="1418"/>
      <w:bookmarkEnd w:id="1419"/>
      <w:bookmarkEnd w:id="1420"/>
    </w:p>
    <w:tbl>
      <w:tblPr>
        <w:tblStyle w:val="52"/>
        <w:tblW w:w="9361"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7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atLeast"/>
        </w:trPr>
        <w:tc>
          <w:tcPr>
            <w:tcW w:w="1670" w:type="dxa"/>
            <w:vAlign w:val="center"/>
          </w:tcPr>
          <w:p>
            <w:pPr>
              <w:widowControl/>
              <w:spacing w:line="360" w:lineRule="auto"/>
              <w:ind w:left="182"/>
              <w:jc w:val="center"/>
              <w:rPr>
                <w:b/>
                <w:sz w:val="24"/>
                <w:szCs w:val="28"/>
              </w:rPr>
            </w:pPr>
            <w:r>
              <w:rPr>
                <w:b/>
                <w:sz w:val="24"/>
                <w:szCs w:val="28"/>
              </w:rPr>
              <w:t>项目名称</w:t>
            </w:r>
          </w:p>
        </w:tc>
        <w:tc>
          <w:tcPr>
            <w:tcW w:w="7691" w:type="dxa"/>
            <w:vAlign w:val="center"/>
          </w:tcPr>
          <w:p>
            <w:pPr>
              <w:widowControl/>
              <w:spacing w:beforeLines="50" w:afterLines="50" w:line="360" w:lineRule="auto"/>
              <w:jc w:val="left"/>
              <w:rPr>
                <w:sz w:val="24"/>
                <w:szCs w:val="22"/>
              </w:rPr>
            </w:pPr>
            <w:r>
              <w:rPr>
                <w:sz w:val="24"/>
                <w:szCs w:val="22"/>
              </w:rPr>
              <w:t>禹州市绿色铸造园区与陶瓷园区污水处理厂PPP项目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670" w:type="dxa"/>
            <w:vAlign w:val="center"/>
          </w:tcPr>
          <w:p>
            <w:pPr>
              <w:widowControl/>
              <w:spacing w:line="360" w:lineRule="auto"/>
              <w:jc w:val="center"/>
              <w:rPr>
                <w:b/>
                <w:sz w:val="24"/>
                <w:szCs w:val="28"/>
              </w:rPr>
            </w:pPr>
            <w:r>
              <w:rPr>
                <w:b/>
                <w:sz w:val="24"/>
                <w:szCs w:val="28"/>
              </w:rPr>
              <w:t>投标人</w:t>
            </w:r>
            <w:r>
              <w:rPr>
                <w:rFonts w:hint="eastAsia"/>
                <w:b/>
                <w:sz w:val="24"/>
                <w:szCs w:val="28"/>
              </w:rPr>
              <w:t>（或联合体成员）名</w:t>
            </w:r>
            <w:r>
              <w:rPr>
                <w:b/>
                <w:sz w:val="24"/>
                <w:szCs w:val="28"/>
              </w:rPr>
              <w:t>称</w:t>
            </w:r>
          </w:p>
        </w:tc>
        <w:tc>
          <w:tcPr>
            <w:tcW w:w="7691" w:type="dxa"/>
          </w:tcPr>
          <w:p>
            <w:pPr>
              <w:widowControl/>
              <w:spacing w:beforeLines="50" w:afterLines="50" w:line="360" w:lineRule="auto"/>
              <w:ind w:firstLine="480"/>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trPr>
        <w:tc>
          <w:tcPr>
            <w:tcW w:w="1670" w:type="dxa"/>
            <w:vAlign w:val="center"/>
          </w:tcPr>
          <w:p>
            <w:pPr>
              <w:widowControl/>
              <w:spacing w:line="360" w:lineRule="auto"/>
              <w:ind w:left="182"/>
              <w:jc w:val="center"/>
              <w:rPr>
                <w:b/>
                <w:sz w:val="24"/>
                <w:szCs w:val="28"/>
              </w:rPr>
            </w:pPr>
            <w:r>
              <w:rPr>
                <w:b/>
                <w:sz w:val="24"/>
                <w:szCs w:val="28"/>
              </w:rPr>
              <w:t>投标保证金</w:t>
            </w:r>
          </w:p>
        </w:tc>
        <w:tc>
          <w:tcPr>
            <w:tcW w:w="7691" w:type="dxa"/>
            <w:vAlign w:val="center"/>
          </w:tcPr>
          <w:p>
            <w:pPr>
              <w:widowControl/>
              <w:spacing w:beforeLines="50" w:afterLines="50" w:line="360" w:lineRule="auto"/>
              <w:rPr>
                <w:sz w:val="24"/>
                <w:szCs w:val="22"/>
              </w:rPr>
            </w:pPr>
            <w:r>
              <w:rPr>
                <w:sz w:val="24"/>
              </w:rPr>
              <w:t>人民币</w:t>
            </w:r>
            <w:r>
              <w:rPr>
                <w:rFonts w:hint="eastAsia"/>
                <w:sz w:val="24"/>
              </w:rPr>
              <w:t>捌拾万</w:t>
            </w:r>
            <w:r>
              <w:rPr>
                <w:sz w:val="24"/>
              </w:rPr>
              <w:t>元（¥：</w:t>
            </w:r>
            <w:r>
              <w:rPr>
                <w:rFonts w:hint="eastAsia"/>
                <w:sz w:val="24"/>
              </w:rPr>
              <w:t>800000元</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5" w:hRule="atLeast"/>
        </w:trPr>
        <w:tc>
          <w:tcPr>
            <w:tcW w:w="1670" w:type="dxa"/>
            <w:vAlign w:val="center"/>
          </w:tcPr>
          <w:p>
            <w:pPr>
              <w:widowControl/>
              <w:spacing w:line="360" w:lineRule="auto"/>
              <w:jc w:val="center"/>
              <w:rPr>
                <w:b/>
                <w:sz w:val="24"/>
                <w:szCs w:val="28"/>
              </w:rPr>
            </w:pPr>
            <w:r>
              <w:rPr>
                <w:b/>
                <w:sz w:val="24"/>
                <w:szCs w:val="28"/>
              </w:rPr>
              <w:t>投标报价</w:t>
            </w:r>
          </w:p>
        </w:tc>
        <w:tc>
          <w:tcPr>
            <w:tcW w:w="7691" w:type="dxa"/>
          </w:tcPr>
          <w:p>
            <w:pPr>
              <w:widowControl/>
              <w:spacing w:beforeLines="50" w:afterLines="50" w:line="360" w:lineRule="auto"/>
              <w:rPr>
                <w:sz w:val="24"/>
                <w:szCs w:val="22"/>
              </w:rPr>
            </w:pPr>
            <w:r>
              <w:rPr>
                <w:rFonts w:hint="eastAsia"/>
                <w:sz w:val="24"/>
                <w:szCs w:val="22"/>
              </w:rPr>
              <w:t>每立方米污水处理服务费单价</w:t>
            </w:r>
            <w:r>
              <w:rPr>
                <w:sz w:val="24"/>
                <w:szCs w:val="22"/>
              </w:rPr>
              <w:t>的报价为：</w:t>
            </w:r>
          </w:p>
          <w:p>
            <w:pPr>
              <w:widowControl/>
              <w:spacing w:beforeLines="50" w:afterLines="50" w:line="360" w:lineRule="auto"/>
              <w:rPr>
                <w:sz w:val="24"/>
                <w:szCs w:val="22"/>
              </w:rPr>
            </w:pPr>
            <w:r>
              <w:rPr>
                <w:sz w:val="24"/>
                <w:szCs w:val="22"/>
              </w:rPr>
              <w:t>人民币（大写）______________（</w:t>
            </w:r>
            <w:r>
              <w:rPr>
                <w:rFonts w:hint="eastAsia"/>
                <w:sz w:val="24"/>
                <w:szCs w:val="22"/>
              </w:rPr>
              <w:t>小写：</w:t>
            </w:r>
            <w:r>
              <w:rPr>
                <w:sz w:val="24"/>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670" w:type="dxa"/>
            <w:vAlign w:val="center"/>
          </w:tcPr>
          <w:p>
            <w:pPr>
              <w:widowControl/>
              <w:spacing w:line="360" w:lineRule="auto"/>
              <w:jc w:val="center"/>
              <w:rPr>
                <w:b/>
                <w:sz w:val="24"/>
                <w:szCs w:val="28"/>
              </w:rPr>
            </w:pPr>
            <w:r>
              <w:rPr>
                <w:b/>
                <w:sz w:val="24"/>
                <w:szCs w:val="28"/>
              </w:rPr>
              <w:t>投标有效期</w:t>
            </w:r>
          </w:p>
        </w:tc>
        <w:tc>
          <w:tcPr>
            <w:tcW w:w="7691" w:type="dxa"/>
          </w:tcPr>
          <w:p>
            <w:pPr>
              <w:widowControl/>
              <w:spacing w:beforeLines="50" w:afterLines="50" w:line="360" w:lineRule="auto"/>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670" w:type="dxa"/>
            <w:vAlign w:val="center"/>
          </w:tcPr>
          <w:p>
            <w:pPr>
              <w:widowControl/>
              <w:spacing w:line="360" w:lineRule="auto"/>
              <w:jc w:val="center"/>
              <w:rPr>
                <w:b/>
                <w:sz w:val="24"/>
                <w:szCs w:val="28"/>
              </w:rPr>
            </w:pPr>
            <w:r>
              <w:rPr>
                <w:rFonts w:hint="eastAsia"/>
                <w:b/>
                <w:bCs/>
                <w:sz w:val="24"/>
                <w:szCs w:val="28"/>
              </w:rPr>
              <w:t>建设期（含设计、试运行期）</w:t>
            </w:r>
            <w:r>
              <w:rPr>
                <w:rFonts w:hint="eastAsia"/>
                <w:b/>
                <w:sz w:val="24"/>
                <w:szCs w:val="28"/>
              </w:rPr>
              <w:t>工期（单位：月）</w:t>
            </w:r>
          </w:p>
        </w:tc>
        <w:tc>
          <w:tcPr>
            <w:tcW w:w="7691" w:type="dxa"/>
          </w:tcPr>
          <w:p>
            <w:pPr>
              <w:widowControl/>
              <w:spacing w:beforeLines="50" w:afterLines="50" w:line="360" w:lineRule="auto"/>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1670" w:type="dxa"/>
            <w:vAlign w:val="center"/>
          </w:tcPr>
          <w:p>
            <w:pPr>
              <w:widowControl/>
              <w:spacing w:line="360" w:lineRule="auto"/>
              <w:jc w:val="center"/>
              <w:rPr>
                <w:b/>
                <w:sz w:val="24"/>
                <w:szCs w:val="28"/>
              </w:rPr>
            </w:pPr>
            <w:r>
              <w:rPr>
                <w:b/>
                <w:sz w:val="24"/>
                <w:szCs w:val="28"/>
              </w:rPr>
              <w:t>投标</w:t>
            </w:r>
            <w:r>
              <w:rPr>
                <w:rFonts w:hint="eastAsia"/>
                <w:b/>
                <w:sz w:val="24"/>
                <w:szCs w:val="28"/>
              </w:rPr>
              <w:t>保证金</w:t>
            </w:r>
            <w:r>
              <w:rPr>
                <w:b/>
                <w:sz w:val="24"/>
                <w:szCs w:val="28"/>
              </w:rPr>
              <w:t>有效期</w:t>
            </w:r>
          </w:p>
        </w:tc>
        <w:tc>
          <w:tcPr>
            <w:tcW w:w="7691" w:type="dxa"/>
          </w:tcPr>
          <w:p>
            <w:pPr>
              <w:widowControl/>
              <w:spacing w:beforeLines="50" w:afterLines="50" w:line="360" w:lineRule="auto"/>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1670" w:type="dxa"/>
            <w:vAlign w:val="center"/>
          </w:tcPr>
          <w:p>
            <w:pPr>
              <w:widowControl/>
              <w:spacing w:line="360" w:lineRule="auto"/>
              <w:jc w:val="center"/>
              <w:rPr>
                <w:b/>
                <w:sz w:val="24"/>
                <w:szCs w:val="28"/>
              </w:rPr>
            </w:pPr>
            <w:r>
              <w:rPr>
                <w:b/>
                <w:sz w:val="24"/>
                <w:szCs w:val="28"/>
              </w:rPr>
              <w:t>备注</w:t>
            </w:r>
          </w:p>
        </w:tc>
        <w:tc>
          <w:tcPr>
            <w:tcW w:w="7691" w:type="dxa"/>
            <w:vAlign w:val="center"/>
          </w:tcPr>
          <w:p>
            <w:pPr>
              <w:widowControl/>
              <w:spacing w:beforeLines="50" w:afterLines="50" w:line="360" w:lineRule="auto"/>
              <w:rPr>
                <w:sz w:val="24"/>
                <w:szCs w:val="22"/>
              </w:rPr>
            </w:pPr>
          </w:p>
        </w:tc>
      </w:tr>
    </w:tbl>
    <w:p>
      <w:pPr>
        <w:widowControl/>
        <w:wordWrap w:val="0"/>
        <w:spacing w:line="480" w:lineRule="auto"/>
        <w:ind w:firstLine="498" w:firstLineChars="200"/>
        <w:jc w:val="right"/>
        <w:rPr>
          <w:sz w:val="24"/>
        </w:rPr>
      </w:pPr>
      <w:r>
        <w:rPr>
          <w:sz w:val="24"/>
          <w:szCs w:val="22"/>
        </w:rPr>
        <w:t>投标人：</w:t>
      </w:r>
      <w:r>
        <w:rPr>
          <w:sz w:val="24"/>
          <w:szCs w:val="22"/>
          <w:u w:val="single"/>
        </w:rPr>
        <w:t>（盖单位公章）</w:t>
      </w:r>
    </w:p>
    <w:p>
      <w:pPr>
        <w:widowControl/>
        <w:wordWrap w:val="0"/>
        <w:spacing w:line="480" w:lineRule="auto"/>
        <w:ind w:firstLine="498" w:firstLineChars="200"/>
        <w:jc w:val="right"/>
        <w:rPr>
          <w:sz w:val="24"/>
          <w:szCs w:val="22"/>
          <w:u w:val="single"/>
        </w:rPr>
      </w:pPr>
      <w:r>
        <w:rPr>
          <w:sz w:val="24"/>
          <w:szCs w:val="22"/>
        </w:rPr>
        <w:t>法定代表人或其委托代理人：</w:t>
      </w:r>
      <w:r>
        <w:rPr>
          <w:sz w:val="24"/>
          <w:szCs w:val="22"/>
          <w:u w:val="single"/>
        </w:rPr>
        <w:t>（签字）</w:t>
      </w:r>
    </w:p>
    <w:p>
      <w:pPr>
        <w:widowControl/>
        <w:spacing w:line="480" w:lineRule="auto"/>
        <w:ind w:firstLine="498" w:firstLineChars="200"/>
        <w:jc w:val="right"/>
        <w:rPr>
          <w:sz w:val="24"/>
          <w:szCs w:val="22"/>
        </w:rPr>
      </w:pPr>
      <w:r>
        <w:rPr>
          <w:sz w:val="24"/>
          <w:szCs w:val="22"/>
        </w:rPr>
        <w:t>_______年_______月_______日</w:t>
      </w:r>
    </w:p>
    <w:p>
      <w:pPr>
        <w:widowControl/>
        <w:spacing w:line="480" w:lineRule="auto"/>
        <w:ind w:firstLine="498" w:firstLineChars="200"/>
        <w:jc w:val="left"/>
        <w:rPr>
          <w:b/>
          <w:sz w:val="24"/>
          <w:szCs w:val="22"/>
        </w:rPr>
      </w:pPr>
      <w:r>
        <w:rPr>
          <w:sz w:val="24"/>
          <w:szCs w:val="22"/>
        </w:rPr>
        <w:t>备注：联合体投标，须由联合体牵头人的法定代表人或其委托代理人签署，并盖联合体牵头人单位公章。</w:t>
      </w:r>
    </w:p>
    <w:bookmarkEnd w:id="1412"/>
    <w:p>
      <w:pPr>
        <w:keepNext/>
        <w:widowControl/>
        <w:tabs>
          <w:tab w:val="left" w:pos="0"/>
          <w:tab w:val="left" w:pos="280"/>
        </w:tabs>
        <w:spacing w:before="360" w:after="120" w:line="360" w:lineRule="auto"/>
        <w:ind w:left="501"/>
        <w:jc w:val="center"/>
        <w:outlineLvl w:val="1"/>
        <w:rPr>
          <w:b/>
          <w:bCs/>
          <w:sz w:val="24"/>
          <w:szCs w:val="32"/>
        </w:rPr>
      </w:pPr>
      <w:bookmarkStart w:id="1421" w:name="_Toc500345069"/>
      <w:bookmarkEnd w:id="1421"/>
      <w:bookmarkStart w:id="1422" w:name="_Toc499827281"/>
      <w:bookmarkEnd w:id="1422"/>
      <w:bookmarkStart w:id="1423" w:name="_Toc499710885"/>
      <w:bookmarkEnd w:id="1423"/>
      <w:bookmarkStart w:id="1424" w:name="_Toc499822515"/>
      <w:bookmarkEnd w:id="1424"/>
      <w:bookmarkStart w:id="1425" w:name="_Toc499710887"/>
      <w:bookmarkEnd w:id="1425"/>
      <w:bookmarkStart w:id="1426" w:name="_Toc500514366"/>
      <w:bookmarkEnd w:id="1426"/>
      <w:bookmarkStart w:id="1427" w:name="_Toc498357366"/>
      <w:bookmarkEnd w:id="1427"/>
      <w:bookmarkStart w:id="1428" w:name="_Toc499827065"/>
      <w:bookmarkEnd w:id="1428"/>
      <w:bookmarkStart w:id="1429" w:name="_Toc499822516"/>
      <w:bookmarkEnd w:id="1429"/>
      <w:bookmarkStart w:id="1430" w:name="_Toc499823410"/>
      <w:bookmarkEnd w:id="1430"/>
      <w:bookmarkStart w:id="1431" w:name="_Toc499826849"/>
      <w:bookmarkEnd w:id="1431"/>
      <w:bookmarkStart w:id="1432" w:name="_Toc499823409"/>
      <w:bookmarkEnd w:id="1432"/>
      <w:bookmarkStart w:id="1433" w:name="_Toc499826632"/>
      <w:bookmarkEnd w:id="1433"/>
      <w:bookmarkStart w:id="1434" w:name="_Toc499826633"/>
      <w:bookmarkEnd w:id="1434"/>
      <w:bookmarkStart w:id="1435" w:name="_Toc499827066"/>
      <w:bookmarkEnd w:id="1435"/>
      <w:bookmarkStart w:id="1436" w:name="_Toc499827283"/>
      <w:bookmarkEnd w:id="1436"/>
      <w:bookmarkStart w:id="1437" w:name="_Toc499827064"/>
      <w:bookmarkEnd w:id="1437"/>
      <w:bookmarkStart w:id="1438" w:name="_Toc498357510"/>
      <w:bookmarkEnd w:id="1438"/>
      <w:bookmarkStart w:id="1439" w:name="_Toc499823412"/>
      <w:bookmarkEnd w:id="1439"/>
      <w:bookmarkStart w:id="1440" w:name="_Toc498357367"/>
      <w:bookmarkEnd w:id="1440"/>
      <w:bookmarkStart w:id="1441" w:name="_Toc500345074"/>
      <w:bookmarkEnd w:id="1441"/>
      <w:bookmarkStart w:id="1442" w:name="_Toc499827285"/>
      <w:bookmarkEnd w:id="1442"/>
      <w:bookmarkStart w:id="1443" w:name="_Toc499822299"/>
      <w:bookmarkEnd w:id="1443"/>
      <w:bookmarkStart w:id="1444" w:name="_Toc499826634"/>
      <w:bookmarkEnd w:id="1444"/>
      <w:bookmarkStart w:id="1445" w:name="_Toc499710890"/>
      <w:bookmarkEnd w:id="1445"/>
      <w:bookmarkStart w:id="1446" w:name="_Toc498357512"/>
      <w:bookmarkEnd w:id="1446"/>
      <w:bookmarkStart w:id="1447" w:name="_Toc499822300"/>
      <w:bookmarkEnd w:id="1447"/>
      <w:bookmarkStart w:id="1448" w:name="_Toc499710889"/>
      <w:bookmarkEnd w:id="1448"/>
      <w:bookmarkStart w:id="1449" w:name="_Toc499823411"/>
      <w:bookmarkEnd w:id="1449"/>
      <w:bookmarkStart w:id="1450" w:name="_Toc499827067"/>
      <w:bookmarkEnd w:id="1450"/>
      <w:bookmarkStart w:id="1451" w:name="_Toc498357368"/>
      <w:bookmarkEnd w:id="1451"/>
      <w:bookmarkStart w:id="1452" w:name="_Toc499822518"/>
      <w:bookmarkEnd w:id="1452"/>
      <w:bookmarkStart w:id="1453" w:name="_Toc499826852"/>
      <w:bookmarkEnd w:id="1453"/>
      <w:bookmarkStart w:id="1454" w:name="_Toc499827068"/>
      <w:bookmarkEnd w:id="1454"/>
      <w:bookmarkStart w:id="1455" w:name="_Toc499826635"/>
      <w:bookmarkEnd w:id="1455"/>
      <w:bookmarkStart w:id="1456" w:name="_Toc499826851"/>
      <w:bookmarkEnd w:id="1456"/>
      <w:bookmarkStart w:id="1457" w:name="_Toc500514368"/>
      <w:bookmarkEnd w:id="1457"/>
      <w:bookmarkStart w:id="1458" w:name="_Toc499827286"/>
      <w:bookmarkEnd w:id="1458"/>
      <w:bookmarkStart w:id="1459" w:name="_Toc499827504"/>
      <w:bookmarkEnd w:id="1459"/>
      <w:bookmarkStart w:id="1460" w:name="_Toc500345075"/>
      <w:bookmarkEnd w:id="1460"/>
      <w:bookmarkStart w:id="1461" w:name="_Toc498357369"/>
      <w:bookmarkEnd w:id="1461"/>
      <w:bookmarkStart w:id="1462" w:name="_Toc498357513"/>
      <w:bookmarkEnd w:id="1462"/>
      <w:bookmarkStart w:id="1463" w:name="_Toc499710891"/>
      <w:bookmarkEnd w:id="1463"/>
      <w:bookmarkStart w:id="1464" w:name="_Toc499822301"/>
      <w:bookmarkEnd w:id="1464"/>
      <w:bookmarkStart w:id="1465" w:name="_Toc499822517"/>
      <w:bookmarkEnd w:id="1465"/>
      <w:bookmarkStart w:id="1466" w:name="_Toc500514369"/>
      <w:bookmarkEnd w:id="1466"/>
      <w:bookmarkStart w:id="1467" w:name="_Toc499822519"/>
      <w:bookmarkEnd w:id="1467"/>
      <w:bookmarkStart w:id="1468" w:name="_Toc498357511"/>
      <w:bookmarkEnd w:id="1468"/>
      <w:bookmarkStart w:id="1469" w:name="_Toc499827503"/>
      <w:bookmarkEnd w:id="1469"/>
      <w:bookmarkStart w:id="1470" w:name="_Toc499823413"/>
      <w:bookmarkEnd w:id="1470"/>
      <w:bookmarkStart w:id="1471" w:name="_Toc500345078"/>
      <w:bookmarkEnd w:id="1471"/>
      <w:bookmarkStart w:id="1472" w:name="_Toc499710892"/>
      <w:bookmarkEnd w:id="1472"/>
      <w:bookmarkStart w:id="1473" w:name="_Toc498357515"/>
      <w:bookmarkEnd w:id="1473"/>
      <w:bookmarkStart w:id="1474" w:name="_Toc499822520"/>
      <w:bookmarkEnd w:id="1474"/>
      <w:bookmarkStart w:id="1475" w:name="_Toc498357514"/>
      <w:bookmarkEnd w:id="1475"/>
      <w:bookmarkStart w:id="1476" w:name="_Toc499826636"/>
      <w:bookmarkEnd w:id="1476"/>
      <w:bookmarkStart w:id="1477" w:name="_Toc499827287"/>
      <w:bookmarkEnd w:id="1477"/>
      <w:bookmarkStart w:id="1478" w:name="_Toc500345077"/>
      <w:bookmarkEnd w:id="1478"/>
      <w:bookmarkStart w:id="1479" w:name="_Toc499823414"/>
      <w:bookmarkEnd w:id="1479"/>
      <w:bookmarkStart w:id="1480" w:name="_Toc499827506"/>
      <w:bookmarkEnd w:id="1480"/>
      <w:bookmarkStart w:id="1481" w:name="_Toc499822521"/>
      <w:bookmarkEnd w:id="1481"/>
      <w:bookmarkStart w:id="1482" w:name="_Toc499826638"/>
      <w:bookmarkEnd w:id="1482"/>
      <w:bookmarkStart w:id="1483" w:name="_Toc499827070"/>
      <w:bookmarkEnd w:id="1483"/>
      <w:bookmarkStart w:id="1484" w:name="_Toc498357371"/>
      <w:bookmarkEnd w:id="1484"/>
      <w:bookmarkStart w:id="1485" w:name="_Toc498357370"/>
      <w:bookmarkEnd w:id="1485"/>
      <w:bookmarkStart w:id="1486" w:name="_Toc499826855"/>
      <w:bookmarkEnd w:id="1486"/>
      <w:bookmarkStart w:id="1487" w:name="_Toc499827069"/>
      <w:bookmarkEnd w:id="1487"/>
      <w:bookmarkStart w:id="1488" w:name="_Toc500345076"/>
      <w:bookmarkEnd w:id="1488"/>
      <w:bookmarkStart w:id="1489" w:name="_Toc500514370"/>
      <w:bookmarkEnd w:id="1489"/>
      <w:bookmarkStart w:id="1490" w:name="_Toc499826853"/>
      <w:bookmarkEnd w:id="1490"/>
      <w:bookmarkStart w:id="1491" w:name="_Toc499822302"/>
      <w:bookmarkEnd w:id="1491"/>
      <w:bookmarkStart w:id="1492" w:name="_Toc499826637"/>
      <w:bookmarkEnd w:id="1492"/>
      <w:bookmarkStart w:id="1493" w:name="_Toc499827505"/>
      <w:bookmarkEnd w:id="1493"/>
      <w:bookmarkStart w:id="1494" w:name="_Toc499826854"/>
      <w:bookmarkEnd w:id="1494"/>
      <w:bookmarkStart w:id="1495" w:name="_Toc500514371"/>
      <w:bookmarkEnd w:id="1495"/>
      <w:bookmarkStart w:id="1496" w:name="_Toc499710893"/>
      <w:bookmarkEnd w:id="1496"/>
      <w:bookmarkStart w:id="1497" w:name="_Toc499827071"/>
      <w:bookmarkEnd w:id="1497"/>
      <w:bookmarkStart w:id="1498" w:name="_Toc499827507"/>
      <w:bookmarkEnd w:id="1498"/>
      <w:bookmarkStart w:id="1499" w:name="_Toc499823415"/>
      <w:bookmarkEnd w:id="1499"/>
      <w:bookmarkStart w:id="1500" w:name="_Toc499827289"/>
      <w:bookmarkEnd w:id="1500"/>
      <w:bookmarkStart w:id="1501" w:name="_Toc499827288"/>
      <w:bookmarkEnd w:id="1501"/>
      <w:bookmarkStart w:id="1502" w:name="_Toc499822303"/>
      <w:bookmarkEnd w:id="1502"/>
      <w:bookmarkStart w:id="1503" w:name="_Toc499826640"/>
      <w:bookmarkEnd w:id="1503"/>
      <w:bookmarkStart w:id="1504" w:name="_Toc499827509"/>
      <w:bookmarkEnd w:id="1504"/>
      <w:bookmarkStart w:id="1505" w:name="_Toc500514374"/>
      <w:bookmarkEnd w:id="1505"/>
      <w:bookmarkStart w:id="1506" w:name="_Toc498357516"/>
      <w:bookmarkEnd w:id="1506"/>
      <w:bookmarkStart w:id="1507" w:name="_Toc499710894"/>
      <w:bookmarkEnd w:id="1507"/>
      <w:bookmarkStart w:id="1508" w:name="_Toc500514372"/>
      <w:bookmarkEnd w:id="1508"/>
      <w:bookmarkStart w:id="1509" w:name="_Toc498357372"/>
      <w:bookmarkEnd w:id="1509"/>
      <w:bookmarkStart w:id="1510" w:name="_Toc499826856"/>
      <w:bookmarkEnd w:id="1510"/>
      <w:bookmarkStart w:id="1511" w:name="_Toc499826857"/>
      <w:bookmarkEnd w:id="1511"/>
      <w:bookmarkStart w:id="1512" w:name="_Toc500345079"/>
      <w:bookmarkEnd w:id="1512"/>
      <w:bookmarkStart w:id="1513" w:name="_Toc499822523"/>
      <w:bookmarkEnd w:id="1513"/>
      <w:bookmarkStart w:id="1514" w:name="_Toc499827073"/>
      <w:bookmarkEnd w:id="1514"/>
      <w:bookmarkStart w:id="1515" w:name="_Toc499823416"/>
      <w:bookmarkEnd w:id="1515"/>
      <w:bookmarkStart w:id="1516" w:name="_Toc499827290"/>
      <w:bookmarkEnd w:id="1516"/>
      <w:bookmarkStart w:id="1517" w:name="_Toc499827072"/>
      <w:bookmarkEnd w:id="1517"/>
      <w:bookmarkStart w:id="1518" w:name="_Toc499822522"/>
      <w:bookmarkEnd w:id="1518"/>
      <w:bookmarkStart w:id="1519" w:name="_Toc499826639"/>
      <w:bookmarkEnd w:id="1519"/>
      <w:bookmarkStart w:id="1520" w:name="_Toc498357373"/>
      <w:bookmarkEnd w:id="1520"/>
      <w:bookmarkStart w:id="1521" w:name="_Toc498357517"/>
      <w:bookmarkEnd w:id="1521"/>
      <w:bookmarkStart w:id="1522" w:name="_Toc499823417"/>
      <w:bookmarkEnd w:id="1522"/>
      <w:bookmarkStart w:id="1523" w:name="_Toc499827291"/>
      <w:bookmarkEnd w:id="1523"/>
      <w:bookmarkStart w:id="1524" w:name="_Toc499822304"/>
      <w:bookmarkEnd w:id="1524"/>
      <w:bookmarkStart w:id="1525" w:name="_Toc500345080"/>
      <w:bookmarkEnd w:id="1525"/>
      <w:bookmarkStart w:id="1526" w:name="_Toc499827508"/>
      <w:bookmarkEnd w:id="1526"/>
      <w:bookmarkStart w:id="1527" w:name="_Toc499822305"/>
      <w:bookmarkEnd w:id="1527"/>
      <w:bookmarkStart w:id="1528" w:name="_Toc500514373"/>
      <w:bookmarkEnd w:id="1528"/>
      <w:bookmarkStart w:id="1529" w:name="_Toc499710895"/>
      <w:bookmarkEnd w:id="1529"/>
      <w:bookmarkStart w:id="1530" w:name="_Toc499822264"/>
      <w:bookmarkEnd w:id="1530"/>
      <w:bookmarkStart w:id="1531" w:name="_Toc499822482"/>
      <w:bookmarkEnd w:id="1531"/>
      <w:bookmarkStart w:id="1532" w:name="_Toc499823376"/>
      <w:bookmarkEnd w:id="1532"/>
      <w:bookmarkStart w:id="1533" w:name="_Toc499826599"/>
      <w:bookmarkEnd w:id="1533"/>
      <w:bookmarkStart w:id="1534" w:name="_Toc498357475"/>
      <w:bookmarkEnd w:id="1534"/>
      <w:bookmarkStart w:id="1535" w:name="_Toc499710853"/>
      <w:bookmarkEnd w:id="1535"/>
      <w:bookmarkStart w:id="1536" w:name="_Toc499822263"/>
      <w:bookmarkEnd w:id="1536"/>
      <w:bookmarkStart w:id="1537" w:name="_Toc499822481"/>
      <w:bookmarkEnd w:id="1537"/>
      <w:bookmarkStart w:id="1538" w:name="_Toc499823375"/>
      <w:bookmarkEnd w:id="1538"/>
      <w:bookmarkStart w:id="1539" w:name="_Toc499826815"/>
      <w:bookmarkEnd w:id="1539"/>
      <w:bookmarkStart w:id="1540" w:name="_Toc499827031"/>
      <w:bookmarkEnd w:id="1540"/>
      <w:bookmarkStart w:id="1541" w:name="_Toc499827249"/>
      <w:bookmarkEnd w:id="1541"/>
      <w:bookmarkStart w:id="1542" w:name="_Toc499826598"/>
      <w:bookmarkEnd w:id="1542"/>
      <w:bookmarkStart w:id="1543" w:name="_Toc499827467"/>
      <w:bookmarkEnd w:id="1543"/>
      <w:bookmarkStart w:id="1544" w:name="_Toc500345038"/>
      <w:bookmarkEnd w:id="1544"/>
      <w:bookmarkStart w:id="1545" w:name="_Toc498357331"/>
      <w:bookmarkEnd w:id="1545"/>
      <w:bookmarkStart w:id="1546" w:name="_Toc500514332"/>
      <w:bookmarkEnd w:id="1546"/>
      <w:bookmarkStart w:id="1547" w:name="_Toc498357476"/>
      <w:bookmarkEnd w:id="1547"/>
      <w:bookmarkStart w:id="1548" w:name="_Toc498357332"/>
      <w:bookmarkEnd w:id="1548"/>
      <w:bookmarkStart w:id="1549" w:name="_Toc499710854"/>
      <w:bookmarkEnd w:id="1549"/>
      <w:bookmarkStart w:id="1550" w:name="_Toc499710855"/>
      <w:bookmarkEnd w:id="1550"/>
      <w:bookmarkStart w:id="1551" w:name="_Toc499822484"/>
      <w:bookmarkEnd w:id="1551"/>
      <w:bookmarkStart w:id="1552" w:name="_Toc499827033"/>
      <w:bookmarkEnd w:id="1552"/>
      <w:bookmarkStart w:id="1553" w:name="_Toc499826601"/>
      <w:bookmarkEnd w:id="1553"/>
      <w:bookmarkStart w:id="1554" w:name="_Toc499827251"/>
      <w:bookmarkEnd w:id="1554"/>
      <w:bookmarkStart w:id="1555" w:name="_Toc499827468"/>
      <w:bookmarkEnd w:id="1555"/>
      <w:bookmarkStart w:id="1556" w:name="_Toc500345040"/>
      <w:bookmarkEnd w:id="1556"/>
      <w:bookmarkStart w:id="1557" w:name="_Toc500345039"/>
      <w:bookmarkEnd w:id="1557"/>
      <w:bookmarkStart w:id="1558" w:name="_Toc499822483"/>
      <w:bookmarkEnd w:id="1558"/>
      <w:bookmarkStart w:id="1559" w:name="_Toc500514334"/>
      <w:bookmarkEnd w:id="1559"/>
      <w:bookmarkStart w:id="1560" w:name="_Toc499826817"/>
      <w:bookmarkEnd w:id="1560"/>
      <w:bookmarkStart w:id="1561" w:name="_Toc499826816"/>
      <w:bookmarkEnd w:id="1561"/>
      <w:bookmarkStart w:id="1562" w:name="_Toc499822265"/>
      <w:bookmarkEnd w:id="1562"/>
      <w:bookmarkStart w:id="1563" w:name="_Toc499827469"/>
      <w:bookmarkEnd w:id="1563"/>
      <w:bookmarkStart w:id="1564" w:name="_Toc499710856"/>
      <w:bookmarkEnd w:id="1564"/>
      <w:bookmarkStart w:id="1565" w:name="_Toc499827034"/>
      <w:bookmarkEnd w:id="1565"/>
      <w:bookmarkStart w:id="1566" w:name="_Toc499827032"/>
      <w:bookmarkEnd w:id="1566"/>
      <w:bookmarkStart w:id="1567" w:name="_Toc500514333"/>
      <w:bookmarkEnd w:id="1567"/>
      <w:bookmarkStart w:id="1568" w:name="_Toc498357478"/>
      <w:bookmarkEnd w:id="1568"/>
      <w:bookmarkStart w:id="1569" w:name="_Toc499823378"/>
      <w:bookmarkEnd w:id="1569"/>
      <w:bookmarkStart w:id="1570" w:name="_Toc499827252"/>
      <w:bookmarkEnd w:id="1570"/>
      <w:bookmarkStart w:id="1571" w:name="_Toc499827470"/>
      <w:bookmarkEnd w:id="1571"/>
      <w:bookmarkStart w:id="1572" w:name="_Toc500345041"/>
      <w:bookmarkEnd w:id="1572"/>
      <w:bookmarkStart w:id="1573" w:name="_Toc499826818"/>
      <w:bookmarkEnd w:id="1573"/>
      <w:bookmarkStart w:id="1574" w:name="_Toc500514335"/>
      <w:bookmarkEnd w:id="1574"/>
      <w:bookmarkStart w:id="1575" w:name="_Toc498357477"/>
      <w:bookmarkEnd w:id="1575"/>
      <w:bookmarkStart w:id="1576" w:name="_Toc499823377"/>
      <w:bookmarkEnd w:id="1576"/>
      <w:bookmarkStart w:id="1577" w:name="_Toc498357334"/>
      <w:bookmarkEnd w:id="1577"/>
      <w:bookmarkStart w:id="1578" w:name="_Toc498357333"/>
      <w:bookmarkEnd w:id="1578"/>
      <w:bookmarkStart w:id="1579" w:name="_Toc499827250"/>
      <w:bookmarkEnd w:id="1579"/>
      <w:bookmarkStart w:id="1580" w:name="_Toc499826600"/>
      <w:bookmarkEnd w:id="1580"/>
      <w:bookmarkStart w:id="1581" w:name="_Toc499822266"/>
      <w:bookmarkEnd w:id="1581"/>
      <w:bookmarkStart w:id="1582" w:name="_Toc499826602"/>
      <w:bookmarkEnd w:id="1582"/>
      <w:bookmarkStart w:id="1583" w:name="_Toc499710859"/>
      <w:bookmarkEnd w:id="1583"/>
      <w:bookmarkStart w:id="1584" w:name="_Toc499822269"/>
      <w:bookmarkEnd w:id="1584"/>
      <w:bookmarkStart w:id="1585" w:name="_Toc499822487"/>
      <w:bookmarkEnd w:id="1585"/>
      <w:bookmarkStart w:id="1586" w:name="_Toc499823381"/>
      <w:bookmarkEnd w:id="1586"/>
      <w:bookmarkStart w:id="1587" w:name="_Toc499822268"/>
      <w:bookmarkEnd w:id="1587"/>
      <w:bookmarkStart w:id="1588" w:name="_Toc499823379"/>
      <w:bookmarkEnd w:id="1588"/>
      <w:bookmarkStart w:id="1589" w:name="_Toc499827253"/>
      <w:bookmarkEnd w:id="1589"/>
      <w:bookmarkStart w:id="1590" w:name="_Toc500345043"/>
      <w:bookmarkEnd w:id="1590"/>
      <w:bookmarkStart w:id="1591" w:name="_Toc498357479"/>
      <w:bookmarkEnd w:id="1591"/>
      <w:bookmarkStart w:id="1592" w:name="_Toc499827472"/>
      <w:bookmarkEnd w:id="1592"/>
      <w:bookmarkStart w:id="1593" w:name="_Toc499826603"/>
      <w:bookmarkEnd w:id="1593"/>
      <w:bookmarkStart w:id="1594" w:name="_Toc498357336"/>
      <w:bookmarkEnd w:id="1594"/>
      <w:bookmarkStart w:id="1595" w:name="_Toc499710857"/>
      <w:bookmarkEnd w:id="1595"/>
      <w:bookmarkStart w:id="1596" w:name="_Toc499822486"/>
      <w:bookmarkEnd w:id="1596"/>
      <w:bookmarkStart w:id="1597" w:name="_Toc499823380"/>
      <w:bookmarkEnd w:id="1597"/>
      <w:bookmarkStart w:id="1598" w:name="_Toc499822267"/>
      <w:bookmarkEnd w:id="1598"/>
      <w:bookmarkStart w:id="1599" w:name="_Toc499827035"/>
      <w:bookmarkEnd w:id="1599"/>
      <w:bookmarkStart w:id="1600" w:name="_Toc498357335"/>
      <w:bookmarkEnd w:id="1600"/>
      <w:bookmarkStart w:id="1601" w:name="_Toc499822485"/>
      <w:bookmarkEnd w:id="1601"/>
      <w:bookmarkStart w:id="1602" w:name="_Toc499827471"/>
      <w:bookmarkEnd w:id="1602"/>
      <w:bookmarkStart w:id="1603" w:name="_Toc499826820"/>
      <w:bookmarkEnd w:id="1603"/>
      <w:bookmarkStart w:id="1604" w:name="_Toc498357480"/>
      <w:bookmarkEnd w:id="1604"/>
      <w:bookmarkStart w:id="1605" w:name="_Toc499827036"/>
      <w:bookmarkEnd w:id="1605"/>
      <w:bookmarkStart w:id="1606" w:name="_Toc499827254"/>
      <w:bookmarkEnd w:id="1606"/>
      <w:bookmarkStart w:id="1607" w:name="_Toc500514337"/>
      <w:bookmarkEnd w:id="1607"/>
      <w:bookmarkStart w:id="1608" w:name="_Toc500514336"/>
      <w:bookmarkEnd w:id="1608"/>
      <w:bookmarkStart w:id="1609" w:name="_Toc499826819"/>
      <w:bookmarkEnd w:id="1609"/>
      <w:bookmarkStart w:id="1610" w:name="_Toc500345042"/>
      <w:bookmarkEnd w:id="1610"/>
      <w:bookmarkStart w:id="1611" w:name="_Toc498357481"/>
      <w:bookmarkEnd w:id="1611"/>
      <w:bookmarkStart w:id="1612" w:name="_Toc499710858"/>
      <w:bookmarkEnd w:id="1612"/>
      <w:bookmarkStart w:id="1613" w:name="_Toc498357337"/>
      <w:bookmarkEnd w:id="1613"/>
      <w:bookmarkStart w:id="1614" w:name="_Toc500514339"/>
      <w:bookmarkEnd w:id="1614"/>
      <w:bookmarkStart w:id="1615" w:name="_Toc500345044"/>
      <w:bookmarkEnd w:id="1615"/>
      <w:bookmarkStart w:id="1616" w:name="_Toc499822271"/>
      <w:bookmarkEnd w:id="1616"/>
      <w:bookmarkStart w:id="1617" w:name="_Toc498357482"/>
      <w:bookmarkEnd w:id="1617"/>
      <w:bookmarkStart w:id="1618" w:name="_Toc499826822"/>
      <w:bookmarkEnd w:id="1618"/>
      <w:bookmarkStart w:id="1619" w:name="_Toc499710861"/>
      <w:bookmarkEnd w:id="1619"/>
      <w:bookmarkStart w:id="1620" w:name="_Toc499826823"/>
      <w:bookmarkEnd w:id="1620"/>
      <w:bookmarkStart w:id="1621" w:name="_Toc499827255"/>
      <w:bookmarkEnd w:id="1621"/>
      <w:bookmarkStart w:id="1622" w:name="_Toc498357338"/>
      <w:bookmarkEnd w:id="1622"/>
      <w:bookmarkStart w:id="1623" w:name="_Toc499826604"/>
      <w:bookmarkEnd w:id="1623"/>
      <w:bookmarkStart w:id="1624" w:name="_Toc499826605"/>
      <w:bookmarkEnd w:id="1624"/>
      <w:bookmarkStart w:id="1625" w:name="_Toc499827256"/>
      <w:bookmarkEnd w:id="1625"/>
      <w:bookmarkStart w:id="1626" w:name="_Toc499822488"/>
      <w:bookmarkEnd w:id="1626"/>
      <w:bookmarkStart w:id="1627" w:name="_Toc499827474"/>
      <w:bookmarkEnd w:id="1627"/>
      <w:bookmarkStart w:id="1628" w:name="_Toc499826821"/>
      <w:bookmarkEnd w:id="1628"/>
      <w:bookmarkStart w:id="1629" w:name="_Toc499827037"/>
      <w:bookmarkEnd w:id="1629"/>
      <w:bookmarkStart w:id="1630" w:name="_Toc500514338"/>
      <w:bookmarkEnd w:id="1630"/>
      <w:bookmarkStart w:id="1631" w:name="_Toc500345045"/>
      <w:bookmarkEnd w:id="1631"/>
      <w:bookmarkStart w:id="1632" w:name="_Toc499710860"/>
      <w:bookmarkEnd w:id="1632"/>
      <w:bookmarkStart w:id="1633" w:name="_Toc498357483"/>
      <w:bookmarkEnd w:id="1633"/>
      <w:bookmarkStart w:id="1634" w:name="_Toc499822270"/>
      <w:bookmarkEnd w:id="1634"/>
      <w:bookmarkStart w:id="1635" w:name="_Toc499822489"/>
      <w:bookmarkEnd w:id="1635"/>
      <w:bookmarkStart w:id="1636" w:name="_Toc499827039"/>
      <w:bookmarkEnd w:id="1636"/>
      <w:bookmarkStart w:id="1637" w:name="_Toc499827257"/>
      <w:bookmarkEnd w:id="1637"/>
      <w:bookmarkStart w:id="1638" w:name="_Toc499827475"/>
      <w:bookmarkEnd w:id="1638"/>
      <w:bookmarkStart w:id="1639" w:name="_Toc500345046"/>
      <w:bookmarkEnd w:id="1639"/>
      <w:bookmarkStart w:id="1640" w:name="_Toc499827473"/>
      <w:bookmarkEnd w:id="1640"/>
      <w:bookmarkStart w:id="1641" w:name="_Toc499826606"/>
      <w:bookmarkEnd w:id="1641"/>
      <w:bookmarkStart w:id="1642" w:name="_Toc498357339"/>
      <w:bookmarkEnd w:id="1642"/>
      <w:bookmarkStart w:id="1643" w:name="_Toc499823383"/>
      <w:bookmarkEnd w:id="1643"/>
      <w:bookmarkStart w:id="1644" w:name="_Toc499823382"/>
      <w:bookmarkEnd w:id="1644"/>
      <w:bookmarkStart w:id="1645" w:name="_Toc499827038"/>
      <w:bookmarkEnd w:id="1645"/>
      <w:bookmarkStart w:id="1646" w:name="_Toc499710863"/>
      <w:bookmarkEnd w:id="1646"/>
      <w:bookmarkStart w:id="1647" w:name="_Toc499826608"/>
      <w:bookmarkEnd w:id="1647"/>
      <w:bookmarkStart w:id="1648" w:name="_Toc499827041"/>
      <w:bookmarkEnd w:id="1648"/>
      <w:bookmarkStart w:id="1649" w:name="_Toc500514342"/>
      <w:bookmarkEnd w:id="1649"/>
      <w:bookmarkStart w:id="1650" w:name="_Toc498357342"/>
      <w:bookmarkEnd w:id="1650"/>
      <w:bookmarkStart w:id="1651" w:name="_Toc499822273"/>
      <w:bookmarkEnd w:id="1651"/>
      <w:bookmarkStart w:id="1652" w:name="_Toc499710864"/>
      <w:bookmarkEnd w:id="1652"/>
      <w:bookmarkStart w:id="1653" w:name="_Toc499822272"/>
      <w:bookmarkEnd w:id="1653"/>
      <w:bookmarkStart w:id="1654" w:name="_Toc499822491"/>
      <w:bookmarkEnd w:id="1654"/>
      <w:bookmarkStart w:id="1655" w:name="_Toc499827477"/>
      <w:bookmarkEnd w:id="1655"/>
      <w:bookmarkStart w:id="1656" w:name="_Toc498357486"/>
      <w:bookmarkEnd w:id="1656"/>
      <w:bookmarkStart w:id="1657" w:name="_Toc499826824"/>
      <w:bookmarkEnd w:id="1657"/>
      <w:bookmarkStart w:id="1658" w:name="_Toc498357341"/>
      <w:bookmarkEnd w:id="1658"/>
      <w:bookmarkStart w:id="1659" w:name="_Toc499827259"/>
      <w:bookmarkEnd w:id="1659"/>
      <w:bookmarkStart w:id="1660" w:name="_Toc498357340"/>
      <w:bookmarkEnd w:id="1660"/>
      <w:bookmarkStart w:id="1661" w:name="_Toc499823384"/>
      <w:bookmarkEnd w:id="1661"/>
      <w:bookmarkStart w:id="1662" w:name="_Toc499822490"/>
      <w:bookmarkEnd w:id="1662"/>
      <w:bookmarkStart w:id="1663" w:name="_Toc498357484"/>
      <w:bookmarkEnd w:id="1663"/>
      <w:bookmarkStart w:id="1664" w:name="_Toc499710862"/>
      <w:bookmarkEnd w:id="1664"/>
      <w:bookmarkStart w:id="1665" w:name="_Toc499827258"/>
      <w:bookmarkEnd w:id="1665"/>
      <w:bookmarkStart w:id="1666" w:name="_Toc499827476"/>
      <w:bookmarkEnd w:id="1666"/>
      <w:bookmarkStart w:id="1667" w:name="_Toc498357485"/>
      <w:bookmarkEnd w:id="1667"/>
      <w:bookmarkStart w:id="1668" w:name="_Toc499823385"/>
      <w:bookmarkEnd w:id="1668"/>
      <w:bookmarkStart w:id="1669" w:name="_Toc500514340"/>
      <w:bookmarkEnd w:id="1669"/>
      <w:bookmarkStart w:id="1670" w:name="_Toc499822274"/>
      <w:bookmarkEnd w:id="1670"/>
      <w:bookmarkStart w:id="1671" w:name="_Toc499826825"/>
      <w:bookmarkEnd w:id="1671"/>
      <w:bookmarkStart w:id="1672" w:name="_Toc500345048"/>
      <w:bookmarkEnd w:id="1672"/>
      <w:bookmarkStart w:id="1673" w:name="_Toc499822492"/>
      <w:bookmarkEnd w:id="1673"/>
      <w:bookmarkStart w:id="1674" w:name="_Toc499826607"/>
      <w:bookmarkEnd w:id="1674"/>
      <w:bookmarkStart w:id="1675" w:name="_Toc500514341"/>
      <w:bookmarkEnd w:id="1675"/>
      <w:bookmarkStart w:id="1676" w:name="_Toc499827040"/>
      <w:bookmarkEnd w:id="1676"/>
      <w:bookmarkStart w:id="1677" w:name="_Toc500345047"/>
      <w:bookmarkEnd w:id="1677"/>
      <w:bookmarkStart w:id="1678" w:name="_Toc500514343"/>
      <w:bookmarkEnd w:id="1678"/>
      <w:bookmarkStart w:id="1679" w:name="_Toc499822276"/>
      <w:bookmarkEnd w:id="1679"/>
      <w:bookmarkStart w:id="1680" w:name="_Toc499823388"/>
      <w:bookmarkEnd w:id="1680"/>
      <w:bookmarkStart w:id="1681" w:name="_Toc499826828"/>
      <w:bookmarkEnd w:id="1681"/>
      <w:bookmarkStart w:id="1682" w:name="_Toc499823386"/>
      <w:bookmarkEnd w:id="1682"/>
      <w:bookmarkStart w:id="1683" w:name="_Toc499827042"/>
      <w:bookmarkEnd w:id="1683"/>
      <w:bookmarkStart w:id="1684" w:name="_Toc498357487"/>
      <w:bookmarkEnd w:id="1684"/>
      <w:bookmarkStart w:id="1685" w:name="_Toc499822275"/>
      <w:bookmarkEnd w:id="1685"/>
      <w:bookmarkStart w:id="1686" w:name="_Toc500345050"/>
      <w:bookmarkEnd w:id="1686"/>
      <w:bookmarkStart w:id="1687" w:name="_Toc499710865"/>
      <w:bookmarkEnd w:id="1687"/>
      <w:bookmarkStart w:id="1688" w:name="_Toc499827479"/>
      <w:bookmarkEnd w:id="1688"/>
      <w:bookmarkStart w:id="1689" w:name="_Toc499822494"/>
      <w:bookmarkEnd w:id="1689"/>
      <w:bookmarkStart w:id="1690" w:name="_Toc499827262"/>
      <w:bookmarkEnd w:id="1690"/>
      <w:bookmarkStart w:id="1691" w:name="_Toc499827480"/>
      <w:bookmarkEnd w:id="1691"/>
      <w:bookmarkStart w:id="1692" w:name="_Toc499826827"/>
      <w:bookmarkEnd w:id="1692"/>
      <w:bookmarkStart w:id="1693" w:name="_Toc499827043"/>
      <w:bookmarkEnd w:id="1693"/>
      <w:bookmarkStart w:id="1694" w:name="_Toc500345049"/>
      <w:bookmarkEnd w:id="1694"/>
      <w:bookmarkStart w:id="1695" w:name="_Toc499826826"/>
      <w:bookmarkEnd w:id="1695"/>
      <w:bookmarkStart w:id="1696" w:name="_Toc499826610"/>
      <w:bookmarkEnd w:id="1696"/>
      <w:bookmarkStart w:id="1697" w:name="_Toc499827261"/>
      <w:bookmarkEnd w:id="1697"/>
      <w:bookmarkStart w:id="1698" w:name="_Toc499826611"/>
      <w:bookmarkEnd w:id="1698"/>
      <w:bookmarkStart w:id="1699" w:name="_Toc499710866"/>
      <w:bookmarkEnd w:id="1699"/>
      <w:bookmarkStart w:id="1700" w:name="_Toc499827044"/>
      <w:bookmarkEnd w:id="1700"/>
      <w:bookmarkStart w:id="1701" w:name="_Toc498357343"/>
      <w:bookmarkEnd w:id="1701"/>
      <w:bookmarkStart w:id="1702" w:name="_Toc498357488"/>
      <w:bookmarkEnd w:id="1702"/>
      <w:bookmarkStart w:id="1703" w:name="_Toc499827260"/>
      <w:bookmarkEnd w:id="1703"/>
      <w:bookmarkStart w:id="1704" w:name="_Toc499826609"/>
      <w:bookmarkEnd w:id="1704"/>
      <w:bookmarkStart w:id="1705" w:name="_Toc499822493"/>
      <w:bookmarkEnd w:id="1705"/>
      <w:bookmarkStart w:id="1706" w:name="_Toc499827478"/>
      <w:bookmarkEnd w:id="1706"/>
      <w:bookmarkStart w:id="1707" w:name="_Toc499823387"/>
      <w:bookmarkEnd w:id="1707"/>
      <w:bookmarkStart w:id="1708" w:name="_Toc500514344"/>
      <w:bookmarkEnd w:id="1708"/>
      <w:bookmarkStart w:id="1709" w:name="_Toc498357344"/>
      <w:bookmarkEnd w:id="1709"/>
      <w:bookmarkStart w:id="1710" w:name="_Toc500514347"/>
      <w:bookmarkEnd w:id="1710"/>
      <w:bookmarkStart w:id="1711" w:name="_Toc499827045"/>
      <w:bookmarkEnd w:id="1711"/>
      <w:bookmarkStart w:id="1712" w:name="_Toc499823390"/>
      <w:bookmarkEnd w:id="1712"/>
      <w:bookmarkStart w:id="1713" w:name="_Toc499822278"/>
      <w:bookmarkEnd w:id="1713"/>
      <w:bookmarkStart w:id="1714" w:name="_Toc499827481"/>
      <w:bookmarkEnd w:id="1714"/>
      <w:bookmarkStart w:id="1715" w:name="_Toc498357490"/>
      <w:bookmarkEnd w:id="1715"/>
      <w:bookmarkStart w:id="1716" w:name="_Toc499827264"/>
      <w:bookmarkEnd w:id="1716"/>
      <w:bookmarkStart w:id="1717" w:name="_Toc499822277"/>
      <w:bookmarkEnd w:id="1717"/>
      <w:bookmarkStart w:id="1718" w:name="_Toc499827046"/>
      <w:bookmarkEnd w:id="1718"/>
      <w:bookmarkStart w:id="1719" w:name="_Toc499826612"/>
      <w:bookmarkEnd w:id="1719"/>
      <w:bookmarkStart w:id="1720" w:name="_Toc499823389"/>
      <w:bookmarkEnd w:id="1720"/>
      <w:bookmarkStart w:id="1721" w:name="_Toc498357345"/>
      <w:bookmarkEnd w:id="1721"/>
      <w:bookmarkStart w:id="1722" w:name="_Toc499827263"/>
      <w:bookmarkEnd w:id="1722"/>
      <w:bookmarkStart w:id="1723" w:name="_Toc500514345"/>
      <w:bookmarkEnd w:id="1723"/>
      <w:bookmarkStart w:id="1724" w:name="_Toc500514346"/>
      <w:bookmarkEnd w:id="1724"/>
      <w:bookmarkStart w:id="1725" w:name="_Toc500345051"/>
      <w:bookmarkEnd w:id="1725"/>
      <w:bookmarkStart w:id="1726" w:name="_Toc499710868"/>
      <w:bookmarkEnd w:id="1726"/>
      <w:bookmarkStart w:id="1727" w:name="_Toc498357346"/>
      <w:bookmarkEnd w:id="1727"/>
      <w:bookmarkStart w:id="1728" w:name="_Toc499826613"/>
      <w:bookmarkEnd w:id="1728"/>
      <w:bookmarkStart w:id="1729" w:name="_Toc499826830"/>
      <w:bookmarkEnd w:id="1729"/>
      <w:bookmarkStart w:id="1730" w:name="_Toc499827482"/>
      <w:bookmarkEnd w:id="1730"/>
      <w:bookmarkStart w:id="1731" w:name="_Toc499710867"/>
      <w:bookmarkEnd w:id="1731"/>
      <w:bookmarkStart w:id="1732" w:name="_Toc500345053"/>
      <w:bookmarkEnd w:id="1732"/>
      <w:bookmarkStart w:id="1733" w:name="_Toc498357491"/>
      <w:bookmarkEnd w:id="1733"/>
      <w:bookmarkStart w:id="1734" w:name="_Toc498357347"/>
      <w:bookmarkEnd w:id="1734"/>
      <w:bookmarkStart w:id="1735" w:name="_Toc499710869"/>
      <w:bookmarkEnd w:id="1735"/>
      <w:bookmarkStart w:id="1736" w:name="_Toc500345052"/>
      <w:bookmarkEnd w:id="1736"/>
      <w:bookmarkStart w:id="1737" w:name="_Toc499822495"/>
      <w:bookmarkEnd w:id="1737"/>
      <w:bookmarkStart w:id="1738" w:name="_Toc499822279"/>
      <w:bookmarkEnd w:id="1738"/>
      <w:bookmarkStart w:id="1739" w:name="_Toc498357489"/>
      <w:bookmarkEnd w:id="1739"/>
      <w:bookmarkStart w:id="1740" w:name="_Toc499826829"/>
      <w:bookmarkEnd w:id="1740"/>
      <w:bookmarkStart w:id="1741" w:name="_Toc499822496"/>
      <w:bookmarkEnd w:id="1741"/>
      <w:bookmarkStart w:id="1742" w:name="_Toc499827483"/>
      <w:bookmarkEnd w:id="1742"/>
      <w:bookmarkStart w:id="1743" w:name="_Toc499823391"/>
      <w:bookmarkEnd w:id="1743"/>
      <w:bookmarkStart w:id="1744" w:name="_Toc499827049"/>
      <w:bookmarkEnd w:id="1744"/>
      <w:bookmarkStart w:id="1745" w:name="_Toc499827267"/>
      <w:bookmarkEnd w:id="1745"/>
      <w:bookmarkStart w:id="1746" w:name="_Toc500345054"/>
      <w:bookmarkEnd w:id="1746"/>
      <w:bookmarkStart w:id="1747" w:name="_Toc499827265"/>
      <w:bookmarkEnd w:id="1747"/>
      <w:bookmarkStart w:id="1748" w:name="_Toc498357348"/>
      <w:bookmarkEnd w:id="1748"/>
      <w:bookmarkStart w:id="1749" w:name="_Toc499822280"/>
      <w:bookmarkEnd w:id="1749"/>
      <w:bookmarkStart w:id="1750" w:name="_Toc499827048"/>
      <w:bookmarkEnd w:id="1750"/>
      <w:bookmarkStart w:id="1751" w:name="_Toc499827266"/>
      <w:bookmarkEnd w:id="1751"/>
      <w:bookmarkStart w:id="1752" w:name="_Toc499827484"/>
      <w:bookmarkEnd w:id="1752"/>
      <w:bookmarkStart w:id="1753" w:name="_Toc500514349"/>
      <w:bookmarkEnd w:id="1753"/>
      <w:bookmarkStart w:id="1754" w:name="_Toc499822497"/>
      <w:bookmarkEnd w:id="1754"/>
      <w:bookmarkStart w:id="1755" w:name="_Toc499826831"/>
      <w:bookmarkEnd w:id="1755"/>
      <w:bookmarkStart w:id="1756" w:name="_Toc499826832"/>
      <w:bookmarkEnd w:id="1756"/>
      <w:bookmarkStart w:id="1757" w:name="_Toc500345055"/>
      <w:bookmarkEnd w:id="1757"/>
      <w:bookmarkStart w:id="1758" w:name="_Toc499710870"/>
      <w:bookmarkEnd w:id="1758"/>
      <w:bookmarkStart w:id="1759" w:name="_Toc499823392"/>
      <w:bookmarkEnd w:id="1759"/>
      <w:bookmarkStart w:id="1760" w:name="_Toc499826615"/>
      <w:bookmarkEnd w:id="1760"/>
      <w:bookmarkStart w:id="1761" w:name="_Toc498357492"/>
      <w:bookmarkEnd w:id="1761"/>
      <w:bookmarkStart w:id="1762" w:name="_Toc499827047"/>
      <w:bookmarkEnd w:id="1762"/>
      <w:bookmarkStart w:id="1763" w:name="_Toc498357493"/>
      <w:bookmarkEnd w:id="1763"/>
      <w:bookmarkStart w:id="1764" w:name="_Toc500514348"/>
      <w:bookmarkEnd w:id="1764"/>
      <w:bookmarkStart w:id="1765" w:name="_Toc499822498"/>
      <w:bookmarkEnd w:id="1765"/>
      <w:bookmarkStart w:id="1766" w:name="_Toc499710871"/>
      <w:bookmarkEnd w:id="1766"/>
      <w:bookmarkStart w:id="1767" w:name="_Toc499822281"/>
      <w:bookmarkEnd w:id="1767"/>
      <w:bookmarkStart w:id="1768" w:name="_Toc499823393"/>
      <w:bookmarkEnd w:id="1768"/>
      <w:bookmarkStart w:id="1769" w:name="_Toc499826614"/>
      <w:bookmarkEnd w:id="1769"/>
      <w:bookmarkStart w:id="1770" w:name="_Toc498357349"/>
      <w:bookmarkEnd w:id="1770"/>
      <w:bookmarkStart w:id="1771" w:name="_Toc499826616"/>
      <w:bookmarkEnd w:id="1771"/>
      <w:bookmarkStart w:id="1772" w:name="_Toc499826833"/>
      <w:bookmarkEnd w:id="1772"/>
      <w:bookmarkStart w:id="1773" w:name="_Toc499822499"/>
      <w:bookmarkEnd w:id="1773"/>
      <w:bookmarkStart w:id="1774" w:name="_Toc499827269"/>
      <w:bookmarkEnd w:id="1774"/>
      <w:bookmarkStart w:id="1775" w:name="_Toc499827487"/>
      <w:bookmarkEnd w:id="1775"/>
      <w:bookmarkStart w:id="1776" w:name="_Toc499827485"/>
      <w:bookmarkEnd w:id="1776"/>
      <w:bookmarkStart w:id="1777" w:name="_Toc500514352"/>
      <w:bookmarkEnd w:id="1777"/>
      <w:bookmarkStart w:id="1778" w:name="_Toc498357496"/>
      <w:bookmarkEnd w:id="1778"/>
      <w:bookmarkStart w:id="1779" w:name="_Toc500345057"/>
      <w:bookmarkEnd w:id="1779"/>
      <w:bookmarkStart w:id="1780" w:name="_Toc498357352"/>
      <w:bookmarkEnd w:id="1780"/>
      <w:bookmarkStart w:id="1781" w:name="_Toc499822500"/>
      <w:bookmarkEnd w:id="1781"/>
      <w:bookmarkStart w:id="1782" w:name="_Toc499710874"/>
      <w:bookmarkEnd w:id="1782"/>
      <w:bookmarkStart w:id="1783" w:name="_Toc500514350"/>
      <w:bookmarkEnd w:id="1783"/>
      <w:bookmarkStart w:id="1784" w:name="_Toc500345058"/>
      <w:bookmarkEnd w:id="1784"/>
      <w:bookmarkStart w:id="1785" w:name="_Toc498357351"/>
      <w:bookmarkEnd w:id="1785"/>
      <w:bookmarkStart w:id="1786" w:name="_Toc499827268"/>
      <w:bookmarkEnd w:id="1786"/>
      <w:bookmarkStart w:id="1787" w:name="_Toc500514351"/>
      <w:bookmarkEnd w:id="1787"/>
      <w:bookmarkStart w:id="1788" w:name="_Toc498357495"/>
      <w:bookmarkEnd w:id="1788"/>
      <w:bookmarkStart w:id="1789" w:name="_Toc500345056"/>
      <w:bookmarkEnd w:id="1789"/>
      <w:bookmarkStart w:id="1790" w:name="_Toc498357350"/>
      <w:bookmarkEnd w:id="1790"/>
      <w:bookmarkStart w:id="1791" w:name="_Toc499822282"/>
      <w:bookmarkEnd w:id="1791"/>
      <w:bookmarkStart w:id="1792" w:name="_Toc499823394"/>
      <w:bookmarkEnd w:id="1792"/>
      <w:bookmarkStart w:id="1793" w:name="_Toc499710873"/>
      <w:bookmarkEnd w:id="1793"/>
      <w:bookmarkStart w:id="1794" w:name="_Toc499822283"/>
      <w:bookmarkEnd w:id="1794"/>
      <w:bookmarkStart w:id="1795" w:name="_Toc499822501"/>
      <w:bookmarkEnd w:id="1795"/>
      <w:bookmarkStart w:id="1796" w:name="_Toc499827050"/>
      <w:bookmarkEnd w:id="1796"/>
      <w:bookmarkStart w:id="1797" w:name="_Toc499823395"/>
      <w:bookmarkEnd w:id="1797"/>
      <w:bookmarkStart w:id="1798" w:name="_Toc499827051"/>
      <w:bookmarkEnd w:id="1798"/>
      <w:bookmarkStart w:id="1799" w:name="_Toc499826618"/>
      <w:bookmarkEnd w:id="1799"/>
      <w:bookmarkStart w:id="1800" w:name="_Toc499826834"/>
      <w:bookmarkEnd w:id="1800"/>
      <w:bookmarkStart w:id="1801" w:name="_Toc499710872"/>
      <w:bookmarkEnd w:id="1801"/>
      <w:bookmarkStart w:id="1802" w:name="_Toc498357494"/>
      <w:bookmarkEnd w:id="1802"/>
      <w:bookmarkStart w:id="1803" w:name="_Toc499826617"/>
      <w:bookmarkEnd w:id="1803"/>
      <w:bookmarkStart w:id="1804" w:name="_Toc499827486"/>
      <w:bookmarkEnd w:id="1804"/>
      <w:bookmarkStart w:id="1805" w:name="_Toc499826835"/>
      <w:bookmarkEnd w:id="1805"/>
      <w:bookmarkStart w:id="1806" w:name="_Toc499826621"/>
      <w:bookmarkEnd w:id="1806"/>
      <w:bookmarkStart w:id="1807" w:name="_Toc499710875"/>
      <w:bookmarkEnd w:id="1807"/>
      <w:bookmarkStart w:id="1808" w:name="_Toc499822502"/>
      <w:bookmarkEnd w:id="1808"/>
      <w:bookmarkStart w:id="1809" w:name="_Toc499827489"/>
      <w:bookmarkEnd w:id="1809"/>
      <w:bookmarkStart w:id="1810" w:name="_Toc499822503"/>
      <w:bookmarkEnd w:id="1810"/>
      <w:bookmarkStart w:id="1811" w:name="_Toc499826837"/>
      <w:bookmarkEnd w:id="1811"/>
      <w:bookmarkStart w:id="1812" w:name="_Toc500514354"/>
      <w:bookmarkEnd w:id="1812"/>
      <w:bookmarkStart w:id="1813" w:name="_Toc499822284"/>
      <w:bookmarkEnd w:id="1813"/>
      <w:bookmarkStart w:id="1814" w:name="_Toc499827488"/>
      <w:bookmarkEnd w:id="1814"/>
      <w:bookmarkStart w:id="1815" w:name="_Toc498357497"/>
      <w:bookmarkEnd w:id="1815"/>
      <w:bookmarkStart w:id="1816" w:name="_Toc500514353"/>
      <w:bookmarkEnd w:id="1816"/>
      <w:bookmarkStart w:id="1817" w:name="_Toc499826836"/>
      <w:bookmarkEnd w:id="1817"/>
      <w:bookmarkStart w:id="1818" w:name="_Toc499822285"/>
      <w:bookmarkEnd w:id="1818"/>
      <w:bookmarkStart w:id="1819" w:name="_Toc499826619"/>
      <w:bookmarkEnd w:id="1819"/>
      <w:bookmarkStart w:id="1820" w:name="_Toc499826620"/>
      <w:bookmarkEnd w:id="1820"/>
      <w:bookmarkStart w:id="1821" w:name="_Toc499823396"/>
      <w:bookmarkEnd w:id="1821"/>
      <w:bookmarkStart w:id="1822" w:name="_Toc499827271"/>
      <w:bookmarkEnd w:id="1822"/>
      <w:bookmarkStart w:id="1823" w:name="_Toc499827053"/>
      <w:bookmarkEnd w:id="1823"/>
      <w:bookmarkStart w:id="1824" w:name="_Toc498357498"/>
      <w:bookmarkEnd w:id="1824"/>
      <w:bookmarkStart w:id="1825" w:name="_Toc498357354"/>
      <w:bookmarkEnd w:id="1825"/>
      <w:bookmarkStart w:id="1826" w:name="_Toc499710876"/>
      <w:bookmarkEnd w:id="1826"/>
      <w:bookmarkStart w:id="1827" w:name="_Toc499827270"/>
      <w:bookmarkEnd w:id="1827"/>
      <w:bookmarkStart w:id="1828" w:name="_Toc499822286"/>
      <w:bookmarkEnd w:id="1828"/>
      <w:bookmarkStart w:id="1829" w:name="_Toc499822504"/>
      <w:bookmarkEnd w:id="1829"/>
      <w:bookmarkStart w:id="1830" w:name="_Toc499823398"/>
      <w:bookmarkEnd w:id="1830"/>
      <w:bookmarkStart w:id="1831" w:name="_Toc499826838"/>
      <w:bookmarkEnd w:id="1831"/>
      <w:bookmarkStart w:id="1832" w:name="_Toc499823397"/>
      <w:bookmarkEnd w:id="1832"/>
      <w:bookmarkStart w:id="1833" w:name="_Toc500345059"/>
      <w:bookmarkEnd w:id="1833"/>
      <w:bookmarkStart w:id="1834" w:name="_Toc499827054"/>
      <w:bookmarkEnd w:id="1834"/>
      <w:bookmarkStart w:id="1835" w:name="_Toc499827052"/>
      <w:bookmarkEnd w:id="1835"/>
      <w:bookmarkStart w:id="1836" w:name="_Toc498357353"/>
      <w:bookmarkEnd w:id="1836"/>
      <w:bookmarkStart w:id="1837" w:name="_Toc500345060"/>
      <w:bookmarkEnd w:id="1837"/>
      <w:bookmarkStart w:id="1838" w:name="_Toc499822505"/>
      <w:bookmarkEnd w:id="1838"/>
      <w:bookmarkStart w:id="1839" w:name="_Toc499827272"/>
      <w:bookmarkEnd w:id="1839"/>
      <w:bookmarkStart w:id="1840" w:name="_Toc500514355"/>
      <w:bookmarkEnd w:id="1840"/>
      <w:bookmarkStart w:id="1841" w:name="_Toc498357501"/>
      <w:bookmarkEnd w:id="1841"/>
      <w:bookmarkStart w:id="1842" w:name="_Toc499823399"/>
      <w:bookmarkEnd w:id="1842"/>
      <w:bookmarkStart w:id="1843" w:name="_Toc499822287"/>
      <w:bookmarkEnd w:id="1843"/>
      <w:bookmarkStart w:id="1844" w:name="_Toc499826839"/>
      <w:bookmarkEnd w:id="1844"/>
      <w:bookmarkStart w:id="1845" w:name="_Toc499827491"/>
      <w:bookmarkEnd w:id="1845"/>
      <w:bookmarkStart w:id="1846" w:name="_Toc499710878"/>
      <w:bookmarkEnd w:id="1846"/>
      <w:bookmarkStart w:id="1847" w:name="_Toc499822288"/>
      <w:bookmarkEnd w:id="1847"/>
      <w:bookmarkStart w:id="1848" w:name="_Toc499822506"/>
      <w:bookmarkEnd w:id="1848"/>
      <w:bookmarkStart w:id="1849" w:name="_Toc499826623"/>
      <w:bookmarkEnd w:id="1849"/>
      <w:bookmarkStart w:id="1850" w:name="_Toc500345061"/>
      <w:bookmarkEnd w:id="1850"/>
      <w:bookmarkStart w:id="1851" w:name="_Toc498357355"/>
      <w:bookmarkEnd w:id="1851"/>
      <w:bookmarkStart w:id="1852" w:name="_Toc498357500"/>
      <w:bookmarkEnd w:id="1852"/>
      <w:bookmarkStart w:id="1853" w:name="_Toc499823400"/>
      <w:bookmarkEnd w:id="1853"/>
      <w:bookmarkStart w:id="1854" w:name="_Toc499827273"/>
      <w:bookmarkEnd w:id="1854"/>
      <w:bookmarkStart w:id="1855" w:name="_Toc499827490"/>
      <w:bookmarkEnd w:id="1855"/>
      <w:bookmarkStart w:id="1856" w:name="_Toc500514356"/>
      <w:bookmarkEnd w:id="1856"/>
      <w:bookmarkStart w:id="1857" w:name="_Toc499827055"/>
      <w:bookmarkEnd w:id="1857"/>
      <w:bookmarkStart w:id="1858" w:name="_Toc499710877"/>
      <w:bookmarkEnd w:id="1858"/>
      <w:bookmarkStart w:id="1859" w:name="_Toc498357356"/>
      <w:bookmarkEnd w:id="1859"/>
      <w:bookmarkStart w:id="1860" w:name="_Toc499826622"/>
      <w:bookmarkEnd w:id="1860"/>
      <w:bookmarkStart w:id="1861" w:name="_Toc500345062"/>
      <w:bookmarkEnd w:id="1861"/>
      <w:bookmarkStart w:id="1862" w:name="_Toc499826840"/>
      <w:bookmarkEnd w:id="1862"/>
      <w:bookmarkStart w:id="1863" w:name="_Toc499827274"/>
      <w:bookmarkEnd w:id="1863"/>
      <w:bookmarkStart w:id="1864" w:name="_Toc499827492"/>
      <w:bookmarkEnd w:id="1864"/>
      <w:bookmarkStart w:id="1865" w:name="_Toc498357499"/>
      <w:bookmarkEnd w:id="1865"/>
      <w:bookmarkStart w:id="1866" w:name="_Toc499827056"/>
      <w:bookmarkEnd w:id="1866"/>
      <w:bookmarkStart w:id="1867" w:name="_Toc500514357"/>
      <w:bookmarkEnd w:id="1867"/>
      <w:bookmarkStart w:id="1868" w:name="_Toc498357357"/>
      <w:bookmarkEnd w:id="1868"/>
      <w:bookmarkStart w:id="1869" w:name="_Toc500345063"/>
      <w:bookmarkEnd w:id="1869"/>
      <w:bookmarkStart w:id="1870" w:name="_Toc499827275"/>
      <w:bookmarkEnd w:id="1870"/>
      <w:bookmarkStart w:id="1871" w:name="_Toc499822291"/>
      <w:bookmarkEnd w:id="1871"/>
      <w:bookmarkStart w:id="1872" w:name="_Toc499822509"/>
      <w:bookmarkEnd w:id="1872"/>
      <w:bookmarkStart w:id="1873" w:name="_Toc499823403"/>
      <w:bookmarkEnd w:id="1873"/>
      <w:bookmarkStart w:id="1874" w:name="_Toc499826626"/>
      <w:bookmarkEnd w:id="1874"/>
      <w:bookmarkStart w:id="1875" w:name="_Toc499826625"/>
      <w:bookmarkEnd w:id="1875"/>
      <w:bookmarkStart w:id="1876" w:name="_Toc499827057"/>
      <w:bookmarkEnd w:id="1876"/>
      <w:bookmarkStart w:id="1877" w:name="_Toc500514358"/>
      <w:bookmarkEnd w:id="1877"/>
      <w:bookmarkStart w:id="1878" w:name="_Toc498357503"/>
      <w:bookmarkEnd w:id="1878"/>
      <w:bookmarkStart w:id="1879" w:name="_Toc499822507"/>
      <w:bookmarkEnd w:id="1879"/>
      <w:bookmarkStart w:id="1880" w:name="_Toc499826843"/>
      <w:bookmarkEnd w:id="1880"/>
      <w:bookmarkStart w:id="1881" w:name="_Toc499827276"/>
      <w:bookmarkEnd w:id="1881"/>
      <w:bookmarkStart w:id="1882" w:name="_Toc499822508"/>
      <w:bookmarkEnd w:id="1882"/>
      <w:bookmarkStart w:id="1883" w:name="_Toc499823401"/>
      <w:bookmarkEnd w:id="1883"/>
      <w:bookmarkStart w:id="1884" w:name="_Toc499826842"/>
      <w:bookmarkEnd w:id="1884"/>
      <w:bookmarkStart w:id="1885" w:name="_Toc499827058"/>
      <w:bookmarkEnd w:id="1885"/>
      <w:bookmarkStart w:id="1886" w:name="_Toc499826624"/>
      <w:bookmarkEnd w:id="1886"/>
      <w:bookmarkStart w:id="1887" w:name="_Toc500345064"/>
      <w:bookmarkEnd w:id="1887"/>
      <w:bookmarkStart w:id="1888" w:name="_Toc499822289"/>
      <w:bookmarkEnd w:id="1888"/>
      <w:bookmarkStart w:id="1889" w:name="_Toc499826841"/>
      <w:bookmarkEnd w:id="1889"/>
      <w:bookmarkStart w:id="1890" w:name="_Toc498357358"/>
      <w:bookmarkEnd w:id="1890"/>
      <w:bookmarkStart w:id="1891" w:name="_Toc499827494"/>
      <w:bookmarkEnd w:id="1891"/>
      <w:bookmarkStart w:id="1892" w:name="_Toc499822290"/>
      <w:bookmarkEnd w:id="1892"/>
      <w:bookmarkStart w:id="1893" w:name="_Toc500345065"/>
      <w:bookmarkEnd w:id="1893"/>
      <w:bookmarkStart w:id="1894" w:name="_Toc500514359"/>
      <w:bookmarkEnd w:id="1894"/>
      <w:bookmarkStart w:id="1895" w:name="_Toc498357359"/>
      <w:bookmarkEnd w:id="1895"/>
      <w:bookmarkStart w:id="1896" w:name="_Toc499710879"/>
      <w:bookmarkEnd w:id="1896"/>
      <w:bookmarkStart w:id="1897" w:name="_Toc499827493"/>
      <w:bookmarkEnd w:id="1897"/>
      <w:bookmarkStart w:id="1898" w:name="_Toc498357502"/>
      <w:bookmarkEnd w:id="1898"/>
      <w:bookmarkStart w:id="1899" w:name="_Toc499710880"/>
      <w:bookmarkEnd w:id="1899"/>
      <w:bookmarkStart w:id="1900" w:name="_Toc499823402"/>
      <w:bookmarkEnd w:id="1900"/>
      <w:bookmarkStart w:id="1901" w:name="_Toc499710881"/>
      <w:bookmarkEnd w:id="1901"/>
      <w:bookmarkStart w:id="1902" w:name="_Toc499827059"/>
      <w:bookmarkEnd w:id="1902"/>
      <w:bookmarkStart w:id="1903" w:name="_Toc500345067"/>
      <w:bookmarkEnd w:id="1903"/>
      <w:bookmarkStart w:id="1904" w:name="_Toc498357504"/>
      <w:bookmarkEnd w:id="1904"/>
      <w:bookmarkStart w:id="1905" w:name="_Toc499826628"/>
      <w:bookmarkEnd w:id="1905"/>
      <w:bookmarkStart w:id="1906" w:name="_Toc498357361"/>
      <w:bookmarkEnd w:id="1906"/>
      <w:bookmarkStart w:id="1907" w:name="_Toc499822293"/>
      <w:bookmarkEnd w:id="1907"/>
      <w:bookmarkStart w:id="1908" w:name="_Toc499826845"/>
      <w:bookmarkEnd w:id="1908"/>
      <w:bookmarkStart w:id="1909" w:name="_Toc500514360"/>
      <w:bookmarkEnd w:id="1909"/>
      <w:bookmarkStart w:id="1910" w:name="_Toc499826627"/>
      <w:bookmarkEnd w:id="1910"/>
      <w:bookmarkStart w:id="1911" w:name="_Toc499827278"/>
      <w:bookmarkEnd w:id="1911"/>
      <w:bookmarkStart w:id="1912" w:name="_Toc499827060"/>
      <w:bookmarkEnd w:id="1912"/>
      <w:bookmarkStart w:id="1913" w:name="_Toc499822292"/>
      <w:bookmarkEnd w:id="1913"/>
      <w:bookmarkStart w:id="1914" w:name="_Toc500514361"/>
      <w:bookmarkEnd w:id="1914"/>
      <w:bookmarkStart w:id="1915" w:name="_Toc499710882"/>
      <w:bookmarkEnd w:id="1915"/>
      <w:bookmarkStart w:id="1916" w:name="_Toc499710883"/>
      <w:bookmarkEnd w:id="1916"/>
      <w:bookmarkStart w:id="1917" w:name="_Toc498357360"/>
      <w:bookmarkEnd w:id="1917"/>
      <w:bookmarkStart w:id="1918" w:name="_Toc499823405"/>
      <w:bookmarkEnd w:id="1918"/>
      <w:bookmarkStart w:id="1919" w:name="_Toc499827277"/>
      <w:bookmarkEnd w:id="1919"/>
      <w:bookmarkStart w:id="1920" w:name="_Toc499822511"/>
      <w:bookmarkEnd w:id="1920"/>
      <w:bookmarkStart w:id="1921" w:name="_Toc500345066"/>
      <w:bookmarkEnd w:id="1921"/>
      <w:bookmarkStart w:id="1922" w:name="_Toc499827061"/>
      <w:bookmarkEnd w:id="1922"/>
      <w:bookmarkStart w:id="1923" w:name="_Toc499823404"/>
      <w:bookmarkEnd w:id="1923"/>
      <w:bookmarkStart w:id="1924" w:name="_Toc499827279"/>
      <w:bookmarkEnd w:id="1924"/>
      <w:bookmarkStart w:id="1925" w:name="_Toc499827497"/>
      <w:bookmarkEnd w:id="1925"/>
      <w:bookmarkStart w:id="1926" w:name="_Toc500345068"/>
      <w:bookmarkEnd w:id="1926"/>
      <w:bookmarkStart w:id="1927" w:name="_Toc500514362"/>
      <w:bookmarkEnd w:id="1927"/>
      <w:bookmarkStart w:id="1928" w:name="_Toc498357505"/>
      <w:bookmarkEnd w:id="1928"/>
      <w:bookmarkStart w:id="1929" w:name="_Toc499826844"/>
      <w:bookmarkEnd w:id="1929"/>
      <w:bookmarkStart w:id="1930" w:name="_Toc498357362"/>
      <w:bookmarkEnd w:id="1930"/>
      <w:bookmarkStart w:id="1931" w:name="_Toc499827495"/>
      <w:bookmarkEnd w:id="1931"/>
      <w:bookmarkStart w:id="1932" w:name="_Toc499822510"/>
      <w:bookmarkEnd w:id="1932"/>
      <w:bookmarkStart w:id="1933" w:name="_Toc499827496"/>
      <w:bookmarkEnd w:id="1933"/>
      <w:bookmarkStart w:id="1934" w:name="_Toc499710884"/>
      <w:bookmarkEnd w:id="1934"/>
      <w:bookmarkStart w:id="1935" w:name="_Toc499823406"/>
      <w:bookmarkEnd w:id="1935"/>
      <w:bookmarkStart w:id="1936" w:name="_Toc499827062"/>
      <w:bookmarkEnd w:id="1936"/>
      <w:bookmarkStart w:id="1937" w:name="_Toc498357507"/>
      <w:bookmarkEnd w:id="1937"/>
      <w:bookmarkStart w:id="1938" w:name="_Toc498357363"/>
      <w:bookmarkEnd w:id="1938"/>
      <w:bookmarkStart w:id="1939" w:name="_Toc500514363"/>
      <w:bookmarkEnd w:id="1939"/>
      <w:bookmarkStart w:id="1940" w:name="_Toc499822512"/>
      <w:bookmarkEnd w:id="1940"/>
      <w:bookmarkStart w:id="1941" w:name="_Toc499822295"/>
      <w:bookmarkEnd w:id="1941"/>
      <w:bookmarkStart w:id="1942" w:name="_Toc499826630"/>
      <w:bookmarkEnd w:id="1942"/>
      <w:bookmarkStart w:id="1943" w:name="_Toc500345070"/>
      <w:bookmarkEnd w:id="1943"/>
      <w:bookmarkStart w:id="1944" w:name="_Toc500514364"/>
      <w:bookmarkEnd w:id="1944"/>
      <w:bookmarkStart w:id="1945" w:name="_Toc498357506"/>
      <w:bookmarkEnd w:id="1945"/>
      <w:bookmarkStart w:id="1946" w:name="_Toc499826846"/>
      <w:bookmarkEnd w:id="1946"/>
      <w:bookmarkStart w:id="1947" w:name="_Toc499827498"/>
      <w:bookmarkEnd w:id="1947"/>
      <w:bookmarkStart w:id="1948" w:name="_Toc499827063"/>
      <w:bookmarkEnd w:id="1948"/>
      <w:bookmarkStart w:id="1949" w:name="_Toc499710886"/>
      <w:bookmarkEnd w:id="1949"/>
      <w:bookmarkStart w:id="1950" w:name="_Toc499822294"/>
      <w:bookmarkEnd w:id="1950"/>
      <w:bookmarkStart w:id="1951" w:name="_Toc499826629"/>
      <w:bookmarkEnd w:id="1951"/>
      <w:bookmarkStart w:id="1952" w:name="_Toc499823407"/>
      <w:bookmarkEnd w:id="1952"/>
      <w:bookmarkStart w:id="1953" w:name="_Toc499822513"/>
      <w:bookmarkEnd w:id="1953"/>
      <w:bookmarkStart w:id="1954" w:name="_Toc499826847"/>
      <w:bookmarkEnd w:id="1954"/>
      <w:bookmarkStart w:id="1955" w:name="_Toc499827499"/>
      <w:bookmarkEnd w:id="1955"/>
      <w:bookmarkStart w:id="1956" w:name="_Toc498357364"/>
      <w:bookmarkEnd w:id="1956"/>
      <w:bookmarkStart w:id="1957" w:name="_Toc499822296"/>
      <w:bookmarkEnd w:id="1957"/>
      <w:bookmarkStart w:id="1958" w:name="_Toc499827280"/>
      <w:bookmarkEnd w:id="1958"/>
      <w:bookmarkStart w:id="1959" w:name="_Toc498357508"/>
      <w:bookmarkEnd w:id="1959"/>
      <w:bookmarkStart w:id="1960" w:name="_Toc499822514"/>
      <w:bookmarkEnd w:id="1960"/>
      <w:bookmarkStart w:id="1961" w:name="_Toc499823408"/>
      <w:bookmarkEnd w:id="1961"/>
      <w:bookmarkStart w:id="1962" w:name="_Toc499826631"/>
      <w:bookmarkEnd w:id="1962"/>
      <w:bookmarkStart w:id="1963" w:name="_Toc500345072"/>
      <w:bookmarkEnd w:id="1963"/>
      <w:bookmarkStart w:id="1964" w:name="_Toc499826850"/>
      <w:bookmarkEnd w:id="1964"/>
      <w:bookmarkStart w:id="1965" w:name="_Toc499822298"/>
      <w:bookmarkEnd w:id="1965"/>
      <w:bookmarkStart w:id="1966" w:name="_Toc499827502"/>
      <w:bookmarkEnd w:id="1966"/>
      <w:bookmarkStart w:id="1967" w:name="_Toc500345073"/>
      <w:bookmarkEnd w:id="1967"/>
      <w:bookmarkStart w:id="1968" w:name="_Toc499827282"/>
      <w:bookmarkEnd w:id="1968"/>
      <w:bookmarkStart w:id="1969" w:name="_Toc500514367"/>
      <w:bookmarkEnd w:id="1969"/>
      <w:bookmarkStart w:id="1970" w:name="_Toc499710888"/>
      <w:bookmarkEnd w:id="1970"/>
      <w:bookmarkStart w:id="1971" w:name="_Toc499822297"/>
      <w:bookmarkEnd w:id="1971"/>
      <w:bookmarkStart w:id="1972" w:name="_Toc499827284"/>
      <w:bookmarkEnd w:id="1972"/>
      <w:bookmarkStart w:id="1973" w:name="_Toc499827501"/>
      <w:bookmarkEnd w:id="1973"/>
      <w:bookmarkStart w:id="1974" w:name="_Toc500514365"/>
      <w:bookmarkEnd w:id="1974"/>
      <w:bookmarkStart w:id="1975" w:name="_Toc499826848"/>
      <w:bookmarkEnd w:id="1975"/>
      <w:bookmarkStart w:id="1976" w:name="_Toc499827500"/>
      <w:bookmarkEnd w:id="1976"/>
      <w:bookmarkStart w:id="1977" w:name="_Toc500345071"/>
      <w:bookmarkEnd w:id="1977"/>
      <w:bookmarkStart w:id="1978" w:name="_Toc498357365"/>
      <w:bookmarkEnd w:id="1978"/>
      <w:bookmarkStart w:id="1979" w:name="_Toc498357509"/>
      <w:bookmarkEnd w:id="1979"/>
      <w:bookmarkStart w:id="1980" w:name="_Toc437271301"/>
      <w:bookmarkStart w:id="1981" w:name="_Toc527560004"/>
      <w:bookmarkStart w:id="1982" w:name="_Toc534813027"/>
      <w:r>
        <w:rPr>
          <w:rFonts w:hint="eastAsia"/>
          <w:b/>
          <w:bCs/>
          <w:sz w:val="24"/>
          <w:szCs w:val="32"/>
        </w:rPr>
        <w:t>三、</w:t>
      </w:r>
      <w:r>
        <w:rPr>
          <w:b/>
          <w:bCs/>
          <w:sz w:val="24"/>
          <w:szCs w:val="32"/>
        </w:rPr>
        <w:t>法定代表人身份证明</w:t>
      </w:r>
      <w:bookmarkEnd w:id="1980"/>
      <w:bookmarkEnd w:id="1981"/>
      <w:bookmarkEnd w:id="1982"/>
    </w:p>
    <w:p>
      <w:pPr>
        <w:widowControl/>
        <w:spacing w:line="360" w:lineRule="auto"/>
        <w:jc w:val="left"/>
        <w:rPr>
          <w:rFonts w:ascii="宋体" w:hAnsi="宋体"/>
          <w:sz w:val="24"/>
          <w:szCs w:val="22"/>
        </w:rPr>
      </w:pPr>
      <w:r>
        <w:rPr>
          <w:rFonts w:ascii="宋体" w:hAnsi="宋体"/>
          <w:sz w:val="24"/>
          <w:szCs w:val="22"/>
        </w:rPr>
        <w:t>投标人名称：__________________________________________</w:t>
      </w:r>
    </w:p>
    <w:p>
      <w:pPr>
        <w:widowControl/>
        <w:spacing w:line="360" w:lineRule="auto"/>
        <w:jc w:val="left"/>
        <w:rPr>
          <w:rFonts w:ascii="宋体" w:hAnsi="宋体"/>
          <w:sz w:val="24"/>
          <w:szCs w:val="22"/>
        </w:rPr>
      </w:pPr>
      <w:r>
        <w:rPr>
          <w:rFonts w:ascii="宋体" w:hAnsi="宋体"/>
          <w:sz w:val="24"/>
          <w:szCs w:val="22"/>
        </w:rPr>
        <w:t>单位性质：____________________________________________</w:t>
      </w:r>
    </w:p>
    <w:p>
      <w:pPr>
        <w:widowControl/>
        <w:spacing w:line="360" w:lineRule="auto"/>
        <w:jc w:val="left"/>
        <w:rPr>
          <w:rFonts w:ascii="宋体" w:hAnsi="宋体"/>
          <w:sz w:val="24"/>
          <w:szCs w:val="22"/>
        </w:rPr>
      </w:pPr>
      <w:r>
        <w:rPr>
          <w:rFonts w:ascii="宋体" w:hAnsi="宋体"/>
          <w:sz w:val="24"/>
          <w:szCs w:val="22"/>
        </w:rPr>
        <w:t xml:space="preserve">地址：_______________________________________________ </w:t>
      </w:r>
    </w:p>
    <w:p>
      <w:pPr>
        <w:widowControl/>
        <w:spacing w:line="360" w:lineRule="auto"/>
        <w:rPr>
          <w:rFonts w:ascii="宋体" w:hAnsi="宋体"/>
          <w:sz w:val="24"/>
          <w:szCs w:val="22"/>
        </w:rPr>
      </w:pPr>
      <w:r>
        <w:rPr>
          <w:rFonts w:ascii="宋体" w:hAnsi="宋体"/>
          <w:sz w:val="24"/>
          <w:szCs w:val="22"/>
        </w:rPr>
        <w:t>成立时间：______年_______月________日</w:t>
      </w:r>
    </w:p>
    <w:p>
      <w:pPr>
        <w:widowControl/>
        <w:spacing w:line="360" w:lineRule="auto"/>
        <w:rPr>
          <w:rFonts w:ascii="宋体" w:hAnsi="宋体"/>
          <w:sz w:val="24"/>
          <w:szCs w:val="22"/>
        </w:rPr>
      </w:pPr>
      <w:r>
        <w:rPr>
          <w:rFonts w:ascii="宋体" w:hAnsi="宋体"/>
          <w:sz w:val="24"/>
          <w:szCs w:val="22"/>
        </w:rPr>
        <w:t>经营期限：____________________________</w:t>
      </w:r>
    </w:p>
    <w:p>
      <w:pPr>
        <w:widowControl/>
        <w:spacing w:line="360" w:lineRule="auto"/>
        <w:rPr>
          <w:rFonts w:ascii="宋体" w:hAnsi="宋体"/>
          <w:sz w:val="24"/>
          <w:szCs w:val="22"/>
        </w:rPr>
      </w:pPr>
      <w:r>
        <w:rPr>
          <w:rFonts w:ascii="宋体" w:hAnsi="宋体"/>
          <w:sz w:val="24"/>
          <w:szCs w:val="22"/>
        </w:rPr>
        <w:t>姓名：___________ 性别：____ 年龄：____职务：___________系___________________（投标人名称）的法定代表人。</w:t>
      </w:r>
    </w:p>
    <w:p>
      <w:pPr>
        <w:widowControl/>
        <w:spacing w:line="360" w:lineRule="auto"/>
        <w:ind w:firstLine="500"/>
        <w:rPr>
          <w:rFonts w:ascii="宋体" w:hAnsi="宋体"/>
          <w:sz w:val="24"/>
          <w:szCs w:val="22"/>
        </w:rPr>
      </w:pPr>
      <w:r>
        <w:rPr>
          <w:rFonts w:ascii="宋体" w:hAnsi="宋体"/>
          <w:sz w:val="24"/>
          <w:szCs w:val="22"/>
        </w:rPr>
        <w:t>特此证明。</w:t>
      </w:r>
    </w:p>
    <w:p>
      <w:pPr>
        <w:widowControl/>
        <w:spacing w:line="360" w:lineRule="auto"/>
        <w:ind w:firstLine="498" w:firstLineChars="200"/>
        <w:rPr>
          <w:sz w:val="24"/>
          <w:szCs w:val="22"/>
        </w:rPr>
      </w:pPr>
    </w:p>
    <w:p>
      <w:pPr>
        <w:widowControl/>
        <w:wordWrap w:val="0"/>
        <w:spacing w:line="360" w:lineRule="auto"/>
        <w:ind w:firstLine="498" w:firstLineChars="200"/>
        <w:jc w:val="left"/>
        <w:rPr>
          <w:sz w:val="24"/>
          <w:szCs w:val="22"/>
          <w:u w:val="single"/>
        </w:rPr>
      </w:pPr>
      <w:r>
        <w:rPr>
          <w:rFonts w:hint="eastAsia"/>
          <w:sz w:val="24"/>
          <w:szCs w:val="22"/>
        </w:rPr>
        <w:t xml:space="preserve">                                    </w:t>
      </w:r>
      <w:r>
        <w:rPr>
          <w:sz w:val="24"/>
          <w:szCs w:val="22"/>
        </w:rPr>
        <w:t>投标人：</w:t>
      </w:r>
      <w:r>
        <w:rPr>
          <w:sz w:val="24"/>
          <w:szCs w:val="22"/>
          <w:u w:val="single"/>
        </w:rPr>
        <w:t>（盖单位章）</w:t>
      </w:r>
    </w:p>
    <w:p>
      <w:pPr>
        <w:widowControl/>
        <w:wordWrap w:val="0"/>
        <w:spacing w:line="360" w:lineRule="auto"/>
        <w:ind w:firstLine="498" w:firstLineChars="200"/>
        <w:jc w:val="left"/>
        <w:rPr>
          <w:sz w:val="24"/>
          <w:szCs w:val="22"/>
          <w:u w:val="single"/>
        </w:rPr>
      </w:pPr>
      <w:r>
        <w:rPr>
          <w:rFonts w:hint="eastAsia"/>
          <w:sz w:val="24"/>
          <w:szCs w:val="22"/>
        </w:rPr>
        <w:t xml:space="preserve">                                   法定代表人</w:t>
      </w:r>
      <w:r>
        <w:rPr>
          <w:sz w:val="24"/>
          <w:szCs w:val="22"/>
        </w:rPr>
        <w:t>（签字）</w:t>
      </w:r>
      <w:r>
        <w:rPr>
          <w:rFonts w:hint="eastAsia"/>
          <w:sz w:val="24"/>
          <w:szCs w:val="22"/>
        </w:rPr>
        <w:t>：</w:t>
      </w:r>
    </w:p>
    <w:p>
      <w:pPr>
        <w:widowControl/>
        <w:spacing w:line="360" w:lineRule="auto"/>
        <w:ind w:firstLine="498" w:firstLineChars="200"/>
        <w:jc w:val="right"/>
        <w:rPr>
          <w:sz w:val="24"/>
          <w:szCs w:val="22"/>
        </w:rPr>
      </w:pPr>
      <w:r>
        <w:rPr>
          <w:sz w:val="24"/>
          <w:szCs w:val="22"/>
        </w:rPr>
        <w:t>______年______月______日</w:t>
      </w:r>
    </w:p>
    <w:p>
      <w:pPr>
        <w:widowControl/>
        <w:spacing w:line="360" w:lineRule="auto"/>
        <w:ind w:firstLine="498" w:firstLineChars="200"/>
        <w:jc w:val="center"/>
        <w:rPr>
          <w:sz w:val="24"/>
          <w:szCs w:val="22"/>
        </w:rPr>
      </w:pPr>
      <w:r>
        <w:rPr>
          <w:sz w:val="24"/>
          <w:szCs w:val="22"/>
        </w:rPr>
        <w:t>备注：联合体投标，填写联合体牵头人名称，须由联合体牵头人的法定代表人签署，并盖联合体牵头人单位公章。</w:t>
      </w:r>
      <w:r>
        <w:rPr>
          <w:sz w:val="24"/>
          <w:szCs w:val="22"/>
        </w:rPr>
        <w:br w:type="page"/>
      </w:r>
      <w:bookmarkStart w:id="1983" w:name="_Toc437271302"/>
      <w:bookmarkStart w:id="1984" w:name="_Toc527560005"/>
      <w:r>
        <w:rPr>
          <w:rFonts w:hint="eastAsia"/>
          <w:b/>
          <w:bCs/>
          <w:sz w:val="24"/>
          <w:szCs w:val="32"/>
        </w:rPr>
        <w:t>四、授权</w:t>
      </w:r>
      <w:r>
        <w:rPr>
          <w:b/>
          <w:bCs/>
          <w:sz w:val="24"/>
          <w:szCs w:val="32"/>
        </w:rPr>
        <w:t>委托书</w:t>
      </w:r>
      <w:bookmarkEnd w:id="1983"/>
      <w:bookmarkEnd w:id="1984"/>
    </w:p>
    <w:p>
      <w:pPr>
        <w:widowControl/>
        <w:spacing w:line="360" w:lineRule="auto"/>
        <w:ind w:firstLine="498" w:firstLineChars="200"/>
        <w:rPr>
          <w:sz w:val="24"/>
          <w:szCs w:val="22"/>
        </w:rPr>
      </w:pPr>
      <w:r>
        <w:rPr>
          <w:sz w:val="24"/>
          <w:szCs w:val="22"/>
        </w:rPr>
        <w:t>本人_______ （姓名）系_________________</w:t>
      </w:r>
      <w:r>
        <w:rPr>
          <w:sz w:val="24"/>
          <w:szCs w:val="22"/>
        </w:rPr>
        <w:tab/>
      </w:r>
      <w:r>
        <w:rPr>
          <w:sz w:val="24"/>
          <w:szCs w:val="22"/>
        </w:rPr>
        <w:t>（投标人名称）的法定代表人，现委托_______（姓名）为我方代理人。委托代理人根据授权，以我方名义签署、澄清、补正、递交、撤回、修改________________________（项目名称）投标文件、签订合同和处理有关事宜，其行为我方均予以认可，其法律后果由我方承担。</w:t>
      </w:r>
    </w:p>
    <w:p>
      <w:pPr>
        <w:widowControl/>
        <w:spacing w:line="360" w:lineRule="auto"/>
        <w:ind w:firstLine="498" w:firstLineChars="200"/>
        <w:rPr>
          <w:sz w:val="24"/>
          <w:szCs w:val="22"/>
        </w:rPr>
      </w:pPr>
      <w:r>
        <w:rPr>
          <w:sz w:val="24"/>
          <w:szCs w:val="22"/>
        </w:rPr>
        <w:t>委托期限:_____________________。</w:t>
      </w:r>
    </w:p>
    <w:p>
      <w:pPr>
        <w:widowControl/>
        <w:spacing w:line="360" w:lineRule="auto"/>
        <w:ind w:firstLine="498" w:firstLineChars="200"/>
        <w:rPr>
          <w:sz w:val="24"/>
          <w:szCs w:val="22"/>
        </w:rPr>
      </w:pPr>
      <w:r>
        <w:rPr>
          <w:sz w:val="24"/>
          <w:szCs w:val="22"/>
        </w:rPr>
        <w:t>委托代理人无转委托权。</w:t>
      </w:r>
    </w:p>
    <w:p>
      <w:pPr>
        <w:widowControl/>
        <w:spacing w:line="360" w:lineRule="auto"/>
        <w:ind w:firstLine="498" w:firstLineChars="200"/>
        <w:rPr>
          <w:sz w:val="24"/>
          <w:szCs w:val="22"/>
        </w:rPr>
      </w:pPr>
      <w:r>
        <w:rPr>
          <w:sz w:val="24"/>
          <w:szCs w:val="22"/>
        </w:rPr>
        <w:t>附：法定代表人身份证、委托代理人身份证</w:t>
      </w:r>
    </w:p>
    <w:p>
      <w:pPr>
        <w:widowControl/>
        <w:jc w:val="right"/>
        <w:rPr>
          <w:sz w:val="24"/>
          <w:szCs w:val="22"/>
        </w:rPr>
      </w:pPr>
    </w:p>
    <w:p>
      <w:pPr>
        <w:widowControl/>
        <w:jc w:val="left"/>
        <w:rPr>
          <w:sz w:val="24"/>
          <w:szCs w:val="22"/>
        </w:rPr>
      </w:pPr>
      <w:r>
        <w:rPr>
          <w:sz w:val="24"/>
          <w:szCs w:val="22"/>
        </w:rPr>
        <w:t>投标人：</w:t>
      </w:r>
      <w:r>
        <w:rPr>
          <w:sz w:val="24"/>
          <w:szCs w:val="22"/>
          <w:u w:val="single"/>
        </w:rPr>
        <w:t>（盖单位公章）</w:t>
      </w:r>
    </w:p>
    <w:p>
      <w:pPr>
        <w:widowControl/>
        <w:jc w:val="left"/>
        <w:rPr>
          <w:sz w:val="24"/>
          <w:szCs w:val="22"/>
        </w:rPr>
      </w:pPr>
      <w:r>
        <w:rPr>
          <w:sz w:val="24"/>
          <w:szCs w:val="22"/>
        </w:rPr>
        <w:t>法定代表人：_____________（签字）</w:t>
      </w:r>
    </w:p>
    <w:p>
      <w:pPr>
        <w:widowControl/>
        <w:jc w:val="left"/>
        <w:rPr>
          <w:sz w:val="24"/>
          <w:szCs w:val="22"/>
        </w:rPr>
      </w:pPr>
      <w:r>
        <w:rPr>
          <w:sz w:val="24"/>
          <w:szCs w:val="22"/>
        </w:rPr>
        <w:t>身份证号码：_________________</w:t>
      </w:r>
    </w:p>
    <w:p>
      <w:pPr>
        <w:widowControl/>
        <w:jc w:val="left"/>
        <w:rPr>
          <w:sz w:val="24"/>
          <w:szCs w:val="22"/>
        </w:rPr>
      </w:pPr>
      <w:r>
        <w:rPr>
          <w:sz w:val="24"/>
          <w:szCs w:val="22"/>
        </w:rPr>
        <w:t>委托代理人：_____________（签字）</w:t>
      </w:r>
    </w:p>
    <w:p>
      <w:pPr>
        <w:widowControl/>
        <w:ind w:right="500"/>
        <w:jc w:val="left"/>
        <w:rPr>
          <w:sz w:val="24"/>
          <w:szCs w:val="22"/>
          <w:u w:val="single"/>
        </w:rPr>
      </w:pPr>
      <w:r>
        <w:rPr>
          <w:sz w:val="24"/>
          <w:szCs w:val="22"/>
        </w:rPr>
        <w:t>身份证号码_________________</w:t>
      </w:r>
    </w:p>
    <w:p>
      <w:pPr>
        <w:widowControl/>
        <w:ind w:firstLine="498" w:firstLineChars="200"/>
        <w:jc w:val="left"/>
        <w:rPr>
          <w:sz w:val="24"/>
          <w:szCs w:val="22"/>
        </w:rPr>
      </w:pPr>
      <w:r>
        <w:rPr>
          <w:sz w:val="24"/>
          <w:szCs w:val="22"/>
        </w:rPr>
        <w:t>________年______月_______日</w:t>
      </w: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r>
        <w:rPr>
          <w:sz w:val="24"/>
          <w:szCs w:val="22"/>
        </w:rPr>
        <w:t>备注：联合体投标，填写联合体牵头人名称，须由联合体牵头人的法定代表人签署，并盖联合体牵头人单位公章。</w:t>
      </w:r>
      <w:bookmarkStart w:id="1985" w:name="_Toc500345084"/>
      <w:bookmarkEnd w:id="1985"/>
      <w:bookmarkStart w:id="1986" w:name="_Toc500514383"/>
      <w:bookmarkEnd w:id="1986"/>
      <w:bookmarkStart w:id="1987" w:name="_Toc500514384"/>
      <w:bookmarkEnd w:id="1987"/>
      <w:bookmarkStart w:id="1988" w:name="_Toc500514377"/>
      <w:bookmarkEnd w:id="1988"/>
      <w:bookmarkStart w:id="1989" w:name="_Toc500345087"/>
      <w:bookmarkEnd w:id="1989"/>
      <w:bookmarkStart w:id="1990" w:name="_Toc500514382"/>
      <w:bookmarkEnd w:id="1990"/>
      <w:bookmarkStart w:id="1991" w:name="_Toc500514379"/>
      <w:bookmarkEnd w:id="1991"/>
      <w:bookmarkStart w:id="1992" w:name="_Toc500345085"/>
      <w:bookmarkEnd w:id="1992"/>
      <w:bookmarkStart w:id="1993" w:name="_Toc500345088"/>
      <w:bookmarkEnd w:id="1993"/>
      <w:bookmarkStart w:id="1994" w:name="_Toc500514378"/>
      <w:bookmarkEnd w:id="1994"/>
      <w:bookmarkStart w:id="1995" w:name="_Toc500345090"/>
      <w:bookmarkEnd w:id="1995"/>
      <w:bookmarkStart w:id="1996" w:name="_Toc500345083"/>
      <w:bookmarkEnd w:id="1996"/>
      <w:bookmarkStart w:id="1997" w:name="_Toc500514385"/>
      <w:bookmarkEnd w:id="1997"/>
      <w:bookmarkStart w:id="1998" w:name="_Toc500514380"/>
      <w:bookmarkEnd w:id="1998"/>
      <w:bookmarkStart w:id="1999" w:name="_Toc500345092"/>
      <w:bookmarkEnd w:id="1999"/>
      <w:bookmarkStart w:id="2000" w:name="_Toc500514386"/>
      <w:bookmarkEnd w:id="2000"/>
      <w:bookmarkStart w:id="2001" w:name="_Toc500345093"/>
      <w:bookmarkEnd w:id="2001"/>
      <w:bookmarkStart w:id="2002" w:name="_Toc500514387"/>
      <w:bookmarkEnd w:id="2002"/>
      <w:bookmarkStart w:id="2003" w:name="_Toc500345091"/>
      <w:bookmarkEnd w:id="2003"/>
      <w:bookmarkStart w:id="2004" w:name="_Toc500514381"/>
      <w:bookmarkEnd w:id="2004"/>
      <w:bookmarkStart w:id="2005" w:name="_Toc500345086"/>
      <w:bookmarkEnd w:id="2005"/>
      <w:bookmarkStart w:id="2006" w:name="_Toc500345089"/>
      <w:bookmarkEnd w:id="2006"/>
      <w:bookmarkStart w:id="2007" w:name="_Toc527560006"/>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left"/>
        <w:rPr>
          <w:sz w:val="24"/>
          <w:szCs w:val="22"/>
        </w:rPr>
      </w:pPr>
    </w:p>
    <w:p>
      <w:pPr>
        <w:widowControl/>
        <w:ind w:firstLine="498" w:firstLineChars="200"/>
        <w:jc w:val="center"/>
        <w:rPr>
          <w:sz w:val="24"/>
          <w:szCs w:val="22"/>
        </w:rPr>
      </w:pPr>
      <w:r>
        <w:rPr>
          <w:rFonts w:hint="eastAsia"/>
          <w:b/>
          <w:bCs/>
          <w:sz w:val="24"/>
          <w:szCs w:val="32"/>
        </w:rPr>
        <w:t>五、</w:t>
      </w:r>
      <w:r>
        <w:rPr>
          <w:b/>
          <w:bCs/>
          <w:sz w:val="24"/>
          <w:szCs w:val="32"/>
        </w:rPr>
        <w:t>联合体协议书（如有）</w:t>
      </w:r>
      <w:bookmarkEnd w:id="2007"/>
    </w:p>
    <w:p>
      <w:pPr>
        <w:widowControl/>
        <w:spacing w:line="360" w:lineRule="auto"/>
        <w:ind w:firstLine="498" w:firstLineChars="200"/>
        <w:rPr>
          <w:rFonts w:ascii="宋体" w:hAnsi="宋体" w:cs="宋体"/>
          <w:sz w:val="24"/>
          <w:szCs w:val="22"/>
          <w:u w:val="single"/>
        </w:rPr>
      </w:pPr>
      <w:r>
        <w:rPr>
          <w:rFonts w:hint="eastAsia" w:ascii="宋体" w:hAnsi="宋体" w:cs="宋体"/>
          <w:sz w:val="24"/>
          <w:szCs w:val="22"/>
        </w:rPr>
        <w:t>甲公司（全称）：</w:t>
      </w:r>
      <w:r>
        <w:rPr>
          <w:rFonts w:hint="eastAsia" w:ascii="宋体" w:hAnsi="宋体" w:cs="宋体"/>
          <w:kern w:val="0"/>
          <w:sz w:val="24"/>
          <w:szCs w:val="22"/>
          <w:u w:val="single"/>
        </w:rPr>
        <w:t xml:space="preserve">_________________________ </w:t>
      </w:r>
    </w:p>
    <w:p>
      <w:pPr>
        <w:widowControl/>
        <w:spacing w:line="360" w:lineRule="auto"/>
        <w:ind w:firstLine="498" w:firstLineChars="200"/>
        <w:rPr>
          <w:rFonts w:ascii="宋体" w:hAnsi="宋体" w:cs="宋体"/>
          <w:kern w:val="0"/>
          <w:sz w:val="24"/>
          <w:szCs w:val="22"/>
          <w:u w:val="single"/>
        </w:rPr>
      </w:pPr>
      <w:r>
        <w:rPr>
          <w:rFonts w:hint="eastAsia" w:ascii="宋体" w:hAnsi="宋体" w:cs="宋体"/>
          <w:sz w:val="24"/>
          <w:szCs w:val="22"/>
        </w:rPr>
        <w:t>乙公司（全称）：</w:t>
      </w:r>
      <w:r>
        <w:rPr>
          <w:rFonts w:hint="eastAsia" w:ascii="宋体" w:hAnsi="宋体" w:cs="宋体"/>
          <w:kern w:val="0"/>
          <w:sz w:val="24"/>
          <w:szCs w:val="22"/>
          <w:u w:val="single"/>
        </w:rPr>
        <w:t>_________________________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丙公司（全程）：</w:t>
      </w:r>
      <w:r>
        <w:rPr>
          <w:rFonts w:hint="eastAsia" w:ascii="宋体" w:hAnsi="宋体" w:cs="宋体"/>
          <w:sz w:val="24"/>
          <w:szCs w:val="22"/>
          <w:u w:val="single"/>
        </w:rPr>
        <w:t>_________________________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本协议书各方遵循平等、自愿、公平和诚实守信的原则，共同愿意组成联合体，实施、完成合同内容。现就下列有关事宜，订立本协议书。</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1.____________________为联合体牵头人，为联合体成员。</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2.联合体内部有关事项规定如下：</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2.1联合体由牵头人负责与采购人联系；</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2.2合同项目一切工作由联合体牵头人负责组织，由联合体各方按内部划分比例或者内容具体实施；</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2.3联合体将严格按照资格预审文件的各项要求，切实执行一切合同文件，共同承担合同约定的一切义务和责任，同时按照内部划分的职责，各自承担自身的责任和风险；</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2.4联合体内部各自按下列分工负责本项目工作：</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牵头人（______________________）承担本项目的工作；</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联合体成员（___________________）承担本项目的________________工作；</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联合体成员（___________________）承担本项目的________________工作。</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2.5本项目拟设立项目公司，社会资本方股东占股100%，其中：</w:t>
      </w:r>
    </w:p>
    <w:p>
      <w:pPr>
        <w:widowControl/>
        <w:spacing w:line="360" w:lineRule="auto"/>
        <w:ind w:firstLine="498" w:firstLineChars="200"/>
        <w:rPr>
          <w:rFonts w:ascii="宋体" w:hAnsi="宋体" w:cs="宋体"/>
          <w:sz w:val="24"/>
          <w:szCs w:val="22"/>
          <w:u w:val="single"/>
        </w:rPr>
      </w:pPr>
      <w:r>
        <w:rPr>
          <w:rFonts w:hint="eastAsia" w:ascii="宋体" w:hAnsi="宋体" w:cs="宋体"/>
          <w:sz w:val="24"/>
          <w:szCs w:val="22"/>
        </w:rPr>
        <w:t>牵头人（______________________）在项目公司中占股</w:t>
      </w:r>
      <w:r>
        <w:rPr>
          <w:rFonts w:hint="eastAsia" w:ascii="宋体" w:hAnsi="宋体" w:cs="宋体"/>
          <w:sz w:val="24"/>
          <w:szCs w:val="22"/>
          <w:u w:val="single"/>
        </w:rPr>
        <w:t xml:space="preserve">       %</w:t>
      </w:r>
      <w:r>
        <w:rPr>
          <w:rFonts w:hint="eastAsia" w:ascii="宋体" w:hAnsi="宋体" w:cs="宋体"/>
          <w:sz w:val="24"/>
          <w:szCs w:val="22"/>
        </w:rPr>
        <w:t>；</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联合体成员（____________________）在项目公司中占股</w:t>
      </w:r>
      <w:r>
        <w:rPr>
          <w:rFonts w:hint="eastAsia" w:ascii="宋体" w:hAnsi="宋体" w:cs="宋体"/>
          <w:sz w:val="24"/>
          <w:szCs w:val="22"/>
          <w:u w:val="single"/>
        </w:rPr>
        <w:t xml:space="preserve">     %</w:t>
      </w:r>
      <w:r>
        <w:rPr>
          <w:rFonts w:hint="eastAsia" w:ascii="宋体" w:hAnsi="宋体" w:cs="宋体"/>
          <w:sz w:val="24"/>
          <w:szCs w:val="22"/>
        </w:rPr>
        <w:t>；</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联合体成员（____________________）在项目公司中占股</w:t>
      </w:r>
      <w:r>
        <w:rPr>
          <w:rFonts w:hint="eastAsia" w:ascii="宋体" w:hAnsi="宋体" w:cs="宋体"/>
          <w:sz w:val="24"/>
          <w:szCs w:val="22"/>
          <w:u w:val="single"/>
        </w:rPr>
        <w:t xml:space="preserve">     %</w:t>
      </w:r>
      <w:r>
        <w:rPr>
          <w:rFonts w:hint="eastAsia" w:ascii="宋体" w:hAnsi="宋体" w:cs="宋体"/>
          <w:sz w:val="24"/>
          <w:szCs w:val="22"/>
        </w:rPr>
        <w:t>。</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2.6联合体全体成员一致保证，未全面、按时、正确履行与采购方的相关合同，联合体全体成员共同对采购人承担连带责任。</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2.7联合体牵头人关于本项目签署的材料、承诺、与采购人达成的意向等，其他联合体成员均予以认可。</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3.联合体牵头人应将本协议书送交采购人。</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4.本协议书自签署之日起生效，至各方履行完合同全部义务后自行失效，并随合同的终止而终止</w:t>
      </w:r>
    </w:p>
    <w:p>
      <w:pPr>
        <w:widowControl/>
        <w:spacing w:line="360" w:lineRule="auto"/>
        <w:ind w:firstLine="498" w:firstLineChars="200"/>
        <w:rPr>
          <w:rFonts w:ascii="宋体" w:hAnsi="宋体" w:cs="宋体"/>
          <w:sz w:val="24"/>
          <w:szCs w:val="22"/>
        </w:rPr>
      </w:pPr>
    </w:p>
    <w:p>
      <w:pPr>
        <w:widowControl/>
        <w:spacing w:line="360" w:lineRule="auto"/>
        <w:ind w:firstLine="498" w:firstLineChars="200"/>
        <w:rPr>
          <w:rFonts w:ascii="宋体" w:hAnsi="宋体" w:cs="宋体"/>
          <w:sz w:val="24"/>
          <w:szCs w:val="22"/>
        </w:rPr>
      </w:pPr>
    </w:p>
    <w:p>
      <w:pPr>
        <w:widowControl/>
        <w:spacing w:line="360" w:lineRule="auto"/>
        <w:ind w:firstLine="498" w:firstLineChars="200"/>
        <w:rPr>
          <w:rFonts w:ascii="宋体" w:hAnsi="宋体" w:cs="宋体"/>
          <w:sz w:val="24"/>
          <w:szCs w:val="22"/>
        </w:rPr>
      </w:pPr>
    </w:p>
    <w:p>
      <w:pPr>
        <w:widowControl/>
        <w:spacing w:line="360" w:lineRule="auto"/>
        <w:ind w:firstLine="498" w:firstLineChars="200"/>
        <w:rPr>
          <w:rFonts w:ascii="宋体" w:hAnsi="宋体" w:cs="宋体"/>
          <w:sz w:val="24"/>
          <w:szCs w:val="22"/>
        </w:rPr>
      </w:pPr>
    </w:p>
    <w:p>
      <w:pPr>
        <w:widowControl/>
        <w:spacing w:line="360" w:lineRule="auto"/>
        <w:ind w:firstLine="498" w:firstLineChars="200"/>
        <w:rPr>
          <w:rFonts w:ascii="宋体" w:hAnsi="宋体" w:cs="宋体"/>
          <w:sz w:val="24"/>
          <w:szCs w:val="22"/>
        </w:rPr>
      </w:pPr>
      <w:r>
        <w:rPr>
          <w:rFonts w:hint="eastAsia" w:ascii="宋体" w:hAnsi="宋体" w:cs="宋体"/>
          <w:sz w:val="24"/>
          <w:szCs w:val="22"/>
        </w:rPr>
        <w:t>甲公司名称：</w:t>
      </w:r>
      <w:r>
        <w:rPr>
          <w:rFonts w:hint="eastAsia" w:ascii="宋体" w:hAnsi="宋体" w:cs="宋体"/>
          <w:sz w:val="24"/>
          <w:szCs w:val="22"/>
          <w:u w:val="single"/>
        </w:rPr>
        <w:t xml:space="preserve">         (盖单位公章)</w:t>
      </w:r>
    </w:p>
    <w:p>
      <w:pPr>
        <w:widowControl/>
        <w:spacing w:line="360" w:lineRule="auto"/>
        <w:ind w:firstLine="498" w:firstLineChars="200"/>
        <w:rPr>
          <w:rFonts w:ascii="宋体" w:hAnsi="宋体" w:cs="宋体"/>
          <w:sz w:val="24"/>
          <w:szCs w:val="22"/>
        </w:rPr>
      </w:pPr>
      <w:r>
        <w:rPr>
          <w:rFonts w:hint="eastAsia" w:ascii="宋体" w:hAnsi="宋体" w:cs="宋体"/>
          <w:kern w:val="0"/>
          <w:sz w:val="24"/>
          <w:szCs w:val="21"/>
        </w:rPr>
        <w:t>法定代表人：</w:t>
      </w:r>
      <w:r>
        <w:rPr>
          <w:rFonts w:hint="eastAsia" w:ascii="宋体" w:hAnsi="宋体" w:cs="宋体"/>
          <w:sz w:val="24"/>
          <w:szCs w:val="22"/>
        </w:rPr>
        <w:t>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联系电话：_____________________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日期：_________________________</w:t>
      </w:r>
    </w:p>
    <w:p>
      <w:pPr>
        <w:widowControl/>
        <w:spacing w:line="360" w:lineRule="auto"/>
        <w:ind w:firstLine="498" w:firstLineChars="200"/>
        <w:rPr>
          <w:rFonts w:ascii="宋体" w:hAnsi="宋体" w:cs="宋体"/>
          <w:sz w:val="24"/>
          <w:szCs w:val="22"/>
        </w:rPr>
      </w:pPr>
    </w:p>
    <w:p>
      <w:pPr>
        <w:widowControl/>
        <w:spacing w:line="360" w:lineRule="auto"/>
        <w:ind w:firstLine="498" w:firstLineChars="200"/>
        <w:rPr>
          <w:rFonts w:ascii="宋体" w:hAnsi="宋体" w:cs="宋体"/>
          <w:sz w:val="24"/>
          <w:szCs w:val="22"/>
        </w:rPr>
      </w:pPr>
      <w:r>
        <w:rPr>
          <w:rFonts w:hint="eastAsia" w:ascii="宋体" w:hAnsi="宋体" w:cs="宋体"/>
          <w:sz w:val="24"/>
          <w:szCs w:val="22"/>
        </w:rPr>
        <w:t>乙公司名称：</w:t>
      </w:r>
      <w:r>
        <w:rPr>
          <w:rFonts w:hint="eastAsia" w:ascii="宋体" w:hAnsi="宋体" w:cs="宋体"/>
          <w:sz w:val="24"/>
          <w:szCs w:val="22"/>
          <w:u w:val="single"/>
        </w:rPr>
        <w:t xml:space="preserve">         (盖单位公章)</w:t>
      </w:r>
    </w:p>
    <w:p>
      <w:pPr>
        <w:widowControl/>
        <w:spacing w:line="360" w:lineRule="auto"/>
        <w:ind w:firstLine="498" w:firstLineChars="200"/>
        <w:rPr>
          <w:rFonts w:ascii="宋体" w:hAnsi="宋体" w:cs="宋体"/>
          <w:sz w:val="24"/>
          <w:szCs w:val="22"/>
        </w:rPr>
      </w:pPr>
      <w:r>
        <w:rPr>
          <w:rFonts w:hint="eastAsia" w:ascii="宋体" w:hAnsi="宋体" w:cs="宋体"/>
          <w:kern w:val="0"/>
          <w:sz w:val="24"/>
          <w:szCs w:val="21"/>
        </w:rPr>
        <w:t>法定代表人：</w:t>
      </w:r>
      <w:r>
        <w:rPr>
          <w:rFonts w:hint="eastAsia" w:ascii="宋体" w:hAnsi="宋体" w:cs="宋体"/>
          <w:sz w:val="24"/>
          <w:szCs w:val="22"/>
        </w:rPr>
        <w:t>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联系电话：_____________________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日期：_________________________</w:t>
      </w:r>
    </w:p>
    <w:p>
      <w:pPr>
        <w:widowControl/>
        <w:spacing w:line="360" w:lineRule="auto"/>
        <w:ind w:firstLine="498" w:firstLineChars="200"/>
        <w:rPr>
          <w:rFonts w:ascii="Arial" w:hAnsi="Arial"/>
          <w:sz w:val="24"/>
          <w:szCs w:val="22"/>
        </w:rPr>
      </w:pPr>
    </w:p>
    <w:p>
      <w:pPr>
        <w:widowControl/>
        <w:spacing w:line="360" w:lineRule="auto"/>
        <w:ind w:firstLine="498" w:firstLineChars="200"/>
        <w:rPr>
          <w:rFonts w:ascii="Arial" w:hAnsi="Arial"/>
          <w:sz w:val="24"/>
          <w:szCs w:val="22"/>
        </w:rPr>
      </w:pPr>
    </w:p>
    <w:p>
      <w:pPr>
        <w:widowControl/>
        <w:spacing w:line="360" w:lineRule="auto"/>
        <w:ind w:firstLine="498" w:firstLineChars="200"/>
        <w:rPr>
          <w:rFonts w:ascii="宋体" w:hAnsi="宋体" w:cs="宋体"/>
          <w:sz w:val="24"/>
          <w:szCs w:val="22"/>
        </w:rPr>
      </w:pPr>
      <w:r>
        <w:rPr>
          <w:rFonts w:hint="eastAsia" w:ascii="宋体" w:hAnsi="宋体" w:cs="宋体"/>
          <w:sz w:val="24"/>
          <w:szCs w:val="22"/>
        </w:rPr>
        <w:t>丙公司名称：</w:t>
      </w:r>
      <w:r>
        <w:rPr>
          <w:rFonts w:hint="eastAsia" w:ascii="宋体" w:hAnsi="宋体" w:cs="宋体"/>
          <w:sz w:val="24"/>
          <w:szCs w:val="22"/>
          <w:u w:val="single"/>
        </w:rPr>
        <w:t xml:space="preserve">         (盖单位公章)</w:t>
      </w:r>
    </w:p>
    <w:p>
      <w:pPr>
        <w:widowControl/>
        <w:spacing w:line="360" w:lineRule="auto"/>
        <w:ind w:firstLine="498" w:firstLineChars="200"/>
        <w:rPr>
          <w:rFonts w:ascii="宋体" w:hAnsi="宋体" w:cs="宋体"/>
          <w:sz w:val="24"/>
          <w:szCs w:val="22"/>
        </w:rPr>
      </w:pPr>
      <w:r>
        <w:rPr>
          <w:rFonts w:hint="eastAsia" w:ascii="宋体" w:hAnsi="宋体" w:cs="宋体"/>
          <w:kern w:val="0"/>
          <w:sz w:val="24"/>
          <w:szCs w:val="21"/>
        </w:rPr>
        <w:t>法定代表人：</w:t>
      </w:r>
      <w:r>
        <w:rPr>
          <w:rFonts w:hint="eastAsia" w:ascii="宋体" w:hAnsi="宋体" w:cs="宋体"/>
          <w:sz w:val="24"/>
          <w:szCs w:val="22"/>
        </w:rPr>
        <w:t>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联系电话：_____________________</w:t>
      </w:r>
    </w:p>
    <w:p>
      <w:pPr>
        <w:widowControl/>
        <w:spacing w:line="360" w:lineRule="auto"/>
        <w:ind w:firstLine="498" w:firstLineChars="200"/>
        <w:rPr>
          <w:rFonts w:ascii="宋体" w:hAnsi="宋体" w:cs="宋体"/>
          <w:sz w:val="24"/>
          <w:szCs w:val="22"/>
        </w:rPr>
      </w:pPr>
      <w:r>
        <w:rPr>
          <w:rFonts w:hint="eastAsia" w:ascii="宋体" w:hAnsi="宋体" w:cs="宋体"/>
          <w:sz w:val="24"/>
          <w:szCs w:val="22"/>
        </w:rPr>
        <w:t>日期：_________________________</w:t>
      </w:r>
    </w:p>
    <w:p>
      <w:pPr>
        <w:widowControl/>
        <w:spacing w:beforeLines="50" w:afterLines="50" w:line="360" w:lineRule="auto"/>
        <w:ind w:firstLine="498" w:firstLineChars="200"/>
        <w:rPr>
          <w:b/>
          <w:bCs/>
          <w:sz w:val="24"/>
          <w:szCs w:val="32"/>
        </w:rPr>
      </w:pPr>
      <w:r>
        <w:rPr>
          <w:sz w:val="24"/>
          <w:szCs w:val="22"/>
        </w:rPr>
        <w:br w:type="page"/>
      </w:r>
      <w:bookmarkStart w:id="2008" w:name="_Toc437271305"/>
      <w:r>
        <w:rPr>
          <w:b/>
          <w:bCs/>
          <w:sz w:val="24"/>
          <w:szCs w:val="32"/>
        </w:rPr>
        <w:t>附件一：承诺函（联合体牵头人适用）</w:t>
      </w:r>
    </w:p>
    <w:p>
      <w:pPr>
        <w:widowControl/>
        <w:spacing w:line="360" w:lineRule="auto"/>
        <w:rPr>
          <w:sz w:val="24"/>
        </w:rPr>
      </w:pPr>
      <w:r>
        <w:rPr>
          <w:sz w:val="24"/>
        </w:rPr>
        <w:t>禹州市住房和城乡规划建设局：</w:t>
      </w:r>
    </w:p>
    <w:p>
      <w:pPr>
        <w:widowControl/>
        <w:spacing w:line="360" w:lineRule="auto"/>
        <w:ind w:firstLine="498" w:firstLineChars="200"/>
        <w:rPr>
          <w:kern w:val="0"/>
          <w:sz w:val="24"/>
        </w:rPr>
      </w:pPr>
      <w:r>
        <w:rPr>
          <w:kern w:val="0"/>
          <w:sz w:val="24"/>
        </w:rPr>
        <w:t>本公司已和（以下简称为“其他联合体成员”）签订《联合体协议》，约定组成联合体共同对禹州市绿色铸造园区与陶瓷园区污水处理厂PPP项目进行投标。本公司作为联合体牵头人，现向贵单位承诺如下：</w:t>
      </w:r>
    </w:p>
    <w:p>
      <w:pPr>
        <w:widowControl/>
        <w:spacing w:line="360" w:lineRule="auto"/>
        <w:ind w:firstLine="498" w:firstLineChars="200"/>
        <w:rPr>
          <w:kern w:val="0"/>
          <w:sz w:val="24"/>
        </w:rPr>
      </w:pPr>
      <w:r>
        <w:rPr>
          <w:kern w:val="0"/>
          <w:sz w:val="24"/>
        </w:rPr>
        <w:t>一、本公司已获得联合体全体成员的授权，负责代表联合体参与禹州市绿色铸造园区与陶瓷园区污水处理厂PPP项目的招标活动；负责中标后组织联合体其他成员共同与贵单位草签《禹州市绿色铸造园区与陶瓷园区污水处理厂PPP项目</w:t>
      </w:r>
      <w:r>
        <w:rPr>
          <w:rFonts w:hint="eastAsia"/>
          <w:kern w:val="0"/>
          <w:sz w:val="24"/>
        </w:rPr>
        <w:t>合同</w:t>
      </w:r>
      <w:r>
        <w:rPr>
          <w:kern w:val="0"/>
          <w:sz w:val="24"/>
        </w:rPr>
        <w:t>》，</w:t>
      </w:r>
      <w:r>
        <w:rPr>
          <w:rFonts w:hint="eastAsia"/>
          <w:kern w:val="0"/>
          <w:sz w:val="24"/>
        </w:rPr>
        <w:t>负责组织</w:t>
      </w:r>
      <w:r>
        <w:rPr>
          <w:kern w:val="0"/>
          <w:sz w:val="24"/>
        </w:rPr>
        <w:t>成立项目公司；负责组织项目公司与贵单位正式签署并履行</w:t>
      </w:r>
      <w:r>
        <w:rPr>
          <w:sz w:val="24"/>
          <w:szCs w:val="22"/>
        </w:rPr>
        <w:t>《</w:t>
      </w:r>
      <w:r>
        <w:rPr>
          <w:kern w:val="0"/>
          <w:sz w:val="24"/>
        </w:rPr>
        <w:t>禹州市绿色铸造园区与陶瓷园区污水处理厂PPP项目</w:t>
      </w:r>
      <w:r>
        <w:rPr>
          <w:rFonts w:hint="eastAsia"/>
          <w:sz w:val="24"/>
          <w:szCs w:val="22"/>
        </w:rPr>
        <w:t>合同</w:t>
      </w:r>
      <w:r>
        <w:rPr>
          <w:sz w:val="24"/>
          <w:szCs w:val="22"/>
        </w:rPr>
        <w:t>》</w:t>
      </w:r>
      <w:r>
        <w:rPr>
          <w:kern w:val="0"/>
          <w:sz w:val="24"/>
        </w:rPr>
        <w:t>，以及负责本项目所涉及全部其他文件。对此其他联合体成员均已承诺承担连带法律责任。</w:t>
      </w:r>
    </w:p>
    <w:p>
      <w:pPr>
        <w:widowControl/>
        <w:spacing w:line="360" w:lineRule="auto"/>
        <w:ind w:firstLine="498" w:firstLineChars="200"/>
        <w:rPr>
          <w:kern w:val="0"/>
          <w:sz w:val="24"/>
        </w:rPr>
      </w:pPr>
      <w:r>
        <w:rPr>
          <w:kern w:val="0"/>
          <w:sz w:val="24"/>
        </w:rPr>
        <w:t>二、对于其他联合体成员在禹州市绿色铸造园区与陶瓷园区污水处理厂PPP项目社会资本招标的投标、签约、履约活动中应承担的法律责任，本公司作为联合体的牵头人承诺均承担连带法律责任。</w:t>
      </w:r>
    </w:p>
    <w:p>
      <w:pPr>
        <w:widowControl/>
        <w:spacing w:line="360" w:lineRule="auto"/>
        <w:ind w:firstLine="498" w:firstLineChars="200"/>
        <w:rPr>
          <w:kern w:val="0"/>
          <w:sz w:val="24"/>
        </w:rPr>
      </w:pPr>
      <w:r>
        <w:rPr>
          <w:kern w:val="0"/>
          <w:sz w:val="24"/>
        </w:rPr>
        <w:t>本承诺函自出具之日起生效。联合体中标后，本承诺函于中标通知书发出之日起自动成为采购人与联合体之间拟签订或已签订的</w:t>
      </w:r>
      <w:r>
        <w:rPr>
          <w:sz w:val="24"/>
          <w:szCs w:val="22"/>
        </w:rPr>
        <w:t>《</w:t>
      </w:r>
      <w:r>
        <w:rPr>
          <w:kern w:val="0"/>
          <w:sz w:val="24"/>
        </w:rPr>
        <w:t>禹州市绿色铸造园区与陶瓷园区污水处理厂PPP项目</w:t>
      </w:r>
      <w:r>
        <w:rPr>
          <w:rFonts w:hint="eastAsia"/>
          <w:sz w:val="24"/>
          <w:szCs w:val="22"/>
        </w:rPr>
        <w:t>合同</w:t>
      </w:r>
      <w:r>
        <w:rPr>
          <w:sz w:val="24"/>
          <w:szCs w:val="22"/>
        </w:rPr>
        <w:t>》</w:t>
      </w:r>
      <w:r>
        <w:rPr>
          <w:kern w:val="0"/>
          <w:sz w:val="24"/>
        </w:rPr>
        <w:t>的附件。</w:t>
      </w:r>
    </w:p>
    <w:p>
      <w:pPr>
        <w:widowControl/>
        <w:wordWrap w:val="0"/>
        <w:spacing w:line="480" w:lineRule="auto"/>
        <w:ind w:firstLine="498" w:firstLineChars="200"/>
        <w:jc w:val="right"/>
        <w:rPr>
          <w:kern w:val="0"/>
          <w:sz w:val="24"/>
          <w:u w:val="single"/>
        </w:rPr>
      </w:pPr>
      <w:r>
        <w:rPr>
          <w:kern w:val="0"/>
          <w:sz w:val="24"/>
        </w:rPr>
        <w:t>联合体牵头人：</w:t>
      </w:r>
      <w:r>
        <w:rPr>
          <w:kern w:val="0"/>
          <w:sz w:val="24"/>
          <w:u w:val="single"/>
        </w:rPr>
        <w:t>（盖单位公章）</w:t>
      </w:r>
    </w:p>
    <w:p>
      <w:pPr>
        <w:widowControl/>
        <w:wordWrap w:val="0"/>
        <w:spacing w:line="480" w:lineRule="auto"/>
        <w:ind w:firstLine="498" w:firstLineChars="200"/>
        <w:jc w:val="right"/>
        <w:rPr>
          <w:kern w:val="0"/>
          <w:sz w:val="24"/>
        </w:rPr>
      </w:pPr>
      <w:r>
        <w:rPr>
          <w:kern w:val="0"/>
          <w:sz w:val="24"/>
        </w:rPr>
        <w:t>法定代表人或其委托代理人：（签字）</w:t>
      </w:r>
    </w:p>
    <w:p>
      <w:pPr>
        <w:widowControl/>
        <w:wordWrap w:val="0"/>
        <w:spacing w:line="480" w:lineRule="auto"/>
        <w:ind w:firstLine="498" w:firstLineChars="200"/>
        <w:jc w:val="right"/>
        <w:rPr>
          <w:b/>
          <w:bCs/>
          <w:sz w:val="24"/>
          <w:szCs w:val="32"/>
        </w:rPr>
      </w:pPr>
      <w:r>
        <w:rPr>
          <w:kern w:val="0"/>
          <w:sz w:val="24"/>
        </w:rPr>
        <w:t>年月日</w:t>
      </w:r>
      <w:bookmarkStart w:id="2009" w:name="_Toc463760492"/>
    </w:p>
    <w:p>
      <w:pPr>
        <w:widowControl/>
        <w:wordWrap w:val="0"/>
        <w:spacing w:line="480" w:lineRule="auto"/>
        <w:ind w:firstLine="498" w:firstLineChars="200"/>
        <w:jc w:val="left"/>
        <w:rPr>
          <w:b/>
          <w:bCs/>
          <w:sz w:val="24"/>
          <w:szCs w:val="32"/>
        </w:rPr>
      </w:pPr>
      <w:r>
        <w:rPr>
          <w:b/>
          <w:bCs/>
          <w:sz w:val="24"/>
          <w:szCs w:val="32"/>
        </w:rPr>
        <w:t>附件二：承诺函（联合体成员适用）</w:t>
      </w:r>
      <w:bookmarkEnd w:id="2009"/>
    </w:p>
    <w:p>
      <w:pPr>
        <w:widowControl/>
        <w:spacing w:line="360" w:lineRule="auto"/>
        <w:ind w:firstLine="498" w:firstLineChars="200"/>
        <w:rPr>
          <w:kern w:val="0"/>
          <w:sz w:val="24"/>
        </w:rPr>
      </w:pPr>
      <w:r>
        <w:rPr>
          <w:kern w:val="0"/>
          <w:sz w:val="24"/>
        </w:rPr>
        <w:t>鉴于【联合体牵头人】和我公司决定共同组成联合体参加禹州市绿色铸造园区与陶瓷园区污水处理厂PPP项目社会资本的竞标。按照投标人须知的要求，我公司在此授权【联合体牵头人】全权代表我公司组织投标文件、澄清投标文件、进行谈判、签署相关的文件，以及处理禹州市绿色铸造园区与陶瓷园区污水处理厂PPP项目社会资本投标相关的一切必要的事宜。</w:t>
      </w:r>
    </w:p>
    <w:p>
      <w:pPr>
        <w:widowControl/>
        <w:spacing w:line="360" w:lineRule="auto"/>
        <w:ind w:firstLine="498" w:firstLineChars="200"/>
        <w:rPr>
          <w:kern w:val="0"/>
          <w:sz w:val="24"/>
        </w:rPr>
      </w:pPr>
      <w:r>
        <w:rPr>
          <w:kern w:val="0"/>
          <w:sz w:val="24"/>
        </w:rPr>
        <w:t>我公司承诺：【联合体牵头人】以及其法定代表人或委托代理人做出的与禹州市绿色铸造园区与陶瓷园区污水处理厂PPP项目相关的一切行为均对我公司具有法律约束力，我公司愿意连带承担由此所产生的一切责任。</w:t>
      </w:r>
    </w:p>
    <w:p>
      <w:pPr>
        <w:widowControl/>
        <w:wordWrap w:val="0"/>
        <w:spacing w:line="360" w:lineRule="auto"/>
        <w:ind w:firstLine="498" w:firstLineChars="200"/>
        <w:jc w:val="right"/>
        <w:rPr>
          <w:kern w:val="0"/>
          <w:sz w:val="24"/>
          <w:u w:val="single"/>
        </w:rPr>
      </w:pPr>
      <w:r>
        <w:rPr>
          <w:rFonts w:hint="eastAsia"/>
          <w:kern w:val="0"/>
          <w:sz w:val="24"/>
        </w:rPr>
        <w:t xml:space="preserve"> </w:t>
      </w:r>
      <w:r>
        <w:rPr>
          <w:kern w:val="0"/>
          <w:sz w:val="24"/>
        </w:rPr>
        <w:t>公司名称：</w:t>
      </w:r>
      <w:r>
        <w:rPr>
          <w:kern w:val="0"/>
          <w:sz w:val="24"/>
          <w:u w:val="single"/>
        </w:rPr>
        <w:t>（盖单位公章）</w:t>
      </w:r>
    </w:p>
    <w:p>
      <w:pPr>
        <w:widowControl/>
        <w:wordWrap w:val="0"/>
        <w:spacing w:line="360" w:lineRule="auto"/>
        <w:jc w:val="right"/>
        <w:rPr>
          <w:kern w:val="0"/>
          <w:sz w:val="24"/>
          <w:u w:val="single"/>
        </w:rPr>
      </w:pPr>
      <w:r>
        <w:rPr>
          <w:kern w:val="0"/>
          <w:sz w:val="24"/>
        </w:rPr>
        <w:t>法定代表人：（签字）</w:t>
      </w:r>
    </w:p>
    <w:p>
      <w:pPr>
        <w:widowControl/>
        <w:wordWrap w:val="0"/>
        <w:spacing w:line="360" w:lineRule="auto"/>
        <w:ind w:firstLine="498" w:firstLineChars="200"/>
        <w:jc w:val="center"/>
        <w:rPr>
          <w:sz w:val="24"/>
        </w:rPr>
      </w:pPr>
      <w:r>
        <w:rPr>
          <w:rFonts w:hint="eastAsia"/>
          <w:kern w:val="0"/>
          <w:sz w:val="24"/>
        </w:rPr>
        <w:t xml:space="preserve">                     </w:t>
      </w:r>
      <w:r>
        <w:rPr>
          <w:kern w:val="0"/>
          <w:sz w:val="24"/>
        </w:rPr>
        <w:t>年</w:t>
      </w:r>
      <w:r>
        <w:rPr>
          <w:rFonts w:hint="eastAsia"/>
          <w:kern w:val="0"/>
          <w:sz w:val="24"/>
        </w:rPr>
        <w:t xml:space="preserve">  </w:t>
      </w:r>
      <w:r>
        <w:rPr>
          <w:kern w:val="0"/>
          <w:sz w:val="24"/>
        </w:rPr>
        <w:t>月</w:t>
      </w:r>
      <w:r>
        <w:rPr>
          <w:rFonts w:hint="eastAsia"/>
          <w:kern w:val="0"/>
          <w:sz w:val="24"/>
        </w:rPr>
        <w:t xml:space="preserve">  </w:t>
      </w:r>
      <w:r>
        <w:rPr>
          <w:kern w:val="0"/>
          <w:sz w:val="24"/>
        </w:rPr>
        <w:t>日</w:t>
      </w:r>
    </w:p>
    <w:p>
      <w:pPr>
        <w:widowControl/>
        <w:spacing w:line="360" w:lineRule="auto"/>
        <w:ind w:firstLine="498" w:firstLineChars="200"/>
        <w:jc w:val="right"/>
        <w:rPr>
          <w:kern w:val="0"/>
          <w:sz w:val="24"/>
        </w:rPr>
      </w:pPr>
    </w:p>
    <w:p>
      <w:pPr>
        <w:widowControl/>
        <w:spacing w:line="360" w:lineRule="auto"/>
        <w:jc w:val="center"/>
        <w:rPr>
          <w:b/>
          <w:bCs/>
          <w:sz w:val="24"/>
          <w:szCs w:val="22"/>
        </w:rPr>
        <w:sectPr>
          <w:pgSz w:w="11849" w:h="16781"/>
          <w:pgMar w:top="1440" w:right="1803" w:bottom="1440" w:left="1803" w:header="1134" w:footer="737" w:gutter="0"/>
          <w:cols w:space="0" w:num="1"/>
          <w:titlePg/>
          <w:docGrid w:type="linesAndChars" w:linePitch="397" w:charSpace="2004"/>
        </w:sectPr>
      </w:pPr>
      <w:r>
        <w:rPr>
          <w:sz w:val="24"/>
          <w:szCs w:val="22"/>
        </w:rPr>
        <w:t>（除联合体牵头人外的联合体成员均须出具此承诺函）</w:t>
      </w:r>
    </w:p>
    <w:p>
      <w:pPr>
        <w:keepNext/>
        <w:widowControl/>
        <w:tabs>
          <w:tab w:val="left" w:pos="0"/>
          <w:tab w:val="left" w:pos="280"/>
        </w:tabs>
        <w:spacing w:before="360" w:after="120" w:line="360" w:lineRule="auto"/>
        <w:ind w:left="3403"/>
        <w:outlineLvl w:val="1"/>
        <w:rPr>
          <w:b/>
          <w:bCs/>
          <w:sz w:val="24"/>
          <w:szCs w:val="32"/>
        </w:rPr>
      </w:pPr>
      <w:bookmarkStart w:id="2010" w:name="_Toc534813028"/>
      <w:bookmarkStart w:id="2011" w:name="_Toc527560007"/>
      <w:r>
        <w:rPr>
          <w:rFonts w:hint="eastAsia"/>
          <w:b/>
          <w:bCs/>
          <w:sz w:val="24"/>
          <w:szCs w:val="32"/>
        </w:rPr>
        <w:t>六、</w:t>
      </w:r>
      <w:r>
        <w:rPr>
          <w:b/>
          <w:bCs/>
          <w:sz w:val="24"/>
          <w:szCs w:val="32"/>
        </w:rPr>
        <w:t>投标</w:t>
      </w:r>
      <w:bookmarkEnd w:id="2008"/>
      <w:r>
        <w:rPr>
          <w:b/>
          <w:bCs/>
          <w:sz w:val="24"/>
          <w:szCs w:val="32"/>
        </w:rPr>
        <w:t>保证金</w:t>
      </w:r>
      <w:bookmarkEnd w:id="2010"/>
      <w:bookmarkEnd w:id="2011"/>
    </w:p>
    <w:p>
      <w:pPr>
        <w:widowControl/>
        <w:spacing w:line="360" w:lineRule="auto"/>
        <w:jc w:val="center"/>
        <w:rPr>
          <w:sz w:val="24"/>
          <w:szCs w:val="22"/>
        </w:rPr>
      </w:pPr>
      <w:r>
        <w:rPr>
          <w:sz w:val="24"/>
          <w:szCs w:val="22"/>
        </w:rPr>
        <w:t>附保证金缴纳证明（银行转账凭证及开户许可证复印件）。</w:t>
      </w:r>
    </w:p>
    <w:p>
      <w:pPr>
        <w:widowControl/>
        <w:jc w:val="left"/>
        <w:rPr>
          <w:b/>
          <w:sz w:val="30"/>
          <w:szCs w:val="30"/>
        </w:rPr>
      </w:pPr>
      <w:r>
        <w:rPr>
          <w:b/>
          <w:sz w:val="30"/>
          <w:szCs w:val="30"/>
        </w:rPr>
        <w:br w:type="page"/>
      </w:r>
    </w:p>
    <w:bookmarkEnd w:id="1413"/>
    <w:bookmarkEnd w:id="1414"/>
    <w:bookmarkEnd w:id="1415"/>
    <w:p>
      <w:pPr>
        <w:keepNext/>
        <w:widowControl/>
        <w:tabs>
          <w:tab w:val="left" w:pos="0"/>
          <w:tab w:val="left" w:pos="280"/>
        </w:tabs>
        <w:spacing w:before="100" w:after="100" w:line="360" w:lineRule="auto"/>
        <w:ind w:left="3545"/>
        <w:outlineLvl w:val="1"/>
        <w:rPr>
          <w:b/>
          <w:bCs/>
          <w:sz w:val="24"/>
          <w:szCs w:val="32"/>
        </w:rPr>
      </w:pPr>
      <w:bookmarkStart w:id="2012" w:name="_Toc534813029"/>
      <w:bookmarkStart w:id="2013" w:name="_Toc527560010"/>
      <w:bookmarkStart w:id="2014" w:name="_Toc437271316"/>
      <w:r>
        <w:rPr>
          <w:rFonts w:hint="eastAsia"/>
          <w:b/>
          <w:bCs/>
          <w:sz w:val="24"/>
          <w:szCs w:val="32"/>
        </w:rPr>
        <w:t>七、</w:t>
      </w:r>
      <w:r>
        <w:rPr>
          <w:b/>
          <w:bCs/>
          <w:sz w:val="24"/>
          <w:szCs w:val="32"/>
        </w:rPr>
        <w:t>资格文件</w:t>
      </w:r>
      <w:bookmarkEnd w:id="2012"/>
      <w:bookmarkEnd w:id="2013"/>
    </w:p>
    <w:p>
      <w:pPr>
        <w:widowControl/>
        <w:numPr>
          <w:ilvl w:val="0"/>
          <w:numId w:val="38"/>
        </w:numPr>
        <w:spacing w:line="360" w:lineRule="auto"/>
        <w:ind w:firstLine="498" w:firstLineChars="200"/>
        <w:jc w:val="center"/>
        <w:outlineLvl w:val="2"/>
        <w:rPr>
          <w:b/>
          <w:sz w:val="24"/>
          <w:szCs w:val="32"/>
        </w:rPr>
      </w:pPr>
      <w:r>
        <w:rPr>
          <w:b/>
          <w:sz w:val="24"/>
          <w:szCs w:val="32"/>
        </w:rPr>
        <w:t>投标人基本情况</w:t>
      </w:r>
    </w:p>
    <w:tbl>
      <w:tblPr>
        <w:tblStyle w:val="52"/>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018"/>
        <w:gridCol w:w="1165"/>
        <w:gridCol w:w="1201"/>
        <w:gridCol w:w="1711"/>
        <w:gridCol w:w="100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投标人名称</w:t>
            </w:r>
          </w:p>
        </w:tc>
        <w:tc>
          <w:tcPr>
            <w:tcW w:w="7302" w:type="dxa"/>
            <w:gridSpan w:val="6"/>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注册地址</w:t>
            </w:r>
          </w:p>
        </w:tc>
        <w:tc>
          <w:tcPr>
            <w:tcW w:w="3384" w:type="dxa"/>
            <w:gridSpan w:val="3"/>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邮政编码</w:t>
            </w:r>
          </w:p>
        </w:tc>
        <w:tc>
          <w:tcPr>
            <w:tcW w:w="220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联系方式</w:t>
            </w:r>
          </w:p>
        </w:tc>
        <w:tc>
          <w:tcPr>
            <w:tcW w:w="1018"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联系人</w:t>
            </w:r>
          </w:p>
        </w:tc>
        <w:tc>
          <w:tcPr>
            <w:tcW w:w="2366"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电话</w:t>
            </w:r>
          </w:p>
        </w:tc>
        <w:tc>
          <w:tcPr>
            <w:tcW w:w="220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p>
        </w:tc>
        <w:tc>
          <w:tcPr>
            <w:tcW w:w="1018"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传真</w:t>
            </w:r>
          </w:p>
        </w:tc>
        <w:tc>
          <w:tcPr>
            <w:tcW w:w="2366"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网址</w:t>
            </w:r>
          </w:p>
        </w:tc>
        <w:tc>
          <w:tcPr>
            <w:tcW w:w="2207"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组织结构</w:t>
            </w:r>
          </w:p>
        </w:tc>
        <w:tc>
          <w:tcPr>
            <w:tcW w:w="7302" w:type="dxa"/>
            <w:gridSpan w:val="6"/>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法定代表人</w:t>
            </w:r>
          </w:p>
        </w:tc>
        <w:tc>
          <w:tcPr>
            <w:tcW w:w="1018"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姓名</w:t>
            </w:r>
          </w:p>
        </w:tc>
        <w:tc>
          <w:tcPr>
            <w:tcW w:w="116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20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技术职称</w:t>
            </w: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007"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电话</w:t>
            </w:r>
          </w:p>
        </w:tc>
        <w:tc>
          <w:tcPr>
            <w:tcW w:w="1200" w:type="dxa"/>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成立时间</w:t>
            </w:r>
          </w:p>
        </w:tc>
        <w:tc>
          <w:tcPr>
            <w:tcW w:w="2183"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c>
          <w:tcPr>
            <w:tcW w:w="5119" w:type="dxa"/>
            <w:gridSpan w:val="4"/>
            <w:tcBorders>
              <w:top w:val="single" w:color="auto" w:sz="4" w:space="0"/>
              <w:left w:val="nil"/>
              <w:bottom w:val="single" w:color="auto" w:sz="4" w:space="0"/>
              <w:right w:val="single" w:color="auto" w:sz="4" w:space="0"/>
            </w:tcBorders>
          </w:tcPr>
          <w:p>
            <w:pPr>
              <w:widowControl/>
              <w:spacing w:line="360" w:lineRule="auto"/>
              <w:jc w:val="center"/>
              <w:rPr>
                <w:kern w:val="0"/>
                <w:szCs w:val="21"/>
              </w:rPr>
            </w:pPr>
            <w:r>
              <w:rPr>
                <w:kern w:val="0"/>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营业执照号</w:t>
            </w:r>
          </w:p>
        </w:tc>
        <w:tc>
          <w:tcPr>
            <w:tcW w:w="2183"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c>
          <w:tcPr>
            <w:tcW w:w="1201" w:type="dxa"/>
            <w:vMerge w:val="restart"/>
            <w:tcBorders>
              <w:top w:val="nil"/>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其中</w:t>
            </w: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高级职称人员</w:t>
            </w:r>
          </w:p>
        </w:tc>
        <w:tc>
          <w:tcPr>
            <w:tcW w:w="2207"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注册资金</w:t>
            </w:r>
          </w:p>
        </w:tc>
        <w:tc>
          <w:tcPr>
            <w:tcW w:w="2183"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c>
          <w:tcPr>
            <w:tcW w:w="1201" w:type="dxa"/>
            <w:vMerge w:val="continue"/>
            <w:tcBorders>
              <w:top w:val="nil"/>
              <w:left w:val="nil"/>
              <w:bottom w:val="single" w:color="auto" w:sz="4" w:space="0"/>
              <w:right w:val="single" w:color="auto" w:sz="4" w:space="0"/>
            </w:tcBorders>
            <w:vAlign w:val="center"/>
          </w:tcPr>
          <w:p>
            <w:pPr>
              <w:widowControl/>
              <w:jc w:val="left"/>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中级职称人员</w:t>
            </w:r>
          </w:p>
        </w:tc>
        <w:tc>
          <w:tcPr>
            <w:tcW w:w="2207"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开户银行</w:t>
            </w:r>
          </w:p>
        </w:tc>
        <w:tc>
          <w:tcPr>
            <w:tcW w:w="2183"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c>
          <w:tcPr>
            <w:tcW w:w="1201" w:type="dxa"/>
            <w:vMerge w:val="continue"/>
            <w:tcBorders>
              <w:top w:val="nil"/>
              <w:left w:val="nil"/>
              <w:bottom w:val="single" w:color="auto" w:sz="4" w:space="0"/>
              <w:right w:val="single" w:color="auto" w:sz="4" w:space="0"/>
            </w:tcBorders>
            <w:vAlign w:val="center"/>
          </w:tcPr>
          <w:p>
            <w:pPr>
              <w:widowControl/>
              <w:jc w:val="left"/>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初级职称人员</w:t>
            </w:r>
          </w:p>
        </w:tc>
        <w:tc>
          <w:tcPr>
            <w:tcW w:w="2207"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账号</w:t>
            </w:r>
          </w:p>
        </w:tc>
        <w:tc>
          <w:tcPr>
            <w:tcW w:w="2183"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c>
          <w:tcPr>
            <w:tcW w:w="1201" w:type="dxa"/>
            <w:vMerge w:val="continue"/>
            <w:tcBorders>
              <w:top w:val="nil"/>
              <w:left w:val="nil"/>
              <w:bottom w:val="single" w:color="auto" w:sz="4" w:space="0"/>
              <w:right w:val="single" w:color="auto" w:sz="4" w:space="0"/>
            </w:tcBorders>
            <w:vAlign w:val="center"/>
          </w:tcPr>
          <w:p>
            <w:pPr>
              <w:widowControl/>
              <w:jc w:val="left"/>
              <w:rPr>
                <w:kern w:val="0"/>
                <w:szCs w:val="21"/>
              </w:rPr>
            </w:pPr>
          </w:p>
        </w:tc>
        <w:tc>
          <w:tcPr>
            <w:tcW w:w="1711"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技工</w:t>
            </w:r>
          </w:p>
        </w:tc>
        <w:tc>
          <w:tcPr>
            <w:tcW w:w="2207" w:type="dxa"/>
            <w:gridSpan w:val="2"/>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trPr>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经营范围</w:t>
            </w:r>
          </w:p>
        </w:tc>
        <w:tc>
          <w:tcPr>
            <w:tcW w:w="7302" w:type="dxa"/>
            <w:gridSpan w:val="6"/>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p>
            <w:pPr>
              <w:widowControl/>
              <w:spacing w:line="360" w:lineRule="auto"/>
              <w:jc w:val="center"/>
              <w:rPr>
                <w:kern w:val="0"/>
                <w:szCs w:val="21"/>
              </w:rPr>
            </w:pPr>
          </w:p>
          <w:p>
            <w:pPr>
              <w:widowControl/>
              <w:spacing w:line="360" w:lineRule="auto"/>
              <w:jc w:val="center"/>
              <w:rPr>
                <w:kern w:val="0"/>
                <w:szCs w:val="21"/>
              </w:rPr>
            </w:pPr>
          </w:p>
          <w:p>
            <w:pPr>
              <w:widowControl/>
              <w:spacing w:line="360" w:lineRule="auto"/>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45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备注</w:t>
            </w:r>
          </w:p>
        </w:tc>
        <w:tc>
          <w:tcPr>
            <w:tcW w:w="7302" w:type="dxa"/>
            <w:gridSpan w:val="6"/>
            <w:tcBorders>
              <w:top w:val="single" w:color="auto" w:sz="4" w:space="0"/>
              <w:left w:val="nil"/>
              <w:bottom w:val="single" w:color="auto" w:sz="4" w:space="0"/>
              <w:right w:val="single" w:color="auto" w:sz="4" w:space="0"/>
            </w:tcBorders>
          </w:tcPr>
          <w:p>
            <w:pPr>
              <w:widowControl/>
              <w:spacing w:line="360" w:lineRule="auto"/>
              <w:jc w:val="center"/>
              <w:rPr>
                <w:kern w:val="0"/>
                <w:szCs w:val="21"/>
              </w:rPr>
            </w:pPr>
          </w:p>
        </w:tc>
      </w:tr>
    </w:tbl>
    <w:p>
      <w:pPr>
        <w:widowControl/>
        <w:spacing w:line="360" w:lineRule="auto"/>
        <w:ind w:firstLine="498" w:firstLineChars="200"/>
        <w:rPr>
          <w:sz w:val="24"/>
          <w:szCs w:val="22"/>
        </w:rPr>
      </w:pPr>
      <w:r>
        <w:rPr>
          <w:rFonts w:hint="eastAsia"/>
          <w:sz w:val="24"/>
          <w:szCs w:val="22"/>
        </w:rPr>
        <w:t>备注：本表后应附申请人或联合体各成员的营业执照等其他申请人认为应当附的相关证件。联合体申请，联合体各方成员均需提供申请人基本情况表。</w:t>
      </w:r>
    </w:p>
    <w:p>
      <w:pPr>
        <w:widowControl/>
        <w:spacing w:line="360" w:lineRule="auto"/>
        <w:ind w:firstLine="498" w:firstLineChars="200"/>
        <w:rPr>
          <w:sz w:val="24"/>
          <w:szCs w:val="22"/>
        </w:rPr>
      </w:pPr>
      <w:r>
        <w:rPr>
          <w:sz w:val="24"/>
          <w:szCs w:val="22"/>
        </w:rPr>
        <w:br w:type="page"/>
      </w:r>
    </w:p>
    <w:p>
      <w:pPr>
        <w:widowControl/>
        <w:numPr>
          <w:ilvl w:val="0"/>
          <w:numId w:val="38"/>
        </w:numPr>
        <w:spacing w:line="360" w:lineRule="auto"/>
        <w:ind w:firstLine="498" w:firstLineChars="200"/>
        <w:jc w:val="center"/>
        <w:outlineLvl w:val="2"/>
        <w:rPr>
          <w:b/>
          <w:sz w:val="24"/>
          <w:szCs w:val="32"/>
        </w:rPr>
      </w:pPr>
      <w:r>
        <w:rPr>
          <w:b/>
          <w:sz w:val="24"/>
          <w:szCs w:val="32"/>
        </w:rPr>
        <w:t>经验业绩</w:t>
      </w:r>
    </w:p>
    <w:p>
      <w:pPr>
        <w:widowControl/>
        <w:spacing w:line="360" w:lineRule="auto"/>
        <w:ind w:firstLine="498" w:firstLineChars="200"/>
        <w:rPr>
          <w:sz w:val="24"/>
          <w:szCs w:val="22"/>
        </w:rPr>
      </w:pPr>
      <w:r>
        <w:rPr>
          <w:sz w:val="24"/>
          <w:szCs w:val="22"/>
        </w:rPr>
        <w:t>（1）自201</w:t>
      </w:r>
      <w:r>
        <w:rPr>
          <w:rFonts w:hint="eastAsia"/>
          <w:sz w:val="24"/>
          <w:szCs w:val="22"/>
        </w:rPr>
        <w:t>3</w:t>
      </w:r>
      <w:r>
        <w:rPr>
          <w:sz w:val="24"/>
          <w:szCs w:val="22"/>
        </w:rPr>
        <w:t>年</w:t>
      </w:r>
      <w:r>
        <w:rPr>
          <w:rFonts w:hint="eastAsia"/>
          <w:sz w:val="24"/>
          <w:szCs w:val="22"/>
        </w:rPr>
        <w:t>9</w:t>
      </w:r>
      <w:r>
        <w:rPr>
          <w:sz w:val="24"/>
          <w:szCs w:val="22"/>
        </w:rPr>
        <w:t>月</w:t>
      </w:r>
      <w:r>
        <w:rPr>
          <w:rFonts w:hint="eastAsia"/>
          <w:sz w:val="24"/>
          <w:szCs w:val="22"/>
        </w:rPr>
        <w:t>1</w:t>
      </w:r>
      <w:r>
        <w:rPr>
          <w:sz w:val="24"/>
          <w:szCs w:val="22"/>
        </w:rPr>
        <w:t>日</w:t>
      </w:r>
      <w:r>
        <w:rPr>
          <w:rFonts w:hint="eastAsia"/>
          <w:sz w:val="24"/>
          <w:szCs w:val="22"/>
        </w:rPr>
        <w:t>以来</w:t>
      </w:r>
      <w:r>
        <w:rPr>
          <w:sz w:val="24"/>
          <w:szCs w:val="22"/>
        </w:rPr>
        <w:t>，投标人承担的</w:t>
      </w:r>
      <w:r>
        <w:rPr>
          <w:rFonts w:hint="eastAsia"/>
          <w:sz w:val="24"/>
          <w:szCs w:val="22"/>
        </w:rPr>
        <w:t>同</w:t>
      </w:r>
      <w:r>
        <w:rPr>
          <w:sz w:val="24"/>
          <w:szCs w:val="22"/>
        </w:rPr>
        <w:t>类PPP</w:t>
      </w:r>
      <w:r>
        <w:rPr>
          <w:rFonts w:hint="eastAsia"/>
          <w:sz w:val="24"/>
          <w:szCs w:val="22"/>
        </w:rPr>
        <w:t>或EPC</w:t>
      </w:r>
      <w:r>
        <w:rPr>
          <w:sz w:val="24"/>
          <w:szCs w:val="22"/>
        </w:rPr>
        <w:t>或</w:t>
      </w:r>
      <w:r>
        <w:rPr>
          <w:rFonts w:hint="eastAsia"/>
          <w:sz w:val="24"/>
          <w:szCs w:val="22"/>
        </w:rPr>
        <w:t>施工或设计或运营</w:t>
      </w:r>
      <w:r>
        <w:rPr>
          <w:sz w:val="24"/>
          <w:szCs w:val="22"/>
        </w:rPr>
        <w:t>项目业绩情况介绍。</w:t>
      </w:r>
    </w:p>
    <w:tbl>
      <w:tblPr>
        <w:tblStyle w:val="52"/>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275"/>
        <w:gridCol w:w="1134"/>
        <w:gridCol w:w="1560"/>
        <w:gridCol w:w="1842"/>
        <w:gridCol w:w="1410"/>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jc w:val="center"/>
        </w:trPr>
        <w:tc>
          <w:tcPr>
            <w:tcW w:w="3460" w:type="dxa"/>
            <w:gridSpan w:val="3"/>
            <w:vAlign w:val="center"/>
          </w:tcPr>
          <w:p>
            <w:pPr>
              <w:widowControl/>
              <w:jc w:val="center"/>
              <w:rPr>
                <w:rFonts w:ascii="宋体" w:hAnsi="宋体"/>
                <w:sz w:val="24"/>
                <w:szCs w:val="22"/>
              </w:rPr>
            </w:pPr>
            <w:r>
              <w:rPr>
                <w:rFonts w:hint="eastAsia" w:ascii="宋体" w:hAnsi="宋体"/>
                <w:sz w:val="24"/>
                <w:szCs w:val="22"/>
              </w:rPr>
              <w:t>单位名称</w:t>
            </w:r>
          </w:p>
        </w:tc>
        <w:tc>
          <w:tcPr>
            <w:tcW w:w="6180" w:type="dxa"/>
            <w:gridSpan w:val="4"/>
            <w:vAlign w:val="center"/>
          </w:tcPr>
          <w:p>
            <w:pPr>
              <w:widowControl/>
              <w:rPr>
                <w:rFonts w:ascii="宋体" w:hAnsi="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jc w:val="center"/>
        </w:trPr>
        <w:tc>
          <w:tcPr>
            <w:tcW w:w="1051" w:type="dxa"/>
            <w:vAlign w:val="center"/>
          </w:tcPr>
          <w:p>
            <w:pPr>
              <w:widowControl/>
              <w:jc w:val="center"/>
              <w:rPr>
                <w:rFonts w:ascii="宋体" w:hAnsi="宋体"/>
                <w:sz w:val="24"/>
                <w:szCs w:val="22"/>
              </w:rPr>
            </w:pPr>
            <w:r>
              <w:rPr>
                <w:rFonts w:hint="eastAsia" w:ascii="宋体" w:hAnsi="宋体"/>
                <w:sz w:val="24"/>
                <w:szCs w:val="22"/>
              </w:rPr>
              <w:t>合同</w:t>
            </w:r>
          </w:p>
          <w:p>
            <w:pPr>
              <w:widowControl/>
              <w:jc w:val="center"/>
              <w:rPr>
                <w:rFonts w:ascii="宋体" w:hAnsi="宋体"/>
                <w:sz w:val="24"/>
                <w:szCs w:val="22"/>
              </w:rPr>
            </w:pPr>
            <w:r>
              <w:rPr>
                <w:rFonts w:hint="eastAsia" w:ascii="宋体" w:hAnsi="宋体"/>
                <w:sz w:val="24"/>
                <w:szCs w:val="22"/>
              </w:rPr>
              <w:t>签订</w:t>
            </w:r>
          </w:p>
          <w:p>
            <w:pPr>
              <w:widowControl/>
              <w:jc w:val="center"/>
              <w:rPr>
                <w:rFonts w:ascii="宋体" w:hAnsi="宋体"/>
                <w:sz w:val="24"/>
                <w:szCs w:val="22"/>
              </w:rPr>
            </w:pPr>
            <w:r>
              <w:rPr>
                <w:rFonts w:hint="eastAsia" w:ascii="宋体" w:hAnsi="宋体"/>
                <w:sz w:val="24"/>
                <w:szCs w:val="22"/>
              </w:rPr>
              <w:t>日期</w:t>
            </w:r>
          </w:p>
        </w:tc>
        <w:tc>
          <w:tcPr>
            <w:tcW w:w="1275" w:type="dxa"/>
            <w:vAlign w:val="center"/>
          </w:tcPr>
          <w:p>
            <w:pPr>
              <w:widowControl/>
              <w:jc w:val="center"/>
              <w:rPr>
                <w:rFonts w:ascii="宋体" w:hAnsi="宋体"/>
                <w:sz w:val="24"/>
                <w:szCs w:val="22"/>
              </w:rPr>
            </w:pPr>
            <w:r>
              <w:rPr>
                <w:rFonts w:hint="eastAsia" w:ascii="宋体" w:hAnsi="宋体"/>
                <w:sz w:val="24"/>
                <w:szCs w:val="22"/>
              </w:rPr>
              <w:t>项目名称</w:t>
            </w:r>
          </w:p>
        </w:tc>
        <w:tc>
          <w:tcPr>
            <w:tcW w:w="1134" w:type="dxa"/>
            <w:vAlign w:val="center"/>
          </w:tcPr>
          <w:p>
            <w:pPr>
              <w:widowControl/>
              <w:rPr>
                <w:rFonts w:ascii="宋体" w:hAnsi="宋体"/>
                <w:sz w:val="24"/>
                <w:szCs w:val="22"/>
              </w:rPr>
            </w:pPr>
            <w:r>
              <w:rPr>
                <w:rFonts w:hint="eastAsia" w:ascii="宋体" w:hAnsi="宋体"/>
                <w:sz w:val="24"/>
                <w:szCs w:val="22"/>
              </w:rPr>
              <w:t>总投资（万元）</w:t>
            </w:r>
          </w:p>
        </w:tc>
        <w:tc>
          <w:tcPr>
            <w:tcW w:w="1560" w:type="dxa"/>
            <w:vAlign w:val="center"/>
          </w:tcPr>
          <w:p>
            <w:pPr>
              <w:widowControl/>
              <w:rPr>
                <w:rFonts w:ascii="宋体" w:hAnsi="宋体"/>
                <w:sz w:val="24"/>
                <w:szCs w:val="22"/>
              </w:rPr>
            </w:pPr>
            <w:r>
              <w:rPr>
                <w:rFonts w:hint="eastAsia" w:ascii="宋体" w:hAnsi="宋体"/>
                <w:sz w:val="24"/>
                <w:szCs w:val="22"/>
              </w:rPr>
              <w:t>主要指标（运作模式、年限、目前进展情况等）</w:t>
            </w:r>
          </w:p>
        </w:tc>
        <w:tc>
          <w:tcPr>
            <w:tcW w:w="1842" w:type="dxa"/>
            <w:vAlign w:val="center"/>
          </w:tcPr>
          <w:p>
            <w:pPr>
              <w:widowControl/>
              <w:rPr>
                <w:rFonts w:ascii="宋体" w:hAnsi="宋体"/>
                <w:sz w:val="24"/>
                <w:szCs w:val="22"/>
              </w:rPr>
            </w:pPr>
            <w:r>
              <w:rPr>
                <w:rFonts w:hint="eastAsia" w:ascii="宋体" w:hAnsi="宋体"/>
                <w:sz w:val="24"/>
                <w:szCs w:val="22"/>
              </w:rPr>
              <w:t>承担内容（投资或设计或建设或运营）</w:t>
            </w:r>
          </w:p>
        </w:tc>
        <w:tc>
          <w:tcPr>
            <w:tcW w:w="1410" w:type="dxa"/>
            <w:vAlign w:val="center"/>
          </w:tcPr>
          <w:p>
            <w:pPr>
              <w:widowControl/>
              <w:rPr>
                <w:rFonts w:ascii="宋体" w:hAnsi="宋体"/>
                <w:sz w:val="24"/>
                <w:szCs w:val="22"/>
              </w:rPr>
            </w:pPr>
            <w:r>
              <w:rPr>
                <w:rFonts w:hint="eastAsia" w:ascii="宋体" w:hAnsi="宋体"/>
                <w:sz w:val="24"/>
                <w:szCs w:val="22"/>
              </w:rPr>
              <w:t>采购人名称及联系方式</w:t>
            </w:r>
          </w:p>
        </w:tc>
        <w:tc>
          <w:tcPr>
            <w:tcW w:w="1368" w:type="dxa"/>
            <w:vAlign w:val="center"/>
          </w:tcPr>
          <w:p>
            <w:pPr>
              <w:widowControl/>
              <w:jc w:val="center"/>
              <w:rPr>
                <w:rFonts w:ascii="宋体" w:hAnsi="宋体"/>
                <w:sz w:val="24"/>
                <w:szCs w:val="22"/>
              </w:rPr>
            </w:pPr>
            <w:r>
              <w:rPr>
                <w:rFonts w:hint="eastAsia" w:ascii="宋体" w:hAnsi="宋体"/>
                <w:sz w:val="24"/>
                <w:szCs w:val="22"/>
              </w:rPr>
              <w:t>备注</w:t>
            </w:r>
          </w:p>
          <w:p>
            <w:pPr>
              <w:widowControl/>
              <w:jc w:val="center"/>
              <w:rPr>
                <w:rFonts w:ascii="宋体" w:hAnsi="宋体"/>
                <w:sz w:val="24"/>
                <w:szCs w:val="22"/>
              </w:rPr>
            </w:pPr>
            <w:r>
              <w:rPr>
                <w:rFonts w:hint="eastAsia" w:ascii="宋体" w:hAnsi="宋体"/>
                <w:sz w:val="24"/>
                <w:szCs w:val="22"/>
              </w:rPr>
              <w:t>（合同类型等）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1" w:type="dxa"/>
          </w:tcPr>
          <w:p>
            <w:pPr>
              <w:widowControl/>
              <w:jc w:val="center"/>
              <w:rPr>
                <w:rFonts w:ascii="Arial" w:hAnsi="Arial" w:eastAsia="仿宋"/>
                <w:sz w:val="24"/>
                <w:szCs w:val="28"/>
              </w:rPr>
            </w:pPr>
          </w:p>
        </w:tc>
        <w:tc>
          <w:tcPr>
            <w:tcW w:w="1275" w:type="dxa"/>
          </w:tcPr>
          <w:p>
            <w:pPr>
              <w:widowControl/>
              <w:jc w:val="center"/>
              <w:rPr>
                <w:rFonts w:ascii="Arial" w:hAnsi="Arial" w:eastAsia="仿宋"/>
                <w:sz w:val="24"/>
                <w:szCs w:val="28"/>
              </w:rPr>
            </w:pPr>
          </w:p>
        </w:tc>
        <w:tc>
          <w:tcPr>
            <w:tcW w:w="1134" w:type="dxa"/>
          </w:tcPr>
          <w:p>
            <w:pPr>
              <w:widowControl/>
              <w:jc w:val="center"/>
              <w:rPr>
                <w:rFonts w:ascii="Arial" w:hAnsi="Arial" w:eastAsia="仿宋"/>
                <w:sz w:val="24"/>
                <w:szCs w:val="28"/>
              </w:rPr>
            </w:pPr>
          </w:p>
        </w:tc>
        <w:tc>
          <w:tcPr>
            <w:tcW w:w="1560" w:type="dxa"/>
          </w:tcPr>
          <w:p>
            <w:pPr>
              <w:widowControl/>
              <w:jc w:val="center"/>
              <w:rPr>
                <w:rFonts w:ascii="Arial" w:hAnsi="Arial" w:eastAsia="仿宋"/>
                <w:sz w:val="24"/>
                <w:szCs w:val="28"/>
              </w:rPr>
            </w:pPr>
          </w:p>
        </w:tc>
        <w:tc>
          <w:tcPr>
            <w:tcW w:w="1842" w:type="dxa"/>
          </w:tcPr>
          <w:p>
            <w:pPr>
              <w:widowControl/>
              <w:jc w:val="center"/>
              <w:rPr>
                <w:rFonts w:ascii="Arial" w:hAnsi="Arial" w:eastAsia="仿宋"/>
                <w:sz w:val="24"/>
                <w:szCs w:val="28"/>
              </w:rPr>
            </w:pPr>
          </w:p>
        </w:tc>
        <w:tc>
          <w:tcPr>
            <w:tcW w:w="1410" w:type="dxa"/>
          </w:tcPr>
          <w:p>
            <w:pPr>
              <w:widowControl/>
              <w:jc w:val="center"/>
              <w:rPr>
                <w:rFonts w:ascii="Arial" w:hAnsi="Arial" w:eastAsia="仿宋"/>
                <w:sz w:val="24"/>
                <w:szCs w:val="28"/>
              </w:rPr>
            </w:pPr>
          </w:p>
        </w:tc>
        <w:tc>
          <w:tcPr>
            <w:tcW w:w="1368" w:type="dxa"/>
          </w:tcPr>
          <w:p>
            <w:pPr>
              <w:widowControl/>
              <w:jc w:val="center"/>
              <w:rPr>
                <w:rFonts w:ascii="Arial" w:hAnsi="Arial" w:eastAsia="仿宋"/>
                <w:sz w:val="24"/>
                <w:szCs w:val="28"/>
              </w:rPr>
            </w:pPr>
          </w:p>
        </w:tc>
      </w:tr>
    </w:tbl>
    <w:p>
      <w:pPr>
        <w:widowControl/>
        <w:spacing w:line="360" w:lineRule="auto"/>
        <w:ind w:firstLine="498" w:firstLineChars="200"/>
        <w:rPr>
          <w:kern w:val="0"/>
          <w:sz w:val="24"/>
        </w:rPr>
      </w:pPr>
    </w:p>
    <w:p>
      <w:pPr>
        <w:widowControl/>
        <w:spacing w:line="360" w:lineRule="auto"/>
        <w:ind w:firstLine="498" w:firstLineChars="200"/>
        <w:rPr>
          <w:kern w:val="0"/>
          <w:sz w:val="24"/>
        </w:rPr>
      </w:pPr>
    </w:p>
    <w:p>
      <w:pPr>
        <w:widowControl/>
        <w:spacing w:line="360" w:lineRule="auto"/>
        <w:ind w:firstLine="498" w:firstLineChars="200"/>
        <w:rPr>
          <w:b/>
          <w:kern w:val="0"/>
          <w:sz w:val="24"/>
        </w:rPr>
      </w:pPr>
      <w:r>
        <w:rPr>
          <w:rFonts w:hint="eastAsia"/>
          <w:kern w:val="0"/>
          <w:sz w:val="24"/>
        </w:rPr>
        <w:t>备注</w:t>
      </w:r>
      <w:r>
        <w:rPr>
          <w:kern w:val="0"/>
          <w:sz w:val="24"/>
        </w:rPr>
        <w:t>：</w:t>
      </w:r>
      <w:r>
        <w:rPr>
          <w:rFonts w:hint="eastAsia"/>
          <w:kern w:val="0"/>
          <w:sz w:val="24"/>
        </w:rPr>
        <w:t>本表后应附类似项目业绩合同等相关证明文件，若为联合体参与投标，均须按照协议中的职责划分，附上相应业绩。</w:t>
      </w:r>
    </w:p>
    <w:p>
      <w:pPr>
        <w:widowControl/>
        <w:spacing w:line="360" w:lineRule="auto"/>
        <w:ind w:firstLine="498" w:firstLineChars="200"/>
        <w:rPr>
          <w:sz w:val="24"/>
          <w:szCs w:val="22"/>
        </w:rPr>
      </w:pPr>
    </w:p>
    <w:p>
      <w:pPr>
        <w:pStyle w:val="2"/>
        <w:ind w:firstLine="220"/>
      </w:pPr>
    </w:p>
    <w:p>
      <w:pPr>
        <w:widowControl/>
        <w:spacing w:line="360" w:lineRule="auto"/>
        <w:ind w:firstLine="498" w:firstLineChars="200"/>
        <w:rPr>
          <w:sz w:val="24"/>
          <w:szCs w:val="22"/>
        </w:rPr>
      </w:pPr>
      <w:r>
        <w:rPr>
          <w:sz w:val="24"/>
          <w:szCs w:val="22"/>
        </w:rPr>
        <w:t>（2）自201</w:t>
      </w:r>
      <w:r>
        <w:rPr>
          <w:rFonts w:hint="eastAsia"/>
          <w:sz w:val="24"/>
          <w:szCs w:val="22"/>
        </w:rPr>
        <w:t>3</w:t>
      </w:r>
      <w:r>
        <w:rPr>
          <w:sz w:val="24"/>
          <w:szCs w:val="22"/>
        </w:rPr>
        <w:t>年</w:t>
      </w:r>
      <w:r>
        <w:rPr>
          <w:rFonts w:hint="eastAsia"/>
          <w:sz w:val="24"/>
          <w:szCs w:val="22"/>
        </w:rPr>
        <w:t>9</w:t>
      </w:r>
      <w:r>
        <w:rPr>
          <w:sz w:val="24"/>
          <w:szCs w:val="22"/>
        </w:rPr>
        <w:t>月</w:t>
      </w:r>
      <w:r>
        <w:rPr>
          <w:rFonts w:hint="eastAsia"/>
          <w:sz w:val="24"/>
          <w:szCs w:val="22"/>
        </w:rPr>
        <w:t>1</w:t>
      </w:r>
      <w:r>
        <w:rPr>
          <w:sz w:val="24"/>
          <w:szCs w:val="22"/>
        </w:rPr>
        <w:t>日</w:t>
      </w:r>
      <w:r>
        <w:rPr>
          <w:rFonts w:hint="eastAsia"/>
          <w:sz w:val="24"/>
          <w:szCs w:val="22"/>
        </w:rPr>
        <w:t>以来</w:t>
      </w:r>
      <w:r>
        <w:rPr>
          <w:sz w:val="24"/>
          <w:szCs w:val="22"/>
        </w:rPr>
        <w:t>，投标人承担的</w:t>
      </w:r>
      <w:r>
        <w:rPr>
          <w:rFonts w:hint="eastAsia"/>
          <w:sz w:val="24"/>
          <w:szCs w:val="22"/>
        </w:rPr>
        <w:t>同类项目PPP或EPC或施工或设计或运营</w:t>
      </w:r>
      <w:r>
        <w:rPr>
          <w:sz w:val="24"/>
          <w:szCs w:val="22"/>
        </w:rPr>
        <w:t>业绩获奖情况介绍。</w:t>
      </w:r>
    </w:p>
    <w:tbl>
      <w:tblPr>
        <w:tblStyle w:val="52"/>
        <w:tblW w:w="8794" w:type="dxa"/>
        <w:jc w:val="center"/>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134"/>
        <w:gridCol w:w="992"/>
        <w:gridCol w:w="1560"/>
        <w:gridCol w:w="708"/>
        <w:gridCol w:w="709"/>
        <w:gridCol w:w="1418"/>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2" w:hRule="atLeast"/>
          <w:jc w:val="center"/>
        </w:trPr>
        <w:tc>
          <w:tcPr>
            <w:tcW w:w="156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Lines="50" w:afterLines="50"/>
              <w:jc w:val="center"/>
              <w:rPr>
                <w:szCs w:val="21"/>
              </w:rPr>
            </w:pPr>
            <w:r>
              <w:rPr>
                <w:szCs w:val="21"/>
              </w:rPr>
              <w:t>类型</w:t>
            </w:r>
          </w:p>
        </w:tc>
        <w:tc>
          <w:tcPr>
            <w:tcW w:w="1134" w:type="dxa"/>
            <w:vMerge w:val="restart"/>
            <w:tcBorders>
              <w:top w:val="single" w:color="auto" w:sz="4" w:space="0"/>
              <w:left w:val="nil"/>
              <w:bottom w:val="single" w:color="auto" w:sz="4" w:space="0"/>
              <w:right w:val="single" w:color="auto" w:sz="4" w:space="0"/>
            </w:tcBorders>
            <w:vAlign w:val="center"/>
          </w:tcPr>
          <w:p>
            <w:pPr>
              <w:widowControl/>
              <w:spacing w:beforeLines="50" w:afterLines="50"/>
              <w:jc w:val="center"/>
              <w:rPr>
                <w:szCs w:val="21"/>
              </w:rPr>
            </w:pPr>
            <w:r>
              <w:rPr>
                <w:szCs w:val="21"/>
              </w:rPr>
              <w:t>项目名称</w:t>
            </w:r>
          </w:p>
        </w:tc>
        <w:tc>
          <w:tcPr>
            <w:tcW w:w="992" w:type="dxa"/>
            <w:vMerge w:val="restart"/>
            <w:tcBorders>
              <w:top w:val="single" w:color="auto" w:sz="4" w:space="0"/>
              <w:left w:val="nil"/>
              <w:bottom w:val="single" w:color="auto" w:sz="4" w:space="0"/>
              <w:right w:val="single" w:color="auto" w:sz="4" w:space="0"/>
            </w:tcBorders>
            <w:vAlign w:val="center"/>
          </w:tcPr>
          <w:p>
            <w:pPr>
              <w:widowControl/>
              <w:spacing w:beforeLines="50" w:afterLines="50"/>
              <w:rPr>
                <w:szCs w:val="21"/>
              </w:rPr>
            </w:pPr>
            <w:r>
              <w:rPr>
                <w:szCs w:val="21"/>
              </w:rPr>
              <w:t>开工/竣工时间</w:t>
            </w:r>
          </w:p>
        </w:tc>
        <w:tc>
          <w:tcPr>
            <w:tcW w:w="2977" w:type="dxa"/>
            <w:gridSpan w:val="3"/>
            <w:tcBorders>
              <w:top w:val="single" w:color="auto" w:sz="4" w:space="0"/>
              <w:left w:val="nil"/>
              <w:bottom w:val="single" w:color="auto" w:sz="4" w:space="0"/>
              <w:right w:val="single" w:color="auto" w:sz="4" w:space="0"/>
            </w:tcBorders>
            <w:vAlign w:val="center"/>
          </w:tcPr>
          <w:p>
            <w:pPr>
              <w:widowControl/>
              <w:spacing w:beforeLines="50" w:afterLines="50"/>
              <w:jc w:val="center"/>
              <w:rPr>
                <w:szCs w:val="21"/>
              </w:rPr>
            </w:pPr>
            <w:r>
              <w:rPr>
                <w:szCs w:val="21"/>
              </w:rPr>
              <w:t>项目获奖情况</w:t>
            </w:r>
          </w:p>
        </w:tc>
        <w:tc>
          <w:tcPr>
            <w:tcW w:w="1418" w:type="dxa"/>
            <w:vMerge w:val="restart"/>
            <w:tcBorders>
              <w:top w:val="single" w:color="auto" w:sz="4" w:space="0"/>
              <w:left w:val="nil"/>
              <w:bottom w:val="single" w:color="auto" w:sz="4" w:space="0"/>
              <w:right w:val="single" w:color="auto" w:sz="4" w:space="0"/>
            </w:tcBorders>
            <w:vAlign w:val="center"/>
          </w:tcPr>
          <w:p>
            <w:pPr>
              <w:widowControl/>
              <w:spacing w:beforeLines="50" w:afterLines="50"/>
              <w:rPr>
                <w:szCs w:val="21"/>
              </w:rPr>
            </w:pPr>
            <w:r>
              <w:rPr>
                <w:szCs w:val="21"/>
              </w:rPr>
              <w:t>采购人名称及联系方式</w:t>
            </w:r>
          </w:p>
        </w:tc>
        <w:tc>
          <w:tcPr>
            <w:tcW w:w="713" w:type="dxa"/>
            <w:vMerge w:val="restart"/>
            <w:tcBorders>
              <w:top w:val="single" w:color="auto" w:sz="4" w:space="0"/>
              <w:left w:val="nil"/>
              <w:bottom w:val="single" w:color="auto" w:sz="4" w:space="0"/>
              <w:right w:val="single" w:color="auto" w:sz="4" w:space="0"/>
            </w:tcBorders>
            <w:vAlign w:val="center"/>
          </w:tcPr>
          <w:p>
            <w:pPr>
              <w:widowControl/>
              <w:spacing w:beforeLines="50" w:afterLines="5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1134" w:type="dxa"/>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c>
          <w:tcPr>
            <w:tcW w:w="992" w:type="dxa"/>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c>
          <w:tcPr>
            <w:tcW w:w="1560" w:type="dxa"/>
            <w:tcBorders>
              <w:top w:val="single" w:color="auto" w:sz="4" w:space="0"/>
              <w:left w:val="nil"/>
              <w:bottom w:val="single" w:color="auto" w:sz="4" w:space="0"/>
              <w:right w:val="single" w:color="auto" w:sz="4" w:space="0"/>
            </w:tcBorders>
            <w:vAlign w:val="center"/>
          </w:tcPr>
          <w:p>
            <w:pPr>
              <w:widowControl/>
              <w:spacing w:line="360" w:lineRule="auto"/>
              <w:jc w:val="center"/>
              <w:rPr>
                <w:sz w:val="20"/>
                <w:szCs w:val="20"/>
              </w:rPr>
            </w:pPr>
            <w:r>
              <w:rPr>
                <w:sz w:val="20"/>
                <w:szCs w:val="20"/>
              </w:rPr>
              <w:t>奖项等级（省级/国家级）</w:t>
            </w:r>
          </w:p>
        </w:tc>
        <w:tc>
          <w:tcPr>
            <w:tcW w:w="708" w:type="dxa"/>
            <w:tcBorders>
              <w:top w:val="single" w:color="auto" w:sz="4" w:space="0"/>
              <w:left w:val="nil"/>
              <w:bottom w:val="single" w:color="auto" w:sz="4" w:space="0"/>
              <w:right w:val="single" w:color="auto" w:sz="4" w:space="0"/>
            </w:tcBorders>
            <w:vAlign w:val="center"/>
          </w:tcPr>
          <w:p>
            <w:pPr>
              <w:widowControl/>
              <w:spacing w:beforeLines="50" w:afterLines="50"/>
              <w:jc w:val="center"/>
              <w:rPr>
                <w:szCs w:val="21"/>
              </w:rPr>
            </w:pPr>
            <w:r>
              <w:rPr>
                <w:szCs w:val="21"/>
              </w:rPr>
              <w:t>奖项名称</w:t>
            </w:r>
          </w:p>
        </w:tc>
        <w:tc>
          <w:tcPr>
            <w:tcW w:w="709" w:type="dxa"/>
            <w:tcBorders>
              <w:top w:val="single" w:color="auto" w:sz="4" w:space="0"/>
              <w:left w:val="nil"/>
              <w:bottom w:val="single" w:color="auto" w:sz="4" w:space="0"/>
              <w:right w:val="single" w:color="auto" w:sz="4" w:space="0"/>
            </w:tcBorders>
            <w:vAlign w:val="center"/>
          </w:tcPr>
          <w:p>
            <w:pPr>
              <w:widowControl/>
              <w:spacing w:beforeLines="50" w:afterLines="50"/>
              <w:rPr>
                <w:szCs w:val="21"/>
              </w:rPr>
            </w:pPr>
            <w:r>
              <w:rPr>
                <w:szCs w:val="21"/>
              </w:rPr>
              <w:t>获奖时间</w:t>
            </w:r>
          </w:p>
        </w:tc>
        <w:tc>
          <w:tcPr>
            <w:tcW w:w="1418" w:type="dxa"/>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c>
          <w:tcPr>
            <w:tcW w:w="713" w:type="dxa"/>
            <w:vMerge w:val="continue"/>
            <w:tcBorders>
              <w:top w:val="single" w:color="auto" w:sz="4" w:space="0"/>
              <w:left w:val="nil"/>
              <w:bottom w:val="single" w:color="auto" w:sz="4" w:space="0"/>
              <w:right w:val="single" w:color="auto" w:sz="4"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560" w:type="dxa"/>
            <w:vMerge w:val="restart"/>
            <w:tcBorders>
              <w:top w:val="nil"/>
              <w:left w:val="single" w:color="auto" w:sz="4" w:space="0"/>
              <w:bottom w:val="single" w:color="auto" w:sz="4" w:space="0"/>
              <w:right w:val="single" w:color="auto" w:sz="4" w:space="0"/>
            </w:tcBorders>
          </w:tcPr>
          <w:p>
            <w:pPr>
              <w:widowControl/>
              <w:spacing w:beforeLines="50" w:afterLines="50"/>
              <w:ind w:left="113" w:right="113"/>
              <w:jc w:val="center"/>
              <w:rPr>
                <w:kern w:val="0"/>
                <w:szCs w:val="21"/>
              </w:rPr>
            </w:pPr>
            <w:r>
              <w:rPr>
                <w:rFonts w:hint="eastAsia"/>
                <w:szCs w:val="21"/>
              </w:rPr>
              <w:t>污水处理类</w:t>
            </w:r>
            <w:r>
              <w:rPr>
                <w:szCs w:val="21"/>
              </w:rPr>
              <w:t>项目设计业绩</w:t>
            </w: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kern w:val="0"/>
                <w:szCs w:val="21"/>
              </w:rPr>
            </w:pP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restart"/>
            <w:tcBorders>
              <w:top w:val="nil"/>
              <w:left w:val="single" w:color="auto" w:sz="4" w:space="0"/>
              <w:bottom w:val="single" w:color="auto" w:sz="4" w:space="0"/>
              <w:right w:val="single" w:color="auto" w:sz="4" w:space="0"/>
            </w:tcBorders>
          </w:tcPr>
          <w:p>
            <w:pPr>
              <w:widowControl/>
              <w:spacing w:beforeLines="50" w:afterLines="50"/>
              <w:ind w:left="113" w:right="113"/>
              <w:jc w:val="center"/>
              <w:rPr>
                <w:szCs w:val="21"/>
              </w:rPr>
            </w:pPr>
            <w:r>
              <w:rPr>
                <w:rFonts w:hint="eastAsia"/>
                <w:szCs w:val="21"/>
              </w:rPr>
              <w:t>污水处理类</w:t>
            </w:r>
            <w:r>
              <w:rPr>
                <w:szCs w:val="21"/>
              </w:rPr>
              <w:t>项目</w:t>
            </w:r>
            <w:r>
              <w:rPr>
                <w:rFonts w:hint="eastAsia"/>
                <w:szCs w:val="21"/>
              </w:rPr>
              <w:t>施工</w:t>
            </w:r>
            <w:r>
              <w:rPr>
                <w:szCs w:val="21"/>
              </w:rPr>
              <w:t>业绩</w:t>
            </w: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continue"/>
            <w:tcBorders>
              <w:top w:val="nil"/>
              <w:left w:val="single" w:color="auto" w:sz="4" w:space="0"/>
              <w:bottom w:val="single" w:color="auto" w:sz="4" w:space="0"/>
              <w:right w:val="single" w:color="auto" w:sz="4" w:space="0"/>
            </w:tcBorders>
          </w:tcPr>
          <w:p>
            <w:pPr>
              <w:widowControl/>
              <w:spacing w:beforeLines="50" w:afterLines="50"/>
              <w:ind w:left="113" w:right="113"/>
              <w:jc w:val="center"/>
              <w:rPr>
                <w:szCs w:val="21"/>
              </w:rPr>
            </w:pP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restart"/>
            <w:tcBorders>
              <w:top w:val="nil"/>
              <w:left w:val="single" w:color="auto" w:sz="4" w:space="0"/>
              <w:bottom w:val="single" w:color="auto" w:sz="4" w:space="0"/>
              <w:right w:val="single" w:color="auto" w:sz="4" w:space="0"/>
            </w:tcBorders>
          </w:tcPr>
          <w:p>
            <w:pPr>
              <w:widowControl/>
              <w:spacing w:beforeLines="50" w:afterLines="50"/>
              <w:ind w:left="113" w:right="113"/>
              <w:jc w:val="center"/>
              <w:rPr>
                <w:szCs w:val="21"/>
              </w:rPr>
            </w:pPr>
            <w:r>
              <w:rPr>
                <w:rFonts w:hint="eastAsia"/>
                <w:szCs w:val="21"/>
              </w:rPr>
              <w:t>污水处理类</w:t>
            </w:r>
            <w:r>
              <w:rPr>
                <w:szCs w:val="21"/>
              </w:rPr>
              <w:t>项目</w:t>
            </w:r>
            <w:r>
              <w:rPr>
                <w:rFonts w:hint="eastAsia"/>
                <w:szCs w:val="21"/>
              </w:rPr>
              <w:t>运营</w:t>
            </w:r>
            <w:r>
              <w:rPr>
                <w:szCs w:val="21"/>
              </w:rPr>
              <w:t>业绩</w:t>
            </w: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Cs w:val="21"/>
              </w:rPr>
            </w:pP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b/>
                <w:bCs/>
                <w:kern w:val="0"/>
                <w:szCs w:val="21"/>
              </w:rPr>
            </w:pP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Borders>
              <w:top w:val="nil"/>
              <w:left w:val="single" w:color="auto" w:sz="4" w:space="0"/>
              <w:bottom w:val="single" w:color="auto" w:sz="4" w:space="0"/>
              <w:right w:val="single" w:color="auto" w:sz="4" w:space="0"/>
            </w:tcBorders>
            <w:vAlign w:val="center"/>
          </w:tcPr>
          <w:p>
            <w:pPr>
              <w:widowControl/>
              <w:jc w:val="left"/>
              <w:rPr>
                <w:bCs/>
                <w:kern w:val="0"/>
                <w:szCs w:val="21"/>
              </w:rPr>
            </w:pPr>
            <w:r>
              <w:rPr>
                <w:rFonts w:hint="eastAsia"/>
                <w:bCs/>
                <w:kern w:val="0"/>
                <w:szCs w:val="21"/>
              </w:rPr>
              <w:t>污水处理类</w:t>
            </w:r>
            <w:r>
              <w:rPr>
                <w:bCs/>
                <w:kern w:val="0"/>
                <w:szCs w:val="21"/>
              </w:rPr>
              <w:t>项目</w:t>
            </w:r>
            <w:r>
              <w:rPr>
                <w:rFonts w:hint="eastAsia"/>
                <w:bCs/>
                <w:kern w:val="0"/>
                <w:szCs w:val="21"/>
              </w:rPr>
              <w:t>PPP或EPC</w:t>
            </w:r>
            <w:r>
              <w:rPr>
                <w:bCs/>
                <w:kern w:val="0"/>
                <w:szCs w:val="21"/>
              </w:rPr>
              <w:t>业绩</w:t>
            </w:r>
          </w:p>
        </w:tc>
        <w:tc>
          <w:tcPr>
            <w:tcW w:w="1134"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992"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560"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09"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1418"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c>
          <w:tcPr>
            <w:tcW w:w="713" w:type="dxa"/>
            <w:tcBorders>
              <w:top w:val="single" w:color="auto" w:sz="4" w:space="0"/>
              <w:left w:val="nil"/>
              <w:bottom w:val="single" w:color="auto" w:sz="4" w:space="0"/>
              <w:right w:val="single" w:color="auto" w:sz="4" w:space="0"/>
            </w:tcBorders>
          </w:tcPr>
          <w:p>
            <w:pPr>
              <w:widowControl/>
              <w:spacing w:beforeLines="50" w:afterLines="50"/>
              <w:jc w:val="center"/>
              <w:rPr>
                <w:b/>
                <w:bCs/>
                <w:kern w:val="0"/>
                <w:szCs w:val="21"/>
              </w:rPr>
            </w:pPr>
          </w:p>
        </w:tc>
      </w:tr>
    </w:tbl>
    <w:p>
      <w:pPr>
        <w:widowControl/>
        <w:spacing w:line="360" w:lineRule="auto"/>
        <w:ind w:firstLine="498" w:firstLineChars="200"/>
        <w:rPr>
          <w:kern w:val="0"/>
          <w:sz w:val="24"/>
        </w:rPr>
      </w:pPr>
      <w:r>
        <w:rPr>
          <w:kern w:val="0"/>
          <w:sz w:val="24"/>
        </w:rPr>
        <w:t>备注：本表后附中标通知书或项目合同、获奖证书等证明材料的扫描件，开标时提供原件备查。</w:t>
      </w:r>
    </w:p>
    <w:p>
      <w:pPr>
        <w:widowControl/>
        <w:numPr>
          <w:ilvl w:val="0"/>
          <w:numId w:val="38"/>
        </w:numPr>
        <w:spacing w:line="360" w:lineRule="auto"/>
        <w:ind w:firstLine="498" w:firstLineChars="200"/>
        <w:jc w:val="center"/>
        <w:outlineLvl w:val="2"/>
        <w:rPr>
          <w:b/>
          <w:sz w:val="24"/>
          <w:szCs w:val="32"/>
        </w:rPr>
      </w:pPr>
      <w:r>
        <w:rPr>
          <w:bCs/>
          <w:kern w:val="0"/>
          <w:sz w:val="24"/>
        </w:rPr>
        <w:br w:type="page"/>
      </w:r>
      <w:r>
        <w:rPr>
          <w:b/>
          <w:sz w:val="24"/>
          <w:szCs w:val="32"/>
        </w:rPr>
        <w:t>投融资能力</w:t>
      </w:r>
    </w:p>
    <w:p>
      <w:pPr>
        <w:widowControl/>
        <w:spacing w:beforeAutospacing="1" w:afterAutospacing="1" w:line="360" w:lineRule="auto"/>
        <w:jc w:val="left"/>
        <w:rPr>
          <w:sz w:val="24"/>
        </w:rPr>
      </w:pPr>
      <w:r>
        <w:rPr>
          <w:szCs w:val="21"/>
        </w:rPr>
        <w:t>（1）</w:t>
      </w:r>
      <w:r>
        <w:rPr>
          <w:sz w:val="24"/>
        </w:rPr>
        <w:t>近年财务状况表</w:t>
      </w:r>
    </w:p>
    <w:tbl>
      <w:tblPr>
        <w:tblStyle w:val="52"/>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85"/>
        <w:gridCol w:w="1685"/>
        <w:gridCol w:w="168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指标名称</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201</w:t>
            </w:r>
            <w:r>
              <w:rPr>
                <w:rFonts w:hint="eastAsia"/>
                <w:kern w:val="0"/>
                <w:szCs w:val="21"/>
              </w:rPr>
              <w:t>5</w:t>
            </w:r>
            <w:r>
              <w:rPr>
                <w:kern w:val="0"/>
                <w:szCs w:val="21"/>
              </w:rPr>
              <w:t>年</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201</w:t>
            </w:r>
            <w:r>
              <w:rPr>
                <w:rFonts w:hint="eastAsia"/>
                <w:kern w:val="0"/>
                <w:szCs w:val="21"/>
              </w:rPr>
              <w:t>6</w:t>
            </w:r>
            <w:r>
              <w:rPr>
                <w:kern w:val="0"/>
                <w:szCs w:val="21"/>
              </w:rPr>
              <w:t>年</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201</w:t>
            </w:r>
            <w:r>
              <w:rPr>
                <w:rFonts w:hint="eastAsia"/>
                <w:kern w:val="0"/>
                <w:szCs w:val="21"/>
              </w:rPr>
              <w:t>7</w:t>
            </w:r>
            <w:r>
              <w:rPr>
                <w:kern w:val="0"/>
                <w:szCs w:val="21"/>
              </w:rPr>
              <w:t>年</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r>
              <w:rPr>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 w:val="24"/>
              </w:rPr>
            </w:pPr>
            <w:r>
              <w:rPr>
                <w:kern w:val="0"/>
                <w:sz w:val="24"/>
              </w:rPr>
              <w:t>总资产（万元）</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 w:val="24"/>
              </w:rPr>
            </w:pPr>
            <w:r>
              <w:rPr>
                <w:kern w:val="0"/>
                <w:sz w:val="24"/>
              </w:rPr>
              <w:t>净资产（万元）</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 w:val="24"/>
              </w:rPr>
            </w:pPr>
            <w:r>
              <w:rPr>
                <w:kern w:val="0"/>
                <w:sz w:val="24"/>
              </w:rPr>
              <w:t>货币资金（万元）</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 w:val="24"/>
              </w:rPr>
            </w:pPr>
            <w:r>
              <w:rPr>
                <w:kern w:val="0"/>
                <w:sz w:val="24"/>
              </w:rPr>
              <w:t>营业收入（万元）</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0"/>
                <w:szCs w:val="21"/>
              </w:rPr>
            </w:pPr>
            <w:r>
              <w:rPr>
                <w:kern w:val="0"/>
                <w:szCs w:val="21"/>
              </w:rPr>
              <w:t>净利润（万元）</w:t>
            </w: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c>
          <w:tcPr>
            <w:tcW w:w="1685" w:type="dxa"/>
            <w:tcBorders>
              <w:top w:val="single" w:color="auto" w:sz="4" w:space="0"/>
              <w:left w:val="nil"/>
              <w:bottom w:val="single" w:color="auto" w:sz="4" w:space="0"/>
              <w:right w:val="single" w:color="auto" w:sz="4" w:space="0"/>
            </w:tcBorders>
            <w:vAlign w:val="center"/>
          </w:tcPr>
          <w:p>
            <w:pPr>
              <w:widowControl/>
              <w:spacing w:line="360" w:lineRule="auto"/>
              <w:jc w:val="center"/>
              <w:rPr>
                <w:kern w:val="0"/>
                <w:szCs w:val="21"/>
              </w:rPr>
            </w:pPr>
          </w:p>
        </w:tc>
      </w:tr>
    </w:tbl>
    <w:p>
      <w:pPr>
        <w:widowControl/>
        <w:spacing w:line="360" w:lineRule="auto"/>
        <w:ind w:firstLine="498" w:firstLineChars="200"/>
        <w:rPr>
          <w:kern w:val="0"/>
          <w:sz w:val="24"/>
        </w:rPr>
      </w:pPr>
      <w:r>
        <w:rPr>
          <w:kern w:val="0"/>
          <w:sz w:val="24"/>
        </w:rPr>
        <w:t>备注：本表后应附投标人</w:t>
      </w:r>
      <w:r>
        <w:rPr>
          <w:rFonts w:hint="eastAsia"/>
          <w:kern w:val="0"/>
          <w:sz w:val="24"/>
        </w:rPr>
        <w:t>2016、</w:t>
      </w:r>
      <w:r>
        <w:rPr>
          <w:kern w:val="0"/>
          <w:sz w:val="24"/>
        </w:rPr>
        <w:t>201</w:t>
      </w:r>
      <w:r>
        <w:rPr>
          <w:rFonts w:hint="eastAsia"/>
          <w:kern w:val="0"/>
          <w:sz w:val="24"/>
        </w:rPr>
        <w:t>7</w:t>
      </w:r>
      <w:r>
        <w:rPr>
          <w:kern w:val="0"/>
          <w:sz w:val="24"/>
        </w:rPr>
        <w:t>年度经会计师事务所或审计机构审计的财务会计报表，包括资产负债表、现金流量表、利润表的扫描件。联合体申请</w:t>
      </w:r>
      <w:r>
        <w:rPr>
          <w:rFonts w:hint="eastAsia"/>
          <w:kern w:val="0"/>
          <w:sz w:val="24"/>
        </w:rPr>
        <w:t>投标的须由联合体中承担财务投资单位</w:t>
      </w:r>
      <w:r>
        <w:rPr>
          <w:kern w:val="0"/>
          <w:sz w:val="24"/>
        </w:rPr>
        <w:t>提供</w:t>
      </w:r>
      <w:r>
        <w:rPr>
          <w:rFonts w:hint="eastAsia"/>
          <w:kern w:val="0"/>
          <w:sz w:val="24"/>
        </w:rPr>
        <w:t>2016、</w:t>
      </w:r>
      <w:r>
        <w:rPr>
          <w:kern w:val="0"/>
          <w:sz w:val="24"/>
        </w:rPr>
        <w:t>201</w:t>
      </w:r>
      <w:r>
        <w:rPr>
          <w:rFonts w:hint="eastAsia"/>
          <w:kern w:val="0"/>
          <w:sz w:val="24"/>
        </w:rPr>
        <w:t>7</w:t>
      </w:r>
      <w:r>
        <w:rPr>
          <w:kern w:val="0"/>
          <w:sz w:val="24"/>
        </w:rPr>
        <w:t>年度经会计师事务所或审计机构审计的财务会计报表扫描件。成立不足三年的自成立当年开始提供，成立不足一年的仅需提供月度财务报表即可。</w:t>
      </w:r>
    </w:p>
    <w:p>
      <w:pPr>
        <w:widowControl/>
        <w:spacing w:beforeAutospacing="1" w:afterAutospacing="1" w:line="360" w:lineRule="auto"/>
        <w:jc w:val="left"/>
        <w:rPr>
          <w:sz w:val="24"/>
        </w:rPr>
      </w:pPr>
      <w:r>
        <w:rPr>
          <w:sz w:val="24"/>
        </w:rPr>
        <w:t>（2）</w:t>
      </w:r>
      <w:r>
        <w:rPr>
          <w:rFonts w:hint="eastAsia"/>
          <w:sz w:val="24"/>
        </w:rPr>
        <w:t>银行授信证明材料。</w:t>
      </w:r>
    </w:p>
    <w:p>
      <w:pPr>
        <w:widowControl/>
        <w:spacing w:beforeAutospacing="1" w:afterAutospacing="1" w:line="360" w:lineRule="auto"/>
        <w:jc w:val="left"/>
        <w:rPr>
          <w:sz w:val="24"/>
        </w:rPr>
      </w:pPr>
      <w:r>
        <w:rPr>
          <w:rFonts w:hint="eastAsia"/>
          <w:sz w:val="24"/>
        </w:rPr>
        <w:t>投标人或</w:t>
      </w:r>
      <w:r>
        <w:rPr>
          <w:sz w:val="24"/>
        </w:rPr>
        <w:t>联合体</w:t>
      </w:r>
      <w:r>
        <w:rPr>
          <w:rFonts w:hint="eastAsia"/>
          <w:sz w:val="24"/>
        </w:rPr>
        <w:t>中承担财务投资工作的单位附上证明材料。</w:t>
      </w:r>
      <w:r>
        <w:rPr>
          <w:b/>
          <w:kern w:val="0"/>
          <w:sz w:val="24"/>
        </w:rPr>
        <w:br w:type="page"/>
      </w:r>
    </w:p>
    <w:p>
      <w:pPr>
        <w:widowControl/>
        <w:numPr>
          <w:ilvl w:val="0"/>
          <w:numId w:val="38"/>
        </w:numPr>
        <w:spacing w:line="360" w:lineRule="auto"/>
        <w:ind w:firstLine="498" w:firstLineChars="200"/>
        <w:jc w:val="center"/>
        <w:outlineLvl w:val="2"/>
        <w:rPr>
          <w:b/>
          <w:bCs/>
          <w:kern w:val="0"/>
          <w:sz w:val="24"/>
        </w:rPr>
      </w:pPr>
      <w:r>
        <w:rPr>
          <w:b/>
          <w:bCs/>
          <w:kern w:val="0"/>
          <w:sz w:val="24"/>
        </w:rPr>
        <w:t>主要人员情况表</w:t>
      </w:r>
    </w:p>
    <w:p>
      <w:pPr>
        <w:widowControl/>
        <w:tabs>
          <w:tab w:val="left" w:pos="4000"/>
        </w:tabs>
        <w:spacing w:line="360" w:lineRule="auto"/>
        <w:ind w:firstLine="498" w:firstLineChars="200"/>
        <w:rPr>
          <w:kern w:val="0"/>
          <w:sz w:val="24"/>
        </w:rPr>
      </w:pPr>
      <w:r>
        <w:rPr>
          <w:kern w:val="0"/>
          <w:sz w:val="24"/>
        </w:rPr>
        <w:t>拟派总承包项目负责人应具有一级注册</w:t>
      </w:r>
      <w:r>
        <w:rPr>
          <w:rFonts w:hint="eastAsia"/>
          <w:kern w:val="0"/>
          <w:sz w:val="24"/>
        </w:rPr>
        <w:t>建造师</w:t>
      </w:r>
      <w:r>
        <w:rPr>
          <w:kern w:val="0"/>
          <w:sz w:val="24"/>
        </w:rPr>
        <w:t>资格。</w:t>
      </w:r>
    </w:p>
    <w:tbl>
      <w:tblPr>
        <w:tblStyle w:val="52"/>
        <w:tblW w:w="8958" w:type="dxa"/>
        <w:jc w:val="center"/>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926"/>
        <w:gridCol w:w="916"/>
        <w:gridCol w:w="2154"/>
        <w:gridCol w:w="141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rPr>
            </w:pPr>
            <w:r>
              <w:rPr>
                <w:rFonts w:hint="eastAsia"/>
                <w:sz w:val="24"/>
                <w:szCs w:val="22"/>
              </w:rPr>
              <w:t>姓名</w:t>
            </w:r>
          </w:p>
        </w:tc>
        <w:tc>
          <w:tcPr>
            <w:tcW w:w="851" w:type="dxa"/>
            <w:vAlign w:val="center"/>
          </w:tcPr>
          <w:p>
            <w:pPr>
              <w:widowControl/>
              <w:jc w:val="center"/>
              <w:rPr>
                <w:sz w:val="24"/>
                <w:szCs w:val="22"/>
              </w:rPr>
            </w:pPr>
            <w:r>
              <w:rPr>
                <w:rFonts w:hint="eastAsia"/>
                <w:sz w:val="24"/>
                <w:szCs w:val="22"/>
              </w:rPr>
              <w:t>性别</w:t>
            </w:r>
          </w:p>
        </w:tc>
        <w:tc>
          <w:tcPr>
            <w:tcW w:w="926" w:type="dxa"/>
            <w:vAlign w:val="center"/>
          </w:tcPr>
          <w:p>
            <w:pPr>
              <w:widowControl/>
              <w:jc w:val="center"/>
              <w:rPr>
                <w:sz w:val="24"/>
                <w:szCs w:val="22"/>
              </w:rPr>
            </w:pPr>
            <w:r>
              <w:rPr>
                <w:rFonts w:hint="eastAsia"/>
                <w:sz w:val="24"/>
                <w:szCs w:val="22"/>
              </w:rPr>
              <w:t>年龄</w:t>
            </w:r>
          </w:p>
        </w:tc>
        <w:tc>
          <w:tcPr>
            <w:tcW w:w="916" w:type="dxa"/>
            <w:vAlign w:val="center"/>
          </w:tcPr>
          <w:p>
            <w:pPr>
              <w:widowControl/>
              <w:jc w:val="center"/>
              <w:rPr>
                <w:sz w:val="24"/>
                <w:szCs w:val="22"/>
              </w:rPr>
            </w:pPr>
            <w:r>
              <w:rPr>
                <w:rFonts w:hint="eastAsia"/>
                <w:sz w:val="24"/>
                <w:szCs w:val="22"/>
              </w:rPr>
              <w:t>职称</w:t>
            </w:r>
          </w:p>
        </w:tc>
        <w:tc>
          <w:tcPr>
            <w:tcW w:w="2154" w:type="dxa"/>
            <w:vAlign w:val="center"/>
          </w:tcPr>
          <w:p>
            <w:pPr>
              <w:widowControl/>
              <w:jc w:val="center"/>
              <w:rPr>
                <w:sz w:val="24"/>
                <w:szCs w:val="22"/>
              </w:rPr>
            </w:pPr>
            <w:r>
              <w:rPr>
                <w:rFonts w:hint="eastAsia"/>
                <w:sz w:val="24"/>
                <w:szCs w:val="22"/>
              </w:rPr>
              <w:t>单位名称</w:t>
            </w:r>
          </w:p>
        </w:tc>
        <w:tc>
          <w:tcPr>
            <w:tcW w:w="1418" w:type="dxa"/>
            <w:vAlign w:val="center"/>
          </w:tcPr>
          <w:p>
            <w:pPr>
              <w:widowControl/>
              <w:jc w:val="center"/>
              <w:rPr>
                <w:sz w:val="24"/>
                <w:szCs w:val="22"/>
              </w:rPr>
            </w:pPr>
            <w:r>
              <w:rPr>
                <w:rFonts w:hint="eastAsia"/>
                <w:sz w:val="24"/>
                <w:szCs w:val="22"/>
              </w:rPr>
              <w:t>拟担任职务</w:t>
            </w:r>
          </w:p>
        </w:tc>
        <w:tc>
          <w:tcPr>
            <w:tcW w:w="1701" w:type="dxa"/>
            <w:vAlign w:val="center"/>
          </w:tcPr>
          <w:p>
            <w:pPr>
              <w:widowControl/>
              <w:jc w:val="center"/>
              <w:rPr>
                <w:sz w:val="24"/>
                <w:szCs w:val="22"/>
              </w:rPr>
            </w:pPr>
            <w:r>
              <w:rPr>
                <w:rFonts w:hint="eastAsia"/>
                <w:sz w:val="24"/>
                <w:szCs w:val="22"/>
              </w:rPr>
              <w:t>资格证书</w:t>
            </w:r>
            <w:r>
              <w:rPr>
                <w:sz w:val="24"/>
                <w:szCs w:val="22"/>
              </w:rPr>
              <w:br w:type="textWrapping"/>
            </w:r>
            <w:r>
              <w:rPr>
                <w:rFonts w:hint="eastAsia"/>
                <w:sz w:val="24"/>
                <w:szCs w:val="22"/>
              </w:rPr>
              <w:t>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 w:type="dxa"/>
            <w:vAlign w:val="center"/>
          </w:tcPr>
          <w:p>
            <w:pPr>
              <w:widowControl/>
              <w:jc w:val="center"/>
              <w:rPr>
                <w:sz w:val="24"/>
                <w:szCs w:val="22"/>
                <w:highlight w:val="yellow"/>
              </w:rPr>
            </w:pPr>
          </w:p>
        </w:tc>
        <w:tc>
          <w:tcPr>
            <w:tcW w:w="851" w:type="dxa"/>
            <w:vAlign w:val="center"/>
          </w:tcPr>
          <w:p>
            <w:pPr>
              <w:widowControl/>
              <w:jc w:val="center"/>
              <w:rPr>
                <w:sz w:val="24"/>
                <w:szCs w:val="22"/>
                <w:highlight w:val="yellow"/>
              </w:rPr>
            </w:pPr>
          </w:p>
        </w:tc>
        <w:tc>
          <w:tcPr>
            <w:tcW w:w="926" w:type="dxa"/>
            <w:vAlign w:val="center"/>
          </w:tcPr>
          <w:p>
            <w:pPr>
              <w:widowControl/>
              <w:jc w:val="center"/>
              <w:rPr>
                <w:sz w:val="24"/>
                <w:szCs w:val="22"/>
                <w:highlight w:val="yellow"/>
              </w:rPr>
            </w:pPr>
          </w:p>
        </w:tc>
        <w:tc>
          <w:tcPr>
            <w:tcW w:w="916" w:type="dxa"/>
            <w:vAlign w:val="center"/>
          </w:tcPr>
          <w:p>
            <w:pPr>
              <w:widowControl/>
              <w:jc w:val="center"/>
              <w:rPr>
                <w:sz w:val="24"/>
                <w:szCs w:val="22"/>
                <w:highlight w:val="yellow"/>
              </w:rPr>
            </w:pPr>
          </w:p>
        </w:tc>
        <w:tc>
          <w:tcPr>
            <w:tcW w:w="2154" w:type="dxa"/>
            <w:vAlign w:val="center"/>
          </w:tcPr>
          <w:p>
            <w:pPr>
              <w:widowControl/>
              <w:jc w:val="center"/>
              <w:rPr>
                <w:sz w:val="24"/>
                <w:szCs w:val="22"/>
                <w:highlight w:val="yellow"/>
              </w:rPr>
            </w:pPr>
          </w:p>
        </w:tc>
        <w:tc>
          <w:tcPr>
            <w:tcW w:w="1418" w:type="dxa"/>
            <w:vAlign w:val="center"/>
          </w:tcPr>
          <w:p>
            <w:pPr>
              <w:widowControl/>
              <w:jc w:val="center"/>
              <w:rPr>
                <w:sz w:val="24"/>
                <w:szCs w:val="22"/>
                <w:highlight w:val="yellow"/>
              </w:rPr>
            </w:pPr>
          </w:p>
        </w:tc>
        <w:tc>
          <w:tcPr>
            <w:tcW w:w="1701" w:type="dxa"/>
            <w:vAlign w:val="center"/>
          </w:tcPr>
          <w:p>
            <w:pPr>
              <w:widowControl/>
              <w:jc w:val="center"/>
              <w:rPr>
                <w:sz w:val="24"/>
                <w:szCs w:val="22"/>
                <w:highlight w:val="yellow"/>
              </w:rPr>
            </w:pPr>
          </w:p>
        </w:tc>
      </w:tr>
    </w:tbl>
    <w:p>
      <w:pPr>
        <w:widowControl/>
        <w:spacing w:line="360" w:lineRule="auto"/>
        <w:jc w:val="center"/>
        <w:rPr>
          <w:sz w:val="24"/>
          <w:szCs w:val="22"/>
          <w:highlight w:val="yellow"/>
        </w:rPr>
      </w:pPr>
    </w:p>
    <w:p>
      <w:pPr>
        <w:widowControl/>
        <w:spacing w:line="360" w:lineRule="auto"/>
        <w:ind w:firstLine="498" w:firstLineChars="200"/>
        <w:rPr>
          <w:sz w:val="24"/>
          <w:szCs w:val="22"/>
        </w:rPr>
      </w:pPr>
    </w:p>
    <w:p>
      <w:pPr>
        <w:widowControl/>
        <w:spacing w:line="360" w:lineRule="auto"/>
        <w:ind w:firstLine="498" w:firstLineChars="200"/>
        <w:rPr>
          <w:sz w:val="24"/>
          <w:szCs w:val="22"/>
        </w:rPr>
      </w:pPr>
      <w:r>
        <w:rPr>
          <w:sz w:val="24"/>
          <w:szCs w:val="22"/>
        </w:rPr>
        <w:t>备注：本表后附主要人员（总承包项目负责人）的身份证、资格证书</w:t>
      </w:r>
      <w:r>
        <w:rPr>
          <w:rFonts w:hint="eastAsia"/>
          <w:sz w:val="24"/>
          <w:szCs w:val="22"/>
        </w:rPr>
        <w:t>或职称证书、社保缴纳证明</w:t>
      </w:r>
      <w:r>
        <w:rPr>
          <w:sz w:val="24"/>
          <w:szCs w:val="22"/>
        </w:rPr>
        <w:t>等材料的扫描件。</w:t>
      </w:r>
    </w:p>
    <w:p>
      <w:pPr>
        <w:widowControl/>
        <w:jc w:val="left"/>
        <w:rPr>
          <w:sz w:val="24"/>
          <w:szCs w:val="22"/>
        </w:rPr>
      </w:pPr>
      <w:r>
        <w:rPr>
          <w:sz w:val="24"/>
          <w:szCs w:val="22"/>
        </w:rPr>
        <w:br w:type="page"/>
      </w:r>
    </w:p>
    <w:p>
      <w:pPr>
        <w:widowControl/>
        <w:numPr>
          <w:ilvl w:val="0"/>
          <w:numId w:val="38"/>
        </w:numPr>
        <w:spacing w:line="360" w:lineRule="auto"/>
        <w:ind w:firstLine="498" w:firstLineChars="200"/>
        <w:jc w:val="center"/>
        <w:outlineLvl w:val="2"/>
        <w:rPr>
          <w:b/>
          <w:bCs/>
          <w:kern w:val="0"/>
          <w:sz w:val="24"/>
        </w:rPr>
      </w:pPr>
      <w:r>
        <w:rPr>
          <w:b/>
          <w:bCs/>
          <w:kern w:val="0"/>
          <w:sz w:val="24"/>
        </w:rPr>
        <w:t>企业信誉</w:t>
      </w:r>
    </w:p>
    <w:p>
      <w:pPr>
        <w:widowControl/>
        <w:snapToGrid w:val="0"/>
        <w:spacing w:line="360" w:lineRule="auto"/>
        <w:ind w:firstLine="498" w:firstLineChars="200"/>
        <w:rPr>
          <w:sz w:val="24"/>
          <w:szCs w:val="22"/>
        </w:rPr>
      </w:pPr>
      <w:r>
        <w:rPr>
          <w:sz w:val="24"/>
          <w:szCs w:val="22"/>
        </w:rPr>
        <w:t>投标人具备守合同重信用的良好信誉，并获得省级或国家级“守合同重信用企业”认定的，应附相关的证书扫描件等证明材料，开标时提供原件备查。</w:t>
      </w:r>
    </w:p>
    <w:p>
      <w:pPr>
        <w:widowControl/>
        <w:snapToGrid w:val="0"/>
        <w:spacing w:line="360" w:lineRule="auto"/>
        <w:ind w:firstLine="498" w:firstLineChars="200"/>
        <w:rPr>
          <w:sz w:val="24"/>
        </w:rPr>
      </w:pPr>
      <w:r>
        <w:rPr>
          <w:sz w:val="24"/>
          <w:szCs w:val="22"/>
        </w:rPr>
        <w:t>备注：联合体投标</w:t>
      </w:r>
      <w:r>
        <w:rPr>
          <w:rFonts w:hint="eastAsia"/>
          <w:sz w:val="24"/>
          <w:szCs w:val="22"/>
        </w:rPr>
        <w:t>的</w:t>
      </w:r>
      <w:r>
        <w:rPr>
          <w:sz w:val="24"/>
          <w:szCs w:val="22"/>
        </w:rPr>
        <w:t>，</w:t>
      </w:r>
      <w:r>
        <w:rPr>
          <w:rFonts w:hint="eastAsia"/>
          <w:sz w:val="24"/>
          <w:szCs w:val="22"/>
        </w:rPr>
        <w:t>附联合体牵头人证书。</w:t>
      </w:r>
    </w:p>
    <w:p>
      <w:pPr>
        <w:widowControl/>
        <w:spacing w:line="480" w:lineRule="auto"/>
        <w:ind w:firstLine="1245" w:firstLineChars="500"/>
        <w:rPr>
          <w:b/>
          <w:bCs/>
          <w:kern w:val="0"/>
          <w:sz w:val="24"/>
        </w:rPr>
      </w:pPr>
      <w:r>
        <w:rPr>
          <w:rFonts w:hint="eastAsia"/>
          <w:sz w:val="24"/>
          <w:szCs w:val="22"/>
        </w:rPr>
        <w:t xml:space="preserve">                  </w:t>
      </w:r>
      <w:r>
        <w:rPr>
          <w:rFonts w:hint="eastAsia"/>
          <w:b/>
          <w:sz w:val="24"/>
          <w:szCs w:val="22"/>
        </w:rPr>
        <w:t>（六）</w:t>
      </w:r>
      <w:r>
        <w:rPr>
          <w:rFonts w:hint="eastAsia"/>
          <w:b/>
          <w:bCs/>
          <w:sz w:val="24"/>
          <w:szCs w:val="32"/>
        </w:rPr>
        <w:t>企业</w:t>
      </w:r>
      <w:r>
        <w:rPr>
          <w:rFonts w:hint="eastAsia"/>
          <w:b/>
          <w:bCs/>
          <w:kern w:val="0"/>
          <w:sz w:val="24"/>
        </w:rPr>
        <w:t>管理体系</w:t>
      </w:r>
    </w:p>
    <w:p>
      <w:pPr>
        <w:widowControl/>
        <w:snapToGrid w:val="0"/>
        <w:spacing w:line="360" w:lineRule="auto"/>
        <w:ind w:firstLine="498" w:firstLineChars="200"/>
        <w:jc w:val="center"/>
        <w:rPr>
          <w:sz w:val="24"/>
        </w:rPr>
      </w:pPr>
      <w:r>
        <w:rPr>
          <w:rFonts w:hint="eastAsia"/>
          <w:sz w:val="24"/>
          <w:szCs w:val="22"/>
        </w:rPr>
        <w:t xml:space="preserve">           附相关证书复印件</w:t>
      </w:r>
      <w:r>
        <w:rPr>
          <w:sz w:val="24"/>
          <w:szCs w:val="22"/>
        </w:rPr>
        <w:t>。</w:t>
      </w:r>
    </w:p>
    <w:p>
      <w:pPr>
        <w:widowControl/>
        <w:jc w:val="left"/>
        <w:rPr>
          <w:kern w:val="0"/>
          <w:sz w:val="24"/>
        </w:rPr>
      </w:pPr>
      <w:r>
        <w:rPr>
          <w:rFonts w:hint="eastAsia"/>
          <w:kern w:val="0"/>
          <w:sz w:val="24"/>
        </w:rPr>
        <w:t xml:space="preserve">     </w:t>
      </w:r>
      <w:r>
        <w:rPr>
          <w:kern w:val="0"/>
          <w:sz w:val="24"/>
        </w:rPr>
        <w:t>备注：联合体投标</w:t>
      </w:r>
      <w:r>
        <w:rPr>
          <w:rFonts w:hint="eastAsia"/>
          <w:kern w:val="0"/>
          <w:sz w:val="24"/>
        </w:rPr>
        <w:t>的</w:t>
      </w:r>
      <w:r>
        <w:rPr>
          <w:kern w:val="0"/>
          <w:sz w:val="24"/>
        </w:rPr>
        <w:t>，</w:t>
      </w:r>
      <w:r>
        <w:rPr>
          <w:rFonts w:hint="eastAsia"/>
          <w:kern w:val="0"/>
          <w:sz w:val="24"/>
        </w:rPr>
        <w:t>附联合体牵头人证书</w:t>
      </w:r>
      <w:r>
        <w:rPr>
          <w:kern w:val="0"/>
          <w:sz w:val="24"/>
        </w:rPr>
        <w:t>。</w:t>
      </w:r>
    </w:p>
    <w:p>
      <w:pPr>
        <w:widowControl/>
        <w:snapToGrid w:val="0"/>
        <w:spacing w:line="600" w:lineRule="exact"/>
        <w:ind w:left="420"/>
        <w:rPr>
          <w:szCs w:val="22"/>
        </w:rPr>
      </w:pPr>
    </w:p>
    <w:p>
      <w:pPr>
        <w:widowControl/>
        <w:spacing w:line="360" w:lineRule="auto"/>
        <w:ind w:left="420"/>
        <w:jc w:val="center"/>
        <w:outlineLvl w:val="2"/>
        <w:rPr>
          <w:b/>
          <w:bCs/>
          <w:kern w:val="0"/>
          <w:sz w:val="24"/>
        </w:rPr>
      </w:pPr>
      <w:r>
        <w:rPr>
          <w:rFonts w:hint="eastAsia"/>
          <w:b/>
          <w:bCs/>
          <w:kern w:val="0"/>
          <w:sz w:val="24"/>
        </w:rPr>
        <w:t>（七）</w:t>
      </w:r>
      <w:r>
        <w:rPr>
          <w:b/>
          <w:bCs/>
          <w:kern w:val="0"/>
          <w:sz w:val="24"/>
        </w:rPr>
        <w:t>技术实力</w:t>
      </w:r>
    </w:p>
    <w:p>
      <w:pPr>
        <w:widowControl/>
        <w:snapToGrid w:val="0"/>
        <w:spacing w:line="360" w:lineRule="auto"/>
        <w:ind w:firstLine="498" w:firstLineChars="200"/>
        <w:rPr>
          <w:sz w:val="24"/>
          <w:szCs w:val="22"/>
        </w:rPr>
      </w:pPr>
      <w:r>
        <w:rPr>
          <w:sz w:val="24"/>
          <w:szCs w:val="22"/>
        </w:rPr>
        <w:t>应附</w:t>
      </w:r>
      <w:r>
        <w:rPr>
          <w:rFonts w:hint="eastAsia"/>
          <w:sz w:val="24"/>
          <w:szCs w:val="22"/>
        </w:rPr>
        <w:t>投标人或联合体成员的</w:t>
      </w:r>
      <w:r>
        <w:rPr>
          <w:sz w:val="24"/>
          <w:szCs w:val="22"/>
        </w:rPr>
        <w:t>相关的</w:t>
      </w:r>
      <w:r>
        <w:rPr>
          <w:rFonts w:hint="eastAsia"/>
          <w:sz w:val="24"/>
          <w:szCs w:val="22"/>
        </w:rPr>
        <w:t>获奖</w:t>
      </w:r>
      <w:r>
        <w:rPr>
          <w:sz w:val="24"/>
          <w:szCs w:val="22"/>
        </w:rPr>
        <w:t>证等证明材料，开标时提供原件备查。</w:t>
      </w:r>
    </w:p>
    <w:p>
      <w:pPr>
        <w:widowControl/>
        <w:spacing w:line="360" w:lineRule="auto"/>
        <w:ind w:left="420"/>
        <w:jc w:val="center"/>
        <w:outlineLvl w:val="2"/>
        <w:rPr>
          <w:b/>
          <w:bCs/>
          <w:kern w:val="0"/>
          <w:sz w:val="24"/>
        </w:rPr>
      </w:pPr>
      <w:r>
        <w:rPr>
          <w:rFonts w:hint="eastAsia"/>
          <w:b/>
          <w:bCs/>
          <w:kern w:val="0"/>
          <w:sz w:val="24"/>
        </w:rPr>
        <w:t>（八）声明函</w:t>
      </w:r>
    </w:p>
    <w:bookmarkEnd w:id="2014"/>
    <w:p>
      <w:pPr>
        <w:widowControl/>
        <w:spacing w:line="360" w:lineRule="auto"/>
        <w:ind w:firstLine="498" w:firstLineChars="200"/>
        <w:jc w:val="center"/>
        <w:rPr>
          <w:sz w:val="24"/>
          <w:szCs w:val="22"/>
        </w:rPr>
      </w:pPr>
      <w:bookmarkStart w:id="2015" w:name="_Toc527560011"/>
      <w:bookmarkStart w:id="2016" w:name="_Toc437271321"/>
      <w:r>
        <w:rPr>
          <w:rFonts w:hint="eastAsia"/>
          <w:sz w:val="24"/>
          <w:szCs w:val="22"/>
        </w:rPr>
        <w:t>申请人郑重声明：参加本次政府采购活动前3年内，申请人在经营活动中没有因违法经营受到刑事处罚或者责令停业停产、吊销许可证或者执照、较大数额罚款等行政处罚。没有被主管部门列入黑名单或黑名单处罚期已过。</w:t>
      </w:r>
    </w:p>
    <w:p>
      <w:pPr>
        <w:widowControl/>
        <w:spacing w:line="360" w:lineRule="auto"/>
        <w:ind w:firstLine="498" w:firstLineChars="200"/>
        <w:jc w:val="center"/>
        <w:rPr>
          <w:sz w:val="24"/>
          <w:szCs w:val="22"/>
        </w:rPr>
      </w:pPr>
    </w:p>
    <w:p>
      <w:pPr>
        <w:widowControl/>
        <w:spacing w:line="360" w:lineRule="auto"/>
        <w:ind w:firstLine="498" w:firstLineChars="200"/>
        <w:jc w:val="center"/>
        <w:rPr>
          <w:sz w:val="24"/>
          <w:szCs w:val="22"/>
        </w:rPr>
      </w:pPr>
    </w:p>
    <w:p>
      <w:pPr>
        <w:widowControl/>
        <w:spacing w:line="360" w:lineRule="auto"/>
        <w:ind w:firstLine="498" w:firstLineChars="200"/>
        <w:jc w:val="center"/>
        <w:rPr>
          <w:sz w:val="24"/>
          <w:szCs w:val="22"/>
        </w:rPr>
      </w:pPr>
      <w:r>
        <w:rPr>
          <w:rFonts w:hint="eastAsia"/>
          <w:sz w:val="24"/>
          <w:szCs w:val="22"/>
        </w:rPr>
        <w:t>申请人：                         (盖单位公章）</w:t>
      </w:r>
    </w:p>
    <w:p>
      <w:pPr>
        <w:widowControl/>
        <w:spacing w:line="360" w:lineRule="auto"/>
        <w:ind w:firstLine="498" w:firstLineChars="200"/>
        <w:jc w:val="center"/>
        <w:rPr>
          <w:sz w:val="24"/>
          <w:szCs w:val="22"/>
        </w:rPr>
      </w:pPr>
      <w:r>
        <w:rPr>
          <w:rFonts w:hint="eastAsia"/>
          <w:sz w:val="24"/>
          <w:szCs w:val="22"/>
        </w:rPr>
        <w:t>法定代表人：</w:t>
      </w:r>
      <w:r>
        <w:rPr>
          <w:rFonts w:hint="eastAsia"/>
          <w:sz w:val="24"/>
          <w:szCs w:val="22"/>
        </w:rPr>
        <w:tab/>
      </w:r>
      <w:r>
        <w:rPr>
          <w:rFonts w:hint="eastAsia"/>
          <w:sz w:val="24"/>
          <w:szCs w:val="22"/>
        </w:rPr>
        <w:t xml:space="preserve">                    (签字)</w:t>
      </w:r>
    </w:p>
    <w:p>
      <w:pPr>
        <w:widowControl/>
        <w:spacing w:line="360" w:lineRule="auto"/>
        <w:ind w:firstLine="498" w:firstLineChars="200"/>
        <w:jc w:val="center"/>
        <w:rPr>
          <w:sz w:val="24"/>
          <w:szCs w:val="22"/>
        </w:rPr>
      </w:pPr>
      <w:r>
        <w:rPr>
          <w:rFonts w:hint="eastAsia"/>
          <w:sz w:val="24"/>
          <w:szCs w:val="22"/>
        </w:rPr>
        <w:t xml:space="preserve">日   期：_________________________  </w:t>
      </w:r>
    </w:p>
    <w:p>
      <w:pPr>
        <w:widowControl/>
        <w:spacing w:line="360" w:lineRule="auto"/>
        <w:ind w:firstLine="498" w:firstLineChars="200"/>
        <w:jc w:val="center"/>
        <w:rPr>
          <w:sz w:val="24"/>
          <w:szCs w:val="22"/>
        </w:rPr>
      </w:pPr>
      <w:r>
        <w:rPr>
          <w:rFonts w:hint="eastAsia"/>
          <w:sz w:val="24"/>
          <w:szCs w:val="22"/>
        </w:rPr>
        <w:t>备注：联合体申请，联合体各方成员均需出具声明函，由联合体各成员单位的法定代表人签署，并盖该成员单位的单位公章。</w:t>
      </w:r>
    </w:p>
    <w:p>
      <w:pPr>
        <w:widowControl/>
        <w:spacing w:line="360" w:lineRule="auto"/>
        <w:ind w:firstLine="498" w:firstLineChars="200"/>
        <w:jc w:val="center"/>
        <w:rPr>
          <w:b/>
          <w:bCs/>
          <w:sz w:val="24"/>
          <w:szCs w:val="32"/>
        </w:rPr>
      </w:pPr>
    </w:p>
    <w:p>
      <w:pPr>
        <w:widowControl/>
        <w:spacing w:line="360" w:lineRule="auto"/>
        <w:ind w:firstLine="498" w:firstLineChars="200"/>
        <w:jc w:val="center"/>
        <w:rPr>
          <w:b/>
          <w:bCs/>
          <w:sz w:val="24"/>
          <w:szCs w:val="32"/>
        </w:rPr>
      </w:pPr>
    </w:p>
    <w:p>
      <w:pPr>
        <w:widowControl/>
        <w:spacing w:line="360" w:lineRule="auto"/>
        <w:ind w:firstLine="498" w:firstLineChars="200"/>
        <w:jc w:val="center"/>
        <w:rPr>
          <w:kern w:val="0"/>
          <w:sz w:val="24"/>
        </w:rPr>
      </w:pPr>
      <w:r>
        <w:rPr>
          <w:rFonts w:hint="eastAsia"/>
          <w:b/>
          <w:bCs/>
          <w:sz w:val="24"/>
          <w:szCs w:val="32"/>
        </w:rPr>
        <w:t>八、</w:t>
      </w:r>
      <w:r>
        <w:rPr>
          <w:b/>
          <w:bCs/>
          <w:sz w:val="24"/>
          <w:szCs w:val="32"/>
        </w:rPr>
        <w:t>投融资方案</w:t>
      </w:r>
      <w:bookmarkEnd w:id="2015"/>
    </w:p>
    <w:p>
      <w:pPr>
        <w:widowControl/>
        <w:spacing w:line="360" w:lineRule="auto"/>
        <w:ind w:firstLine="498" w:firstLineChars="200"/>
        <w:jc w:val="left"/>
        <w:rPr>
          <w:sz w:val="24"/>
          <w:szCs w:val="22"/>
        </w:rPr>
      </w:pPr>
      <w:r>
        <w:rPr>
          <w:sz w:val="24"/>
          <w:szCs w:val="22"/>
        </w:rPr>
        <w:t>投融资方案包括但不限于项目总投资、投资计划、融资方案、融资资金来源、融资成本、融资期限、融资增信措施、融资交割完成时间等内容。</w:t>
      </w:r>
    </w:p>
    <w:p>
      <w:pPr>
        <w:widowControl/>
        <w:spacing w:line="480" w:lineRule="auto"/>
        <w:ind w:firstLine="1245" w:firstLineChars="500"/>
        <w:jc w:val="right"/>
        <w:rPr>
          <w:sz w:val="24"/>
          <w:szCs w:val="22"/>
        </w:rPr>
      </w:pPr>
    </w:p>
    <w:p>
      <w:pPr>
        <w:widowControl/>
        <w:spacing w:line="360" w:lineRule="auto"/>
        <w:ind w:firstLine="498" w:firstLineChars="200"/>
        <w:jc w:val="right"/>
        <w:rPr>
          <w:sz w:val="24"/>
        </w:rPr>
      </w:pPr>
      <w:r>
        <w:rPr>
          <w:sz w:val="24"/>
          <w:szCs w:val="22"/>
        </w:rPr>
        <w:t>投标人：_____________________（盖单位公章）</w:t>
      </w:r>
    </w:p>
    <w:p>
      <w:pPr>
        <w:widowControl/>
        <w:spacing w:line="360" w:lineRule="auto"/>
        <w:ind w:firstLine="498" w:firstLineChars="200"/>
        <w:jc w:val="right"/>
        <w:rPr>
          <w:sz w:val="24"/>
          <w:szCs w:val="22"/>
        </w:rPr>
      </w:pPr>
      <w:r>
        <w:rPr>
          <w:sz w:val="24"/>
          <w:szCs w:val="22"/>
        </w:rPr>
        <w:t>法定代表人或其委托代理人：____________（签字）</w:t>
      </w:r>
    </w:p>
    <w:p>
      <w:pPr>
        <w:widowControl/>
        <w:spacing w:line="360" w:lineRule="auto"/>
        <w:ind w:firstLine="498" w:firstLineChars="200"/>
        <w:jc w:val="right"/>
        <w:rPr>
          <w:sz w:val="24"/>
          <w:szCs w:val="22"/>
        </w:rPr>
      </w:pPr>
      <w:r>
        <w:rPr>
          <w:sz w:val="24"/>
          <w:szCs w:val="22"/>
        </w:rPr>
        <w:t>__________年_________月_________日</w:t>
      </w:r>
    </w:p>
    <w:p>
      <w:pPr>
        <w:widowControl/>
        <w:spacing w:line="360" w:lineRule="auto"/>
        <w:ind w:firstLine="498" w:firstLineChars="200"/>
        <w:rPr>
          <w:sz w:val="24"/>
          <w:szCs w:val="22"/>
        </w:rPr>
        <w:sectPr>
          <w:headerReference r:id="rId23" w:type="default"/>
          <w:pgSz w:w="11849" w:h="16781"/>
          <w:pgMar w:top="1440" w:right="1803" w:bottom="1440" w:left="1803" w:header="1134" w:footer="737" w:gutter="0"/>
          <w:cols w:space="0" w:num="1"/>
          <w:titlePg/>
          <w:docGrid w:type="linesAndChars" w:linePitch="397" w:charSpace="2004"/>
        </w:sectPr>
      </w:pPr>
      <w:r>
        <w:rPr>
          <w:sz w:val="24"/>
          <w:szCs w:val="22"/>
        </w:rPr>
        <w:t>备注：联合体投标，填写联合体牵头人名称，须由联合体牵头人的法定代表人</w:t>
      </w:r>
      <w:r>
        <w:rPr>
          <w:rFonts w:hint="eastAsia"/>
          <w:sz w:val="24"/>
          <w:szCs w:val="22"/>
        </w:rPr>
        <w:t>或其委托代理人</w:t>
      </w:r>
      <w:r>
        <w:rPr>
          <w:sz w:val="24"/>
          <w:szCs w:val="22"/>
        </w:rPr>
        <w:t>签署，并盖联合体牵头人单位公章。</w:t>
      </w:r>
    </w:p>
    <w:bookmarkEnd w:id="2016"/>
    <w:p>
      <w:pPr>
        <w:keepNext/>
        <w:widowControl/>
        <w:tabs>
          <w:tab w:val="left" w:pos="0"/>
          <w:tab w:val="left" w:pos="280"/>
        </w:tabs>
        <w:spacing w:before="100" w:after="100" w:line="360" w:lineRule="auto"/>
        <w:ind w:left="3545" w:firstLine="482" w:firstLineChars="200"/>
        <w:outlineLvl w:val="1"/>
        <w:rPr>
          <w:b/>
          <w:bCs/>
          <w:sz w:val="24"/>
          <w:szCs w:val="32"/>
        </w:rPr>
      </w:pPr>
      <w:bookmarkStart w:id="2017" w:name="_Toc527560013"/>
      <w:bookmarkStart w:id="2018" w:name="_Toc534813030"/>
      <w:r>
        <w:rPr>
          <w:rFonts w:hint="eastAsia"/>
          <w:b/>
          <w:bCs/>
          <w:sz w:val="24"/>
          <w:szCs w:val="32"/>
        </w:rPr>
        <w:t>九、</w:t>
      </w:r>
      <w:bookmarkEnd w:id="2017"/>
      <w:bookmarkEnd w:id="2018"/>
      <w:r>
        <w:rPr>
          <w:rFonts w:hint="eastAsia"/>
          <w:b/>
          <w:bCs/>
          <w:sz w:val="24"/>
          <w:szCs w:val="32"/>
        </w:rPr>
        <w:t>技术方案</w:t>
      </w:r>
    </w:p>
    <w:p>
      <w:pPr>
        <w:pStyle w:val="2"/>
        <w:ind w:firstLine="210"/>
      </w:pPr>
    </w:p>
    <w:p>
      <w:pPr>
        <w:widowControl/>
        <w:spacing w:line="360" w:lineRule="auto"/>
        <w:ind w:left="187" w:firstLine="480" w:firstLineChars="200"/>
        <w:rPr>
          <w:sz w:val="24"/>
          <w:szCs w:val="22"/>
        </w:rPr>
      </w:pPr>
      <w:r>
        <w:rPr>
          <w:sz w:val="24"/>
          <w:szCs w:val="22"/>
        </w:rPr>
        <w:t>投标人拟定的项目技术方案中应包含但不限于以下内容：</w:t>
      </w:r>
    </w:p>
    <w:p>
      <w:pPr>
        <w:widowControl/>
        <w:tabs>
          <w:tab w:val="left" w:pos="284"/>
        </w:tabs>
        <w:ind w:left="480"/>
        <w:jc w:val="left"/>
        <w:outlineLvl w:val="2"/>
        <w:rPr>
          <w:bCs/>
          <w:sz w:val="24"/>
          <w:szCs w:val="32"/>
        </w:rPr>
      </w:pPr>
      <w:r>
        <w:rPr>
          <w:rFonts w:hint="eastAsia"/>
          <w:bCs/>
          <w:sz w:val="24"/>
          <w:szCs w:val="32"/>
        </w:rPr>
        <w:t>（一）建设</w:t>
      </w:r>
      <w:r>
        <w:rPr>
          <w:bCs/>
          <w:sz w:val="24"/>
          <w:szCs w:val="32"/>
        </w:rPr>
        <w:t>运营</w:t>
      </w:r>
      <w:r>
        <w:rPr>
          <w:rFonts w:hint="eastAsia"/>
          <w:bCs/>
          <w:sz w:val="24"/>
          <w:szCs w:val="32"/>
        </w:rPr>
        <w:t>方案</w:t>
      </w:r>
      <w:r>
        <w:rPr>
          <w:bCs/>
          <w:sz w:val="24"/>
          <w:szCs w:val="32"/>
        </w:rPr>
        <w:t>设计</w:t>
      </w:r>
    </w:p>
    <w:p>
      <w:pPr>
        <w:widowControl/>
        <w:spacing w:line="360" w:lineRule="auto"/>
        <w:ind w:firstLine="480" w:firstLineChars="200"/>
        <w:jc w:val="left"/>
        <w:rPr>
          <w:bCs/>
          <w:sz w:val="24"/>
          <w:szCs w:val="32"/>
        </w:rPr>
      </w:pPr>
      <w:r>
        <w:rPr>
          <w:bCs/>
          <w:sz w:val="24"/>
          <w:szCs w:val="32"/>
        </w:rPr>
        <w:t>勘察设计方案包括但不限于设计工作进度计划、设计标准和初步方案、设计质量保障措施等内容。</w:t>
      </w:r>
    </w:p>
    <w:p>
      <w:pPr>
        <w:widowControl/>
        <w:tabs>
          <w:tab w:val="left" w:pos="284"/>
        </w:tabs>
        <w:ind w:left="480"/>
        <w:jc w:val="left"/>
        <w:outlineLvl w:val="2"/>
        <w:rPr>
          <w:bCs/>
          <w:sz w:val="24"/>
          <w:szCs w:val="32"/>
        </w:rPr>
      </w:pPr>
      <w:r>
        <w:rPr>
          <w:rFonts w:hint="eastAsia"/>
          <w:bCs/>
          <w:sz w:val="24"/>
          <w:szCs w:val="32"/>
        </w:rPr>
        <w:t>（二）工程建设管理方案</w:t>
      </w:r>
    </w:p>
    <w:p>
      <w:pPr>
        <w:widowControl/>
        <w:spacing w:line="360" w:lineRule="auto"/>
        <w:ind w:firstLine="480" w:firstLineChars="200"/>
        <w:jc w:val="left"/>
        <w:rPr>
          <w:bCs/>
          <w:sz w:val="24"/>
          <w:szCs w:val="32"/>
        </w:rPr>
      </w:pPr>
      <w:r>
        <w:rPr>
          <w:rFonts w:hint="eastAsia"/>
          <w:bCs/>
          <w:sz w:val="24"/>
          <w:szCs w:val="32"/>
        </w:rPr>
        <w:t>工程建设管理方案</w:t>
      </w:r>
      <w:r>
        <w:rPr>
          <w:bCs/>
          <w:sz w:val="24"/>
          <w:szCs w:val="32"/>
        </w:rPr>
        <w:t>包括但不限于建设进度计划</w:t>
      </w:r>
      <w:r>
        <w:rPr>
          <w:rFonts w:hint="eastAsia"/>
          <w:bCs/>
          <w:sz w:val="24"/>
          <w:szCs w:val="32"/>
        </w:rPr>
        <w:t>、</w:t>
      </w:r>
      <w:r>
        <w:rPr>
          <w:bCs/>
          <w:sz w:val="24"/>
          <w:szCs w:val="32"/>
        </w:rPr>
        <w:t>施工组织与管理、建设进度计划及保障措施、施工方案、质量目标及保障措施、安全生产、环境保护、应急措施等内容</w:t>
      </w:r>
      <w:r>
        <w:rPr>
          <w:rFonts w:hint="eastAsia"/>
          <w:bCs/>
          <w:sz w:val="24"/>
          <w:szCs w:val="32"/>
        </w:rPr>
        <w:t>。</w:t>
      </w:r>
    </w:p>
    <w:p>
      <w:pPr>
        <w:widowControl/>
        <w:tabs>
          <w:tab w:val="left" w:pos="284"/>
        </w:tabs>
        <w:spacing w:line="360" w:lineRule="auto"/>
        <w:ind w:left="480"/>
        <w:jc w:val="left"/>
        <w:outlineLvl w:val="2"/>
        <w:rPr>
          <w:bCs/>
          <w:sz w:val="24"/>
          <w:szCs w:val="32"/>
        </w:rPr>
      </w:pPr>
      <w:r>
        <w:rPr>
          <w:rFonts w:hint="eastAsia"/>
          <w:bCs/>
          <w:sz w:val="24"/>
          <w:szCs w:val="32"/>
        </w:rPr>
        <w:t>（三）</w:t>
      </w:r>
      <w:r>
        <w:rPr>
          <w:bCs/>
          <w:sz w:val="24"/>
          <w:szCs w:val="32"/>
        </w:rPr>
        <w:t>运营服务方案</w:t>
      </w:r>
    </w:p>
    <w:p>
      <w:pPr>
        <w:widowControl/>
        <w:tabs>
          <w:tab w:val="left" w:pos="284"/>
        </w:tabs>
        <w:spacing w:line="360" w:lineRule="auto"/>
        <w:ind w:firstLine="480" w:firstLineChars="200"/>
        <w:jc w:val="left"/>
        <w:rPr>
          <w:bCs/>
          <w:sz w:val="24"/>
          <w:szCs w:val="32"/>
        </w:rPr>
      </w:pPr>
      <w:r>
        <w:rPr>
          <w:bCs/>
          <w:sz w:val="24"/>
          <w:szCs w:val="32"/>
        </w:rPr>
        <w:t>运营服务方案包括但不限于运营管理团队、设施维护手册、服务质量要求、</w:t>
      </w:r>
      <w:r>
        <w:rPr>
          <w:rFonts w:hint="eastAsia"/>
          <w:bCs/>
          <w:sz w:val="24"/>
          <w:szCs w:val="32"/>
        </w:rPr>
        <w:t>运营成本分析、</w:t>
      </w:r>
      <w:r>
        <w:rPr>
          <w:bCs/>
          <w:sz w:val="24"/>
          <w:szCs w:val="32"/>
        </w:rPr>
        <w:t>大中修计划等内容</w:t>
      </w:r>
      <w:r>
        <w:rPr>
          <w:rFonts w:hint="eastAsia"/>
          <w:bCs/>
          <w:sz w:val="24"/>
          <w:szCs w:val="32"/>
        </w:rPr>
        <w:t>。</w:t>
      </w:r>
    </w:p>
    <w:p>
      <w:pPr>
        <w:widowControl/>
        <w:tabs>
          <w:tab w:val="left" w:pos="284"/>
        </w:tabs>
        <w:spacing w:line="360" w:lineRule="auto"/>
        <w:ind w:left="480"/>
        <w:jc w:val="left"/>
        <w:outlineLvl w:val="2"/>
        <w:rPr>
          <w:bCs/>
          <w:sz w:val="24"/>
          <w:szCs w:val="32"/>
        </w:rPr>
      </w:pPr>
      <w:r>
        <w:rPr>
          <w:rFonts w:hint="eastAsia"/>
          <w:bCs/>
          <w:sz w:val="24"/>
          <w:szCs w:val="32"/>
        </w:rPr>
        <w:t>（四）</w:t>
      </w:r>
      <w:r>
        <w:rPr>
          <w:bCs/>
          <w:sz w:val="24"/>
          <w:szCs w:val="32"/>
        </w:rPr>
        <w:t>项目移交方案</w:t>
      </w:r>
    </w:p>
    <w:p>
      <w:pPr>
        <w:widowControl/>
        <w:tabs>
          <w:tab w:val="left" w:pos="284"/>
        </w:tabs>
        <w:spacing w:before="100" w:after="100" w:line="360" w:lineRule="auto"/>
        <w:ind w:firstLine="480" w:firstLineChars="200"/>
        <w:jc w:val="left"/>
        <w:rPr>
          <w:bCs/>
          <w:sz w:val="24"/>
          <w:szCs w:val="32"/>
        </w:rPr>
      </w:pPr>
      <w:r>
        <w:rPr>
          <w:bCs/>
          <w:sz w:val="24"/>
          <w:szCs w:val="32"/>
        </w:rPr>
        <w:t>移交方案包括但不限于移交工作组织、移交时间安排、最后恢复检修计划、移交程序、移交内容、质量保证等。</w:t>
      </w:r>
    </w:p>
    <w:p>
      <w:pPr>
        <w:pStyle w:val="2"/>
        <w:ind w:firstLine="240"/>
        <w:rPr>
          <w:bCs/>
          <w:sz w:val="24"/>
          <w:szCs w:val="32"/>
        </w:rPr>
      </w:pPr>
      <w:r>
        <w:rPr>
          <w:rFonts w:hint="eastAsia"/>
          <w:bCs/>
          <w:sz w:val="24"/>
          <w:szCs w:val="32"/>
        </w:rPr>
        <w:t xml:space="preserve"> （五）服务承诺</w:t>
      </w:r>
    </w:p>
    <w:p>
      <w:pPr>
        <w:pStyle w:val="5"/>
      </w:pPr>
    </w:p>
    <w:p>
      <w:pPr>
        <w:pStyle w:val="2"/>
        <w:ind w:firstLine="210"/>
      </w:pPr>
    </w:p>
    <w:p>
      <w:pPr>
        <w:widowControl/>
        <w:spacing w:line="360" w:lineRule="auto"/>
        <w:ind w:firstLine="480" w:firstLineChars="200"/>
        <w:rPr>
          <w:sz w:val="24"/>
          <w:szCs w:val="22"/>
        </w:rPr>
      </w:pPr>
    </w:p>
    <w:p>
      <w:pPr>
        <w:widowControl/>
        <w:spacing w:line="360" w:lineRule="auto"/>
        <w:ind w:firstLine="480" w:firstLineChars="200"/>
        <w:rPr>
          <w:sz w:val="24"/>
          <w:szCs w:val="22"/>
        </w:rPr>
      </w:pPr>
    </w:p>
    <w:p>
      <w:pPr>
        <w:widowControl/>
        <w:spacing w:line="360" w:lineRule="auto"/>
        <w:ind w:firstLine="480" w:firstLineChars="200"/>
        <w:jc w:val="right"/>
        <w:rPr>
          <w:sz w:val="24"/>
          <w:szCs w:val="22"/>
        </w:rPr>
      </w:pPr>
    </w:p>
    <w:p>
      <w:pPr>
        <w:widowControl/>
        <w:spacing w:line="360" w:lineRule="auto"/>
        <w:ind w:firstLine="480" w:firstLineChars="200"/>
        <w:jc w:val="right"/>
        <w:rPr>
          <w:sz w:val="24"/>
        </w:rPr>
      </w:pPr>
      <w:r>
        <w:rPr>
          <w:sz w:val="24"/>
          <w:szCs w:val="22"/>
        </w:rPr>
        <w:t>投标人：_____________________（盖单位公章）</w:t>
      </w:r>
    </w:p>
    <w:p>
      <w:pPr>
        <w:widowControl/>
        <w:spacing w:line="360" w:lineRule="auto"/>
        <w:ind w:firstLine="480" w:firstLineChars="200"/>
        <w:jc w:val="right"/>
        <w:rPr>
          <w:sz w:val="24"/>
          <w:szCs w:val="22"/>
        </w:rPr>
      </w:pPr>
      <w:r>
        <w:rPr>
          <w:sz w:val="24"/>
          <w:szCs w:val="22"/>
        </w:rPr>
        <w:t>法定代表人或其委托代理人：____________（签字）</w:t>
      </w:r>
    </w:p>
    <w:p>
      <w:pPr>
        <w:widowControl/>
        <w:spacing w:line="360" w:lineRule="auto"/>
        <w:ind w:firstLine="480" w:firstLineChars="200"/>
        <w:jc w:val="right"/>
        <w:rPr>
          <w:sz w:val="24"/>
          <w:szCs w:val="22"/>
        </w:rPr>
      </w:pPr>
      <w:r>
        <w:rPr>
          <w:sz w:val="24"/>
          <w:szCs w:val="22"/>
        </w:rPr>
        <w:t>__________年_________月_________日</w:t>
      </w:r>
    </w:p>
    <w:p>
      <w:pPr>
        <w:widowControl/>
        <w:jc w:val="center"/>
        <w:rPr>
          <w:b/>
          <w:sz w:val="24"/>
        </w:rPr>
      </w:pPr>
      <w:r>
        <w:rPr>
          <w:sz w:val="24"/>
          <w:szCs w:val="22"/>
        </w:rPr>
        <w:br w:type="page"/>
      </w:r>
      <w:r>
        <w:rPr>
          <w:rFonts w:hint="eastAsia"/>
          <w:b/>
          <w:sz w:val="24"/>
        </w:rPr>
        <w:t>十、法律方案</w:t>
      </w:r>
    </w:p>
    <w:p>
      <w:pPr>
        <w:pStyle w:val="2"/>
        <w:ind w:firstLine="210"/>
        <w:jc w:val="center"/>
      </w:pPr>
      <w:r>
        <w:rPr>
          <w:rFonts w:hint="eastAsia"/>
        </w:rPr>
        <w:t>格式自拟</w:t>
      </w:r>
    </w:p>
    <w:p>
      <w:pPr>
        <w:pStyle w:val="5"/>
      </w:pPr>
    </w:p>
    <w:p>
      <w:pPr>
        <w:pStyle w:val="5"/>
      </w:pPr>
    </w:p>
    <w:p>
      <w:pPr>
        <w:widowControl/>
        <w:jc w:val="center"/>
        <w:rPr>
          <w:b/>
          <w:bCs/>
          <w:sz w:val="24"/>
          <w:szCs w:val="32"/>
        </w:rPr>
      </w:pPr>
      <w:r>
        <w:rPr>
          <w:rFonts w:hint="eastAsia"/>
          <w:b/>
          <w:sz w:val="24"/>
        </w:rPr>
        <w:t>十一、</w:t>
      </w:r>
      <w:r>
        <w:rPr>
          <w:rFonts w:hint="eastAsia" w:cs="Arial"/>
          <w:b/>
          <w:sz w:val="24"/>
        </w:rPr>
        <w:t>其他材料</w:t>
      </w:r>
      <w:bookmarkEnd w:id="1416"/>
    </w:p>
    <w:p>
      <w:pPr>
        <w:widowControl/>
        <w:tabs>
          <w:tab w:val="left" w:pos="284"/>
        </w:tabs>
        <w:spacing w:line="360" w:lineRule="auto"/>
        <w:ind w:firstLine="480" w:firstLineChars="200"/>
        <w:jc w:val="left"/>
        <w:rPr>
          <w:rFonts w:hint="eastAsia"/>
          <w:bCs/>
          <w:sz w:val="24"/>
          <w:szCs w:val="32"/>
        </w:rPr>
      </w:pPr>
      <w:r>
        <w:rPr>
          <w:rFonts w:hint="eastAsia"/>
          <w:bCs/>
          <w:sz w:val="24"/>
          <w:szCs w:val="32"/>
        </w:rPr>
        <w:t>1.资格审查资料</w:t>
      </w:r>
    </w:p>
    <w:p>
      <w:pPr>
        <w:pStyle w:val="2"/>
        <w:ind w:firstLine="210"/>
      </w:pPr>
      <w:r>
        <w:rPr>
          <w:rFonts w:hint="eastAsia"/>
        </w:rPr>
        <w:t xml:space="preserve"> </w:t>
      </w:r>
      <w:r>
        <w:rPr>
          <w:rFonts w:hint="eastAsia"/>
          <w:bCs/>
          <w:sz w:val="24"/>
          <w:szCs w:val="32"/>
        </w:rPr>
        <w:t xml:space="preserve">  格式自拟</w:t>
      </w:r>
    </w:p>
    <w:p>
      <w:pPr>
        <w:widowControl/>
        <w:tabs>
          <w:tab w:val="left" w:pos="284"/>
        </w:tabs>
        <w:spacing w:line="360" w:lineRule="auto"/>
        <w:ind w:firstLine="480" w:firstLineChars="200"/>
        <w:jc w:val="left"/>
        <w:rPr>
          <w:bCs/>
          <w:sz w:val="24"/>
          <w:szCs w:val="32"/>
        </w:rPr>
      </w:pPr>
      <w:r>
        <w:rPr>
          <w:rFonts w:hint="eastAsia"/>
          <w:bCs/>
          <w:sz w:val="24"/>
          <w:szCs w:val="32"/>
        </w:rPr>
        <w:t>2.资格审查</w:t>
      </w:r>
    </w:p>
    <w:p>
      <w:pPr>
        <w:widowControl/>
        <w:tabs>
          <w:tab w:val="left" w:pos="284"/>
        </w:tabs>
        <w:spacing w:line="360" w:lineRule="auto"/>
        <w:ind w:firstLine="480" w:firstLineChars="200"/>
        <w:jc w:val="left"/>
        <w:rPr>
          <w:bCs/>
          <w:sz w:val="24"/>
          <w:szCs w:val="32"/>
        </w:rPr>
      </w:pPr>
      <w:r>
        <w:rPr>
          <w:rFonts w:hint="eastAsia"/>
          <w:bCs/>
          <w:sz w:val="24"/>
          <w:szCs w:val="32"/>
        </w:rPr>
        <w:t>我方承诺：我方投标时资格条件与资格预审申请时资格条件比较，（列明第二章投标人须知前附表第1.4.1款、1.4.4款相应条款（适用联合体））资格条件内容没有发生重大变化。</w:t>
      </w:r>
    </w:p>
    <w:p>
      <w:pPr>
        <w:widowControl/>
        <w:tabs>
          <w:tab w:val="left" w:pos="284"/>
        </w:tabs>
        <w:spacing w:line="360" w:lineRule="auto"/>
        <w:ind w:firstLine="480" w:firstLineChars="200"/>
        <w:jc w:val="left"/>
        <w:rPr>
          <w:bCs/>
          <w:sz w:val="24"/>
          <w:szCs w:val="32"/>
        </w:rPr>
      </w:pPr>
    </w:p>
    <w:p>
      <w:pPr>
        <w:widowControl/>
        <w:tabs>
          <w:tab w:val="left" w:pos="284"/>
        </w:tabs>
        <w:spacing w:line="360" w:lineRule="auto"/>
        <w:ind w:firstLine="480" w:firstLineChars="200"/>
        <w:jc w:val="left"/>
        <w:rPr>
          <w:bCs/>
          <w:sz w:val="24"/>
          <w:szCs w:val="32"/>
        </w:rPr>
      </w:pPr>
    </w:p>
    <w:p>
      <w:pPr>
        <w:widowControl/>
        <w:tabs>
          <w:tab w:val="left" w:pos="284"/>
        </w:tabs>
        <w:spacing w:line="360" w:lineRule="auto"/>
        <w:ind w:firstLine="480" w:firstLineChars="200"/>
        <w:jc w:val="left"/>
        <w:rPr>
          <w:bCs/>
          <w:sz w:val="24"/>
          <w:szCs w:val="32"/>
        </w:rPr>
      </w:pPr>
    </w:p>
    <w:p>
      <w:pPr>
        <w:widowControl/>
        <w:tabs>
          <w:tab w:val="left" w:pos="284"/>
        </w:tabs>
        <w:spacing w:line="360" w:lineRule="auto"/>
        <w:ind w:firstLine="480" w:firstLineChars="200"/>
        <w:jc w:val="left"/>
        <w:rPr>
          <w:bCs/>
          <w:sz w:val="24"/>
          <w:szCs w:val="32"/>
        </w:rPr>
      </w:pPr>
    </w:p>
    <w:p>
      <w:pPr>
        <w:widowControl/>
        <w:tabs>
          <w:tab w:val="left" w:pos="284"/>
        </w:tabs>
        <w:spacing w:line="360" w:lineRule="auto"/>
        <w:ind w:firstLine="480" w:firstLineChars="200"/>
        <w:jc w:val="right"/>
        <w:rPr>
          <w:bCs/>
          <w:sz w:val="24"/>
          <w:szCs w:val="32"/>
        </w:rPr>
      </w:pPr>
      <w:r>
        <w:rPr>
          <w:bCs/>
          <w:sz w:val="24"/>
          <w:szCs w:val="32"/>
        </w:rPr>
        <w:t>投标人</w:t>
      </w:r>
      <w:r>
        <w:rPr>
          <w:rFonts w:hint="eastAsia"/>
          <w:bCs/>
          <w:sz w:val="24"/>
          <w:szCs w:val="32"/>
        </w:rPr>
        <w:t>（或联合体成员）</w:t>
      </w:r>
      <w:r>
        <w:rPr>
          <w:bCs/>
          <w:sz w:val="24"/>
          <w:szCs w:val="32"/>
        </w:rPr>
        <w:t>：（盖单位章）</w:t>
      </w:r>
    </w:p>
    <w:p>
      <w:pPr>
        <w:widowControl/>
        <w:tabs>
          <w:tab w:val="left" w:pos="284"/>
        </w:tabs>
        <w:spacing w:line="360" w:lineRule="auto"/>
        <w:ind w:firstLine="480" w:firstLineChars="200"/>
        <w:jc w:val="right"/>
        <w:rPr>
          <w:bCs/>
          <w:sz w:val="24"/>
          <w:szCs w:val="32"/>
        </w:rPr>
      </w:pPr>
      <w:r>
        <w:rPr>
          <w:bCs/>
          <w:sz w:val="24"/>
          <w:szCs w:val="32"/>
        </w:rPr>
        <w:t>法定代表人或其委托代理人：（签字</w:t>
      </w:r>
      <w:r>
        <w:rPr>
          <w:rFonts w:hint="eastAsia"/>
          <w:bCs/>
          <w:sz w:val="24"/>
          <w:szCs w:val="32"/>
        </w:rPr>
        <w:t>或盖章</w:t>
      </w:r>
      <w:r>
        <w:rPr>
          <w:bCs/>
          <w:sz w:val="24"/>
          <w:szCs w:val="32"/>
        </w:rPr>
        <w:t>）</w:t>
      </w:r>
    </w:p>
    <w:p>
      <w:pPr>
        <w:widowControl/>
        <w:tabs>
          <w:tab w:val="left" w:pos="284"/>
        </w:tabs>
        <w:spacing w:line="360" w:lineRule="auto"/>
        <w:ind w:firstLine="480" w:firstLineChars="200"/>
        <w:jc w:val="right"/>
        <w:rPr>
          <w:bCs/>
          <w:sz w:val="24"/>
          <w:szCs w:val="32"/>
        </w:rPr>
      </w:pPr>
      <w:r>
        <w:rPr>
          <w:rFonts w:hint="eastAsia"/>
          <w:bCs/>
          <w:sz w:val="24"/>
          <w:szCs w:val="32"/>
        </w:rPr>
        <w:t xml:space="preserve">   </w:t>
      </w:r>
      <w:r>
        <w:rPr>
          <w:bCs/>
          <w:sz w:val="24"/>
          <w:szCs w:val="32"/>
        </w:rPr>
        <w:t>年</w:t>
      </w:r>
      <w:r>
        <w:rPr>
          <w:rFonts w:hint="eastAsia"/>
          <w:bCs/>
          <w:sz w:val="24"/>
          <w:szCs w:val="32"/>
        </w:rPr>
        <w:t xml:space="preserve">   </w:t>
      </w:r>
      <w:r>
        <w:rPr>
          <w:bCs/>
          <w:sz w:val="24"/>
          <w:szCs w:val="32"/>
        </w:rPr>
        <w:t>月</w:t>
      </w:r>
      <w:r>
        <w:rPr>
          <w:rFonts w:hint="eastAsia"/>
          <w:bCs/>
          <w:sz w:val="24"/>
          <w:szCs w:val="32"/>
        </w:rPr>
        <w:t xml:space="preserve">   </w:t>
      </w:r>
      <w:r>
        <w:rPr>
          <w:bCs/>
          <w:sz w:val="24"/>
          <w:szCs w:val="32"/>
        </w:rPr>
        <w:t>日</w:t>
      </w:r>
    </w:p>
    <w:p>
      <w:pPr>
        <w:widowControl/>
        <w:tabs>
          <w:tab w:val="left" w:pos="284"/>
        </w:tabs>
        <w:spacing w:line="360" w:lineRule="auto"/>
        <w:ind w:firstLine="480" w:firstLineChars="200"/>
        <w:jc w:val="left"/>
        <w:rPr>
          <w:bCs/>
          <w:sz w:val="24"/>
          <w:szCs w:val="32"/>
        </w:rPr>
      </w:pPr>
    </w:p>
    <w:p>
      <w:pPr>
        <w:widowControl/>
        <w:tabs>
          <w:tab w:val="left" w:pos="284"/>
        </w:tabs>
        <w:spacing w:line="360" w:lineRule="auto"/>
        <w:ind w:firstLine="480" w:firstLineChars="200"/>
        <w:jc w:val="left"/>
        <w:rPr>
          <w:rFonts w:hint="eastAsia"/>
          <w:bCs/>
          <w:sz w:val="24"/>
          <w:szCs w:val="32"/>
        </w:rPr>
      </w:pPr>
      <w:r>
        <w:rPr>
          <w:rFonts w:hint="eastAsia"/>
          <w:bCs/>
          <w:sz w:val="24"/>
          <w:szCs w:val="32"/>
        </w:rPr>
        <w:t>注：联合体申请，联合体各方成员均须出具此承诺函，当投标人与资格预审申请时比较，投标人的资格条件内容发生重大变化时，应在投标文件中按照变化后的实际情况对其相关资料进行更新或补充，评审小组按第二章投标人须知前附表第1.4.1款、1.4.4款相应条款（适</w:t>
      </w:r>
      <w:bookmarkStart w:id="2019" w:name="_GoBack"/>
      <w:bookmarkEnd w:id="2019"/>
      <w:r>
        <w:rPr>
          <w:rFonts w:hint="eastAsia"/>
          <w:bCs/>
          <w:sz w:val="24"/>
          <w:szCs w:val="32"/>
        </w:rPr>
        <w:t>用联合体）资格条件的相应审查标准对其更新资料进行评审。</w:t>
      </w:r>
    </w:p>
    <w:p>
      <w:pPr>
        <w:pStyle w:val="2"/>
        <w:ind w:firstLine="210"/>
        <w:rPr>
          <w:bCs/>
          <w:sz w:val="24"/>
          <w:szCs w:val="32"/>
        </w:rPr>
      </w:pPr>
      <w:r>
        <w:rPr>
          <w:rFonts w:hint="eastAsia"/>
        </w:rPr>
        <w:t xml:space="preserve">  </w:t>
      </w:r>
      <w:r>
        <w:rPr>
          <w:rFonts w:hint="eastAsia"/>
          <w:bCs/>
          <w:sz w:val="24"/>
          <w:szCs w:val="32"/>
        </w:rPr>
        <w:t xml:space="preserve"> 若是未参加资格预审单位，不用填写此格式内容。</w:t>
      </w:r>
    </w:p>
    <w:p>
      <w:pPr>
        <w:widowControl/>
        <w:tabs>
          <w:tab w:val="left" w:pos="284"/>
        </w:tabs>
        <w:spacing w:line="360" w:lineRule="auto"/>
        <w:ind w:firstLine="480" w:firstLineChars="200"/>
        <w:jc w:val="left"/>
        <w:rPr>
          <w:bCs/>
          <w:sz w:val="24"/>
          <w:szCs w:val="32"/>
        </w:rPr>
      </w:pPr>
      <w:r>
        <w:rPr>
          <w:rFonts w:hint="eastAsia"/>
          <w:bCs/>
          <w:sz w:val="24"/>
          <w:szCs w:val="32"/>
        </w:rPr>
        <w:t>3.近三年诉讼和仲裁等相关情况，并附法院或仲裁机构作出的判决、裁决等有关法律文书复印件。（如有）（联合体申请，联合体各方成员均须提供相关材料，并盖该成员单位的单位公章。）</w:t>
      </w:r>
    </w:p>
    <w:p>
      <w:pPr>
        <w:widowControl/>
        <w:tabs>
          <w:tab w:val="left" w:pos="284"/>
        </w:tabs>
        <w:spacing w:line="360" w:lineRule="auto"/>
        <w:ind w:firstLine="480" w:firstLineChars="200"/>
        <w:jc w:val="left"/>
        <w:rPr>
          <w:bCs/>
          <w:sz w:val="24"/>
          <w:szCs w:val="32"/>
        </w:rPr>
      </w:pPr>
      <w:r>
        <w:rPr>
          <w:rFonts w:hint="eastAsia"/>
          <w:bCs/>
          <w:sz w:val="24"/>
          <w:szCs w:val="32"/>
        </w:rPr>
        <w:t>4.申请人关于具有履行合同所必需的设备和专业技术能力的承诺(格式自拟，联合体申请，联合体各方成员均需提供相关材料，并盖该成员单位的单位公章)</w:t>
      </w:r>
    </w:p>
    <w:p>
      <w:pPr>
        <w:widowControl/>
        <w:tabs>
          <w:tab w:val="left" w:pos="284"/>
        </w:tabs>
        <w:spacing w:line="360" w:lineRule="auto"/>
        <w:ind w:firstLine="480" w:firstLineChars="200"/>
        <w:jc w:val="left"/>
        <w:rPr>
          <w:bCs/>
          <w:sz w:val="24"/>
          <w:szCs w:val="32"/>
        </w:rPr>
      </w:pPr>
      <w:r>
        <w:rPr>
          <w:rFonts w:hint="eastAsia"/>
          <w:bCs/>
          <w:sz w:val="24"/>
          <w:szCs w:val="32"/>
        </w:rPr>
        <w:t>5. 申请人关于具有良好的商业信誉和健全的财务会计制度的承诺(格式自拟，备注：联合体申请，联合体各方成员均需提供相关材料，并盖该成员单位的单位公章)</w:t>
      </w:r>
    </w:p>
    <w:p>
      <w:pPr>
        <w:widowControl/>
        <w:tabs>
          <w:tab w:val="left" w:pos="284"/>
        </w:tabs>
        <w:spacing w:line="360" w:lineRule="auto"/>
        <w:ind w:firstLine="480" w:firstLineChars="200"/>
        <w:jc w:val="left"/>
        <w:rPr>
          <w:bCs/>
          <w:sz w:val="24"/>
          <w:szCs w:val="32"/>
        </w:rPr>
      </w:pPr>
      <w:r>
        <w:rPr>
          <w:rFonts w:hint="eastAsia"/>
          <w:bCs/>
          <w:sz w:val="24"/>
          <w:szCs w:val="32"/>
        </w:rPr>
        <w:t>6. 申请人参加政府采购活动前三年内，在经营活动中没有重大违法记录的声明(格式自拟，备注：联合体申请，联合体各方成员均需提供相关材料，并盖该成员单位的单位公章)</w:t>
      </w:r>
    </w:p>
    <w:p>
      <w:pPr>
        <w:widowControl/>
        <w:tabs>
          <w:tab w:val="left" w:pos="284"/>
        </w:tabs>
        <w:spacing w:line="360" w:lineRule="auto"/>
        <w:ind w:firstLine="480" w:firstLineChars="200"/>
        <w:jc w:val="left"/>
        <w:rPr>
          <w:bCs/>
          <w:sz w:val="24"/>
          <w:szCs w:val="32"/>
        </w:rPr>
      </w:pPr>
      <w:r>
        <w:rPr>
          <w:rFonts w:hint="eastAsia"/>
          <w:bCs/>
          <w:sz w:val="24"/>
          <w:szCs w:val="32"/>
        </w:rPr>
        <w:t>7.投标人认为需要提供的其它材料。</w:t>
      </w:r>
    </w:p>
    <w:p>
      <w:pPr>
        <w:widowControl/>
        <w:tabs>
          <w:tab w:val="left" w:pos="284"/>
        </w:tabs>
        <w:spacing w:line="360" w:lineRule="auto"/>
        <w:ind w:firstLine="480" w:firstLineChars="200"/>
        <w:jc w:val="left"/>
        <w:rPr>
          <w:bCs/>
          <w:sz w:val="24"/>
          <w:szCs w:val="32"/>
        </w:rPr>
      </w:pPr>
      <w:r>
        <w:rPr>
          <w:bCs/>
          <w:sz w:val="24"/>
          <w:szCs w:val="32"/>
        </w:rPr>
        <w:pict>
          <v:shape id="_x0000_s1029" o:spid="_x0000_s1029" o:spt="202" type="#_x0000_t202" style="position:absolute;left:0pt;margin-left:-89.85pt;margin-top:-537.55pt;height:72pt;width:72pt;z-index:251660288;mso-width-relative:page;mso-height-relative:page;" coordsize="21600,21600">
            <v:path/>
            <v:fill focussize="0,0"/>
            <v:stroke joinstyle="miter"/>
            <v:imagedata o:title=""/>
            <o:lock v:ext="edit"/>
            <v:textbox>
              <w:txbxContent>
                <w:p>
                  <w:r>
                    <w:pict>
                      <v:shape id="_x0000_i1027" o:spt="75" type="#_x0000_t75" style="height:226.2pt;width:446.25pt;" filled="f" o:preferrelative="f" stroked="f" coordsize="21600,21600">
                        <v:path/>
                        <v:fill on="f" focussize="0,0"/>
                        <v:stroke on="f" joinstyle="miter"/>
                        <v:imagedata o:title=""/>
                        <o:lock v:ext="edit" rotation="t" aspectratio="t"/>
                        <w10:wrap type="none"/>
                        <w10:anchorlock/>
                      </v:shape>
                    </w:pict>
                  </w:r>
                </w:p>
              </w:txbxContent>
            </v:textbox>
          </v:shape>
        </w:pict>
      </w:r>
    </w:p>
    <w:p>
      <w:pPr>
        <w:widowControl/>
        <w:tabs>
          <w:tab w:val="left" w:pos="284"/>
        </w:tabs>
        <w:spacing w:line="360" w:lineRule="auto"/>
        <w:ind w:firstLine="480" w:firstLineChars="200"/>
        <w:jc w:val="left"/>
        <w:rPr>
          <w:bCs/>
          <w:sz w:val="24"/>
          <w:szCs w:val="32"/>
        </w:rPr>
      </w:pPr>
    </w:p>
    <w:sectPr>
      <w:headerReference r:id="rId24" w:type="default"/>
      <w:footerReference r:id="rId25" w:type="default"/>
      <w:type w:val="nextColum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Batang">
    <w:panose1 w:val="02030600000101010101"/>
    <w:charset w:val="81"/>
    <w:family w:val="roman"/>
    <w:pitch w:val="default"/>
    <w:sig w:usb0="B00002AF" w:usb1="69D77CFB" w:usb2="00000030" w:usb3="00000000" w:csb0="4008009F" w:csb1="DFD70000"/>
  </w:font>
  <w:font w:name="Calibri Light">
    <w:panose1 w:val="020F0302020204030204"/>
    <w:charset w:val="00"/>
    <w:family w:val="swiss"/>
    <w:pitch w:val="default"/>
    <w:sig w:usb0="A00002EF" w:usb1="4000207B" w:usb2="00000000" w:usb3="00000000" w:csb0="2000019F" w:csb1="00000000"/>
  </w:font>
  <w:font w:name="Dotum">
    <w:panose1 w:val="020B0600000101010101"/>
    <w:charset w:val="81"/>
    <w:family w:val="swiss"/>
    <w:pitch w:val="default"/>
    <w:sig w:usb0="B00002AF" w:usb1="69D77CFB" w:usb2="00000030" w:usb3="00000000" w:csb0="4008009F" w:csb1="DFD70000"/>
  </w:font>
  <w:font w:name="MS Mincho">
    <w:panose1 w:val="02020609040205080304"/>
    <w:charset w:val="80"/>
    <w:family w:val="modern"/>
    <w:pitch w:val="default"/>
    <w:sig w:usb0="E00002FF" w:usb1="6AC7FDFB" w:usb2="00000012" w:usb3="00000000" w:csb0="4002009F" w:csb1="DFD70000"/>
  </w:font>
  <w:font w:name="TimesNewRomanPSMT">
    <w:altName w:val="宋体"/>
    <w:panose1 w:val="00000000000000000000"/>
    <w:charset w:val="00"/>
    <w:family w:val="roman"/>
    <w:pitch w:val="default"/>
    <w:sig w:usb0="00000000" w:usb1="00000000" w:usb2="00000010"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CG Times">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Franklin Gothic Heavy">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2049" o:spid="_x0000_s2049" o:spt="202" type="#_x0000_t202" style="position:absolute;left:0pt;margin-top:0pt;height:10.35pt;width:4.55pt;mso-position-horizontal:center;mso-position-horizontal-relative:margin;mso-wrap-style:none;z-index:251655168;mso-width-relative:page;mso-height-relative:page;" filled="f" o:preferrelative="t" stroked="f" coordsize="21600,21600">
          <v:path/>
          <v:fill on="f" focussize="0,0"/>
          <v:stroke on="f" joinstyle="miter"/>
          <v:imagedata o:title=""/>
          <o:lock v:ext="edit"/>
          <v:textbox inset="0mm,0mm,0mm,0mm" style="mso-fit-shape-to-text:t;">
            <w:txbxContent>
              <w:p>
                <w:pPr>
                  <w:pStyle w:val="31"/>
                  <w:jc w:val="center"/>
                </w:pPr>
                <w:r>
                  <w:fldChar w:fldCharType="begin"/>
                </w:r>
                <w:r>
                  <w:instrText xml:space="preserve"> PAGE   \* MERGEFORMAT </w:instrText>
                </w:r>
                <w:r>
                  <w:fldChar w:fldCharType="separate"/>
                </w:r>
                <w:r>
                  <w:rPr>
                    <w:lang w:val="zh-CN"/>
                  </w:rPr>
                  <w:t>109</w:t>
                </w:r>
                <w:r>
                  <w:rPr>
                    <w:lang w:val="zh-CN"/>
                  </w:rPr>
                  <w:fldChar w:fldCharType="end"/>
                </w:r>
              </w:p>
            </w:txbxContent>
          </v:textbox>
        </v:shape>
      </w:pict>
    </w:r>
  </w:p>
  <w:p>
    <w:pPr>
      <w:pStyle w:val="3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2052" o:spid="_x0000_s2052" o:spt="202" type="#_x0000_t202" style="position:absolute;left:0pt;margin-top:0pt;height:10.35pt;width:9.05pt;mso-position-horizontal:center;mso-position-horizontal-relative:margin;mso-wrap-style:none;z-index:251654144;mso-width-relative:page;mso-height-relative:page;" filled="f" o:preferrelative="t"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141</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2050" o:spid="_x0000_s2050" o:spt="202" type="#_x0000_t202" style="position:absolute;left:0pt;margin-top:0pt;height:10.35pt;width:4.55pt;mso-position-horizontal:center;mso-position-horizontal-relative:margin;mso-wrap-style:none;z-index:251656192;mso-width-relative:page;mso-height-relative:page;" filled="f" o:preferrelative="t" stroked="f" coordsize="21600,21600">
          <v:path/>
          <v:fill on="f" focussize="0,0"/>
          <v:stroke on="f" joinstyle="miter"/>
          <v:imagedata o:title=""/>
          <o:lock v:ext="edit"/>
          <v:textbox inset="0mm,0mm,0mm,0mm" style="mso-fit-shape-to-text:t;">
            <w:txbxContent>
              <w:p>
                <w:pPr>
                  <w:pStyle w:val="31"/>
                  <w:jc w:val="center"/>
                </w:pPr>
                <w:r>
                  <w:fldChar w:fldCharType="begin"/>
                </w:r>
                <w:r>
                  <w:instrText xml:space="preserve"> PAGE   \* MERGEFORMAT </w:instrText>
                </w:r>
                <w:r>
                  <w:fldChar w:fldCharType="separate"/>
                </w:r>
                <w:r>
                  <w:rPr>
                    <w:lang w:val="zh-CN"/>
                  </w:rPr>
                  <w:t>7</w:t>
                </w:r>
                <w:r>
                  <w:rPr>
                    <w:lang w:val="zh-CN"/>
                  </w:rPr>
                  <w:fldChar w:fldCharType="end"/>
                </w:r>
              </w:p>
            </w:txbxContent>
          </v:textbox>
        </v:shape>
      </w:pict>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after="120"/>
      <w:jc w:val="center"/>
      <w:rPr>
        <w:sz w:val="21"/>
      </w:rPr>
    </w:pPr>
    <w:r>
      <w:rPr>
        <w:sz w:val="21"/>
      </w:rPr>
      <w:pict>
        <v:shape id="_x0000_s2053" o:spid="_x0000_s2053" o:spt="202" type="#_x0000_t202" style="position:absolute;left:0pt;margin-top:0pt;height:144pt;width:144pt;mso-position-horizontal:center;mso-position-horizontal-relative:margin;mso-wrap-style:none;z-index:251657216;mso-width-relative:page;mso-height-relative:page;" filled="f" stroked="f" coordsize="21600,21600">
          <v:path/>
          <v:fill on="f" focussize="0,0"/>
          <v:stroke on="f" joinstyle="miter"/>
          <v:imagedata o:title=""/>
          <o:lock v:ext="edit"/>
          <v:textbox inset="0mm,0mm,0mm,0mm" style="mso-fit-shape-to-text:t;">
            <w:txbxContent>
              <w:p>
                <w:pPr>
                  <w:pStyle w:val="31"/>
                  <w:spacing w:after="120"/>
                  <w:jc w:val="center"/>
                </w:pPr>
                <w:r>
                  <w:rPr>
                    <w:sz w:val="21"/>
                  </w:rPr>
                  <w:fldChar w:fldCharType="begin"/>
                </w:r>
                <w:r>
                  <w:rPr>
                    <w:sz w:val="21"/>
                  </w:rPr>
                  <w:instrText xml:space="preserve">PAGE   \* MERGEFORMAT</w:instrText>
                </w:r>
                <w:r>
                  <w:rPr>
                    <w:sz w:val="21"/>
                  </w:rPr>
                  <w:fldChar w:fldCharType="separate"/>
                </w:r>
                <w:r>
                  <w:rPr>
                    <w:sz w:val="21"/>
                    <w:lang w:val="zh-CN"/>
                  </w:rPr>
                  <w:t>29</w:t>
                </w:r>
                <w:r>
                  <w:rPr>
                    <w:sz w:val="21"/>
                    <w:lang w:val="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after="120"/>
      <w:jc w:val="center"/>
    </w:pPr>
    <w:r>
      <w:pict>
        <v:shape id="_x0000_s2054" o:spid="_x0000_s2054"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31"/>
                  <w:spacing w:after="120"/>
                  <w:jc w:val="center"/>
                </w:pPr>
                <w:r>
                  <w:fldChar w:fldCharType="begin"/>
                </w:r>
                <w:r>
                  <w:instrText xml:space="preserve">PAGE   \* MERGEFORMAT</w:instrText>
                </w:r>
                <w:r>
                  <w:fldChar w:fldCharType="separate"/>
                </w:r>
                <w:r>
                  <w:rPr>
                    <w:lang w:val="zh-CN"/>
                  </w:rPr>
                  <w:t>82</w:t>
                </w:r>
                <w:r>
                  <w:rPr>
                    <w:lang w:val="zh-CN"/>
                  </w:rPr>
                  <w:fldChar w:fldCharType="end"/>
                </w:r>
              </w:p>
            </w:txbxContent>
          </v:textbox>
        </v:shape>
      </w:pic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jc w:val="center"/>
    </w:pPr>
    <w:r>
      <w:pict>
        <v:shape id="_x0000_s2055" o:spid="_x0000_s205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1"/>
                  <w:ind w:firstLine="360"/>
                  <w:jc w:val="center"/>
                </w:pPr>
                <w:r>
                  <w:fldChar w:fldCharType="begin"/>
                </w:r>
                <w:r>
                  <w:instrText xml:space="preserve">PAGE   \* MERGEFORMAT</w:instrText>
                </w:r>
                <w:r>
                  <w:fldChar w:fldCharType="separate"/>
                </w:r>
                <w:r>
                  <w:rPr>
                    <w:lang w:val="zh-CN"/>
                  </w:rPr>
                  <w:t>95</w:t>
                </w:r>
                <w:r>
                  <w:rPr>
                    <w:lang w:val="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jc w:val="center"/>
    </w:pPr>
    <w:r>
      <w:fldChar w:fldCharType="begin"/>
    </w:r>
    <w:r>
      <w:instrText xml:space="preserve">PAGE   \* MERGEFORMAT</w:instrText>
    </w:r>
    <w:r>
      <w:fldChar w:fldCharType="separate"/>
    </w:r>
    <w:r>
      <w:rPr>
        <w:lang w:val="zh-CN"/>
      </w:rPr>
      <w:t>94</w:t>
    </w:r>
    <w:r>
      <w:rPr>
        <w:lang w:val="zh-CN"/>
      </w:rP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pict>
        <v:shape id="_x0000_s2056" o:spid="_x0000_s205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1"/>
                  <w:jc w:val="center"/>
                </w:pPr>
                <w:r>
                  <w:fldChar w:fldCharType="begin"/>
                </w:r>
                <w:r>
                  <w:instrText xml:space="preserve"> PAGE  \* MERGEFORMAT </w:instrText>
                </w:r>
                <w:r>
                  <w:fldChar w:fldCharType="separate"/>
                </w:r>
                <w:r>
                  <w:t>138</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jc w:val="center"/>
    </w:pPr>
    <w:r>
      <w:pict>
        <v:shape id="_x0000_s2057" o:spid="_x0000_s205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1"/>
                  <w:ind w:firstLine="360"/>
                  <w:jc w:val="center"/>
                </w:pPr>
                <w:r>
                  <w:fldChar w:fldCharType="begin"/>
                </w:r>
                <w:r>
                  <w:instrText xml:space="preserve">PAGE   \* MERGEFORMAT</w:instrText>
                </w:r>
                <w:r>
                  <w:fldChar w:fldCharType="separate"/>
                </w:r>
                <w:r>
                  <w:rPr>
                    <w:lang w:val="zh-CN"/>
                  </w:rPr>
                  <w:t>131</w:t>
                </w:r>
                <w:r>
                  <w:rPr>
                    <w:lang w:val="zh-CN"/>
                  </w:rPr>
                  <w:fldChar w:fldCharType="end"/>
                </w:r>
              </w:p>
            </w:txbxContent>
          </v:textbox>
        </v:shape>
      </w:pict>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jc w:val="both"/>
      <w:rPr>
        <w:sz w:val="16"/>
      </w:rPr>
    </w:pPr>
    <w:r>
      <w:rPr>
        <w:rFonts w:hint="eastAsia"/>
      </w:rPr>
      <w:t>禹州市绿色铸造园区与陶瓷园区污水处理厂PPP项目招标文件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spacing w:after="120"/>
      <w:jc w:val="both"/>
    </w:pPr>
    <w:r>
      <w:rPr>
        <w:rFonts w:hint="eastAsia"/>
        <w:sz w:val="16"/>
      </w:rPr>
      <w:t xml:space="preserve">禹州市绿色铸造园区与陶瓷园区污水处理厂PPP项目 </w:t>
    </w:r>
    <w:r>
      <w:rPr>
        <w:sz w:val="16"/>
      </w:rPr>
      <w:t>PPP项目</w:t>
    </w:r>
    <w:r>
      <w:rPr>
        <w:rFonts w:hint="eastAsia"/>
        <w:sz w:val="16"/>
      </w:rPr>
      <w:t>合同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tabs>
        <w:tab w:val="right" w:pos="8820"/>
        <w:tab w:val="clear" w:pos="8306"/>
      </w:tabs>
      <w:spacing w:before="120" w:after="120"/>
      <w:jc w:val="left"/>
    </w:pPr>
    <w:r>
      <w:rPr>
        <w:rFonts w:hint="eastAsia"/>
      </w:rPr>
      <w:t>禹州市绿色铸造园区与陶瓷园区污水处理厂PPP项目                                                                                                                                                                                   第二卷   PPP项目合同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1"/>
      <w:numFmt w:val="decimal"/>
      <w:suff w:val="nothing"/>
      <w:lvlText w:val="（%1）"/>
      <w:lvlJc w:val="left"/>
    </w:lvl>
  </w:abstractNum>
  <w:abstractNum w:abstractNumId="1">
    <w:nsid w:val="0000000C"/>
    <w:multiLevelType w:val="multilevel"/>
    <w:tmpl w:val="0000000C"/>
    <w:lvl w:ilvl="0" w:tentative="0">
      <w:start w:val="1"/>
      <w:numFmt w:val="chineseCountingThousand"/>
      <w:lvlText w:val="第%1章  "/>
      <w:lvlJc w:val="left"/>
      <w:pPr>
        <w:ind w:left="1709" w:hanging="432"/>
      </w:pPr>
      <w:rPr>
        <w:rFonts w:hint="default" w:ascii="Arial" w:hAnsi="Arial" w:eastAsia="宋体" w:cs="Times New Roman"/>
        <w:b/>
        <w:i w:val="0"/>
        <w:sz w:val="44"/>
      </w:rPr>
    </w:lvl>
    <w:lvl w:ilvl="1" w:tentative="0">
      <w:start w:val="1"/>
      <w:numFmt w:val="chineseCountingThousand"/>
      <w:lvlText w:val="第%2部分"/>
      <w:lvlJc w:val="left"/>
      <w:pPr>
        <w:ind w:left="2978"/>
      </w:pPr>
      <w:rPr>
        <w:rFonts w:hint="default" w:ascii="Arial" w:hAnsi="Arial" w:eastAsia="黑体" w:cs="Times New Roman"/>
        <w:b w:val="0"/>
        <w:i w:val="0"/>
        <w:sz w:val="36"/>
        <w:szCs w:val="36"/>
      </w:rPr>
    </w:lvl>
    <w:lvl w:ilvl="2" w:tentative="0">
      <w:start w:val="1"/>
      <w:numFmt w:val="decimal"/>
      <w:suff w:val="space"/>
      <w:lvlText w:val="%3."/>
      <w:lvlJc w:val="left"/>
      <w:rPr>
        <w:rFonts w:hint="default" w:ascii="Arial" w:hAnsi="Arial" w:eastAsia="宋体" w:cs="Times New Roman"/>
        <w:b/>
        <w:i w:val="0"/>
        <w:sz w:val="24"/>
      </w:rPr>
    </w:lvl>
    <w:lvl w:ilvl="3" w:tentative="0">
      <w:start w:val="1"/>
      <w:numFmt w:val="decimal"/>
      <w:pStyle w:val="176"/>
      <w:suff w:val="space"/>
      <w:lvlText w:val="%3.%4 "/>
      <w:lvlJc w:val="left"/>
      <w:pPr>
        <w:ind w:left="284"/>
      </w:pPr>
      <w:rPr>
        <w:rFonts w:hint="eastAsia" w:cs="Times New Roman"/>
        <w:i w:val="0"/>
        <w:iCs w:val="0"/>
        <w:caps w:val="0"/>
        <w:smallCaps w:val="0"/>
        <w:vanish w:val="0"/>
        <w:spacing w:val="0"/>
        <w:position w:val="0"/>
        <w:u w:val="none"/>
        <w:vertAlign w:val="baseline"/>
      </w:rPr>
    </w:lvl>
    <w:lvl w:ilvl="4" w:tentative="0">
      <w:start w:val="1"/>
      <w:numFmt w:val="decimal"/>
      <w:lvlText w:val="%3.%4.%5"/>
      <w:lvlJc w:val="left"/>
      <w:pPr>
        <w:ind w:left="1305" w:hanging="737"/>
      </w:pPr>
      <w:rPr>
        <w:rFonts w:hint="default" w:ascii="Arial" w:hAnsi="Arial" w:eastAsia="宋体" w:cs="Times New Roman"/>
        <w:b w:val="0"/>
        <w:i w:val="0"/>
        <w:sz w:val="24"/>
      </w:rPr>
    </w:lvl>
    <w:lvl w:ilvl="5" w:tentative="0">
      <w:start w:val="1"/>
      <w:numFmt w:val="decimal"/>
      <w:suff w:val="space"/>
      <w:lvlText w:val="（%6）"/>
      <w:lvlJc w:val="left"/>
      <w:pPr>
        <w:ind w:left="1021" w:hanging="737"/>
      </w:pPr>
      <w:rPr>
        <w:rFonts w:hint="eastAsia" w:ascii="Times New Roman" w:hAnsi="Times New Roman" w:cs="Times New Roman"/>
        <w:b w:val="0"/>
        <w:bCs w:val="0"/>
        <w:i w:val="0"/>
        <w:iCs w:val="0"/>
        <w:caps w:val="0"/>
        <w:smallCaps w:val="0"/>
        <w:snapToGrid w:val="0"/>
        <w:vanish w:val="0"/>
        <w:color w:val="000000"/>
        <w:spacing w:val="0"/>
        <w:w w:val="0"/>
        <w:kern w:val="0"/>
        <w:position w:val="0"/>
        <w:sz w:val="22"/>
        <w:szCs w:val="22"/>
        <w:u w:val="none" w:color="000000"/>
        <w:vertAlign w:val="baseline"/>
      </w:rPr>
    </w:lvl>
    <w:lvl w:ilvl="6" w:tentative="0">
      <w:start w:val="1"/>
      <w:numFmt w:val="decimal"/>
      <w:suff w:val="space"/>
      <w:lvlText w:val="（%7）"/>
      <w:lvlJc w:val="left"/>
      <w:pPr>
        <w:ind w:firstLine="400"/>
      </w:pPr>
      <w:rPr>
        <w:rFonts w:hint="default" w:ascii="Arial" w:hAnsi="Arial" w:eastAsia="宋体" w:cs="Times New Roman"/>
        <w:b w:val="0"/>
        <w:i w:val="0"/>
        <w:sz w:val="24"/>
      </w:rPr>
    </w:lvl>
    <w:lvl w:ilvl="7" w:tentative="0">
      <w:start w:val="1"/>
      <w:numFmt w:val="lowerLetter"/>
      <w:lvlText w:val="%8"/>
      <w:lvlJc w:val="left"/>
      <w:pPr>
        <w:ind w:left="1440" w:hanging="1440"/>
      </w:pPr>
      <w:rPr>
        <w:rFonts w:hint="default" w:ascii="Arial" w:hAnsi="Arial" w:eastAsia="宋体" w:cs="Times New Roman"/>
        <w:b w:val="0"/>
        <w:i w:val="0"/>
        <w:sz w:val="28"/>
      </w:rPr>
    </w:lvl>
    <w:lvl w:ilvl="8" w:tentative="0">
      <w:start w:val="1"/>
      <w:numFmt w:val="bullet"/>
      <w:lvlText w:val=""/>
      <w:lvlJc w:val="left"/>
      <w:pPr>
        <w:ind w:left="1584" w:hanging="1584"/>
      </w:pPr>
      <w:rPr>
        <w:rFonts w:hint="default" w:ascii="Wingdings" w:hAnsi="Wingdings" w:eastAsia="宋体"/>
        <w:b w:val="0"/>
        <w:i w:val="0"/>
        <w:sz w:val="28"/>
      </w:rPr>
    </w:lvl>
  </w:abstractNum>
  <w:abstractNum w:abstractNumId="2">
    <w:nsid w:val="03CF4FE8"/>
    <w:multiLevelType w:val="multilevel"/>
    <w:tmpl w:val="03CF4FE8"/>
    <w:lvl w:ilvl="0" w:tentative="0">
      <w:start w:val="1"/>
      <w:numFmt w:val="lowerRoman"/>
      <w:suff w:val="nothing"/>
      <w:lvlText w:val="(%1)"/>
      <w:lvlJc w:val="left"/>
      <w:pPr>
        <w:ind w:left="1418" w:hanging="567"/>
      </w:pPr>
      <w:rPr>
        <w:rFonts w:hint="eastAsia"/>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5F819A0"/>
    <w:multiLevelType w:val="multilevel"/>
    <w:tmpl w:val="05F819A0"/>
    <w:lvl w:ilvl="0" w:tentative="0">
      <w:start w:val="1"/>
      <w:numFmt w:val="lowerLetter"/>
      <w:suff w:val="nothing"/>
      <w:lvlText w:val="（%1）"/>
      <w:lvlJc w:val="left"/>
      <w:pPr>
        <w:ind w:left="1270" w:hanging="420"/>
      </w:pPr>
      <w:rPr>
        <w:rFonts w:hint="eastAsia"/>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4">
    <w:nsid w:val="06EF1FF4"/>
    <w:multiLevelType w:val="multilevel"/>
    <w:tmpl w:val="06EF1FF4"/>
    <w:lvl w:ilvl="0" w:tentative="0">
      <w:start w:val="1"/>
      <w:numFmt w:val="bullet"/>
      <w:lvlText w:val=""/>
      <w:lvlJc w:val="left"/>
      <w:pPr>
        <w:ind w:left="1093" w:hanging="420"/>
      </w:pPr>
      <w:rPr>
        <w:rFonts w:hint="default" w:ascii="Wingdings" w:hAnsi="Wingdings"/>
      </w:rPr>
    </w:lvl>
    <w:lvl w:ilvl="1" w:tentative="0">
      <w:start w:val="1"/>
      <w:numFmt w:val="bullet"/>
      <w:lvlText w:val=""/>
      <w:lvlJc w:val="left"/>
      <w:pPr>
        <w:ind w:left="1513" w:hanging="420"/>
      </w:pPr>
      <w:rPr>
        <w:rFonts w:hint="default" w:ascii="Wingdings" w:hAnsi="Wingdings"/>
      </w:rPr>
    </w:lvl>
    <w:lvl w:ilvl="2" w:tentative="0">
      <w:start w:val="1"/>
      <w:numFmt w:val="bullet"/>
      <w:lvlText w:val=""/>
      <w:lvlJc w:val="left"/>
      <w:pPr>
        <w:ind w:left="1933" w:hanging="420"/>
      </w:pPr>
      <w:rPr>
        <w:rFonts w:hint="default" w:ascii="Wingdings" w:hAnsi="Wingdings"/>
      </w:rPr>
    </w:lvl>
    <w:lvl w:ilvl="3" w:tentative="0">
      <w:start w:val="1"/>
      <w:numFmt w:val="bullet"/>
      <w:lvlText w:val=""/>
      <w:lvlJc w:val="left"/>
      <w:pPr>
        <w:ind w:left="2353" w:hanging="420"/>
      </w:pPr>
      <w:rPr>
        <w:rFonts w:hint="default" w:ascii="Wingdings" w:hAnsi="Wingdings"/>
      </w:rPr>
    </w:lvl>
    <w:lvl w:ilvl="4" w:tentative="0">
      <w:start w:val="1"/>
      <w:numFmt w:val="bullet"/>
      <w:lvlText w:val=""/>
      <w:lvlJc w:val="left"/>
      <w:pPr>
        <w:ind w:left="2773" w:hanging="420"/>
      </w:pPr>
      <w:rPr>
        <w:rFonts w:hint="default" w:ascii="Wingdings" w:hAnsi="Wingdings"/>
      </w:rPr>
    </w:lvl>
    <w:lvl w:ilvl="5" w:tentative="0">
      <w:start w:val="1"/>
      <w:numFmt w:val="bullet"/>
      <w:lvlText w:val=""/>
      <w:lvlJc w:val="left"/>
      <w:pPr>
        <w:ind w:left="3193" w:hanging="420"/>
      </w:pPr>
      <w:rPr>
        <w:rFonts w:hint="default" w:ascii="Wingdings" w:hAnsi="Wingdings"/>
      </w:rPr>
    </w:lvl>
    <w:lvl w:ilvl="6" w:tentative="0">
      <w:start w:val="1"/>
      <w:numFmt w:val="bullet"/>
      <w:lvlText w:val=""/>
      <w:lvlJc w:val="left"/>
      <w:pPr>
        <w:ind w:left="3613" w:hanging="420"/>
      </w:pPr>
      <w:rPr>
        <w:rFonts w:hint="default" w:ascii="Wingdings" w:hAnsi="Wingdings"/>
      </w:rPr>
    </w:lvl>
    <w:lvl w:ilvl="7" w:tentative="0">
      <w:start w:val="1"/>
      <w:numFmt w:val="bullet"/>
      <w:lvlText w:val=""/>
      <w:lvlJc w:val="left"/>
      <w:pPr>
        <w:ind w:left="4033" w:hanging="420"/>
      </w:pPr>
      <w:rPr>
        <w:rFonts w:hint="default" w:ascii="Wingdings" w:hAnsi="Wingdings"/>
      </w:rPr>
    </w:lvl>
    <w:lvl w:ilvl="8" w:tentative="0">
      <w:start w:val="1"/>
      <w:numFmt w:val="bullet"/>
      <w:lvlText w:val=""/>
      <w:lvlJc w:val="left"/>
      <w:pPr>
        <w:ind w:left="4453" w:hanging="420"/>
      </w:pPr>
      <w:rPr>
        <w:rFonts w:hint="default" w:ascii="Wingdings" w:hAnsi="Wingdings"/>
      </w:rPr>
    </w:lvl>
  </w:abstractNum>
  <w:abstractNum w:abstractNumId="5">
    <w:nsid w:val="0839155F"/>
    <w:multiLevelType w:val="multilevel"/>
    <w:tmpl w:val="0839155F"/>
    <w:lvl w:ilvl="0" w:tentative="0">
      <w:start w:val="1"/>
      <w:numFmt w:val="lowerLetter"/>
      <w:lvlText w:val="(%1)"/>
      <w:lvlJc w:val="left"/>
      <w:pPr>
        <w:ind w:left="1838" w:hanging="420"/>
      </w:pPr>
      <w:rPr>
        <w:rFonts w:hint="eastAsia"/>
      </w:rPr>
    </w:lvl>
    <w:lvl w:ilvl="1" w:tentative="0">
      <w:start w:val="1"/>
      <w:numFmt w:val="lowerLetter"/>
      <w:lvlText w:val="（%2)"/>
      <w:lvlJc w:val="left"/>
      <w:pPr>
        <w:ind w:left="2573" w:hanging="735"/>
      </w:pPr>
      <w:rPr>
        <w:rFonts w:hint="default"/>
      </w:r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6">
    <w:nsid w:val="0EED5725"/>
    <w:multiLevelType w:val="multilevel"/>
    <w:tmpl w:val="0EED5725"/>
    <w:lvl w:ilvl="0" w:tentative="0">
      <w:start w:val="1"/>
      <w:numFmt w:val="lowerRoman"/>
      <w:suff w:val="nothing"/>
      <w:lvlText w:val="(%1)"/>
      <w:lvlJc w:val="left"/>
      <w:pPr>
        <w:ind w:left="1418" w:hanging="567"/>
      </w:pPr>
      <w:rPr>
        <w:rFonts w:hint="eastAsia"/>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0A9604E"/>
    <w:multiLevelType w:val="multilevel"/>
    <w:tmpl w:val="10A9604E"/>
    <w:lvl w:ilvl="0" w:tentative="0">
      <w:start w:val="1"/>
      <w:numFmt w:val="decimal"/>
      <w:lvlText w:val="%1."/>
      <w:lvlJc w:val="left"/>
      <w:pPr>
        <w:ind w:left="900" w:hanging="420"/>
      </w:pPr>
      <w:rPr>
        <w:rFonts w:hint="eastAsia" w:ascii="Times New Roman" w:hAnsi="Times New Roman" w:cs="Times New Roman"/>
        <w:bCs w:val="0"/>
        <w:i w:val="0"/>
        <w:iCs w:val="0"/>
        <w:caps w:val="0"/>
        <w:smallCaps w:val="0"/>
        <w:strike w:val="0"/>
        <w:dstrike w:val="0"/>
        <w:outline w:val="0"/>
        <w:shadow w:val="0"/>
        <w:emboss w:val="0"/>
        <w:imprint w:val="0"/>
        <w:vanish w:val="0"/>
        <w:spacing w:val="0"/>
        <w:kern w:val="0"/>
        <w:position w:val="0"/>
        <w:u w:val="none"/>
        <w:vertAlign w:val="baseli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1A47198"/>
    <w:multiLevelType w:val="multilevel"/>
    <w:tmpl w:val="11A47198"/>
    <w:lvl w:ilvl="0" w:tentative="0">
      <w:start w:val="1"/>
      <w:numFmt w:val="bullet"/>
      <w:lvlText w:val=""/>
      <w:lvlJc w:val="left"/>
      <w:pPr>
        <w:tabs>
          <w:tab w:val="left" w:pos="2555"/>
        </w:tabs>
        <w:ind w:left="2555" w:hanging="420"/>
      </w:pPr>
      <w:rPr>
        <w:rFonts w:hint="default" w:ascii="Wingdings" w:hAnsi="Wingdings"/>
        <w:sz w:val="13"/>
      </w:rPr>
    </w:lvl>
    <w:lvl w:ilvl="1" w:tentative="0">
      <w:start w:val="1"/>
      <w:numFmt w:val="bullet"/>
      <w:lvlText w:val=""/>
      <w:lvlJc w:val="left"/>
      <w:pPr>
        <w:tabs>
          <w:tab w:val="left" w:pos="840"/>
        </w:tabs>
        <w:ind w:left="840" w:hanging="420"/>
      </w:pPr>
      <w:rPr>
        <w:rFonts w:hint="default" w:ascii="Wingdings" w:hAnsi="Wingdings"/>
        <w:sz w:val="13"/>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13F37916"/>
    <w:multiLevelType w:val="multilevel"/>
    <w:tmpl w:val="13F37916"/>
    <w:lvl w:ilvl="0" w:tentative="0">
      <w:start w:val="1"/>
      <w:numFmt w:val="lowerLetter"/>
      <w:lvlText w:val="(%1)"/>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10">
    <w:nsid w:val="147169CC"/>
    <w:multiLevelType w:val="multilevel"/>
    <w:tmpl w:val="147169CC"/>
    <w:lvl w:ilvl="0" w:tentative="0">
      <w:start w:val="1"/>
      <w:numFmt w:val="lowerLetter"/>
      <w:lvlText w:val="(%1)"/>
      <w:lvlJc w:val="left"/>
      <w:pPr>
        <w:ind w:left="1050" w:hanging="420"/>
      </w:pPr>
      <w:rPr>
        <w:rFonts w:hint="eastAsia"/>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1DC96E57"/>
    <w:multiLevelType w:val="multilevel"/>
    <w:tmpl w:val="1DC96E57"/>
    <w:lvl w:ilvl="0" w:tentative="0">
      <w:start w:val="1"/>
      <w:numFmt w:val="decimal"/>
      <w:lvlText w:val="第%1条"/>
      <w:lvlJc w:val="left"/>
      <w:pPr>
        <w:ind w:left="425" w:hanging="425"/>
      </w:pPr>
      <w:rPr>
        <w:rFonts w:hint="eastAsia" w:ascii="Times New Roman" w:hAnsi="Times New Roman" w:eastAsia="宋体" w:cs="Times New Roman"/>
        <w:i w:val="0"/>
      </w:rPr>
    </w:lvl>
    <w:lvl w:ilvl="1" w:tentative="0">
      <w:start w:val="1"/>
      <w:numFmt w:val="decimal"/>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lowerLetter"/>
      <w:lvlText w:val="(%3)"/>
      <w:lvlJc w:val="left"/>
      <w:pPr>
        <w:tabs>
          <w:tab w:val="left" w:pos="1418"/>
        </w:tabs>
        <w:ind w:left="1418" w:hanging="851"/>
      </w:pPr>
      <w:rPr>
        <w:rFonts w:hint="eastAsia"/>
        <w:b w:val="0"/>
        <w:bCs w:val="0"/>
        <w:i w:val="0"/>
        <w:iCs w:val="0"/>
        <w:caps w:val="0"/>
        <w:smallCaps w:val="0"/>
        <w:strike w:val="0"/>
        <w:dstrike w:val="0"/>
        <w:color w:val="000000"/>
        <w:spacing w:val="0"/>
        <w:kern w:val="0"/>
        <w:position w:val="0"/>
        <w:u w:val="none"/>
      </w:rPr>
    </w:lvl>
    <w:lvl w:ilvl="3" w:tentative="0">
      <w:start w:val="1"/>
      <w:numFmt w:val="lowerLetter"/>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
    <w:nsid w:val="1E9560F0"/>
    <w:multiLevelType w:val="multilevel"/>
    <w:tmpl w:val="1E9560F0"/>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FEF3CDA"/>
    <w:multiLevelType w:val="multilevel"/>
    <w:tmpl w:val="1FEF3CDA"/>
    <w:lvl w:ilvl="0" w:tentative="0">
      <w:start w:val="1"/>
      <w:numFmt w:val="decimal"/>
      <w:lvlText w:val="%1."/>
      <w:lvlJc w:val="left"/>
      <w:pPr>
        <w:tabs>
          <w:tab w:val="left" w:pos="567"/>
        </w:tabs>
        <w:ind w:left="567" w:hanging="567"/>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CC707EF"/>
    <w:multiLevelType w:val="multilevel"/>
    <w:tmpl w:val="2CC707EF"/>
    <w:lvl w:ilvl="0" w:tentative="0">
      <w:start w:val="1"/>
      <w:numFmt w:val="lowerLetter"/>
      <w:lvlText w:val="(%1)"/>
      <w:lvlJc w:val="left"/>
      <w:pPr>
        <w:ind w:left="1838" w:hanging="420"/>
      </w:pPr>
      <w:rPr>
        <w:rFonts w:hint="eastAsia"/>
      </w:rPr>
    </w:lvl>
    <w:lvl w:ilvl="1" w:tentative="0">
      <w:start w:val="1"/>
      <w:numFmt w:val="lowerLetter"/>
      <w:lvlText w:val="（%2)"/>
      <w:lvlJc w:val="left"/>
      <w:pPr>
        <w:ind w:left="2573" w:hanging="735"/>
      </w:pPr>
      <w:rPr>
        <w:rFonts w:hint="default"/>
      </w:r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15">
    <w:nsid w:val="32CE4781"/>
    <w:multiLevelType w:val="multilevel"/>
    <w:tmpl w:val="32CE4781"/>
    <w:lvl w:ilvl="0" w:tentative="0">
      <w:start w:val="1"/>
      <w:numFmt w:val="lowerLetter"/>
      <w:lvlText w:val="(%1)"/>
      <w:lvlJc w:val="left"/>
      <w:pPr>
        <w:ind w:left="42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5E83E84"/>
    <w:multiLevelType w:val="multilevel"/>
    <w:tmpl w:val="35E83E84"/>
    <w:lvl w:ilvl="0" w:tentative="0">
      <w:start w:val="1"/>
      <w:numFmt w:val="lowerLetter"/>
      <w:lvlText w:val="(%1)"/>
      <w:lvlJc w:val="left"/>
      <w:pPr>
        <w:ind w:left="1839" w:hanging="420"/>
      </w:pPr>
      <w:rPr>
        <w:rFonts w:hint="eastAsia"/>
      </w:rPr>
    </w:lvl>
    <w:lvl w:ilvl="1" w:tentative="0">
      <w:start w:val="2"/>
      <w:numFmt w:val="lowerRoman"/>
      <w:lvlText w:val="（%2）"/>
      <w:lvlJc w:val="left"/>
      <w:pPr>
        <w:ind w:left="1501" w:hanging="1080"/>
      </w:pPr>
      <w:rPr>
        <w:rFonts w:hint="default"/>
      </w:rPr>
    </w:lvl>
    <w:lvl w:ilvl="2" w:tentative="0">
      <w:start w:val="1"/>
      <w:numFmt w:val="lowerRoman"/>
      <w:lvlText w:val="%3."/>
      <w:lvlJc w:val="right"/>
      <w:pPr>
        <w:ind w:left="1261" w:hanging="420"/>
      </w:pPr>
    </w:lvl>
    <w:lvl w:ilvl="3" w:tentative="0">
      <w:start w:val="1"/>
      <w:numFmt w:val="decimal"/>
      <w:lvlText w:val="%4."/>
      <w:lvlJc w:val="left"/>
      <w:pPr>
        <w:ind w:left="1681" w:hanging="420"/>
      </w:pPr>
    </w:lvl>
    <w:lvl w:ilvl="4" w:tentative="0">
      <w:start w:val="1"/>
      <w:numFmt w:val="lowerLetter"/>
      <w:lvlText w:val="%5)"/>
      <w:lvlJc w:val="left"/>
      <w:pPr>
        <w:ind w:left="2101" w:hanging="420"/>
      </w:pPr>
    </w:lvl>
    <w:lvl w:ilvl="5" w:tentative="0">
      <w:start w:val="1"/>
      <w:numFmt w:val="lowerRoman"/>
      <w:lvlText w:val="%6."/>
      <w:lvlJc w:val="right"/>
      <w:pPr>
        <w:ind w:left="2521" w:hanging="420"/>
      </w:pPr>
    </w:lvl>
    <w:lvl w:ilvl="6" w:tentative="0">
      <w:start w:val="1"/>
      <w:numFmt w:val="decimal"/>
      <w:lvlText w:val="%7."/>
      <w:lvlJc w:val="left"/>
      <w:pPr>
        <w:ind w:left="2941" w:hanging="420"/>
      </w:pPr>
    </w:lvl>
    <w:lvl w:ilvl="7" w:tentative="0">
      <w:start w:val="1"/>
      <w:numFmt w:val="lowerLetter"/>
      <w:lvlText w:val="%8)"/>
      <w:lvlJc w:val="left"/>
      <w:pPr>
        <w:ind w:left="3361" w:hanging="420"/>
      </w:pPr>
    </w:lvl>
    <w:lvl w:ilvl="8" w:tentative="0">
      <w:start w:val="1"/>
      <w:numFmt w:val="lowerRoman"/>
      <w:lvlText w:val="%9."/>
      <w:lvlJc w:val="right"/>
      <w:pPr>
        <w:ind w:left="3781" w:hanging="420"/>
      </w:pPr>
    </w:lvl>
  </w:abstractNum>
  <w:abstractNum w:abstractNumId="17">
    <w:nsid w:val="36040536"/>
    <w:multiLevelType w:val="multilevel"/>
    <w:tmpl w:val="36040536"/>
    <w:lvl w:ilvl="0" w:tentative="0">
      <w:start w:val="1"/>
      <w:numFmt w:val="decimal"/>
      <w:suff w:val="nothing"/>
      <w:lvlText w:val="%1."/>
      <w:lvlJc w:val="left"/>
      <w:pPr>
        <w:ind w:left="420" w:hanging="420"/>
      </w:pPr>
      <w:rPr>
        <w:rFonts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2）"/>
      <w:lvlJc w:val="left"/>
      <w:pPr>
        <w:ind w:left="1155" w:hanging="73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8FA1737"/>
    <w:multiLevelType w:val="multilevel"/>
    <w:tmpl w:val="38FA1737"/>
    <w:lvl w:ilvl="0" w:tentative="0">
      <w:start w:val="1"/>
      <w:numFmt w:val="decimal"/>
      <w:pStyle w:val="224"/>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9762411"/>
    <w:multiLevelType w:val="multilevel"/>
    <w:tmpl w:val="39762411"/>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9F939B4"/>
    <w:multiLevelType w:val="multilevel"/>
    <w:tmpl w:val="39F939B4"/>
    <w:lvl w:ilvl="0" w:tentative="0">
      <w:start w:val="1"/>
      <w:numFmt w:val="lowerLetter"/>
      <w:suff w:val="nothing"/>
      <w:lvlText w:val="（%1）"/>
      <w:lvlJc w:val="left"/>
      <w:pPr>
        <w:ind w:left="1270" w:hanging="420"/>
      </w:pPr>
      <w:rPr>
        <w:rFonts w:hint="eastAsia"/>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21">
    <w:nsid w:val="3B2F4065"/>
    <w:multiLevelType w:val="multilevel"/>
    <w:tmpl w:val="3B2F4065"/>
    <w:lvl w:ilvl="0" w:tentative="0">
      <w:start w:val="1"/>
      <w:numFmt w:val="lowerLetter"/>
      <w:lvlText w:val="(%1)"/>
      <w:lvlJc w:val="left"/>
      <w:pPr>
        <w:ind w:left="420" w:hanging="420"/>
      </w:pPr>
      <w:rPr>
        <w:rFonts w:hint="eastAsia"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07C2539"/>
    <w:multiLevelType w:val="multilevel"/>
    <w:tmpl w:val="407C2539"/>
    <w:lvl w:ilvl="0" w:tentative="0">
      <w:start w:val="1"/>
      <w:numFmt w:val="decimal"/>
      <w:lvlText w:val="第%1条"/>
      <w:lvlJc w:val="left"/>
      <w:pPr>
        <w:ind w:left="425" w:hanging="425"/>
      </w:pPr>
      <w:rPr>
        <w:rFonts w:hint="eastAsia" w:ascii="Times New Roman" w:hAnsi="Times New Roman" w:eastAsia="宋体" w:cs="Times New Roman"/>
        <w:i w:val="0"/>
      </w:rPr>
    </w:lvl>
    <w:lvl w:ilvl="1" w:tentative="0">
      <w:start w:val="1"/>
      <w:numFmt w:val="decimal"/>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lowerLetter"/>
      <w:lvlText w:val="(%3)"/>
      <w:lvlJc w:val="left"/>
      <w:pPr>
        <w:tabs>
          <w:tab w:val="left" w:pos="1418"/>
        </w:tabs>
        <w:ind w:left="1418" w:hanging="851"/>
      </w:pPr>
      <w:rPr>
        <w:rFonts w:hint="eastAsia"/>
        <w:b w:val="0"/>
        <w:bCs w:val="0"/>
        <w:i w:val="0"/>
        <w:iCs w:val="0"/>
        <w:caps w:val="0"/>
        <w:smallCaps w:val="0"/>
        <w:strike w:val="0"/>
        <w:dstrike w:val="0"/>
        <w:color w:val="000000"/>
        <w:spacing w:val="0"/>
        <w:kern w:val="0"/>
        <w:position w:val="0"/>
        <w:u w:val="none"/>
      </w:rPr>
    </w:lvl>
    <w:lvl w:ilvl="3" w:tentative="0">
      <w:start w:val="1"/>
      <w:numFmt w:val="lowerLetter"/>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423E0CB0"/>
    <w:multiLevelType w:val="multilevel"/>
    <w:tmpl w:val="423E0CB0"/>
    <w:lvl w:ilvl="0" w:tentative="0">
      <w:start w:val="1"/>
      <w:numFmt w:val="lowerLetter"/>
      <w:lvlText w:val="(%1)"/>
      <w:lvlJc w:val="left"/>
      <w:pPr>
        <w:ind w:left="1838" w:hanging="420"/>
      </w:pPr>
      <w:rPr>
        <w:rFonts w:hint="eastAsia"/>
      </w:rPr>
    </w:lvl>
    <w:lvl w:ilvl="1" w:tentative="0">
      <w:start w:val="1"/>
      <w:numFmt w:val="lowerLetter"/>
      <w:lvlText w:val="(%2)"/>
      <w:lvlJc w:val="left"/>
      <w:pPr>
        <w:ind w:left="2258" w:hanging="420"/>
      </w:pPr>
      <w:rPr>
        <w:rFonts w:hint="eastAsia"/>
      </w:rPr>
    </w:lvl>
    <w:lvl w:ilvl="2" w:tentative="0">
      <w:start w:val="1"/>
      <w:numFmt w:val="lowerLetter"/>
      <w:lvlText w:val="（%3）"/>
      <w:lvlJc w:val="left"/>
      <w:pPr>
        <w:ind w:left="2978" w:hanging="720"/>
      </w:pPr>
      <w:rPr>
        <w:rFonts w:hint="default"/>
      </w:r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4">
    <w:nsid w:val="426B3493"/>
    <w:multiLevelType w:val="multilevel"/>
    <w:tmpl w:val="426B3493"/>
    <w:lvl w:ilvl="0" w:tentative="0">
      <w:start w:val="1"/>
      <w:numFmt w:val="decimal"/>
      <w:pStyle w:val="212"/>
      <w:lvlText w:val="第%1条"/>
      <w:lvlJc w:val="left"/>
      <w:pPr>
        <w:ind w:left="425" w:hanging="425"/>
      </w:pPr>
      <w:rPr>
        <w:rFonts w:hint="eastAsia" w:ascii="宋体" w:hAnsi="宋体" w:eastAsia="宋体" w:cs="Times New Roman"/>
        <w:b/>
        <w:i w:val="0"/>
        <w:lang w:val="en-US"/>
      </w:rPr>
    </w:lvl>
    <w:lvl w:ilvl="1" w:tentative="0">
      <w:start w:val="1"/>
      <w:numFmt w:val="decimal"/>
      <w:pStyle w:val="213"/>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decimal"/>
      <w:pStyle w:val="214"/>
      <w:lvlText w:val="%1.%2.%3"/>
      <w:lvlJc w:val="left"/>
      <w:pPr>
        <w:tabs>
          <w:tab w:val="left" w:pos="1418"/>
        </w:tabs>
        <w:ind w:left="1418" w:hanging="851"/>
      </w:pPr>
      <w:rPr>
        <w:rFonts w:hint="eastAsia" w:ascii="Times New Roman" w:hAnsi="Times New Roman" w:cs="Times New Roman"/>
        <w:b w:val="0"/>
        <w:bCs w:val="0"/>
        <w:i w:val="0"/>
        <w:iCs w:val="0"/>
        <w:caps w:val="0"/>
        <w:smallCaps w:val="0"/>
        <w:strike w:val="0"/>
        <w:dstrike w:val="0"/>
        <w:color w:val="000000"/>
        <w:spacing w:val="0"/>
        <w:kern w:val="0"/>
        <w:position w:val="0"/>
        <w:u w:val="none"/>
      </w:rPr>
    </w:lvl>
    <w:lvl w:ilvl="3" w:tentative="0">
      <w:start w:val="1"/>
      <w:numFmt w:val="lowerLetter"/>
      <w:pStyle w:val="219"/>
      <w:suff w:val="space"/>
      <w:lvlText w:val="(%4)"/>
      <w:lvlJc w:val="left"/>
      <w:pPr>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5">
    <w:nsid w:val="5172569F"/>
    <w:multiLevelType w:val="multilevel"/>
    <w:tmpl w:val="517256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38431E3"/>
    <w:multiLevelType w:val="multilevel"/>
    <w:tmpl w:val="538431E3"/>
    <w:lvl w:ilvl="0" w:tentative="0">
      <w:start w:val="1"/>
      <w:numFmt w:val="lowerLetter"/>
      <w:suff w:val="nothing"/>
      <w:lvlText w:val="（%1）"/>
      <w:lvlJc w:val="left"/>
      <w:pPr>
        <w:ind w:left="1270" w:hanging="420"/>
      </w:pPr>
      <w:rPr>
        <w:rFonts w:hint="eastAsia"/>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27">
    <w:nsid w:val="540878A2"/>
    <w:multiLevelType w:val="multilevel"/>
    <w:tmpl w:val="540878A2"/>
    <w:lvl w:ilvl="0" w:tentative="0">
      <w:start w:val="1"/>
      <w:numFmt w:val="lowerLetter"/>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8981A3F"/>
    <w:multiLevelType w:val="multilevel"/>
    <w:tmpl w:val="58981A3F"/>
    <w:lvl w:ilvl="0" w:tentative="0">
      <w:start w:val="1"/>
      <w:numFmt w:val="lowerLetter"/>
      <w:lvlText w:val="(%1)"/>
      <w:lvlJc w:val="left"/>
      <w:pPr>
        <w:ind w:left="1838" w:hanging="420"/>
      </w:pPr>
      <w:rPr>
        <w:rFonts w:hint="eastAsia"/>
      </w:rPr>
    </w:lvl>
    <w:lvl w:ilvl="1" w:tentative="0">
      <w:start w:val="1"/>
      <w:numFmt w:val="lowerLetter"/>
      <w:lvlText w:val="（%2)"/>
      <w:lvlJc w:val="left"/>
      <w:pPr>
        <w:ind w:left="2573" w:hanging="735"/>
      </w:pPr>
      <w:rPr>
        <w:rFonts w:hint="default"/>
      </w:r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29">
    <w:nsid w:val="599E4419"/>
    <w:multiLevelType w:val="multilevel"/>
    <w:tmpl w:val="599E4419"/>
    <w:lvl w:ilvl="0" w:tentative="0">
      <w:start w:val="1"/>
      <w:numFmt w:val="chineseCounting"/>
      <w:suff w:val="nothing"/>
      <w:lvlText w:val="（%1）"/>
      <w:lvlJc w:val="left"/>
      <w:pPr>
        <w:ind w:left="0" w:firstLine="420"/>
      </w:pPr>
      <w:rPr>
        <w:rFonts w:hint="eastAsia" w:ascii="宋体" w:hAnsi="宋体" w:eastAsia="宋体"/>
        <w:b/>
        <w:bCs/>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9A7CA1E"/>
    <w:multiLevelType w:val="singleLevel"/>
    <w:tmpl w:val="59A7CA1E"/>
    <w:lvl w:ilvl="0" w:tentative="0">
      <w:start w:val="1"/>
      <w:numFmt w:val="chineseCounting"/>
      <w:suff w:val="nothing"/>
      <w:lvlText w:val="%1、"/>
      <w:lvlJc w:val="left"/>
    </w:lvl>
  </w:abstractNum>
  <w:abstractNum w:abstractNumId="31">
    <w:nsid w:val="5A3165F1"/>
    <w:multiLevelType w:val="multilevel"/>
    <w:tmpl w:val="5A3165F1"/>
    <w:lvl w:ilvl="0" w:tentative="0">
      <w:start w:val="1"/>
      <w:numFmt w:val="decimal"/>
      <w:lvlText w:val="第%1条"/>
      <w:lvlJc w:val="left"/>
      <w:pPr>
        <w:ind w:left="425" w:hanging="425"/>
      </w:pPr>
      <w:rPr>
        <w:rFonts w:hint="eastAsia" w:ascii="Times New Roman" w:hAnsi="Times New Roman" w:eastAsia="宋体" w:cs="Times New Roman"/>
        <w:i w:val="0"/>
      </w:rPr>
    </w:lvl>
    <w:lvl w:ilvl="1" w:tentative="0">
      <w:start w:val="1"/>
      <w:numFmt w:val="decimal"/>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lowerLetter"/>
      <w:lvlText w:val="(%3)"/>
      <w:lvlJc w:val="left"/>
      <w:pPr>
        <w:tabs>
          <w:tab w:val="left" w:pos="1418"/>
        </w:tabs>
        <w:ind w:left="1418" w:hanging="851"/>
      </w:pPr>
      <w:rPr>
        <w:rFonts w:hint="eastAsia"/>
        <w:b w:val="0"/>
        <w:bCs w:val="0"/>
        <w:i w:val="0"/>
        <w:iCs w:val="0"/>
        <w:caps w:val="0"/>
        <w:smallCaps w:val="0"/>
        <w:strike w:val="0"/>
        <w:dstrike w:val="0"/>
        <w:color w:val="000000"/>
        <w:spacing w:val="0"/>
        <w:kern w:val="0"/>
        <w:position w:val="0"/>
        <w:u w:val="none"/>
      </w:rPr>
    </w:lvl>
    <w:lvl w:ilvl="3" w:tentative="0">
      <w:start w:val="1"/>
      <w:numFmt w:val="lowerLetter"/>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5A4C65E2"/>
    <w:multiLevelType w:val="multilevel"/>
    <w:tmpl w:val="5A4C65E2"/>
    <w:lvl w:ilvl="0" w:tentative="0">
      <w:start w:val="1"/>
      <w:numFmt w:val="lowerLetter"/>
      <w:suff w:val="nothing"/>
      <w:lvlText w:val="（%1）"/>
      <w:lvlJc w:val="left"/>
      <w:pPr>
        <w:ind w:left="1839"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3">
    <w:nsid w:val="641414EB"/>
    <w:multiLevelType w:val="multilevel"/>
    <w:tmpl w:val="641414E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70E013EA"/>
    <w:multiLevelType w:val="multilevel"/>
    <w:tmpl w:val="70E013EA"/>
    <w:lvl w:ilvl="0" w:tentative="0">
      <w:start w:val="1"/>
      <w:numFmt w:val="decimal"/>
      <w:lvlText w:val="第%1条"/>
      <w:lvlJc w:val="left"/>
      <w:pPr>
        <w:ind w:left="425" w:hanging="425"/>
      </w:pPr>
      <w:rPr>
        <w:rFonts w:hint="eastAsia" w:ascii="Times New Roman" w:hAnsi="Times New Roman" w:eastAsia="宋体" w:cs="Times New Roman"/>
        <w:i w:val="0"/>
      </w:rPr>
    </w:lvl>
    <w:lvl w:ilvl="1" w:tentative="0">
      <w:start w:val="1"/>
      <w:numFmt w:val="decimal"/>
      <w:lvlText w:val="%1.%2"/>
      <w:lvlJc w:val="left"/>
      <w:pPr>
        <w:tabs>
          <w:tab w:val="left" w:pos="567"/>
        </w:tabs>
        <w:ind w:left="567"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lowerLetter"/>
      <w:lvlText w:val="(%3)"/>
      <w:lvlJc w:val="left"/>
      <w:pPr>
        <w:tabs>
          <w:tab w:val="left" w:pos="1418"/>
        </w:tabs>
        <w:ind w:left="1418" w:hanging="851"/>
      </w:pPr>
      <w:rPr>
        <w:rFonts w:hint="eastAsia"/>
        <w:b w:val="0"/>
        <w:bCs w:val="0"/>
        <w:i w:val="0"/>
        <w:iCs w:val="0"/>
        <w:caps w:val="0"/>
        <w:smallCaps w:val="0"/>
        <w:strike w:val="0"/>
        <w:dstrike w:val="0"/>
        <w:color w:val="000000"/>
        <w:spacing w:val="0"/>
        <w:kern w:val="0"/>
        <w:position w:val="0"/>
        <w:u w:val="none"/>
      </w:rPr>
    </w:lvl>
    <w:lvl w:ilvl="3" w:tentative="0">
      <w:start w:val="1"/>
      <w:numFmt w:val="lowerLetter"/>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71355564"/>
    <w:multiLevelType w:val="multilevel"/>
    <w:tmpl w:val="7135556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2D76727"/>
    <w:multiLevelType w:val="multilevel"/>
    <w:tmpl w:val="72D76727"/>
    <w:lvl w:ilvl="0" w:tentative="0">
      <w:start w:val="1"/>
      <w:numFmt w:val="lowerLetter"/>
      <w:suff w:val="nothing"/>
      <w:lvlText w:val="（%1）"/>
      <w:lvlJc w:val="left"/>
      <w:pPr>
        <w:ind w:left="1270" w:hanging="420"/>
      </w:pPr>
      <w:rPr>
        <w:rFonts w:hint="eastAsia"/>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num w:numId="1">
    <w:abstractNumId w:val="1"/>
  </w:num>
  <w:num w:numId="2">
    <w:abstractNumId w:val="24"/>
  </w:num>
  <w:num w:numId="3">
    <w:abstractNumId w:val="18"/>
  </w:num>
  <w:num w:numId="4">
    <w:abstractNumId w:val="4"/>
  </w:num>
  <w:num w:numId="5">
    <w:abstractNumId w:val="21"/>
  </w:num>
  <w:num w:numId="6">
    <w:abstractNumId w:val="19"/>
  </w:num>
  <w:num w:numId="7">
    <w:abstractNumId w:val="15"/>
  </w:num>
  <w:num w:numId="8">
    <w:abstractNumId w:val="27"/>
  </w:num>
  <w:num w:numId="9">
    <w:abstractNumId w:val="31"/>
  </w:num>
  <w:num w:numId="10">
    <w:abstractNumId w:val="22"/>
  </w:num>
  <w:num w:numId="11">
    <w:abstractNumId w:val="34"/>
  </w:num>
  <w:num w:numId="12">
    <w:abstractNumId w:val="11"/>
  </w:num>
  <w:num w:numId="13">
    <w:abstractNumId w:val="9"/>
  </w:num>
  <w:num w:numId="14">
    <w:abstractNumId w:val="14"/>
  </w:num>
  <w:num w:numId="15">
    <w:abstractNumId w:val="5"/>
  </w:num>
  <w:num w:numId="16">
    <w:abstractNumId w:val="28"/>
  </w:num>
  <w:num w:numId="17">
    <w:abstractNumId w:val="23"/>
  </w:num>
  <w:num w:numId="18">
    <w:abstractNumId w:val="16"/>
  </w:num>
  <w:num w:numId="19">
    <w:abstractNumId w:val="32"/>
  </w:num>
  <w:num w:numId="20">
    <w:abstractNumId w:val="2"/>
  </w:num>
  <w:num w:numId="21">
    <w:abstractNumId w:val="6"/>
  </w:num>
  <w:num w:numId="22">
    <w:abstractNumId w:val="36"/>
  </w:num>
  <w:num w:numId="23">
    <w:abstractNumId w:val="26"/>
  </w:num>
  <w:num w:numId="24">
    <w:abstractNumId w:val="20"/>
  </w:num>
  <w:num w:numId="25">
    <w:abstractNumId w:val="3"/>
  </w:num>
  <w:num w:numId="26">
    <w:abstractNumId w:val="13"/>
  </w:num>
  <w:num w:numId="27">
    <w:abstractNumId w:val="8"/>
  </w:num>
  <w:num w:numId="28">
    <w:abstractNumId w:val="33"/>
  </w:num>
  <w:num w:numId="29">
    <w:abstractNumId w:val="25"/>
  </w:num>
  <w:num w:numId="30">
    <w:abstractNumId w:val="10"/>
  </w:num>
  <w:num w:numId="31">
    <w:abstractNumId w:val="7"/>
  </w:num>
  <w:num w:numId="32">
    <w:abstractNumId w:val="35"/>
  </w:num>
  <w:num w:numId="33">
    <w:abstractNumId w:val="12"/>
  </w:num>
  <w:num w:numId="34">
    <w:abstractNumId w:val="17"/>
    <w:lvlOverride w:ilvl="0">
      <w:startOverride w:val="1"/>
    </w:lvlOverride>
  </w:num>
  <w:num w:numId="35">
    <w:abstractNumId w:val="17"/>
  </w:num>
  <w:num w:numId="36">
    <w:abstractNumId w:val="0"/>
  </w:num>
  <w:num w:numId="37">
    <w:abstractNumId w:val="3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F75"/>
    <w:rsid w:val="00002BBA"/>
    <w:rsid w:val="0000329E"/>
    <w:rsid w:val="0000360C"/>
    <w:rsid w:val="00003899"/>
    <w:rsid w:val="00004EDE"/>
    <w:rsid w:val="0000554B"/>
    <w:rsid w:val="00005598"/>
    <w:rsid w:val="0000617C"/>
    <w:rsid w:val="00006AF4"/>
    <w:rsid w:val="00007C20"/>
    <w:rsid w:val="000100A9"/>
    <w:rsid w:val="00010E14"/>
    <w:rsid w:val="00010F4E"/>
    <w:rsid w:val="00011230"/>
    <w:rsid w:val="00011F90"/>
    <w:rsid w:val="00012582"/>
    <w:rsid w:val="000135AD"/>
    <w:rsid w:val="00014590"/>
    <w:rsid w:val="00014EDF"/>
    <w:rsid w:val="00015DA4"/>
    <w:rsid w:val="0001748D"/>
    <w:rsid w:val="000209C6"/>
    <w:rsid w:val="00021222"/>
    <w:rsid w:val="00021B0F"/>
    <w:rsid w:val="00021B2A"/>
    <w:rsid w:val="00023EAE"/>
    <w:rsid w:val="0002417A"/>
    <w:rsid w:val="00024AEA"/>
    <w:rsid w:val="00024E63"/>
    <w:rsid w:val="00025510"/>
    <w:rsid w:val="0002566C"/>
    <w:rsid w:val="000279EA"/>
    <w:rsid w:val="0003014E"/>
    <w:rsid w:val="00030270"/>
    <w:rsid w:val="00030648"/>
    <w:rsid w:val="00031390"/>
    <w:rsid w:val="00031D06"/>
    <w:rsid w:val="00032D8B"/>
    <w:rsid w:val="000336CD"/>
    <w:rsid w:val="00034C6A"/>
    <w:rsid w:val="0003501D"/>
    <w:rsid w:val="000361A4"/>
    <w:rsid w:val="00036287"/>
    <w:rsid w:val="000363AC"/>
    <w:rsid w:val="00036A7C"/>
    <w:rsid w:val="0003732D"/>
    <w:rsid w:val="000379A1"/>
    <w:rsid w:val="00037DA0"/>
    <w:rsid w:val="0004065E"/>
    <w:rsid w:val="0004169A"/>
    <w:rsid w:val="000419CC"/>
    <w:rsid w:val="00041F96"/>
    <w:rsid w:val="00042349"/>
    <w:rsid w:val="00042737"/>
    <w:rsid w:val="000432F5"/>
    <w:rsid w:val="000436F0"/>
    <w:rsid w:val="00043976"/>
    <w:rsid w:val="00043CFB"/>
    <w:rsid w:val="00043EEE"/>
    <w:rsid w:val="000456ED"/>
    <w:rsid w:val="00045BD2"/>
    <w:rsid w:val="00046D73"/>
    <w:rsid w:val="000470F1"/>
    <w:rsid w:val="000477C6"/>
    <w:rsid w:val="0004789C"/>
    <w:rsid w:val="00047A3B"/>
    <w:rsid w:val="00050234"/>
    <w:rsid w:val="00050D38"/>
    <w:rsid w:val="00052EB8"/>
    <w:rsid w:val="00053EC0"/>
    <w:rsid w:val="00053EC1"/>
    <w:rsid w:val="000549A7"/>
    <w:rsid w:val="00055B9B"/>
    <w:rsid w:val="00056202"/>
    <w:rsid w:val="00057B47"/>
    <w:rsid w:val="00057C2C"/>
    <w:rsid w:val="00060427"/>
    <w:rsid w:val="0006073A"/>
    <w:rsid w:val="00061301"/>
    <w:rsid w:val="0006286D"/>
    <w:rsid w:val="0006405E"/>
    <w:rsid w:val="00064610"/>
    <w:rsid w:val="0006481B"/>
    <w:rsid w:val="000649B8"/>
    <w:rsid w:val="000667BA"/>
    <w:rsid w:val="000667CB"/>
    <w:rsid w:val="000669FD"/>
    <w:rsid w:val="00066A32"/>
    <w:rsid w:val="0006770C"/>
    <w:rsid w:val="00070151"/>
    <w:rsid w:val="000712B3"/>
    <w:rsid w:val="0007154A"/>
    <w:rsid w:val="00071C14"/>
    <w:rsid w:val="00073F95"/>
    <w:rsid w:val="000748BA"/>
    <w:rsid w:val="00075CF8"/>
    <w:rsid w:val="00077109"/>
    <w:rsid w:val="00077669"/>
    <w:rsid w:val="00077774"/>
    <w:rsid w:val="000778C4"/>
    <w:rsid w:val="00081C99"/>
    <w:rsid w:val="00081CFE"/>
    <w:rsid w:val="00081DE2"/>
    <w:rsid w:val="00082960"/>
    <w:rsid w:val="0008371E"/>
    <w:rsid w:val="00083C5B"/>
    <w:rsid w:val="000841FA"/>
    <w:rsid w:val="00084D2B"/>
    <w:rsid w:val="00085B9F"/>
    <w:rsid w:val="00085EFC"/>
    <w:rsid w:val="00085F50"/>
    <w:rsid w:val="00090B93"/>
    <w:rsid w:val="000914A2"/>
    <w:rsid w:val="000923A0"/>
    <w:rsid w:val="000933D4"/>
    <w:rsid w:val="00094768"/>
    <w:rsid w:val="00094D81"/>
    <w:rsid w:val="0009500F"/>
    <w:rsid w:val="00095628"/>
    <w:rsid w:val="00096909"/>
    <w:rsid w:val="00096B4E"/>
    <w:rsid w:val="000A0E53"/>
    <w:rsid w:val="000A103E"/>
    <w:rsid w:val="000A15D4"/>
    <w:rsid w:val="000A2853"/>
    <w:rsid w:val="000A5AA3"/>
    <w:rsid w:val="000A67AC"/>
    <w:rsid w:val="000A78BF"/>
    <w:rsid w:val="000A7BB2"/>
    <w:rsid w:val="000B07B3"/>
    <w:rsid w:val="000B0F2F"/>
    <w:rsid w:val="000B1D9E"/>
    <w:rsid w:val="000B2C79"/>
    <w:rsid w:val="000B4693"/>
    <w:rsid w:val="000B66C6"/>
    <w:rsid w:val="000B6B59"/>
    <w:rsid w:val="000C0504"/>
    <w:rsid w:val="000C0DD7"/>
    <w:rsid w:val="000C169C"/>
    <w:rsid w:val="000C16B0"/>
    <w:rsid w:val="000C19CA"/>
    <w:rsid w:val="000C1B43"/>
    <w:rsid w:val="000C201C"/>
    <w:rsid w:val="000C24DD"/>
    <w:rsid w:val="000C42A9"/>
    <w:rsid w:val="000C454A"/>
    <w:rsid w:val="000C4574"/>
    <w:rsid w:val="000C4DB6"/>
    <w:rsid w:val="000C4EA9"/>
    <w:rsid w:val="000C5552"/>
    <w:rsid w:val="000C5573"/>
    <w:rsid w:val="000C5702"/>
    <w:rsid w:val="000C5B56"/>
    <w:rsid w:val="000C628C"/>
    <w:rsid w:val="000C64DE"/>
    <w:rsid w:val="000C71C7"/>
    <w:rsid w:val="000C758F"/>
    <w:rsid w:val="000C7AE4"/>
    <w:rsid w:val="000C7AFD"/>
    <w:rsid w:val="000D0378"/>
    <w:rsid w:val="000D063E"/>
    <w:rsid w:val="000D0B4C"/>
    <w:rsid w:val="000D1876"/>
    <w:rsid w:val="000D1D57"/>
    <w:rsid w:val="000D2883"/>
    <w:rsid w:val="000D29C4"/>
    <w:rsid w:val="000D3014"/>
    <w:rsid w:val="000D4248"/>
    <w:rsid w:val="000D4A02"/>
    <w:rsid w:val="000D4FC5"/>
    <w:rsid w:val="000D6779"/>
    <w:rsid w:val="000D696C"/>
    <w:rsid w:val="000E33CA"/>
    <w:rsid w:val="000E4037"/>
    <w:rsid w:val="000E47D3"/>
    <w:rsid w:val="000E4FEA"/>
    <w:rsid w:val="000E5E8D"/>
    <w:rsid w:val="000E756E"/>
    <w:rsid w:val="000E782B"/>
    <w:rsid w:val="000F0368"/>
    <w:rsid w:val="000F05A2"/>
    <w:rsid w:val="000F0B0A"/>
    <w:rsid w:val="000F0DF0"/>
    <w:rsid w:val="000F1161"/>
    <w:rsid w:val="000F1408"/>
    <w:rsid w:val="000F1C43"/>
    <w:rsid w:val="000F267C"/>
    <w:rsid w:val="000F33A2"/>
    <w:rsid w:val="000F4158"/>
    <w:rsid w:val="000F6ECE"/>
    <w:rsid w:val="0010129F"/>
    <w:rsid w:val="001028A0"/>
    <w:rsid w:val="00102B04"/>
    <w:rsid w:val="00103C6B"/>
    <w:rsid w:val="001044BB"/>
    <w:rsid w:val="00104532"/>
    <w:rsid w:val="00105633"/>
    <w:rsid w:val="001064D2"/>
    <w:rsid w:val="00106904"/>
    <w:rsid w:val="00107489"/>
    <w:rsid w:val="00107C91"/>
    <w:rsid w:val="00107F90"/>
    <w:rsid w:val="001114F3"/>
    <w:rsid w:val="00111BFA"/>
    <w:rsid w:val="00111CBD"/>
    <w:rsid w:val="001143C3"/>
    <w:rsid w:val="00114CBD"/>
    <w:rsid w:val="00114E7C"/>
    <w:rsid w:val="001174BC"/>
    <w:rsid w:val="0011775C"/>
    <w:rsid w:val="0011794E"/>
    <w:rsid w:val="00117A1C"/>
    <w:rsid w:val="00120355"/>
    <w:rsid w:val="001207E3"/>
    <w:rsid w:val="001214E2"/>
    <w:rsid w:val="001219E9"/>
    <w:rsid w:val="00122098"/>
    <w:rsid w:val="00122315"/>
    <w:rsid w:val="0012271C"/>
    <w:rsid w:val="001234D4"/>
    <w:rsid w:val="00123707"/>
    <w:rsid w:val="0012516A"/>
    <w:rsid w:val="00125FBF"/>
    <w:rsid w:val="00126922"/>
    <w:rsid w:val="00126F6B"/>
    <w:rsid w:val="001273FB"/>
    <w:rsid w:val="00127EE0"/>
    <w:rsid w:val="001314C4"/>
    <w:rsid w:val="001314E0"/>
    <w:rsid w:val="001330C4"/>
    <w:rsid w:val="00133155"/>
    <w:rsid w:val="00133F22"/>
    <w:rsid w:val="00134527"/>
    <w:rsid w:val="001345B3"/>
    <w:rsid w:val="00134D71"/>
    <w:rsid w:val="001362CD"/>
    <w:rsid w:val="00137EF9"/>
    <w:rsid w:val="00137FC0"/>
    <w:rsid w:val="00141934"/>
    <w:rsid w:val="001419C7"/>
    <w:rsid w:val="00141A63"/>
    <w:rsid w:val="00142659"/>
    <w:rsid w:val="00143AF2"/>
    <w:rsid w:val="0014443C"/>
    <w:rsid w:val="00144F3B"/>
    <w:rsid w:val="001453D7"/>
    <w:rsid w:val="0014557B"/>
    <w:rsid w:val="001460B4"/>
    <w:rsid w:val="00146119"/>
    <w:rsid w:val="001461C5"/>
    <w:rsid w:val="00151518"/>
    <w:rsid w:val="00153D9D"/>
    <w:rsid w:val="00154C57"/>
    <w:rsid w:val="00155F5F"/>
    <w:rsid w:val="00156262"/>
    <w:rsid w:val="00157575"/>
    <w:rsid w:val="0016025C"/>
    <w:rsid w:val="00160728"/>
    <w:rsid w:val="00160AF8"/>
    <w:rsid w:val="00160BB1"/>
    <w:rsid w:val="00160DEC"/>
    <w:rsid w:val="00161275"/>
    <w:rsid w:val="00162944"/>
    <w:rsid w:val="00162B38"/>
    <w:rsid w:val="00165996"/>
    <w:rsid w:val="00167646"/>
    <w:rsid w:val="0017071C"/>
    <w:rsid w:val="00171082"/>
    <w:rsid w:val="001713B0"/>
    <w:rsid w:val="00171520"/>
    <w:rsid w:val="00171E2D"/>
    <w:rsid w:val="0017200C"/>
    <w:rsid w:val="00172A27"/>
    <w:rsid w:val="00172C6D"/>
    <w:rsid w:val="00173B16"/>
    <w:rsid w:val="00174261"/>
    <w:rsid w:val="001749E5"/>
    <w:rsid w:val="00175F8B"/>
    <w:rsid w:val="00176677"/>
    <w:rsid w:val="0018302B"/>
    <w:rsid w:val="00183158"/>
    <w:rsid w:val="0018470E"/>
    <w:rsid w:val="00185093"/>
    <w:rsid w:val="001850C1"/>
    <w:rsid w:val="0018549B"/>
    <w:rsid w:val="00185D06"/>
    <w:rsid w:val="001863C3"/>
    <w:rsid w:val="00186747"/>
    <w:rsid w:val="00186BF7"/>
    <w:rsid w:val="001909E7"/>
    <w:rsid w:val="00190B56"/>
    <w:rsid w:val="0019110E"/>
    <w:rsid w:val="00191236"/>
    <w:rsid w:val="001912B7"/>
    <w:rsid w:val="00191727"/>
    <w:rsid w:val="00191C46"/>
    <w:rsid w:val="00191DEF"/>
    <w:rsid w:val="00194AC3"/>
    <w:rsid w:val="00194BEF"/>
    <w:rsid w:val="00195FB6"/>
    <w:rsid w:val="001973F3"/>
    <w:rsid w:val="001A033C"/>
    <w:rsid w:val="001A057F"/>
    <w:rsid w:val="001A066A"/>
    <w:rsid w:val="001A140F"/>
    <w:rsid w:val="001A1513"/>
    <w:rsid w:val="001A2A33"/>
    <w:rsid w:val="001A354F"/>
    <w:rsid w:val="001A3BD9"/>
    <w:rsid w:val="001A412F"/>
    <w:rsid w:val="001A53F4"/>
    <w:rsid w:val="001A664A"/>
    <w:rsid w:val="001A6CA2"/>
    <w:rsid w:val="001A6D06"/>
    <w:rsid w:val="001A6F9E"/>
    <w:rsid w:val="001A763F"/>
    <w:rsid w:val="001A79AE"/>
    <w:rsid w:val="001A7DC0"/>
    <w:rsid w:val="001B147F"/>
    <w:rsid w:val="001B274E"/>
    <w:rsid w:val="001B2800"/>
    <w:rsid w:val="001B2801"/>
    <w:rsid w:val="001B3550"/>
    <w:rsid w:val="001B3A01"/>
    <w:rsid w:val="001B3F8E"/>
    <w:rsid w:val="001B4109"/>
    <w:rsid w:val="001B4F0A"/>
    <w:rsid w:val="001B5645"/>
    <w:rsid w:val="001B68D9"/>
    <w:rsid w:val="001B775D"/>
    <w:rsid w:val="001B79BF"/>
    <w:rsid w:val="001B7A19"/>
    <w:rsid w:val="001C1FAB"/>
    <w:rsid w:val="001C385F"/>
    <w:rsid w:val="001C4D1D"/>
    <w:rsid w:val="001C4D22"/>
    <w:rsid w:val="001C533C"/>
    <w:rsid w:val="001C5DF3"/>
    <w:rsid w:val="001C5EE7"/>
    <w:rsid w:val="001C61AA"/>
    <w:rsid w:val="001C654C"/>
    <w:rsid w:val="001C69DD"/>
    <w:rsid w:val="001C7855"/>
    <w:rsid w:val="001C7B35"/>
    <w:rsid w:val="001D0A03"/>
    <w:rsid w:val="001D0C23"/>
    <w:rsid w:val="001D0FFB"/>
    <w:rsid w:val="001D13B6"/>
    <w:rsid w:val="001D16FF"/>
    <w:rsid w:val="001D4769"/>
    <w:rsid w:val="001D47F4"/>
    <w:rsid w:val="001D61FE"/>
    <w:rsid w:val="001D79A1"/>
    <w:rsid w:val="001E19F8"/>
    <w:rsid w:val="001E2B65"/>
    <w:rsid w:val="001E394B"/>
    <w:rsid w:val="001E3D1E"/>
    <w:rsid w:val="001E4C06"/>
    <w:rsid w:val="001E522E"/>
    <w:rsid w:val="001E56BC"/>
    <w:rsid w:val="001E69B4"/>
    <w:rsid w:val="001F21C3"/>
    <w:rsid w:val="001F249D"/>
    <w:rsid w:val="001F2769"/>
    <w:rsid w:val="001F2C89"/>
    <w:rsid w:val="001F2DE0"/>
    <w:rsid w:val="001F38AA"/>
    <w:rsid w:val="001F42CC"/>
    <w:rsid w:val="001F448E"/>
    <w:rsid w:val="001F46D3"/>
    <w:rsid w:val="001F4AF0"/>
    <w:rsid w:val="001F4D59"/>
    <w:rsid w:val="001F4E25"/>
    <w:rsid w:val="001F6568"/>
    <w:rsid w:val="001F6B27"/>
    <w:rsid w:val="001F6C95"/>
    <w:rsid w:val="001F75BB"/>
    <w:rsid w:val="00200034"/>
    <w:rsid w:val="00200188"/>
    <w:rsid w:val="0020178F"/>
    <w:rsid w:val="002017F5"/>
    <w:rsid w:val="00202252"/>
    <w:rsid w:val="00202425"/>
    <w:rsid w:val="0020261F"/>
    <w:rsid w:val="00204944"/>
    <w:rsid w:val="002049B8"/>
    <w:rsid w:val="0021028A"/>
    <w:rsid w:val="002118EE"/>
    <w:rsid w:val="00211FC6"/>
    <w:rsid w:val="00214B03"/>
    <w:rsid w:val="00215DD7"/>
    <w:rsid w:val="00216231"/>
    <w:rsid w:val="00216EF2"/>
    <w:rsid w:val="002177C1"/>
    <w:rsid w:val="00217A7D"/>
    <w:rsid w:val="0022017C"/>
    <w:rsid w:val="00220B9D"/>
    <w:rsid w:val="0022220A"/>
    <w:rsid w:val="0022234D"/>
    <w:rsid w:val="00222C69"/>
    <w:rsid w:val="00222D73"/>
    <w:rsid w:val="00222E31"/>
    <w:rsid w:val="002233B0"/>
    <w:rsid w:val="00225703"/>
    <w:rsid w:val="00225E82"/>
    <w:rsid w:val="00226C57"/>
    <w:rsid w:val="00230505"/>
    <w:rsid w:val="00230BEE"/>
    <w:rsid w:val="002328B9"/>
    <w:rsid w:val="00233E4A"/>
    <w:rsid w:val="002340BE"/>
    <w:rsid w:val="002342CE"/>
    <w:rsid w:val="002342DE"/>
    <w:rsid w:val="00236496"/>
    <w:rsid w:val="0023692E"/>
    <w:rsid w:val="00236E87"/>
    <w:rsid w:val="00237145"/>
    <w:rsid w:val="002372FB"/>
    <w:rsid w:val="0024103D"/>
    <w:rsid w:val="00241FF0"/>
    <w:rsid w:val="00243015"/>
    <w:rsid w:val="00245222"/>
    <w:rsid w:val="00245F0D"/>
    <w:rsid w:val="00246970"/>
    <w:rsid w:val="00246C2B"/>
    <w:rsid w:val="002472BA"/>
    <w:rsid w:val="00247711"/>
    <w:rsid w:val="00252585"/>
    <w:rsid w:val="00252824"/>
    <w:rsid w:val="00254151"/>
    <w:rsid w:val="0025522F"/>
    <w:rsid w:val="0025562D"/>
    <w:rsid w:val="00255779"/>
    <w:rsid w:val="002571E4"/>
    <w:rsid w:val="002613F5"/>
    <w:rsid w:val="00261BBB"/>
    <w:rsid w:val="00263363"/>
    <w:rsid w:val="002649B9"/>
    <w:rsid w:val="002664C2"/>
    <w:rsid w:val="00266645"/>
    <w:rsid w:val="0027056E"/>
    <w:rsid w:val="00270629"/>
    <w:rsid w:val="002707D0"/>
    <w:rsid w:val="00270850"/>
    <w:rsid w:val="00270C81"/>
    <w:rsid w:val="00270F36"/>
    <w:rsid w:val="00273A8F"/>
    <w:rsid w:val="002740A4"/>
    <w:rsid w:val="002749E9"/>
    <w:rsid w:val="00274A2A"/>
    <w:rsid w:val="00274E64"/>
    <w:rsid w:val="0027527C"/>
    <w:rsid w:val="002754C5"/>
    <w:rsid w:val="00275F09"/>
    <w:rsid w:val="00275F10"/>
    <w:rsid w:val="00276C08"/>
    <w:rsid w:val="00276F07"/>
    <w:rsid w:val="00280C23"/>
    <w:rsid w:val="002810D9"/>
    <w:rsid w:val="00281A43"/>
    <w:rsid w:val="00282022"/>
    <w:rsid w:val="002825EF"/>
    <w:rsid w:val="0028405B"/>
    <w:rsid w:val="00284BB1"/>
    <w:rsid w:val="00284EED"/>
    <w:rsid w:val="002873EF"/>
    <w:rsid w:val="0029035D"/>
    <w:rsid w:val="00291497"/>
    <w:rsid w:val="002914DB"/>
    <w:rsid w:val="00292017"/>
    <w:rsid w:val="00292A19"/>
    <w:rsid w:val="00292A3B"/>
    <w:rsid w:val="00292D52"/>
    <w:rsid w:val="00293D4C"/>
    <w:rsid w:val="00295492"/>
    <w:rsid w:val="0029556B"/>
    <w:rsid w:val="00295FA7"/>
    <w:rsid w:val="00296A68"/>
    <w:rsid w:val="002975DE"/>
    <w:rsid w:val="00297CBD"/>
    <w:rsid w:val="002A0A65"/>
    <w:rsid w:val="002A0AF0"/>
    <w:rsid w:val="002A0BC5"/>
    <w:rsid w:val="002A0C73"/>
    <w:rsid w:val="002A27A3"/>
    <w:rsid w:val="002A285C"/>
    <w:rsid w:val="002A3875"/>
    <w:rsid w:val="002A3B5C"/>
    <w:rsid w:val="002A3DB4"/>
    <w:rsid w:val="002A4409"/>
    <w:rsid w:val="002A59A3"/>
    <w:rsid w:val="002A59F4"/>
    <w:rsid w:val="002A60EF"/>
    <w:rsid w:val="002A62CF"/>
    <w:rsid w:val="002A7C16"/>
    <w:rsid w:val="002B13A8"/>
    <w:rsid w:val="002B1D63"/>
    <w:rsid w:val="002B2A12"/>
    <w:rsid w:val="002B3156"/>
    <w:rsid w:val="002B31BF"/>
    <w:rsid w:val="002B36A9"/>
    <w:rsid w:val="002B3745"/>
    <w:rsid w:val="002B3F43"/>
    <w:rsid w:val="002B4B27"/>
    <w:rsid w:val="002B4C70"/>
    <w:rsid w:val="002B6362"/>
    <w:rsid w:val="002B6609"/>
    <w:rsid w:val="002B7007"/>
    <w:rsid w:val="002B7D38"/>
    <w:rsid w:val="002C0CEC"/>
    <w:rsid w:val="002C19E3"/>
    <w:rsid w:val="002C499E"/>
    <w:rsid w:val="002C4A1F"/>
    <w:rsid w:val="002C585B"/>
    <w:rsid w:val="002C74D1"/>
    <w:rsid w:val="002C79D1"/>
    <w:rsid w:val="002D0102"/>
    <w:rsid w:val="002D1E0D"/>
    <w:rsid w:val="002D2D73"/>
    <w:rsid w:val="002D31A4"/>
    <w:rsid w:val="002D3C5F"/>
    <w:rsid w:val="002D468E"/>
    <w:rsid w:val="002D5C66"/>
    <w:rsid w:val="002D5D7B"/>
    <w:rsid w:val="002D66D1"/>
    <w:rsid w:val="002D696D"/>
    <w:rsid w:val="002E1A70"/>
    <w:rsid w:val="002E283C"/>
    <w:rsid w:val="002E2971"/>
    <w:rsid w:val="002E38D0"/>
    <w:rsid w:val="002E3D8F"/>
    <w:rsid w:val="002E42D4"/>
    <w:rsid w:val="002E46DC"/>
    <w:rsid w:val="002E7DD2"/>
    <w:rsid w:val="002F0D43"/>
    <w:rsid w:val="002F1A03"/>
    <w:rsid w:val="002F2957"/>
    <w:rsid w:val="002F43DB"/>
    <w:rsid w:val="002F5C5C"/>
    <w:rsid w:val="002F5E09"/>
    <w:rsid w:val="002F7FAF"/>
    <w:rsid w:val="00300730"/>
    <w:rsid w:val="003007AA"/>
    <w:rsid w:val="003007B6"/>
    <w:rsid w:val="00301644"/>
    <w:rsid w:val="00303A19"/>
    <w:rsid w:val="003042D4"/>
    <w:rsid w:val="003048F1"/>
    <w:rsid w:val="00304F1D"/>
    <w:rsid w:val="003061C6"/>
    <w:rsid w:val="003065F2"/>
    <w:rsid w:val="003077AF"/>
    <w:rsid w:val="00307F8C"/>
    <w:rsid w:val="00310DA2"/>
    <w:rsid w:val="00311044"/>
    <w:rsid w:val="00311946"/>
    <w:rsid w:val="00313B29"/>
    <w:rsid w:val="003145D8"/>
    <w:rsid w:val="00316580"/>
    <w:rsid w:val="0032015A"/>
    <w:rsid w:val="00321E1F"/>
    <w:rsid w:val="00322BD6"/>
    <w:rsid w:val="00322CA6"/>
    <w:rsid w:val="00323875"/>
    <w:rsid w:val="00324B3E"/>
    <w:rsid w:val="00324C64"/>
    <w:rsid w:val="00324CAA"/>
    <w:rsid w:val="00327213"/>
    <w:rsid w:val="003277A1"/>
    <w:rsid w:val="00327940"/>
    <w:rsid w:val="00330377"/>
    <w:rsid w:val="00330DAE"/>
    <w:rsid w:val="003313F2"/>
    <w:rsid w:val="00331B9B"/>
    <w:rsid w:val="00332769"/>
    <w:rsid w:val="00333730"/>
    <w:rsid w:val="00333ACA"/>
    <w:rsid w:val="003343F1"/>
    <w:rsid w:val="0033494E"/>
    <w:rsid w:val="0033597B"/>
    <w:rsid w:val="00335E55"/>
    <w:rsid w:val="003361EE"/>
    <w:rsid w:val="003366A2"/>
    <w:rsid w:val="00337C62"/>
    <w:rsid w:val="00340999"/>
    <w:rsid w:val="00340B42"/>
    <w:rsid w:val="003411F3"/>
    <w:rsid w:val="00343085"/>
    <w:rsid w:val="003431D9"/>
    <w:rsid w:val="00344A96"/>
    <w:rsid w:val="00345D76"/>
    <w:rsid w:val="003476B2"/>
    <w:rsid w:val="00347974"/>
    <w:rsid w:val="003500E9"/>
    <w:rsid w:val="00350F42"/>
    <w:rsid w:val="0035366A"/>
    <w:rsid w:val="00354E39"/>
    <w:rsid w:val="00355CF2"/>
    <w:rsid w:val="00356479"/>
    <w:rsid w:val="003566D0"/>
    <w:rsid w:val="00356B5B"/>
    <w:rsid w:val="0035732B"/>
    <w:rsid w:val="003579E7"/>
    <w:rsid w:val="00360525"/>
    <w:rsid w:val="00360BC2"/>
    <w:rsid w:val="00360F80"/>
    <w:rsid w:val="00360F8F"/>
    <w:rsid w:val="00362B40"/>
    <w:rsid w:val="00363A85"/>
    <w:rsid w:val="00364698"/>
    <w:rsid w:val="0036508F"/>
    <w:rsid w:val="00365EBA"/>
    <w:rsid w:val="00366750"/>
    <w:rsid w:val="00366F64"/>
    <w:rsid w:val="00367985"/>
    <w:rsid w:val="00367FAA"/>
    <w:rsid w:val="00370142"/>
    <w:rsid w:val="003701B5"/>
    <w:rsid w:val="00370237"/>
    <w:rsid w:val="0037045B"/>
    <w:rsid w:val="00371252"/>
    <w:rsid w:val="00372661"/>
    <w:rsid w:val="00373411"/>
    <w:rsid w:val="00374A08"/>
    <w:rsid w:val="0037537D"/>
    <w:rsid w:val="00375A59"/>
    <w:rsid w:val="00375B46"/>
    <w:rsid w:val="00375FA4"/>
    <w:rsid w:val="00376641"/>
    <w:rsid w:val="00376750"/>
    <w:rsid w:val="00377527"/>
    <w:rsid w:val="00377D33"/>
    <w:rsid w:val="00377F61"/>
    <w:rsid w:val="00377FE2"/>
    <w:rsid w:val="003805FE"/>
    <w:rsid w:val="00380F73"/>
    <w:rsid w:val="00381063"/>
    <w:rsid w:val="003828BE"/>
    <w:rsid w:val="0038298F"/>
    <w:rsid w:val="00382D7C"/>
    <w:rsid w:val="00383068"/>
    <w:rsid w:val="0038490D"/>
    <w:rsid w:val="003853BF"/>
    <w:rsid w:val="003854B2"/>
    <w:rsid w:val="003876A5"/>
    <w:rsid w:val="00387E1E"/>
    <w:rsid w:val="00390748"/>
    <w:rsid w:val="00390C2E"/>
    <w:rsid w:val="00390E35"/>
    <w:rsid w:val="00390F3A"/>
    <w:rsid w:val="00391B29"/>
    <w:rsid w:val="00391F5E"/>
    <w:rsid w:val="00392A3E"/>
    <w:rsid w:val="00393750"/>
    <w:rsid w:val="00393C66"/>
    <w:rsid w:val="0039589D"/>
    <w:rsid w:val="003959E2"/>
    <w:rsid w:val="0039737E"/>
    <w:rsid w:val="00397F61"/>
    <w:rsid w:val="003A0243"/>
    <w:rsid w:val="003A026F"/>
    <w:rsid w:val="003A064C"/>
    <w:rsid w:val="003A1D09"/>
    <w:rsid w:val="003A2313"/>
    <w:rsid w:val="003A3A46"/>
    <w:rsid w:val="003A3A95"/>
    <w:rsid w:val="003A4AFD"/>
    <w:rsid w:val="003A5110"/>
    <w:rsid w:val="003A6E94"/>
    <w:rsid w:val="003A6EA2"/>
    <w:rsid w:val="003A7EF1"/>
    <w:rsid w:val="003A7FEA"/>
    <w:rsid w:val="003B0273"/>
    <w:rsid w:val="003B0A12"/>
    <w:rsid w:val="003B0E79"/>
    <w:rsid w:val="003B1363"/>
    <w:rsid w:val="003B18E8"/>
    <w:rsid w:val="003B2415"/>
    <w:rsid w:val="003B262E"/>
    <w:rsid w:val="003B2831"/>
    <w:rsid w:val="003B3065"/>
    <w:rsid w:val="003B3664"/>
    <w:rsid w:val="003B3950"/>
    <w:rsid w:val="003B3C7D"/>
    <w:rsid w:val="003B3F02"/>
    <w:rsid w:val="003B5602"/>
    <w:rsid w:val="003B56BD"/>
    <w:rsid w:val="003C002E"/>
    <w:rsid w:val="003C1227"/>
    <w:rsid w:val="003C1C5A"/>
    <w:rsid w:val="003C1FC3"/>
    <w:rsid w:val="003C22BC"/>
    <w:rsid w:val="003C2B85"/>
    <w:rsid w:val="003C2D02"/>
    <w:rsid w:val="003C39BC"/>
    <w:rsid w:val="003C3A26"/>
    <w:rsid w:val="003C3A59"/>
    <w:rsid w:val="003C4A8F"/>
    <w:rsid w:val="003C5945"/>
    <w:rsid w:val="003C6849"/>
    <w:rsid w:val="003C6B8B"/>
    <w:rsid w:val="003C70BC"/>
    <w:rsid w:val="003C7B6A"/>
    <w:rsid w:val="003C7C94"/>
    <w:rsid w:val="003C7DEE"/>
    <w:rsid w:val="003D0EC0"/>
    <w:rsid w:val="003D11C5"/>
    <w:rsid w:val="003D1902"/>
    <w:rsid w:val="003D1DE4"/>
    <w:rsid w:val="003D29A9"/>
    <w:rsid w:val="003D2F49"/>
    <w:rsid w:val="003D55E8"/>
    <w:rsid w:val="003D61AD"/>
    <w:rsid w:val="003D6379"/>
    <w:rsid w:val="003D672B"/>
    <w:rsid w:val="003D77EE"/>
    <w:rsid w:val="003E0C62"/>
    <w:rsid w:val="003E1097"/>
    <w:rsid w:val="003E18C8"/>
    <w:rsid w:val="003E291A"/>
    <w:rsid w:val="003E315D"/>
    <w:rsid w:val="003E31EA"/>
    <w:rsid w:val="003E3E7F"/>
    <w:rsid w:val="003E406D"/>
    <w:rsid w:val="003E418C"/>
    <w:rsid w:val="003E4417"/>
    <w:rsid w:val="003E489E"/>
    <w:rsid w:val="003E5A6A"/>
    <w:rsid w:val="003E7143"/>
    <w:rsid w:val="003E74B2"/>
    <w:rsid w:val="003F310F"/>
    <w:rsid w:val="003F41AE"/>
    <w:rsid w:val="003F43AD"/>
    <w:rsid w:val="003F4483"/>
    <w:rsid w:val="003F485E"/>
    <w:rsid w:val="003F522C"/>
    <w:rsid w:val="003F6FDC"/>
    <w:rsid w:val="003F7467"/>
    <w:rsid w:val="003F767E"/>
    <w:rsid w:val="003F7C1A"/>
    <w:rsid w:val="003F7E87"/>
    <w:rsid w:val="004013AC"/>
    <w:rsid w:val="004013B9"/>
    <w:rsid w:val="004018B1"/>
    <w:rsid w:val="0040199B"/>
    <w:rsid w:val="00401F2E"/>
    <w:rsid w:val="00402223"/>
    <w:rsid w:val="0040222A"/>
    <w:rsid w:val="00403446"/>
    <w:rsid w:val="00404B6B"/>
    <w:rsid w:val="00405E56"/>
    <w:rsid w:val="00405F7E"/>
    <w:rsid w:val="0040623D"/>
    <w:rsid w:val="00406B9B"/>
    <w:rsid w:val="00407486"/>
    <w:rsid w:val="004074AF"/>
    <w:rsid w:val="00407A09"/>
    <w:rsid w:val="00410A97"/>
    <w:rsid w:val="00412DC5"/>
    <w:rsid w:val="00413A86"/>
    <w:rsid w:val="00413EF3"/>
    <w:rsid w:val="00414073"/>
    <w:rsid w:val="00414858"/>
    <w:rsid w:val="00414881"/>
    <w:rsid w:val="00414C35"/>
    <w:rsid w:val="004165C5"/>
    <w:rsid w:val="00416C42"/>
    <w:rsid w:val="00417D8B"/>
    <w:rsid w:val="00417F46"/>
    <w:rsid w:val="00420B11"/>
    <w:rsid w:val="00420F2F"/>
    <w:rsid w:val="00420F3A"/>
    <w:rsid w:val="00421623"/>
    <w:rsid w:val="0042180F"/>
    <w:rsid w:val="00422BA3"/>
    <w:rsid w:val="00422EF9"/>
    <w:rsid w:val="00424174"/>
    <w:rsid w:val="0042488E"/>
    <w:rsid w:val="00425A4F"/>
    <w:rsid w:val="00425D0A"/>
    <w:rsid w:val="00425FFA"/>
    <w:rsid w:val="00426D27"/>
    <w:rsid w:val="00427216"/>
    <w:rsid w:val="00427C31"/>
    <w:rsid w:val="0043132C"/>
    <w:rsid w:val="004317E5"/>
    <w:rsid w:val="00433112"/>
    <w:rsid w:val="0043324F"/>
    <w:rsid w:val="00433562"/>
    <w:rsid w:val="004347AB"/>
    <w:rsid w:val="00434C07"/>
    <w:rsid w:val="00435A98"/>
    <w:rsid w:val="004360FE"/>
    <w:rsid w:val="00436E8F"/>
    <w:rsid w:val="00440163"/>
    <w:rsid w:val="00440391"/>
    <w:rsid w:val="00440871"/>
    <w:rsid w:val="004413A3"/>
    <w:rsid w:val="00441F6B"/>
    <w:rsid w:val="00442014"/>
    <w:rsid w:val="0044206B"/>
    <w:rsid w:val="00442297"/>
    <w:rsid w:val="0044276B"/>
    <w:rsid w:val="0044374B"/>
    <w:rsid w:val="00443BAA"/>
    <w:rsid w:val="0044408B"/>
    <w:rsid w:val="00445572"/>
    <w:rsid w:val="00445DE4"/>
    <w:rsid w:val="00445FED"/>
    <w:rsid w:val="0044678C"/>
    <w:rsid w:val="004467D3"/>
    <w:rsid w:val="004478A9"/>
    <w:rsid w:val="00447C69"/>
    <w:rsid w:val="00451714"/>
    <w:rsid w:val="00451E5E"/>
    <w:rsid w:val="00452550"/>
    <w:rsid w:val="0045412C"/>
    <w:rsid w:val="004542E0"/>
    <w:rsid w:val="00454E9A"/>
    <w:rsid w:val="0045659A"/>
    <w:rsid w:val="004567B8"/>
    <w:rsid w:val="00457EC7"/>
    <w:rsid w:val="00461501"/>
    <w:rsid w:val="0046157A"/>
    <w:rsid w:val="0046202E"/>
    <w:rsid w:val="0046242E"/>
    <w:rsid w:val="00462908"/>
    <w:rsid w:val="00464BF8"/>
    <w:rsid w:val="00464E3D"/>
    <w:rsid w:val="00466625"/>
    <w:rsid w:val="004669BA"/>
    <w:rsid w:val="00467305"/>
    <w:rsid w:val="004700EA"/>
    <w:rsid w:val="00470846"/>
    <w:rsid w:val="00470852"/>
    <w:rsid w:val="00470DFA"/>
    <w:rsid w:val="00470FD6"/>
    <w:rsid w:val="004710B0"/>
    <w:rsid w:val="00472450"/>
    <w:rsid w:val="00474F50"/>
    <w:rsid w:val="004759C5"/>
    <w:rsid w:val="00476428"/>
    <w:rsid w:val="0047767B"/>
    <w:rsid w:val="0048068A"/>
    <w:rsid w:val="00480E79"/>
    <w:rsid w:val="00481882"/>
    <w:rsid w:val="0048194D"/>
    <w:rsid w:val="00481E05"/>
    <w:rsid w:val="00483084"/>
    <w:rsid w:val="0048385E"/>
    <w:rsid w:val="00483E7B"/>
    <w:rsid w:val="00484B38"/>
    <w:rsid w:val="00485F86"/>
    <w:rsid w:val="004860C8"/>
    <w:rsid w:val="00486638"/>
    <w:rsid w:val="00486735"/>
    <w:rsid w:val="0048703C"/>
    <w:rsid w:val="004873CC"/>
    <w:rsid w:val="00490309"/>
    <w:rsid w:val="004908EF"/>
    <w:rsid w:val="004917A6"/>
    <w:rsid w:val="00493024"/>
    <w:rsid w:val="00493115"/>
    <w:rsid w:val="004931BC"/>
    <w:rsid w:val="004940ED"/>
    <w:rsid w:val="00494564"/>
    <w:rsid w:val="00495FAD"/>
    <w:rsid w:val="0049689C"/>
    <w:rsid w:val="0049753A"/>
    <w:rsid w:val="0049792A"/>
    <w:rsid w:val="004A0178"/>
    <w:rsid w:val="004A04A4"/>
    <w:rsid w:val="004A064B"/>
    <w:rsid w:val="004A06BB"/>
    <w:rsid w:val="004A07E9"/>
    <w:rsid w:val="004A0BC8"/>
    <w:rsid w:val="004A0BEB"/>
    <w:rsid w:val="004A0CF0"/>
    <w:rsid w:val="004A0EBE"/>
    <w:rsid w:val="004A0ED7"/>
    <w:rsid w:val="004A12A0"/>
    <w:rsid w:val="004A1BE5"/>
    <w:rsid w:val="004A3C3B"/>
    <w:rsid w:val="004A66B7"/>
    <w:rsid w:val="004A74CF"/>
    <w:rsid w:val="004B11AF"/>
    <w:rsid w:val="004B12B3"/>
    <w:rsid w:val="004B2FB3"/>
    <w:rsid w:val="004B3E8F"/>
    <w:rsid w:val="004B4260"/>
    <w:rsid w:val="004B5952"/>
    <w:rsid w:val="004B6DAF"/>
    <w:rsid w:val="004B73EB"/>
    <w:rsid w:val="004B7619"/>
    <w:rsid w:val="004B79F3"/>
    <w:rsid w:val="004B7FB4"/>
    <w:rsid w:val="004C0071"/>
    <w:rsid w:val="004C06C0"/>
    <w:rsid w:val="004C07AB"/>
    <w:rsid w:val="004C0DEE"/>
    <w:rsid w:val="004C288B"/>
    <w:rsid w:val="004C4705"/>
    <w:rsid w:val="004C5452"/>
    <w:rsid w:val="004C5F7A"/>
    <w:rsid w:val="004C6191"/>
    <w:rsid w:val="004C6D99"/>
    <w:rsid w:val="004C6FE7"/>
    <w:rsid w:val="004C78DF"/>
    <w:rsid w:val="004C7EC5"/>
    <w:rsid w:val="004D0C4E"/>
    <w:rsid w:val="004D1E3E"/>
    <w:rsid w:val="004D289E"/>
    <w:rsid w:val="004D306E"/>
    <w:rsid w:val="004D36E2"/>
    <w:rsid w:val="004D4EB2"/>
    <w:rsid w:val="004D4F85"/>
    <w:rsid w:val="004D5860"/>
    <w:rsid w:val="004D64AF"/>
    <w:rsid w:val="004D6756"/>
    <w:rsid w:val="004D6A02"/>
    <w:rsid w:val="004D7CF6"/>
    <w:rsid w:val="004E1148"/>
    <w:rsid w:val="004E1159"/>
    <w:rsid w:val="004E1DE3"/>
    <w:rsid w:val="004E2A78"/>
    <w:rsid w:val="004E2D9B"/>
    <w:rsid w:val="004E2ECF"/>
    <w:rsid w:val="004E324E"/>
    <w:rsid w:val="004E3283"/>
    <w:rsid w:val="004E3891"/>
    <w:rsid w:val="004E39BA"/>
    <w:rsid w:val="004E42FC"/>
    <w:rsid w:val="004E4A9D"/>
    <w:rsid w:val="004E5634"/>
    <w:rsid w:val="004E5836"/>
    <w:rsid w:val="004E5DBA"/>
    <w:rsid w:val="004E605D"/>
    <w:rsid w:val="004E6569"/>
    <w:rsid w:val="004E7147"/>
    <w:rsid w:val="004F10C6"/>
    <w:rsid w:val="004F25CF"/>
    <w:rsid w:val="004F287B"/>
    <w:rsid w:val="004F30FC"/>
    <w:rsid w:val="004F3381"/>
    <w:rsid w:val="004F4009"/>
    <w:rsid w:val="004F47F4"/>
    <w:rsid w:val="004F6507"/>
    <w:rsid w:val="004F6FD7"/>
    <w:rsid w:val="004F7D71"/>
    <w:rsid w:val="004F7DC1"/>
    <w:rsid w:val="005000CC"/>
    <w:rsid w:val="005008CF"/>
    <w:rsid w:val="00501AC6"/>
    <w:rsid w:val="0050209D"/>
    <w:rsid w:val="00502C2C"/>
    <w:rsid w:val="00505B61"/>
    <w:rsid w:val="00505D37"/>
    <w:rsid w:val="00505E28"/>
    <w:rsid w:val="005109F2"/>
    <w:rsid w:val="005110D8"/>
    <w:rsid w:val="0051164B"/>
    <w:rsid w:val="00511B01"/>
    <w:rsid w:val="005127BE"/>
    <w:rsid w:val="005127EF"/>
    <w:rsid w:val="00512CD2"/>
    <w:rsid w:val="00512E12"/>
    <w:rsid w:val="005136FD"/>
    <w:rsid w:val="00513BC5"/>
    <w:rsid w:val="00513F41"/>
    <w:rsid w:val="0051407F"/>
    <w:rsid w:val="00514249"/>
    <w:rsid w:val="00515500"/>
    <w:rsid w:val="00515618"/>
    <w:rsid w:val="005157AB"/>
    <w:rsid w:val="0051666F"/>
    <w:rsid w:val="0051778C"/>
    <w:rsid w:val="00520362"/>
    <w:rsid w:val="00520BAB"/>
    <w:rsid w:val="0052146A"/>
    <w:rsid w:val="00523595"/>
    <w:rsid w:val="00524083"/>
    <w:rsid w:val="0052549C"/>
    <w:rsid w:val="00525886"/>
    <w:rsid w:val="00525CA7"/>
    <w:rsid w:val="0052623B"/>
    <w:rsid w:val="00526F2F"/>
    <w:rsid w:val="00527063"/>
    <w:rsid w:val="00527C83"/>
    <w:rsid w:val="00530B22"/>
    <w:rsid w:val="00530CF2"/>
    <w:rsid w:val="00530DDE"/>
    <w:rsid w:val="0053235E"/>
    <w:rsid w:val="00532B0A"/>
    <w:rsid w:val="0053343B"/>
    <w:rsid w:val="00533905"/>
    <w:rsid w:val="00533A0F"/>
    <w:rsid w:val="00533BBA"/>
    <w:rsid w:val="00533C52"/>
    <w:rsid w:val="00533EF3"/>
    <w:rsid w:val="00534E15"/>
    <w:rsid w:val="005364FF"/>
    <w:rsid w:val="00537823"/>
    <w:rsid w:val="00537B8A"/>
    <w:rsid w:val="005409E2"/>
    <w:rsid w:val="00541CE7"/>
    <w:rsid w:val="0054258C"/>
    <w:rsid w:val="00542DD1"/>
    <w:rsid w:val="00542F1D"/>
    <w:rsid w:val="00543391"/>
    <w:rsid w:val="00543743"/>
    <w:rsid w:val="00543A6B"/>
    <w:rsid w:val="00543D89"/>
    <w:rsid w:val="00544574"/>
    <w:rsid w:val="005457EC"/>
    <w:rsid w:val="005463C7"/>
    <w:rsid w:val="00547094"/>
    <w:rsid w:val="00550259"/>
    <w:rsid w:val="00550613"/>
    <w:rsid w:val="00550E94"/>
    <w:rsid w:val="00550EAA"/>
    <w:rsid w:val="00552B20"/>
    <w:rsid w:val="00552EBE"/>
    <w:rsid w:val="005549B2"/>
    <w:rsid w:val="00556575"/>
    <w:rsid w:val="0055683D"/>
    <w:rsid w:val="00556AF1"/>
    <w:rsid w:val="00556E56"/>
    <w:rsid w:val="00556EFE"/>
    <w:rsid w:val="005574B7"/>
    <w:rsid w:val="00557876"/>
    <w:rsid w:val="00557B0B"/>
    <w:rsid w:val="00560B57"/>
    <w:rsid w:val="00561861"/>
    <w:rsid w:val="0056199D"/>
    <w:rsid w:val="00561CA2"/>
    <w:rsid w:val="00561E15"/>
    <w:rsid w:val="0056205E"/>
    <w:rsid w:val="005639ED"/>
    <w:rsid w:val="00565A2F"/>
    <w:rsid w:val="00565D05"/>
    <w:rsid w:val="00566B98"/>
    <w:rsid w:val="005701B5"/>
    <w:rsid w:val="00570499"/>
    <w:rsid w:val="00570987"/>
    <w:rsid w:val="0057148A"/>
    <w:rsid w:val="0057445D"/>
    <w:rsid w:val="005749A1"/>
    <w:rsid w:val="0057504E"/>
    <w:rsid w:val="00581568"/>
    <w:rsid w:val="005821AA"/>
    <w:rsid w:val="0058248F"/>
    <w:rsid w:val="00587C5E"/>
    <w:rsid w:val="00590048"/>
    <w:rsid w:val="00590265"/>
    <w:rsid w:val="00591D69"/>
    <w:rsid w:val="00591D6A"/>
    <w:rsid w:val="005928EB"/>
    <w:rsid w:val="00592B9C"/>
    <w:rsid w:val="0059356D"/>
    <w:rsid w:val="00593A3D"/>
    <w:rsid w:val="00593DC6"/>
    <w:rsid w:val="00593FAB"/>
    <w:rsid w:val="005945E8"/>
    <w:rsid w:val="0059466E"/>
    <w:rsid w:val="00594ACF"/>
    <w:rsid w:val="00595550"/>
    <w:rsid w:val="00595FC2"/>
    <w:rsid w:val="0059796F"/>
    <w:rsid w:val="00597B62"/>
    <w:rsid w:val="00597FA4"/>
    <w:rsid w:val="005A073F"/>
    <w:rsid w:val="005A0817"/>
    <w:rsid w:val="005A10EE"/>
    <w:rsid w:val="005A1BFE"/>
    <w:rsid w:val="005A2737"/>
    <w:rsid w:val="005A301F"/>
    <w:rsid w:val="005A4501"/>
    <w:rsid w:val="005A55C4"/>
    <w:rsid w:val="005A6F48"/>
    <w:rsid w:val="005A7DB9"/>
    <w:rsid w:val="005B075A"/>
    <w:rsid w:val="005B07A6"/>
    <w:rsid w:val="005B16F7"/>
    <w:rsid w:val="005B1E56"/>
    <w:rsid w:val="005B4840"/>
    <w:rsid w:val="005B5B39"/>
    <w:rsid w:val="005B5C7F"/>
    <w:rsid w:val="005B61B6"/>
    <w:rsid w:val="005B6F3F"/>
    <w:rsid w:val="005B75D1"/>
    <w:rsid w:val="005C0DFB"/>
    <w:rsid w:val="005C2082"/>
    <w:rsid w:val="005C35F3"/>
    <w:rsid w:val="005C390B"/>
    <w:rsid w:val="005C3BBC"/>
    <w:rsid w:val="005C400B"/>
    <w:rsid w:val="005C415C"/>
    <w:rsid w:val="005C5343"/>
    <w:rsid w:val="005C5993"/>
    <w:rsid w:val="005C639E"/>
    <w:rsid w:val="005C6709"/>
    <w:rsid w:val="005C7211"/>
    <w:rsid w:val="005D0233"/>
    <w:rsid w:val="005D0271"/>
    <w:rsid w:val="005D0873"/>
    <w:rsid w:val="005D0C75"/>
    <w:rsid w:val="005D0E99"/>
    <w:rsid w:val="005D0FEF"/>
    <w:rsid w:val="005D16FF"/>
    <w:rsid w:val="005D1AB5"/>
    <w:rsid w:val="005D247E"/>
    <w:rsid w:val="005D2F16"/>
    <w:rsid w:val="005D3DDA"/>
    <w:rsid w:val="005D67DB"/>
    <w:rsid w:val="005D6BB1"/>
    <w:rsid w:val="005E09BA"/>
    <w:rsid w:val="005E1F3A"/>
    <w:rsid w:val="005E4141"/>
    <w:rsid w:val="005E43CD"/>
    <w:rsid w:val="005E56AA"/>
    <w:rsid w:val="005E576F"/>
    <w:rsid w:val="005E582E"/>
    <w:rsid w:val="005E6248"/>
    <w:rsid w:val="005E753B"/>
    <w:rsid w:val="005E7AC0"/>
    <w:rsid w:val="005F1506"/>
    <w:rsid w:val="005F1CF2"/>
    <w:rsid w:val="005F2310"/>
    <w:rsid w:val="005F2563"/>
    <w:rsid w:val="005F2DB2"/>
    <w:rsid w:val="005F302A"/>
    <w:rsid w:val="005F312B"/>
    <w:rsid w:val="005F318C"/>
    <w:rsid w:val="005F3507"/>
    <w:rsid w:val="005F3C83"/>
    <w:rsid w:val="005F64A6"/>
    <w:rsid w:val="005F70B8"/>
    <w:rsid w:val="005F7AEE"/>
    <w:rsid w:val="00600C0D"/>
    <w:rsid w:val="0060222D"/>
    <w:rsid w:val="006024CF"/>
    <w:rsid w:val="00603219"/>
    <w:rsid w:val="00603624"/>
    <w:rsid w:val="00604CE0"/>
    <w:rsid w:val="006055FA"/>
    <w:rsid w:val="0060591D"/>
    <w:rsid w:val="006063F4"/>
    <w:rsid w:val="006072AD"/>
    <w:rsid w:val="00607461"/>
    <w:rsid w:val="006077FA"/>
    <w:rsid w:val="00607F95"/>
    <w:rsid w:val="0061008B"/>
    <w:rsid w:val="00610333"/>
    <w:rsid w:val="00610FB0"/>
    <w:rsid w:val="00611A2A"/>
    <w:rsid w:val="0061441B"/>
    <w:rsid w:val="00614D42"/>
    <w:rsid w:val="0061589D"/>
    <w:rsid w:val="00616A68"/>
    <w:rsid w:val="00621FAE"/>
    <w:rsid w:val="00622283"/>
    <w:rsid w:val="006228D0"/>
    <w:rsid w:val="00622B83"/>
    <w:rsid w:val="00623A39"/>
    <w:rsid w:val="006246C0"/>
    <w:rsid w:val="00625019"/>
    <w:rsid w:val="006256F1"/>
    <w:rsid w:val="00625834"/>
    <w:rsid w:val="00625A8C"/>
    <w:rsid w:val="00625F6C"/>
    <w:rsid w:val="0062719D"/>
    <w:rsid w:val="006308FD"/>
    <w:rsid w:val="00631402"/>
    <w:rsid w:val="00632FEB"/>
    <w:rsid w:val="0063356C"/>
    <w:rsid w:val="006336E3"/>
    <w:rsid w:val="00633753"/>
    <w:rsid w:val="00634262"/>
    <w:rsid w:val="00636205"/>
    <w:rsid w:val="00636C2B"/>
    <w:rsid w:val="006374E1"/>
    <w:rsid w:val="00637E00"/>
    <w:rsid w:val="006411F9"/>
    <w:rsid w:val="006415E6"/>
    <w:rsid w:val="006417CD"/>
    <w:rsid w:val="0064182D"/>
    <w:rsid w:val="006418CD"/>
    <w:rsid w:val="0064323C"/>
    <w:rsid w:val="006432E4"/>
    <w:rsid w:val="00644074"/>
    <w:rsid w:val="00645962"/>
    <w:rsid w:val="00645A4A"/>
    <w:rsid w:val="00646615"/>
    <w:rsid w:val="00647733"/>
    <w:rsid w:val="006514E9"/>
    <w:rsid w:val="00652104"/>
    <w:rsid w:val="00652278"/>
    <w:rsid w:val="006528F2"/>
    <w:rsid w:val="0065309E"/>
    <w:rsid w:val="00653200"/>
    <w:rsid w:val="00653C95"/>
    <w:rsid w:val="006547DA"/>
    <w:rsid w:val="00654843"/>
    <w:rsid w:val="00654B92"/>
    <w:rsid w:val="00654FEF"/>
    <w:rsid w:val="00655DBE"/>
    <w:rsid w:val="00657052"/>
    <w:rsid w:val="00657159"/>
    <w:rsid w:val="0065794E"/>
    <w:rsid w:val="006605EE"/>
    <w:rsid w:val="006606EB"/>
    <w:rsid w:val="0066074D"/>
    <w:rsid w:val="00660770"/>
    <w:rsid w:val="006608A5"/>
    <w:rsid w:val="00660A73"/>
    <w:rsid w:val="00660E8B"/>
    <w:rsid w:val="00661033"/>
    <w:rsid w:val="00661F8B"/>
    <w:rsid w:val="0066200A"/>
    <w:rsid w:val="00664065"/>
    <w:rsid w:val="006655A7"/>
    <w:rsid w:val="00665DA9"/>
    <w:rsid w:val="0066608F"/>
    <w:rsid w:val="00666E89"/>
    <w:rsid w:val="00666E9C"/>
    <w:rsid w:val="006673F3"/>
    <w:rsid w:val="006704E7"/>
    <w:rsid w:val="00670546"/>
    <w:rsid w:val="006711B9"/>
    <w:rsid w:val="006727A7"/>
    <w:rsid w:val="0067403E"/>
    <w:rsid w:val="0067407D"/>
    <w:rsid w:val="0067439B"/>
    <w:rsid w:val="00675CFF"/>
    <w:rsid w:val="00677DD9"/>
    <w:rsid w:val="00680D4C"/>
    <w:rsid w:val="00681927"/>
    <w:rsid w:val="0068236F"/>
    <w:rsid w:val="006829E8"/>
    <w:rsid w:val="00683041"/>
    <w:rsid w:val="006830D6"/>
    <w:rsid w:val="00683DB6"/>
    <w:rsid w:val="006852F2"/>
    <w:rsid w:val="00685880"/>
    <w:rsid w:val="00686BFD"/>
    <w:rsid w:val="00687412"/>
    <w:rsid w:val="00687DE9"/>
    <w:rsid w:val="006910B1"/>
    <w:rsid w:val="0069141B"/>
    <w:rsid w:val="006915C1"/>
    <w:rsid w:val="00692AEA"/>
    <w:rsid w:val="00692F0F"/>
    <w:rsid w:val="00692F51"/>
    <w:rsid w:val="00694A68"/>
    <w:rsid w:val="006955A9"/>
    <w:rsid w:val="00695AE8"/>
    <w:rsid w:val="006A04DC"/>
    <w:rsid w:val="006A0769"/>
    <w:rsid w:val="006A0BC1"/>
    <w:rsid w:val="006A0CAA"/>
    <w:rsid w:val="006A1A12"/>
    <w:rsid w:val="006A1B45"/>
    <w:rsid w:val="006A2015"/>
    <w:rsid w:val="006A2D5E"/>
    <w:rsid w:val="006A57F2"/>
    <w:rsid w:val="006A6551"/>
    <w:rsid w:val="006A6A6C"/>
    <w:rsid w:val="006A78A0"/>
    <w:rsid w:val="006B04CA"/>
    <w:rsid w:val="006B08F1"/>
    <w:rsid w:val="006B18F0"/>
    <w:rsid w:val="006B1B12"/>
    <w:rsid w:val="006B1E90"/>
    <w:rsid w:val="006B1F60"/>
    <w:rsid w:val="006B31D9"/>
    <w:rsid w:val="006B31DB"/>
    <w:rsid w:val="006B443D"/>
    <w:rsid w:val="006B4E1A"/>
    <w:rsid w:val="006B5898"/>
    <w:rsid w:val="006B5994"/>
    <w:rsid w:val="006B62F0"/>
    <w:rsid w:val="006B652D"/>
    <w:rsid w:val="006B7DF1"/>
    <w:rsid w:val="006C025E"/>
    <w:rsid w:val="006C1326"/>
    <w:rsid w:val="006C1E11"/>
    <w:rsid w:val="006C2190"/>
    <w:rsid w:val="006C2828"/>
    <w:rsid w:val="006C2F88"/>
    <w:rsid w:val="006C515C"/>
    <w:rsid w:val="006C520A"/>
    <w:rsid w:val="006C5228"/>
    <w:rsid w:val="006C558A"/>
    <w:rsid w:val="006C75F1"/>
    <w:rsid w:val="006D0A34"/>
    <w:rsid w:val="006D1185"/>
    <w:rsid w:val="006D1579"/>
    <w:rsid w:val="006D16BA"/>
    <w:rsid w:val="006D224A"/>
    <w:rsid w:val="006D2B49"/>
    <w:rsid w:val="006D2D17"/>
    <w:rsid w:val="006D3123"/>
    <w:rsid w:val="006D3C59"/>
    <w:rsid w:val="006D69B3"/>
    <w:rsid w:val="006E01AF"/>
    <w:rsid w:val="006E0990"/>
    <w:rsid w:val="006E0D19"/>
    <w:rsid w:val="006E103F"/>
    <w:rsid w:val="006E13CC"/>
    <w:rsid w:val="006E3F6D"/>
    <w:rsid w:val="006E4748"/>
    <w:rsid w:val="006E51DF"/>
    <w:rsid w:val="006E63A5"/>
    <w:rsid w:val="006E7A24"/>
    <w:rsid w:val="006F2CBC"/>
    <w:rsid w:val="006F35DB"/>
    <w:rsid w:val="006F5746"/>
    <w:rsid w:val="006F615B"/>
    <w:rsid w:val="006F6215"/>
    <w:rsid w:val="006F72C1"/>
    <w:rsid w:val="006F7F58"/>
    <w:rsid w:val="0070190F"/>
    <w:rsid w:val="007037DB"/>
    <w:rsid w:val="00704236"/>
    <w:rsid w:val="0070433D"/>
    <w:rsid w:val="0070521C"/>
    <w:rsid w:val="007061BD"/>
    <w:rsid w:val="00706799"/>
    <w:rsid w:val="00710F02"/>
    <w:rsid w:val="00711F71"/>
    <w:rsid w:val="007123B7"/>
    <w:rsid w:val="007139BB"/>
    <w:rsid w:val="00713E70"/>
    <w:rsid w:val="007148FE"/>
    <w:rsid w:val="00715A95"/>
    <w:rsid w:val="00717675"/>
    <w:rsid w:val="00717A3B"/>
    <w:rsid w:val="00720FAD"/>
    <w:rsid w:val="007215CF"/>
    <w:rsid w:val="007223DD"/>
    <w:rsid w:val="007243AC"/>
    <w:rsid w:val="00724CE6"/>
    <w:rsid w:val="00725277"/>
    <w:rsid w:val="00725FA0"/>
    <w:rsid w:val="00726297"/>
    <w:rsid w:val="0072711F"/>
    <w:rsid w:val="0072784F"/>
    <w:rsid w:val="007278AB"/>
    <w:rsid w:val="0073057F"/>
    <w:rsid w:val="0073067C"/>
    <w:rsid w:val="0073073A"/>
    <w:rsid w:val="007328FB"/>
    <w:rsid w:val="007329A8"/>
    <w:rsid w:val="00732F7C"/>
    <w:rsid w:val="0073319C"/>
    <w:rsid w:val="007336FA"/>
    <w:rsid w:val="00733F4A"/>
    <w:rsid w:val="007353F6"/>
    <w:rsid w:val="0073574D"/>
    <w:rsid w:val="007364D8"/>
    <w:rsid w:val="007365D7"/>
    <w:rsid w:val="00736EA9"/>
    <w:rsid w:val="00736F97"/>
    <w:rsid w:val="00737814"/>
    <w:rsid w:val="00737E05"/>
    <w:rsid w:val="007400EF"/>
    <w:rsid w:val="00740247"/>
    <w:rsid w:val="00740F5C"/>
    <w:rsid w:val="00741148"/>
    <w:rsid w:val="0074179E"/>
    <w:rsid w:val="00741B94"/>
    <w:rsid w:val="00741E3D"/>
    <w:rsid w:val="00742824"/>
    <w:rsid w:val="007436A5"/>
    <w:rsid w:val="0074394A"/>
    <w:rsid w:val="00743A52"/>
    <w:rsid w:val="00743F55"/>
    <w:rsid w:val="00744390"/>
    <w:rsid w:val="007449D9"/>
    <w:rsid w:val="00745303"/>
    <w:rsid w:val="0074536E"/>
    <w:rsid w:val="00746AB9"/>
    <w:rsid w:val="007477EA"/>
    <w:rsid w:val="0075088B"/>
    <w:rsid w:val="00750B28"/>
    <w:rsid w:val="00750DA8"/>
    <w:rsid w:val="00751E51"/>
    <w:rsid w:val="00752518"/>
    <w:rsid w:val="0075333B"/>
    <w:rsid w:val="007534BF"/>
    <w:rsid w:val="007535C6"/>
    <w:rsid w:val="0075399B"/>
    <w:rsid w:val="0075402D"/>
    <w:rsid w:val="007541F4"/>
    <w:rsid w:val="0075491F"/>
    <w:rsid w:val="0075700D"/>
    <w:rsid w:val="0076073A"/>
    <w:rsid w:val="00761506"/>
    <w:rsid w:val="00761727"/>
    <w:rsid w:val="00761CB7"/>
    <w:rsid w:val="00761CC5"/>
    <w:rsid w:val="007629B1"/>
    <w:rsid w:val="00762AD2"/>
    <w:rsid w:val="007630CE"/>
    <w:rsid w:val="00763F3A"/>
    <w:rsid w:val="007646D4"/>
    <w:rsid w:val="00766BBB"/>
    <w:rsid w:val="00767FF8"/>
    <w:rsid w:val="00771227"/>
    <w:rsid w:val="0077209B"/>
    <w:rsid w:val="007735C4"/>
    <w:rsid w:val="00773B29"/>
    <w:rsid w:val="0077408A"/>
    <w:rsid w:val="00775BF9"/>
    <w:rsid w:val="00775DA5"/>
    <w:rsid w:val="0077694C"/>
    <w:rsid w:val="00777248"/>
    <w:rsid w:val="00777468"/>
    <w:rsid w:val="00777D4C"/>
    <w:rsid w:val="00780EC0"/>
    <w:rsid w:val="007817AC"/>
    <w:rsid w:val="00781956"/>
    <w:rsid w:val="00782CE1"/>
    <w:rsid w:val="00783004"/>
    <w:rsid w:val="0078303A"/>
    <w:rsid w:val="007832C4"/>
    <w:rsid w:val="0078440E"/>
    <w:rsid w:val="00784981"/>
    <w:rsid w:val="00786B94"/>
    <w:rsid w:val="0079076E"/>
    <w:rsid w:val="00790FC9"/>
    <w:rsid w:val="007915CE"/>
    <w:rsid w:val="007925EA"/>
    <w:rsid w:val="00793377"/>
    <w:rsid w:val="007933B6"/>
    <w:rsid w:val="007935D5"/>
    <w:rsid w:val="00795A26"/>
    <w:rsid w:val="00795F71"/>
    <w:rsid w:val="007A03E6"/>
    <w:rsid w:val="007A0C1B"/>
    <w:rsid w:val="007A1720"/>
    <w:rsid w:val="007A2047"/>
    <w:rsid w:val="007A2891"/>
    <w:rsid w:val="007A2B54"/>
    <w:rsid w:val="007A330B"/>
    <w:rsid w:val="007A33B6"/>
    <w:rsid w:val="007A3608"/>
    <w:rsid w:val="007A4B67"/>
    <w:rsid w:val="007A5BD0"/>
    <w:rsid w:val="007A6874"/>
    <w:rsid w:val="007A6950"/>
    <w:rsid w:val="007A6B62"/>
    <w:rsid w:val="007A75AE"/>
    <w:rsid w:val="007A7909"/>
    <w:rsid w:val="007A7D1C"/>
    <w:rsid w:val="007B07CA"/>
    <w:rsid w:val="007B10ED"/>
    <w:rsid w:val="007B25D3"/>
    <w:rsid w:val="007B281F"/>
    <w:rsid w:val="007B2E30"/>
    <w:rsid w:val="007B304B"/>
    <w:rsid w:val="007B47FC"/>
    <w:rsid w:val="007B59C8"/>
    <w:rsid w:val="007B6B86"/>
    <w:rsid w:val="007B7004"/>
    <w:rsid w:val="007B7411"/>
    <w:rsid w:val="007B768C"/>
    <w:rsid w:val="007B7782"/>
    <w:rsid w:val="007C1E5A"/>
    <w:rsid w:val="007C1F66"/>
    <w:rsid w:val="007C25BE"/>
    <w:rsid w:val="007C4630"/>
    <w:rsid w:val="007C5B85"/>
    <w:rsid w:val="007C6BC9"/>
    <w:rsid w:val="007D0482"/>
    <w:rsid w:val="007D152B"/>
    <w:rsid w:val="007D1EC7"/>
    <w:rsid w:val="007D2BF3"/>
    <w:rsid w:val="007D419D"/>
    <w:rsid w:val="007D6A60"/>
    <w:rsid w:val="007D6F27"/>
    <w:rsid w:val="007E04E1"/>
    <w:rsid w:val="007E068C"/>
    <w:rsid w:val="007E07D7"/>
    <w:rsid w:val="007E0E5C"/>
    <w:rsid w:val="007E1E35"/>
    <w:rsid w:val="007E1EC0"/>
    <w:rsid w:val="007E241C"/>
    <w:rsid w:val="007E287C"/>
    <w:rsid w:val="007E2E45"/>
    <w:rsid w:val="007E47B1"/>
    <w:rsid w:val="007E51A7"/>
    <w:rsid w:val="007E54AA"/>
    <w:rsid w:val="007E57C6"/>
    <w:rsid w:val="007E5C12"/>
    <w:rsid w:val="007E67C8"/>
    <w:rsid w:val="007E6909"/>
    <w:rsid w:val="007E6DE3"/>
    <w:rsid w:val="007E7A75"/>
    <w:rsid w:val="007F04A3"/>
    <w:rsid w:val="007F1063"/>
    <w:rsid w:val="007F125E"/>
    <w:rsid w:val="007F236A"/>
    <w:rsid w:val="007F2642"/>
    <w:rsid w:val="007F2DF4"/>
    <w:rsid w:val="007F3021"/>
    <w:rsid w:val="007F4F16"/>
    <w:rsid w:val="007F70C8"/>
    <w:rsid w:val="007F74E5"/>
    <w:rsid w:val="007F7987"/>
    <w:rsid w:val="00800575"/>
    <w:rsid w:val="00800BBE"/>
    <w:rsid w:val="00802D3D"/>
    <w:rsid w:val="008043D7"/>
    <w:rsid w:val="0080442F"/>
    <w:rsid w:val="00804C22"/>
    <w:rsid w:val="00804CF8"/>
    <w:rsid w:val="008059B2"/>
    <w:rsid w:val="00805C93"/>
    <w:rsid w:val="00806BE9"/>
    <w:rsid w:val="00807CF8"/>
    <w:rsid w:val="00810281"/>
    <w:rsid w:val="00810872"/>
    <w:rsid w:val="00810B2A"/>
    <w:rsid w:val="00811055"/>
    <w:rsid w:val="008121C6"/>
    <w:rsid w:val="008126CF"/>
    <w:rsid w:val="00812857"/>
    <w:rsid w:val="00814CDA"/>
    <w:rsid w:val="00814FDF"/>
    <w:rsid w:val="00815B06"/>
    <w:rsid w:val="00817AF6"/>
    <w:rsid w:val="008204CB"/>
    <w:rsid w:val="008206F9"/>
    <w:rsid w:val="00820B5B"/>
    <w:rsid w:val="00820E21"/>
    <w:rsid w:val="00820EF3"/>
    <w:rsid w:val="00821B4C"/>
    <w:rsid w:val="00821D69"/>
    <w:rsid w:val="00821D6C"/>
    <w:rsid w:val="008239FB"/>
    <w:rsid w:val="00824424"/>
    <w:rsid w:val="0082506C"/>
    <w:rsid w:val="00826323"/>
    <w:rsid w:val="00826B89"/>
    <w:rsid w:val="008300F2"/>
    <w:rsid w:val="00830DCA"/>
    <w:rsid w:val="00831541"/>
    <w:rsid w:val="0083201B"/>
    <w:rsid w:val="00835A1C"/>
    <w:rsid w:val="00836C1B"/>
    <w:rsid w:val="00836D0B"/>
    <w:rsid w:val="008402EF"/>
    <w:rsid w:val="008407A5"/>
    <w:rsid w:val="00841E3F"/>
    <w:rsid w:val="00843870"/>
    <w:rsid w:val="00843FBF"/>
    <w:rsid w:val="008441C8"/>
    <w:rsid w:val="0084476B"/>
    <w:rsid w:val="00845120"/>
    <w:rsid w:val="008462ED"/>
    <w:rsid w:val="00846785"/>
    <w:rsid w:val="008469C6"/>
    <w:rsid w:val="00847329"/>
    <w:rsid w:val="00847364"/>
    <w:rsid w:val="00850234"/>
    <w:rsid w:val="0085082E"/>
    <w:rsid w:val="00850E1F"/>
    <w:rsid w:val="00851172"/>
    <w:rsid w:val="00851647"/>
    <w:rsid w:val="00851E56"/>
    <w:rsid w:val="00851EDB"/>
    <w:rsid w:val="00852894"/>
    <w:rsid w:val="008528B4"/>
    <w:rsid w:val="008537FD"/>
    <w:rsid w:val="00855D80"/>
    <w:rsid w:val="0085643F"/>
    <w:rsid w:val="008565E1"/>
    <w:rsid w:val="0085692D"/>
    <w:rsid w:val="00856CF5"/>
    <w:rsid w:val="00860975"/>
    <w:rsid w:val="008612B1"/>
    <w:rsid w:val="008614C9"/>
    <w:rsid w:val="00862397"/>
    <w:rsid w:val="008635ED"/>
    <w:rsid w:val="00863924"/>
    <w:rsid w:val="00864735"/>
    <w:rsid w:val="00864DB5"/>
    <w:rsid w:val="00865A03"/>
    <w:rsid w:val="00866DE5"/>
    <w:rsid w:val="00867FDD"/>
    <w:rsid w:val="00870AB3"/>
    <w:rsid w:val="00870E91"/>
    <w:rsid w:val="00871343"/>
    <w:rsid w:val="00872659"/>
    <w:rsid w:val="00872F1C"/>
    <w:rsid w:val="00873FB6"/>
    <w:rsid w:val="008743E1"/>
    <w:rsid w:val="00874614"/>
    <w:rsid w:val="00874F50"/>
    <w:rsid w:val="00875356"/>
    <w:rsid w:val="00876188"/>
    <w:rsid w:val="00876355"/>
    <w:rsid w:val="0087655B"/>
    <w:rsid w:val="0087692A"/>
    <w:rsid w:val="00877085"/>
    <w:rsid w:val="008773DC"/>
    <w:rsid w:val="0088017D"/>
    <w:rsid w:val="008803E8"/>
    <w:rsid w:val="008804B0"/>
    <w:rsid w:val="008834DF"/>
    <w:rsid w:val="008847D1"/>
    <w:rsid w:val="008851E4"/>
    <w:rsid w:val="00885A93"/>
    <w:rsid w:val="00885F0E"/>
    <w:rsid w:val="0088613A"/>
    <w:rsid w:val="008863E8"/>
    <w:rsid w:val="00887CAC"/>
    <w:rsid w:val="00890974"/>
    <w:rsid w:val="008910C6"/>
    <w:rsid w:val="00892759"/>
    <w:rsid w:val="00893357"/>
    <w:rsid w:val="00894F6A"/>
    <w:rsid w:val="008968AF"/>
    <w:rsid w:val="008969F2"/>
    <w:rsid w:val="00896AF6"/>
    <w:rsid w:val="00896F12"/>
    <w:rsid w:val="008971C6"/>
    <w:rsid w:val="008A005A"/>
    <w:rsid w:val="008A0496"/>
    <w:rsid w:val="008A409D"/>
    <w:rsid w:val="008A430B"/>
    <w:rsid w:val="008A46E4"/>
    <w:rsid w:val="008A4787"/>
    <w:rsid w:val="008A4D39"/>
    <w:rsid w:val="008A57BC"/>
    <w:rsid w:val="008A58FD"/>
    <w:rsid w:val="008A595B"/>
    <w:rsid w:val="008A59E1"/>
    <w:rsid w:val="008A6684"/>
    <w:rsid w:val="008A6DB0"/>
    <w:rsid w:val="008A7DAA"/>
    <w:rsid w:val="008B1BD0"/>
    <w:rsid w:val="008B2065"/>
    <w:rsid w:val="008B2A30"/>
    <w:rsid w:val="008B3058"/>
    <w:rsid w:val="008B4B1F"/>
    <w:rsid w:val="008B582B"/>
    <w:rsid w:val="008B61EA"/>
    <w:rsid w:val="008B757B"/>
    <w:rsid w:val="008B7F9B"/>
    <w:rsid w:val="008C1274"/>
    <w:rsid w:val="008C2252"/>
    <w:rsid w:val="008C2740"/>
    <w:rsid w:val="008C29B0"/>
    <w:rsid w:val="008C2BDF"/>
    <w:rsid w:val="008C3A9D"/>
    <w:rsid w:val="008C4552"/>
    <w:rsid w:val="008C483A"/>
    <w:rsid w:val="008C56E1"/>
    <w:rsid w:val="008C7BF5"/>
    <w:rsid w:val="008C7F2F"/>
    <w:rsid w:val="008D1A13"/>
    <w:rsid w:val="008D33E7"/>
    <w:rsid w:val="008D35E4"/>
    <w:rsid w:val="008D3F7B"/>
    <w:rsid w:val="008D57BE"/>
    <w:rsid w:val="008E22C1"/>
    <w:rsid w:val="008E2FBA"/>
    <w:rsid w:val="008E40EA"/>
    <w:rsid w:val="008E45B4"/>
    <w:rsid w:val="008E56A9"/>
    <w:rsid w:val="008E639C"/>
    <w:rsid w:val="008E7361"/>
    <w:rsid w:val="008E73CB"/>
    <w:rsid w:val="008E7BFC"/>
    <w:rsid w:val="008F0379"/>
    <w:rsid w:val="008F071B"/>
    <w:rsid w:val="008F0C74"/>
    <w:rsid w:val="008F101F"/>
    <w:rsid w:val="008F1447"/>
    <w:rsid w:val="008F15F7"/>
    <w:rsid w:val="008F241A"/>
    <w:rsid w:val="008F2AE8"/>
    <w:rsid w:val="008F378E"/>
    <w:rsid w:val="008F42EC"/>
    <w:rsid w:val="008F4353"/>
    <w:rsid w:val="008F4617"/>
    <w:rsid w:val="008F58E4"/>
    <w:rsid w:val="008F7A60"/>
    <w:rsid w:val="00900B14"/>
    <w:rsid w:val="00901B09"/>
    <w:rsid w:val="009022BF"/>
    <w:rsid w:val="00902EB8"/>
    <w:rsid w:val="009030E2"/>
    <w:rsid w:val="009032EB"/>
    <w:rsid w:val="00903D05"/>
    <w:rsid w:val="009042E3"/>
    <w:rsid w:val="009043FA"/>
    <w:rsid w:val="009045C6"/>
    <w:rsid w:val="009048CD"/>
    <w:rsid w:val="00904C6B"/>
    <w:rsid w:val="009120A7"/>
    <w:rsid w:val="00912A48"/>
    <w:rsid w:val="00914186"/>
    <w:rsid w:val="00914A0F"/>
    <w:rsid w:val="009158B2"/>
    <w:rsid w:val="00917AD6"/>
    <w:rsid w:val="00920EEA"/>
    <w:rsid w:val="00921728"/>
    <w:rsid w:val="00922299"/>
    <w:rsid w:val="00922EC1"/>
    <w:rsid w:val="0092372A"/>
    <w:rsid w:val="00923857"/>
    <w:rsid w:val="009241DC"/>
    <w:rsid w:val="00924E89"/>
    <w:rsid w:val="00925CDE"/>
    <w:rsid w:val="009266FE"/>
    <w:rsid w:val="00926758"/>
    <w:rsid w:val="00926CF5"/>
    <w:rsid w:val="00927F36"/>
    <w:rsid w:val="00927FD3"/>
    <w:rsid w:val="009317D6"/>
    <w:rsid w:val="00931C73"/>
    <w:rsid w:val="00932E1F"/>
    <w:rsid w:val="00933FE1"/>
    <w:rsid w:val="0094042F"/>
    <w:rsid w:val="00940735"/>
    <w:rsid w:val="00941883"/>
    <w:rsid w:val="009428F4"/>
    <w:rsid w:val="00943DA0"/>
    <w:rsid w:val="00944129"/>
    <w:rsid w:val="00945248"/>
    <w:rsid w:val="00945598"/>
    <w:rsid w:val="00945EA2"/>
    <w:rsid w:val="00946236"/>
    <w:rsid w:val="0094636C"/>
    <w:rsid w:val="0094689D"/>
    <w:rsid w:val="00946FC1"/>
    <w:rsid w:val="009522E0"/>
    <w:rsid w:val="00952E9E"/>
    <w:rsid w:val="00952F8C"/>
    <w:rsid w:val="00953FE9"/>
    <w:rsid w:val="00954AB3"/>
    <w:rsid w:val="00954F2C"/>
    <w:rsid w:val="009556C5"/>
    <w:rsid w:val="00956AB4"/>
    <w:rsid w:val="00957079"/>
    <w:rsid w:val="00960354"/>
    <w:rsid w:val="0096105C"/>
    <w:rsid w:val="009624B5"/>
    <w:rsid w:val="00962888"/>
    <w:rsid w:val="009629E2"/>
    <w:rsid w:val="009630DF"/>
    <w:rsid w:val="00963131"/>
    <w:rsid w:val="00963381"/>
    <w:rsid w:val="00964894"/>
    <w:rsid w:val="00965C4B"/>
    <w:rsid w:val="009661B5"/>
    <w:rsid w:val="009661D7"/>
    <w:rsid w:val="00966D04"/>
    <w:rsid w:val="00967CB0"/>
    <w:rsid w:val="00970B38"/>
    <w:rsid w:val="009711A6"/>
    <w:rsid w:val="00971D23"/>
    <w:rsid w:val="00973B1F"/>
    <w:rsid w:val="00975C58"/>
    <w:rsid w:val="00975CE9"/>
    <w:rsid w:val="009761B5"/>
    <w:rsid w:val="009766BD"/>
    <w:rsid w:val="00976779"/>
    <w:rsid w:val="00976CBB"/>
    <w:rsid w:val="00977098"/>
    <w:rsid w:val="009800C7"/>
    <w:rsid w:val="00980BE0"/>
    <w:rsid w:val="0098115C"/>
    <w:rsid w:val="009817EC"/>
    <w:rsid w:val="009817F4"/>
    <w:rsid w:val="00981AE0"/>
    <w:rsid w:val="00982275"/>
    <w:rsid w:val="0098278D"/>
    <w:rsid w:val="00982A7A"/>
    <w:rsid w:val="00982A96"/>
    <w:rsid w:val="00983672"/>
    <w:rsid w:val="00983C45"/>
    <w:rsid w:val="00983CB7"/>
    <w:rsid w:val="009840B4"/>
    <w:rsid w:val="00984949"/>
    <w:rsid w:val="009849D7"/>
    <w:rsid w:val="009849FA"/>
    <w:rsid w:val="00984B74"/>
    <w:rsid w:val="00986780"/>
    <w:rsid w:val="00986967"/>
    <w:rsid w:val="009917B8"/>
    <w:rsid w:val="00992A3C"/>
    <w:rsid w:val="00992B9B"/>
    <w:rsid w:val="009937CB"/>
    <w:rsid w:val="009942C3"/>
    <w:rsid w:val="00994B78"/>
    <w:rsid w:val="00995888"/>
    <w:rsid w:val="00995981"/>
    <w:rsid w:val="00996C26"/>
    <w:rsid w:val="009979D7"/>
    <w:rsid w:val="00997B01"/>
    <w:rsid w:val="009A05BD"/>
    <w:rsid w:val="009A085C"/>
    <w:rsid w:val="009A099B"/>
    <w:rsid w:val="009A10F8"/>
    <w:rsid w:val="009A1158"/>
    <w:rsid w:val="009A123A"/>
    <w:rsid w:val="009A18E8"/>
    <w:rsid w:val="009A2B8E"/>
    <w:rsid w:val="009A2E31"/>
    <w:rsid w:val="009A400E"/>
    <w:rsid w:val="009A457F"/>
    <w:rsid w:val="009A55F0"/>
    <w:rsid w:val="009A5EFE"/>
    <w:rsid w:val="009A6D8E"/>
    <w:rsid w:val="009B25F9"/>
    <w:rsid w:val="009B3291"/>
    <w:rsid w:val="009B338D"/>
    <w:rsid w:val="009B37EF"/>
    <w:rsid w:val="009B3CC9"/>
    <w:rsid w:val="009B418C"/>
    <w:rsid w:val="009B4520"/>
    <w:rsid w:val="009B4999"/>
    <w:rsid w:val="009B4EF8"/>
    <w:rsid w:val="009B620F"/>
    <w:rsid w:val="009B62C1"/>
    <w:rsid w:val="009C0490"/>
    <w:rsid w:val="009C1735"/>
    <w:rsid w:val="009C17F9"/>
    <w:rsid w:val="009C1C73"/>
    <w:rsid w:val="009C3C56"/>
    <w:rsid w:val="009C454A"/>
    <w:rsid w:val="009C5286"/>
    <w:rsid w:val="009C5989"/>
    <w:rsid w:val="009C5E41"/>
    <w:rsid w:val="009D0043"/>
    <w:rsid w:val="009D10E1"/>
    <w:rsid w:val="009D1385"/>
    <w:rsid w:val="009D3497"/>
    <w:rsid w:val="009D450D"/>
    <w:rsid w:val="009D456D"/>
    <w:rsid w:val="009D48E4"/>
    <w:rsid w:val="009D4BCD"/>
    <w:rsid w:val="009D500C"/>
    <w:rsid w:val="009D5FD4"/>
    <w:rsid w:val="009D612D"/>
    <w:rsid w:val="009D68CE"/>
    <w:rsid w:val="009D6DD1"/>
    <w:rsid w:val="009E2461"/>
    <w:rsid w:val="009E3AE4"/>
    <w:rsid w:val="009E4CE6"/>
    <w:rsid w:val="009E4E40"/>
    <w:rsid w:val="009E59CE"/>
    <w:rsid w:val="009E6465"/>
    <w:rsid w:val="009E6C11"/>
    <w:rsid w:val="009E6EFB"/>
    <w:rsid w:val="009F017C"/>
    <w:rsid w:val="009F0717"/>
    <w:rsid w:val="009F0D87"/>
    <w:rsid w:val="009F243E"/>
    <w:rsid w:val="009F2B34"/>
    <w:rsid w:val="009F2E19"/>
    <w:rsid w:val="009F3122"/>
    <w:rsid w:val="009F3916"/>
    <w:rsid w:val="009F4873"/>
    <w:rsid w:val="009F57B9"/>
    <w:rsid w:val="009F5C15"/>
    <w:rsid w:val="009F6AD5"/>
    <w:rsid w:val="009F7781"/>
    <w:rsid w:val="00A002AE"/>
    <w:rsid w:val="00A0053E"/>
    <w:rsid w:val="00A01434"/>
    <w:rsid w:val="00A01DD0"/>
    <w:rsid w:val="00A01E7D"/>
    <w:rsid w:val="00A0455D"/>
    <w:rsid w:val="00A04F8B"/>
    <w:rsid w:val="00A059C7"/>
    <w:rsid w:val="00A06A11"/>
    <w:rsid w:val="00A06B50"/>
    <w:rsid w:val="00A07F3F"/>
    <w:rsid w:val="00A10BCD"/>
    <w:rsid w:val="00A10DDE"/>
    <w:rsid w:val="00A121C1"/>
    <w:rsid w:val="00A12202"/>
    <w:rsid w:val="00A1227E"/>
    <w:rsid w:val="00A1277F"/>
    <w:rsid w:val="00A14341"/>
    <w:rsid w:val="00A16E5C"/>
    <w:rsid w:val="00A17BD5"/>
    <w:rsid w:val="00A207BE"/>
    <w:rsid w:val="00A20B86"/>
    <w:rsid w:val="00A21DAE"/>
    <w:rsid w:val="00A22929"/>
    <w:rsid w:val="00A22C32"/>
    <w:rsid w:val="00A22D3E"/>
    <w:rsid w:val="00A25002"/>
    <w:rsid w:val="00A250CB"/>
    <w:rsid w:val="00A25F50"/>
    <w:rsid w:val="00A26B7B"/>
    <w:rsid w:val="00A26C04"/>
    <w:rsid w:val="00A2775F"/>
    <w:rsid w:val="00A27C35"/>
    <w:rsid w:val="00A31414"/>
    <w:rsid w:val="00A31585"/>
    <w:rsid w:val="00A31948"/>
    <w:rsid w:val="00A32B3D"/>
    <w:rsid w:val="00A33A96"/>
    <w:rsid w:val="00A341EB"/>
    <w:rsid w:val="00A36935"/>
    <w:rsid w:val="00A36EE3"/>
    <w:rsid w:val="00A3709F"/>
    <w:rsid w:val="00A37FA6"/>
    <w:rsid w:val="00A439C8"/>
    <w:rsid w:val="00A44368"/>
    <w:rsid w:val="00A448F8"/>
    <w:rsid w:val="00A44C45"/>
    <w:rsid w:val="00A45EA2"/>
    <w:rsid w:val="00A46807"/>
    <w:rsid w:val="00A5078A"/>
    <w:rsid w:val="00A50AB8"/>
    <w:rsid w:val="00A51A04"/>
    <w:rsid w:val="00A53406"/>
    <w:rsid w:val="00A536ED"/>
    <w:rsid w:val="00A5372A"/>
    <w:rsid w:val="00A54507"/>
    <w:rsid w:val="00A54BDC"/>
    <w:rsid w:val="00A54E8C"/>
    <w:rsid w:val="00A55F1C"/>
    <w:rsid w:val="00A56186"/>
    <w:rsid w:val="00A562F1"/>
    <w:rsid w:val="00A5636F"/>
    <w:rsid w:val="00A61537"/>
    <w:rsid w:val="00A62058"/>
    <w:rsid w:val="00A624C2"/>
    <w:rsid w:val="00A62EDD"/>
    <w:rsid w:val="00A62FE8"/>
    <w:rsid w:val="00A63016"/>
    <w:rsid w:val="00A64C33"/>
    <w:rsid w:val="00A64EB4"/>
    <w:rsid w:val="00A64F42"/>
    <w:rsid w:val="00A65191"/>
    <w:rsid w:val="00A6563B"/>
    <w:rsid w:val="00A657CB"/>
    <w:rsid w:val="00A668B0"/>
    <w:rsid w:val="00A66C79"/>
    <w:rsid w:val="00A66CAE"/>
    <w:rsid w:val="00A674DC"/>
    <w:rsid w:val="00A67992"/>
    <w:rsid w:val="00A67E3F"/>
    <w:rsid w:val="00A67F4D"/>
    <w:rsid w:val="00A706AD"/>
    <w:rsid w:val="00A71196"/>
    <w:rsid w:val="00A71E18"/>
    <w:rsid w:val="00A72A2F"/>
    <w:rsid w:val="00A73135"/>
    <w:rsid w:val="00A73360"/>
    <w:rsid w:val="00A743EF"/>
    <w:rsid w:val="00A74501"/>
    <w:rsid w:val="00A745C8"/>
    <w:rsid w:val="00A7481F"/>
    <w:rsid w:val="00A7498A"/>
    <w:rsid w:val="00A751D1"/>
    <w:rsid w:val="00A7577E"/>
    <w:rsid w:val="00A75AFB"/>
    <w:rsid w:val="00A801A2"/>
    <w:rsid w:val="00A818F4"/>
    <w:rsid w:val="00A82E7D"/>
    <w:rsid w:val="00A84113"/>
    <w:rsid w:val="00A84404"/>
    <w:rsid w:val="00A85DF9"/>
    <w:rsid w:val="00A871DC"/>
    <w:rsid w:val="00A9016C"/>
    <w:rsid w:val="00A910CB"/>
    <w:rsid w:val="00A92884"/>
    <w:rsid w:val="00A95B44"/>
    <w:rsid w:val="00A9653F"/>
    <w:rsid w:val="00A9704C"/>
    <w:rsid w:val="00AA0428"/>
    <w:rsid w:val="00AA1D19"/>
    <w:rsid w:val="00AA256C"/>
    <w:rsid w:val="00AA3933"/>
    <w:rsid w:val="00AA3C69"/>
    <w:rsid w:val="00AA482C"/>
    <w:rsid w:val="00AA4D86"/>
    <w:rsid w:val="00AA689A"/>
    <w:rsid w:val="00AA6A1B"/>
    <w:rsid w:val="00AA7077"/>
    <w:rsid w:val="00AA79F2"/>
    <w:rsid w:val="00AA7D6A"/>
    <w:rsid w:val="00AB014D"/>
    <w:rsid w:val="00AB1B39"/>
    <w:rsid w:val="00AB1FBE"/>
    <w:rsid w:val="00AB2187"/>
    <w:rsid w:val="00AB2761"/>
    <w:rsid w:val="00AB2BF6"/>
    <w:rsid w:val="00AB494A"/>
    <w:rsid w:val="00AB6782"/>
    <w:rsid w:val="00AB7159"/>
    <w:rsid w:val="00AC0289"/>
    <w:rsid w:val="00AC0319"/>
    <w:rsid w:val="00AC06A2"/>
    <w:rsid w:val="00AC0CF5"/>
    <w:rsid w:val="00AC14A6"/>
    <w:rsid w:val="00AC2016"/>
    <w:rsid w:val="00AC2EF2"/>
    <w:rsid w:val="00AC2FAA"/>
    <w:rsid w:val="00AC358C"/>
    <w:rsid w:val="00AC38AC"/>
    <w:rsid w:val="00AC3C83"/>
    <w:rsid w:val="00AC4493"/>
    <w:rsid w:val="00AC7246"/>
    <w:rsid w:val="00AD0403"/>
    <w:rsid w:val="00AD0D74"/>
    <w:rsid w:val="00AD1FE0"/>
    <w:rsid w:val="00AD220E"/>
    <w:rsid w:val="00AD2E97"/>
    <w:rsid w:val="00AD42B6"/>
    <w:rsid w:val="00AD45C8"/>
    <w:rsid w:val="00AD606A"/>
    <w:rsid w:val="00AD68F4"/>
    <w:rsid w:val="00AD6AC4"/>
    <w:rsid w:val="00AD79A3"/>
    <w:rsid w:val="00AD7ABA"/>
    <w:rsid w:val="00AD7AF0"/>
    <w:rsid w:val="00AE0492"/>
    <w:rsid w:val="00AE0554"/>
    <w:rsid w:val="00AE126D"/>
    <w:rsid w:val="00AE17DC"/>
    <w:rsid w:val="00AE182D"/>
    <w:rsid w:val="00AE18D6"/>
    <w:rsid w:val="00AE1B6B"/>
    <w:rsid w:val="00AE1F36"/>
    <w:rsid w:val="00AE1FA3"/>
    <w:rsid w:val="00AE3897"/>
    <w:rsid w:val="00AE3FAD"/>
    <w:rsid w:val="00AE51BC"/>
    <w:rsid w:val="00AE75D0"/>
    <w:rsid w:val="00AF0FDC"/>
    <w:rsid w:val="00AF102C"/>
    <w:rsid w:val="00AF204C"/>
    <w:rsid w:val="00AF3639"/>
    <w:rsid w:val="00AF449C"/>
    <w:rsid w:val="00AF5629"/>
    <w:rsid w:val="00AF6429"/>
    <w:rsid w:val="00AF730F"/>
    <w:rsid w:val="00AF7BDC"/>
    <w:rsid w:val="00AF7D4C"/>
    <w:rsid w:val="00B01483"/>
    <w:rsid w:val="00B0221F"/>
    <w:rsid w:val="00B03461"/>
    <w:rsid w:val="00B04E2A"/>
    <w:rsid w:val="00B04E57"/>
    <w:rsid w:val="00B055B7"/>
    <w:rsid w:val="00B06363"/>
    <w:rsid w:val="00B06371"/>
    <w:rsid w:val="00B07316"/>
    <w:rsid w:val="00B07660"/>
    <w:rsid w:val="00B07688"/>
    <w:rsid w:val="00B103CE"/>
    <w:rsid w:val="00B10858"/>
    <w:rsid w:val="00B11113"/>
    <w:rsid w:val="00B1157E"/>
    <w:rsid w:val="00B12009"/>
    <w:rsid w:val="00B1468D"/>
    <w:rsid w:val="00B14F51"/>
    <w:rsid w:val="00B1597A"/>
    <w:rsid w:val="00B15CA0"/>
    <w:rsid w:val="00B1655C"/>
    <w:rsid w:val="00B17084"/>
    <w:rsid w:val="00B21A7B"/>
    <w:rsid w:val="00B22289"/>
    <w:rsid w:val="00B22F85"/>
    <w:rsid w:val="00B23465"/>
    <w:rsid w:val="00B2403F"/>
    <w:rsid w:val="00B241F1"/>
    <w:rsid w:val="00B244BE"/>
    <w:rsid w:val="00B26F9D"/>
    <w:rsid w:val="00B274B9"/>
    <w:rsid w:val="00B27A59"/>
    <w:rsid w:val="00B30AEC"/>
    <w:rsid w:val="00B31311"/>
    <w:rsid w:val="00B3267A"/>
    <w:rsid w:val="00B333BA"/>
    <w:rsid w:val="00B34DBA"/>
    <w:rsid w:val="00B3527C"/>
    <w:rsid w:val="00B352DD"/>
    <w:rsid w:val="00B35A8B"/>
    <w:rsid w:val="00B361D5"/>
    <w:rsid w:val="00B3759B"/>
    <w:rsid w:val="00B4001C"/>
    <w:rsid w:val="00B4231A"/>
    <w:rsid w:val="00B42AB9"/>
    <w:rsid w:val="00B42EF0"/>
    <w:rsid w:val="00B43F43"/>
    <w:rsid w:val="00B4402B"/>
    <w:rsid w:val="00B45F0B"/>
    <w:rsid w:val="00B4635D"/>
    <w:rsid w:val="00B46B33"/>
    <w:rsid w:val="00B50D6D"/>
    <w:rsid w:val="00B5145C"/>
    <w:rsid w:val="00B51EB7"/>
    <w:rsid w:val="00B51ECA"/>
    <w:rsid w:val="00B540E4"/>
    <w:rsid w:val="00B545E0"/>
    <w:rsid w:val="00B54634"/>
    <w:rsid w:val="00B549A8"/>
    <w:rsid w:val="00B6064D"/>
    <w:rsid w:val="00B62AD8"/>
    <w:rsid w:val="00B6314B"/>
    <w:rsid w:val="00B6405B"/>
    <w:rsid w:val="00B66F59"/>
    <w:rsid w:val="00B66F6F"/>
    <w:rsid w:val="00B70232"/>
    <w:rsid w:val="00B7035C"/>
    <w:rsid w:val="00B708B7"/>
    <w:rsid w:val="00B71C41"/>
    <w:rsid w:val="00B72EA8"/>
    <w:rsid w:val="00B7367E"/>
    <w:rsid w:val="00B7428F"/>
    <w:rsid w:val="00B76121"/>
    <w:rsid w:val="00B766A0"/>
    <w:rsid w:val="00B769E7"/>
    <w:rsid w:val="00B77D0C"/>
    <w:rsid w:val="00B80329"/>
    <w:rsid w:val="00B80529"/>
    <w:rsid w:val="00B80570"/>
    <w:rsid w:val="00B8067F"/>
    <w:rsid w:val="00B81A3A"/>
    <w:rsid w:val="00B82A66"/>
    <w:rsid w:val="00B85B15"/>
    <w:rsid w:val="00B85D86"/>
    <w:rsid w:val="00B8607C"/>
    <w:rsid w:val="00B86C1F"/>
    <w:rsid w:val="00B878BE"/>
    <w:rsid w:val="00B90D1B"/>
    <w:rsid w:val="00B914DC"/>
    <w:rsid w:val="00B92104"/>
    <w:rsid w:val="00B925A2"/>
    <w:rsid w:val="00B92F08"/>
    <w:rsid w:val="00B9303E"/>
    <w:rsid w:val="00B9383D"/>
    <w:rsid w:val="00B93BB2"/>
    <w:rsid w:val="00B943FE"/>
    <w:rsid w:val="00B957EF"/>
    <w:rsid w:val="00B964E2"/>
    <w:rsid w:val="00B97813"/>
    <w:rsid w:val="00BA060E"/>
    <w:rsid w:val="00BA0C35"/>
    <w:rsid w:val="00BA1685"/>
    <w:rsid w:val="00BA17BD"/>
    <w:rsid w:val="00BA1D35"/>
    <w:rsid w:val="00BA218B"/>
    <w:rsid w:val="00BA289D"/>
    <w:rsid w:val="00BA5493"/>
    <w:rsid w:val="00BA5F63"/>
    <w:rsid w:val="00BA6017"/>
    <w:rsid w:val="00BA667F"/>
    <w:rsid w:val="00BA6748"/>
    <w:rsid w:val="00BA7516"/>
    <w:rsid w:val="00BA7661"/>
    <w:rsid w:val="00BB0AE0"/>
    <w:rsid w:val="00BB0B45"/>
    <w:rsid w:val="00BB23FE"/>
    <w:rsid w:val="00BB5887"/>
    <w:rsid w:val="00BB6486"/>
    <w:rsid w:val="00BB6989"/>
    <w:rsid w:val="00BB6B6F"/>
    <w:rsid w:val="00BB7FED"/>
    <w:rsid w:val="00BC140B"/>
    <w:rsid w:val="00BC1700"/>
    <w:rsid w:val="00BC32D8"/>
    <w:rsid w:val="00BC4955"/>
    <w:rsid w:val="00BC742F"/>
    <w:rsid w:val="00BD1600"/>
    <w:rsid w:val="00BD39CC"/>
    <w:rsid w:val="00BD5520"/>
    <w:rsid w:val="00BD61E0"/>
    <w:rsid w:val="00BD6CFE"/>
    <w:rsid w:val="00BD70CE"/>
    <w:rsid w:val="00BE05E7"/>
    <w:rsid w:val="00BE0850"/>
    <w:rsid w:val="00BE12F7"/>
    <w:rsid w:val="00BE27FC"/>
    <w:rsid w:val="00BE33C8"/>
    <w:rsid w:val="00BE35CE"/>
    <w:rsid w:val="00BE531C"/>
    <w:rsid w:val="00BE5955"/>
    <w:rsid w:val="00BE5C95"/>
    <w:rsid w:val="00BE6F66"/>
    <w:rsid w:val="00BF0F95"/>
    <w:rsid w:val="00BF1607"/>
    <w:rsid w:val="00BF26E2"/>
    <w:rsid w:val="00BF2F1A"/>
    <w:rsid w:val="00BF31A4"/>
    <w:rsid w:val="00BF38D6"/>
    <w:rsid w:val="00BF3A39"/>
    <w:rsid w:val="00BF5028"/>
    <w:rsid w:val="00BF5886"/>
    <w:rsid w:val="00BF69AC"/>
    <w:rsid w:val="00BF7139"/>
    <w:rsid w:val="00BF7D71"/>
    <w:rsid w:val="00C01363"/>
    <w:rsid w:val="00C01653"/>
    <w:rsid w:val="00C01B4D"/>
    <w:rsid w:val="00C03175"/>
    <w:rsid w:val="00C038AF"/>
    <w:rsid w:val="00C03B03"/>
    <w:rsid w:val="00C04251"/>
    <w:rsid w:val="00C05530"/>
    <w:rsid w:val="00C05867"/>
    <w:rsid w:val="00C05F15"/>
    <w:rsid w:val="00C0601E"/>
    <w:rsid w:val="00C064DB"/>
    <w:rsid w:val="00C066F4"/>
    <w:rsid w:val="00C0706A"/>
    <w:rsid w:val="00C0712A"/>
    <w:rsid w:val="00C07465"/>
    <w:rsid w:val="00C10DC6"/>
    <w:rsid w:val="00C1181C"/>
    <w:rsid w:val="00C12074"/>
    <w:rsid w:val="00C12779"/>
    <w:rsid w:val="00C12B70"/>
    <w:rsid w:val="00C12B83"/>
    <w:rsid w:val="00C13ACB"/>
    <w:rsid w:val="00C14058"/>
    <w:rsid w:val="00C141B8"/>
    <w:rsid w:val="00C142B1"/>
    <w:rsid w:val="00C14CAF"/>
    <w:rsid w:val="00C15F98"/>
    <w:rsid w:val="00C1619F"/>
    <w:rsid w:val="00C16573"/>
    <w:rsid w:val="00C16B23"/>
    <w:rsid w:val="00C179A1"/>
    <w:rsid w:val="00C20136"/>
    <w:rsid w:val="00C20B4E"/>
    <w:rsid w:val="00C21069"/>
    <w:rsid w:val="00C214E1"/>
    <w:rsid w:val="00C215AA"/>
    <w:rsid w:val="00C224D4"/>
    <w:rsid w:val="00C22E48"/>
    <w:rsid w:val="00C2450B"/>
    <w:rsid w:val="00C25D79"/>
    <w:rsid w:val="00C275A2"/>
    <w:rsid w:val="00C278BA"/>
    <w:rsid w:val="00C27A00"/>
    <w:rsid w:val="00C305CB"/>
    <w:rsid w:val="00C32E8D"/>
    <w:rsid w:val="00C332A5"/>
    <w:rsid w:val="00C344E5"/>
    <w:rsid w:val="00C36BE9"/>
    <w:rsid w:val="00C36E1E"/>
    <w:rsid w:val="00C370CB"/>
    <w:rsid w:val="00C3729F"/>
    <w:rsid w:val="00C37373"/>
    <w:rsid w:val="00C37B4D"/>
    <w:rsid w:val="00C37F27"/>
    <w:rsid w:val="00C41ED1"/>
    <w:rsid w:val="00C43695"/>
    <w:rsid w:val="00C4483C"/>
    <w:rsid w:val="00C44AFF"/>
    <w:rsid w:val="00C456CE"/>
    <w:rsid w:val="00C45D6B"/>
    <w:rsid w:val="00C47910"/>
    <w:rsid w:val="00C47B4D"/>
    <w:rsid w:val="00C50391"/>
    <w:rsid w:val="00C503FF"/>
    <w:rsid w:val="00C50CF8"/>
    <w:rsid w:val="00C50D14"/>
    <w:rsid w:val="00C51995"/>
    <w:rsid w:val="00C51F10"/>
    <w:rsid w:val="00C520D2"/>
    <w:rsid w:val="00C52542"/>
    <w:rsid w:val="00C53016"/>
    <w:rsid w:val="00C53305"/>
    <w:rsid w:val="00C544F1"/>
    <w:rsid w:val="00C54707"/>
    <w:rsid w:val="00C55C30"/>
    <w:rsid w:val="00C56BAB"/>
    <w:rsid w:val="00C5764F"/>
    <w:rsid w:val="00C57682"/>
    <w:rsid w:val="00C60589"/>
    <w:rsid w:val="00C60C8C"/>
    <w:rsid w:val="00C618F3"/>
    <w:rsid w:val="00C61E9B"/>
    <w:rsid w:val="00C61FB2"/>
    <w:rsid w:val="00C62E76"/>
    <w:rsid w:val="00C635DF"/>
    <w:rsid w:val="00C63811"/>
    <w:rsid w:val="00C63DA4"/>
    <w:rsid w:val="00C64300"/>
    <w:rsid w:val="00C64AE2"/>
    <w:rsid w:val="00C64BD3"/>
    <w:rsid w:val="00C64C34"/>
    <w:rsid w:val="00C65383"/>
    <w:rsid w:val="00C6650C"/>
    <w:rsid w:val="00C67DE7"/>
    <w:rsid w:val="00C67FA7"/>
    <w:rsid w:val="00C703C9"/>
    <w:rsid w:val="00C70F13"/>
    <w:rsid w:val="00C712F1"/>
    <w:rsid w:val="00C714AE"/>
    <w:rsid w:val="00C722A1"/>
    <w:rsid w:val="00C728DA"/>
    <w:rsid w:val="00C74E28"/>
    <w:rsid w:val="00C74FF0"/>
    <w:rsid w:val="00C7503F"/>
    <w:rsid w:val="00C75B00"/>
    <w:rsid w:val="00C76C8C"/>
    <w:rsid w:val="00C77847"/>
    <w:rsid w:val="00C77D0D"/>
    <w:rsid w:val="00C77F3C"/>
    <w:rsid w:val="00C80D8A"/>
    <w:rsid w:val="00C80D95"/>
    <w:rsid w:val="00C8277D"/>
    <w:rsid w:val="00C831EC"/>
    <w:rsid w:val="00C83D77"/>
    <w:rsid w:val="00C83EAF"/>
    <w:rsid w:val="00C840E8"/>
    <w:rsid w:val="00C845A1"/>
    <w:rsid w:val="00C850F4"/>
    <w:rsid w:val="00C85E36"/>
    <w:rsid w:val="00C86B03"/>
    <w:rsid w:val="00C86F0E"/>
    <w:rsid w:val="00C87EB8"/>
    <w:rsid w:val="00C904FE"/>
    <w:rsid w:val="00C90EEC"/>
    <w:rsid w:val="00C91974"/>
    <w:rsid w:val="00C91C68"/>
    <w:rsid w:val="00C921DD"/>
    <w:rsid w:val="00C92697"/>
    <w:rsid w:val="00C9434C"/>
    <w:rsid w:val="00C9694E"/>
    <w:rsid w:val="00C96B00"/>
    <w:rsid w:val="00C96F34"/>
    <w:rsid w:val="00CA0121"/>
    <w:rsid w:val="00CA0476"/>
    <w:rsid w:val="00CA09C8"/>
    <w:rsid w:val="00CA0BC0"/>
    <w:rsid w:val="00CA1B63"/>
    <w:rsid w:val="00CA2329"/>
    <w:rsid w:val="00CA64B0"/>
    <w:rsid w:val="00CA7803"/>
    <w:rsid w:val="00CB01F6"/>
    <w:rsid w:val="00CB08D4"/>
    <w:rsid w:val="00CB2486"/>
    <w:rsid w:val="00CB57F2"/>
    <w:rsid w:val="00CB730C"/>
    <w:rsid w:val="00CB7F6C"/>
    <w:rsid w:val="00CC1250"/>
    <w:rsid w:val="00CC1FAF"/>
    <w:rsid w:val="00CC2C08"/>
    <w:rsid w:val="00CC30B5"/>
    <w:rsid w:val="00CC31C3"/>
    <w:rsid w:val="00CC3BA5"/>
    <w:rsid w:val="00CC4C88"/>
    <w:rsid w:val="00CC4D1F"/>
    <w:rsid w:val="00CC4EAA"/>
    <w:rsid w:val="00CC6059"/>
    <w:rsid w:val="00CC6189"/>
    <w:rsid w:val="00CC64B9"/>
    <w:rsid w:val="00CC6EDD"/>
    <w:rsid w:val="00CC74EA"/>
    <w:rsid w:val="00CC7B04"/>
    <w:rsid w:val="00CD02CE"/>
    <w:rsid w:val="00CD2458"/>
    <w:rsid w:val="00CD282B"/>
    <w:rsid w:val="00CD3A78"/>
    <w:rsid w:val="00CD5543"/>
    <w:rsid w:val="00CD5974"/>
    <w:rsid w:val="00CD5DAA"/>
    <w:rsid w:val="00CD60D5"/>
    <w:rsid w:val="00CD64DC"/>
    <w:rsid w:val="00CD6FAE"/>
    <w:rsid w:val="00CE03CC"/>
    <w:rsid w:val="00CE0765"/>
    <w:rsid w:val="00CE0928"/>
    <w:rsid w:val="00CE09AE"/>
    <w:rsid w:val="00CE2008"/>
    <w:rsid w:val="00CE28F8"/>
    <w:rsid w:val="00CE2CC6"/>
    <w:rsid w:val="00CE351B"/>
    <w:rsid w:val="00CE3605"/>
    <w:rsid w:val="00CE544C"/>
    <w:rsid w:val="00CE56AD"/>
    <w:rsid w:val="00CE570F"/>
    <w:rsid w:val="00CE7BC5"/>
    <w:rsid w:val="00CF08DF"/>
    <w:rsid w:val="00CF1535"/>
    <w:rsid w:val="00CF1E68"/>
    <w:rsid w:val="00CF2830"/>
    <w:rsid w:val="00CF3737"/>
    <w:rsid w:val="00CF4FAE"/>
    <w:rsid w:val="00CF5096"/>
    <w:rsid w:val="00CF6718"/>
    <w:rsid w:val="00CF7431"/>
    <w:rsid w:val="00D002A6"/>
    <w:rsid w:val="00D004A8"/>
    <w:rsid w:val="00D007BD"/>
    <w:rsid w:val="00D00ACA"/>
    <w:rsid w:val="00D00DB8"/>
    <w:rsid w:val="00D00FC8"/>
    <w:rsid w:val="00D012E3"/>
    <w:rsid w:val="00D01AA2"/>
    <w:rsid w:val="00D02306"/>
    <w:rsid w:val="00D027E6"/>
    <w:rsid w:val="00D03451"/>
    <w:rsid w:val="00D04784"/>
    <w:rsid w:val="00D04847"/>
    <w:rsid w:val="00D048ED"/>
    <w:rsid w:val="00D04B3F"/>
    <w:rsid w:val="00D05D91"/>
    <w:rsid w:val="00D062B0"/>
    <w:rsid w:val="00D0641B"/>
    <w:rsid w:val="00D07658"/>
    <w:rsid w:val="00D11684"/>
    <w:rsid w:val="00D11E3F"/>
    <w:rsid w:val="00D121D7"/>
    <w:rsid w:val="00D13E28"/>
    <w:rsid w:val="00D140F5"/>
    <w:rsid w:val="00D1493E"/>
    <w:rsid w:val="00D14B66"/>
    <w:rsid w:val="00D15C98"/>
    <w:rsid w:val="00D16332"/>
    <w:rsid w:val="00D17701"/>
    <w:rsid w:val="00D1797D"/>
    <w:rsid w:val="00D17C0C"/>
    <w:rsid w:val="00D205EF"/>
    <w:rsid w:val="00D21007"/>
    <w:rsid w:val="00D21F11"/>
    <w:rsid w:val="00D221CC"/>
    <w:rsid w:val="00D22DC6"/>
    <w:rsid w:val="00D22EAA"/>
    <w:rsid w:val="00D24282"/>
    <w:rsid w:val="00D274D3"/>
    <w:rsid w:val="00D32514"/>
    <w:rsid w:val="00D32B30"/>
    <w:rsid w:val="00D32C06"/>
    <w:rsid w:val="00D32C3A"/>
    <w:rsid w:val="00D32DF1"/>
    <w:rsid w:val="00D3423B"/>
    <w:rsid w:val="00D350BA"/>
    <w:rsid w:val="00D355CD"/>
    <w:rsid w:val="00D36C64"/>
    <w:rsid w:val="00D37487"/>
    <w:rsid w:val="00D37D45"/>
    <w:rsid w:val="00D40E68"/>
    <w:rsid w:val="00D414A4"/>
    <w:rsid w:val="00D41826"/>
    <w:rsid w:val="00D41A70"/>
    <w:rsid w:val="00D42472"/>
    <w:rsid w:val="00D428A6"/>
    <w:rsid w:val="00D4313C"/>
    <w:rsid w:val="00D436DF"/>
    <w:rsid w:val="00D439CE"/>
    <w:rsid w:val="00D451AD"/>
    <w:rsid w:val="00D47219"/>
    <w:rsid w:val="00D47BD1"/>
    <w:rsid w:val="00D47BE1"/>
    <w:rsid w:val="00D501E5"/>
    <w:rsid w:val="00D50537"/>
    <w:rsid w:val="00D50BBE"/>
    <w:rsid w:val="00D51055"/>
    <w:rsid w:val="00D51182"/>
    <w:rsid w:val="00D539CC"/>
    <w:rsid w:val="00D53C64"/>
    <w:rsid w:val="00D54281"/>
    <w:rsid w:val="00D545FB"/>
    <w:rsid w:val="00D54769"/>
    <w:rsid w:val="00D5487A"/>
    <w:rsid w:val="00D548F6"/>
    <w:rsid w:val="00D55AF6"/>
    <w:rsid w:val="00D5636A"/>
    <w:rsid w:val="00D57838"/>
    <w:rsid w:val="00D57BCF"/>
    <w:rsid w:val="00D60604"/>
    <w:rsid w:val="00D61491"/>
    <w:rsid w:val="00D61856"/>
    <w:rsid w:val="00D61E89"/>
    <w:rsid w:val="00D62990"/>
    <w:rsid w:val="00D62DFE"/>
    <w:rsid w:val="00D64679"/>
    <w:rsid w:val="00D66943"/>
    <w:rsid w:val="00D66967"/>
    <w:rsid w:val="00D669DE"/>
    <w:rsid w:val="00D6716B"/>
    <w:rsid w:val="00D6752D"/>
    <w:rsid w:val="00D7002B"/>
    <w:rsid w:val="00D701F2"/>
    <w:rsid w:val="00D706BA"/>
    <w:rsid w:val="00D70E57"/>
    <w:rsid w:val="00D7241D"/>
    <w:rsid w:val="00D7311B"/>
    <w:rsid w:val="00D73258"/>
    <w:rsid w:val="00D74487"/>
    <w:rsid w:val="00D757D3"/>
    <w:rsid w:val="00D765E9"/>
    <w:rsid w:val="00D82B16"/>
    <w:rsid w:val="00D82EC5"/>
    <w:rsid w:val="00D830D5"/>
    <w:rsid w:val="00D8476D"/>
    <w:rsid w:val="00D8559F"/>
    <w:rsid w:val="00D8623A"/>
    <w:rsid w:val="00D8690D"/>
    <w:rsid w:val="00D86C37"/>
    <w:rsid w:val="00D9063B"/>
    <w:rsid w:val="00D90B95"/>
    <w:rsid w:val="00D91136"/>
    <w:rsid w:val="00D915BF"/>
    <w:rsid w:val="00D9197C"/>
    <w:rsid w:val="00D92DD3"/>
    <w:rsid w:val="00D94497"/>
    <w:rsid w:val="00D94A4D"/>
    <w:rsid w:val="00D96EF3"/>
    <w:rsid w:val="00D974C5"/>
    <w:rsid w:val="00D9775A"/>
    <w:rsid w:val="00D9784C"/>
    <w:rsid w:val="00DA0189"/>
    <w:rsid w:val="00DA049E"/>
    <w:rsid w:val="00DA325C"/>
    <w:rsid w:val="00DA3699"/>
    <w:rsid w:val="00DA3B8E"/>
    <w:rsid w:val="00DA3D84"/>
    <w:rsid w:val="00DA4A88"/>
    <w:rsid w:val="00DA54D2"/>
    <w:rsid w:val="00DA7B07"/>
    <w:rsid w:val="00DB04BC"/>
    <w:rsid w:val="00DB0667"/>
    <w:rsid w:val="00DB1EF2"/>
    <w:rsid w:val="00DB32C7"/>
    <w:rsid w:val="00DB339C"/>
    <w:rsid w:val="00DB3401"/>
    <w:rsid w:val="00DB4F03"/>
    <w:rsid w:val="00DB5A7F"/>
    <w:rsid w:val="00DB5F0B"/>
    <w:rsid w:val="00DB5F4B"/>
    <w:rsid w:val="00DB6326"/>
    <w:rsid w:val="00DB68E9"/>
    <w:rsid w:val="00DB6914"/>
    <w:rsid w:val="00DB705B"/>
    <w:rsid w:val="00DB7065"/>
    <w:rsid w:val="00DB747F"/>
    <w:rsid w:val="00DB7B09"/>
    <w:rsid w:val="00DC1935"/>
    <w:rsid w:val="00DC32F2"/>
    <w:rsid w:val="00DC3780"/>
    <w:rsid w:val="00DC461C"/>
    <w:rsid w:val="00DC5277"/>
    <w:rsid w:val="00DC56F9"/>
    <w:rsid w:val="00DC578C"/>
    <w:rsid w:val="00DC6A9B"/>
    <w:rsid w:val="00DC7A4E"/>
    <w:rsid w:val="00DC7FDC"/>
    <w:rsid w:val="00DD08AA"/>
    <w:rsid w:val="00DD0F42"/>
    <w:rsid w:val="00DD1152"/>
    <w:rsid w:val="00DD11FA"/>
    <w:rsid w:val="00DD1A8A"/>
    <w:rsid w:val="00DD1AFA"/>
    <w:rsid w:val="00DD1BB7"/>
    <w:rsid w:val="00DD459C"/>
    <w:rsid w:val="00DD4F7E"/>
    <w:rsid w:val="00DD5493"/>
    <w:rsid w:val="00DD549F"/>
    <w:rsid w:val="00DD5897"/>
    <w:rsid w:val="00DD63D2"/>
    <w:rsid w:val="00DD687C"/>
    <w:rsid w:val="00DD7434"/>
    <w:rsid w:val="00DE041E"/>
    <w:rsid w:val="00DE184A"/>
    <w:rsid w:val="00DE1D47"/>
    <w:rsid w:val="00DE1F5D"/>
    <w:rsid w:val="00DE243C"/>
    <w:rsid w:val="00DE2803"/>
    <w:rsid w:val="00DE33A2"/>
    <w:rsid w:val="00DE4F6F"/>
    <w:rsid w:val="00DE5DA2"/>
    <w:rsid w:val="00DE653B"/>
    <w:rsid w:val="00DE72D5"/>
    <w:rsid w:val="00DE7520"/>
    <w:rsid w:val="00DF094C"/>
    <w:rsid w:val="00DF0D25"/>
    <w:rsid w:val="00DF2B56"/>
    <w:rsid w:val="00DF2D12"/>
    <w:rsid w:val="00DF3CC1"/>
    <w:rsid w:val="00DF5CA9"/>
    <w:rsid w:val="00DF67A9"/>
    <w:rsid w:val="00DF6C13"/>
    <w:rsid w:val="00E0040B"/>
    <w:rsid w:val="00E0040F"/>
    <w:rsid w:val="00E00BF8"/>
    <w:rsid w:val="00E015DE"/>
    <w:rsid w:val="00E01CA8"/>
    <w:rsid w:val="00E030A3"/>
    <w:rsid w:val="00E041E1"/>
    <w:rsid w:val="00E042D3"/>
    <w:rsid w:val="00E047B4"/>
    <w:rsid w:val="00E05008"/>
    <w:rsid w:val="00E05766"/>
    <w:rsid w:val="00E06B97"/>
    <w:rsid w:val="00E070C2"/>
    <w:rsid w:val="00E074CD"/>
    <w:rsid w:val="00E074FE"/>
    <w:rsid w:val="00E11B51"/>
    <w:rsid w:val="00E11D7A"/>
    <w:rsid w:val="00E1212B"/>
    <w:rsid w:val="00E13BAB"/>
    <w:rsid w:val="00E14803"/>
    <w:rsid w:val="00E1516E"/>
    <w:rsid w:val="00E1559F"/>
    <w:rsid w:val="00E15F64"/>
    <w:rsid w:val="00E16F63"/>
    <w:rsid w:val="00E179F1"/>
    <w:rsid w:val="00E17F97"/>
    <w:rsid w:val="00E207FB"/>
    <w:rsid w:val="00E20CAB"/>
    <w:rsid w:val="00E2405C"/>
    <w:rsid w:val="00E246D1"/>
    <w:rsid w:val="00E25B40"/>
    <w:rsid w:val="00E2630F"/>
    <w:rsid w:val="00E26C9C"/>
    <w:rsid w:val="00E26E76"/>
    <w:rsid w:val="00E31A1E"/>
    <w:rsid w:val="00E3290B"/>
    <w:rsid w:val="00E33360"/>
    <w:rsid w:val="00E33A0C"/>
    <w:rsid w:val="00E33C12"/>
    <w:rsid w:val="00E3400B"/>
    <w:rsid w:val="00E342DA"/>
    <w:rsid w:val="00E356BC"/>
    <w:rsid w:val="00E35E3F"/>
    <w:rsid w:val="00E37155"/>
    <w:rsid w:val="00E372EB"/>
    <w:rsid w:val="00E3766F"/>
    <w:rsid w:val="00E37AA2"/>
    <w:rsid w:val="00E37BCA"/>
    <w:rsid w:val="00E40665"/>
    <w:rsid w:val="00E40E2A"/>
    <w:rsid w:val="00E41E1B"/>
    <w:rsid w:val="00E41E6B"/>
    <w:rsid w:val="00E427AB"/>
    <w:rsid w:val="00E42EFA"/>
    <w:rsid w:val="00E4345A"/>
    <w:rsid w:val="00E44841"/>
    <w:rsid w:val="00E44CCA"/>
    <w:rsid w:val="00E45B52"/>
    <w:rsid w:val="00E45C1B"/>
    <w:rsid w:val="00E46612"/>
    <w:rsid w:val="00E46B00"/>
    <w:rsid w:val="00E47AE8"/>
    <w:rsid w:val="00E501D8"/>
    <w:rsid w:val="00E513D2"/>
    <w:rsid w:val="00E51CBF"/>
    <w:rsid w:val="00E51E50"/>
    <w:rsid w:val="00E53D30"/>
    <w:rsid w:val="00E55690"/>
    <w:rsid w:val="00E56CE6"/>
    <w:rsid w:val="00E56E27"/>
    <w:rsid w:val="00E571F7"/>
    <w:rsid w:val="00E57FAB"/>
    <w:rsid w:val="00E60382"/>
    <w:rsid w:val="00E606E1"/>
    <w:rsid w:val="00E60C27"/>
    <w:rsid w:val="00E6108C"/>
    <w:rsid w:val="00E61AED"/>
    <w:rsid w:val="00E627EF"/>
    <w:rsid w:val="00E6359F"/>
    <w:rsid w:val="00E647E1"/>
    <w:rsid w:val="00E65890"/>
    <w:rsid w:val="00E667F5"/>
    <w:rsid w:val="00E66928"/>
    <w:rsid w:val="00E66BB9"/>
    <w:rsid w:val="00E710AD"/>
    <w:rsid w:val="00E72178"/>
    <w:rsid w:val="00E725A3"/>
    <w:rsid w:val="00E72A16"/>
    <w:rsid w:val="00E73679"/>
    <w:rsid w:val="00E7475C"/>
    <w:rsid w:val="00E7630B"/>
    <w:rsid w:val="00E763BC"/>
    <w:rsid w:val="00E76ACF"/>
    <w:rsid w:val="00E76E48"/>
    <w:rsid w:val="00E81D13"/>
    <w:rsid w:val="00E81DD3"/>
    <w:rsid w:val="00E82824"/>
    <w:rsid w:val="00E82D88"/>
    <w:rsid w:val="00E82F1A"/>
    <w:rsid w:val="00E82F8C"/>
    <w:rsid w:val="00E83D82"/>
    <w:rsid w:val="00E83ED1"/>
    <w:rsid w:val="00E84171"/>
    <w:rsid w:val="00E84D7E"/>
    <w:rsid w:val="00E84E45"/>
    <w:rsid w:val="00E8512E"/>
    <w:rsid w:val="00E85427"/>
    <w:rsid w:val="00E86FEC"/>
    <w:rsid w:val="00E919AF"/>
    <w:rsid w:val="00E91A15"/>
    <w:rsid w:val="00E92E66"/>
    <w:rsid w:val="00E93E19"/>
    <w:rsid w:val="00E95302"/>
    <w:rsid w:val="00E958B4"/>
    <w:rsid w:val="00E958F0"/>
    <w:rsid w:val="00E96700"/>
    <w:rsid w:val="00E97640"/>
    <w:rsid w:val="00EA0850"/>
    <w:rsid w:val="00EA2415"/>
    <w:rsid w:val="00EA2937"/>
    <w:rsid w:val="00EA33DC"/>
    <w:rsid w:val="00EA440A"/>
    <w:rsid w:val="00EA4428"/>
    <w:rsid w:val="00EA48D0"/>
    <w:rsid w:val="00EA5078"/>
    <w:rsid w:val="00EA5171"/>
    <w:rsid w:val="00EA5348"/>
    <w:rsid w:val="00EA63C0"/>
    <w:rsid w:val="00EA66BE"/>
    <w:rsid w:val="00EA6F71"/>
    <w:rsid w:val="00EA78A4"/>
    <w:rsid w:val="00EB1A7B"/>
    <w:rsid w:val="00EB2616"/>
    <w:rsid w:val="00EB3516"/>
    <w:rsid w:val="00EB35DE"/>
    <w:rsid w:val="00EB3B17"/>
    <w:rsid w:val="00EB3E23"/>
    <w:rsid w:val="00EB49F4"/>
    <w:rsid w:val="00EB5652"/>
    <w:rsid w:val="00EB6CEC"/>
    <w:rsid w:val="00EB7BCD"/>
    <w:rsid w:val="00EC07DD"/>
    <w:rsid w:val="00EC08B1"/>
    <w:rsid w:val="00EC10AA"/>
    <w:rsid w:val="00EC176E"/>
    <w:rsid w:val="00EC32AA"/>
    <w:rsid w:val="00EC3FC5"/>
    <w:rsid w:val="00EC5A6D"/>
    <w:rsid w:val="00EC5EDC"/>
    <w:rsid w:val="00EC7357"/>
    <w:rsid w:val="00EC7A8B"/>
    <w:rsid w:val="00ED0B2A"/>
    <w:rsid w:val="00ED1D14"/>
    <w:rsid w:val="00ED21B3"/>
    <w:rsid w:val="00ED518B"/>
    <w:rsid w:val="00ED51AA"/>
    <w:rsid w:val="00ED56EB"/>
    <w:rsid w:val="00ED7907"/>
    <w:rsid w:val="00EE10EE"/>
    <w:rsid w:val="00EE12E9"/>
    <w:rsid w:val="00EE1814"/>
    <w:rsid w:val="00EE2AD8"/>
    <w:rsid w:val="00EE405B"/>
    <w:rsid w:val="00EE41D4"/>
    <w:rsid w:val="00EE4839"/>
    <w:rsid w:val="00EE4979"/>
    <w:rsid w:val="00EE4A0F"/>
    <w:rsid w:val="00EE4EE7"/>
    <w:rsid w:val="00EE763C"/>
    <w:rsid w:val="00EF165E"/>
    <w:rsid w:val="00EF1976"/>
    <w:rsid w:val="00EF1B8F"/>
    <w:rsid w:val="00EF1CC1"/>
    <w:rsid w:val="00EF2104"/>
    <w:rsid w:val="00EF21A4"/>
    <w:rsid w:val="00EF245D"/>
    <w:rsid w:val="00EF2B20"/>
    <w:rsid w:val="00EF33A5"/>
    <w:rsid w:val="00EF42B5"/>
    <w:rsid w:val="00EF4862"/>
    <w:rsid w:val="00EF49CE"/>
    <w:rsid w:val="00F00ED7"/>
    <w:rsid w:val="00F01640"/>
    <w:rsid w:val="00F01AD3"/>
    <w:rsid w:val="00F0317F"/>
    <w:rsid w:val="00F039D3"/>
    <w:rsid w:val="00F042AD"/>
    <w:rsid w:val="00F04972"/>
    <w:rsid w:val="00F059D2"/>
    <w:rsid w:val="00F05DFB"/>
    <w:rsid w:val="00F0661F"/>
    <w:rsid w:val="00F06708"/>
    <w:rsid w:val="00F06D53"/>
    <w:rsid w:val="00F12FF1"/>
    <w:rsid w:val="00F137ED"/>
    <w:rsid w:val="00F1395E"/>
    <w:rsid w:val="00F14066"/>
    <w:rsid w:val="00F14578"/>
    <w:rsid w:val="00F16C0E"/>
    <w:rsid w:val="00F17B81"/>
    <w:rsid w:val="00F17E42"/>
    <w:rsid w:val="00F21B3E"/>
    <w:rsid w:val="00F21E87"/>
    <w:rsid w:val="00F22BA5"/>
    <w:rsid w:val="00F231F7"/>
    <w:rsid w:val="00F257A8"/>
    <w:rsid w:val="00F26A0E"/>
    <w:rsid w:val="00F26A2D"/>
    <w:rsid w:val="00F2748E"/>
    <w:rsid w:val="00F27C01"/>
    <w:rsid w:val="00F306F0"/>
    <w:rsid w:val="00F3149C"/>
    <w:rsid w:val="00F31A9C"/>
    <w:rsid w:val="00F31FC4"/>
    <w:rsid w:val="00F32041"/>
    <w:rsid w:val="00F3336A"/>
    <w:rsid w:val="00F3371E"/>
    <w:rsid w:val="00F337B3"/>
    <w:rsid w:val="00F341A0"/>
    <w:rsid w:val="00F343EB"/>
    <w:rsid w:val="00F34472"/>
    <w:rsid w:val="00F35196"/>
    <w:rsid w:val="00F3546C"/>
    <w:rsid w:val="00F3552D"/>
    <w:rsid w:val="00F35738"/>
    <w:rsid w:val="00F35A99"/>
    <w:rsid w:val="00F35E8F"/>
    <w:rsid w:val="00F35FEC"/>
    <w:rsid w:val="00F36988"/>
    <w:rsid w:val="00F36CAF"/>
    <w:rsid w:val="00F41715"/>
    <w:rsid w:val="00F43CA7"/>
    <w:rsid w:val="00F43F69"/>
    <w:rsid w:val="00F4765C"/>
    <w:rsid w:val="00F53C3A"/>
    <w:rsid w:val="00F53D50"/>
    <w:rsid w:val="00F54467"/>
    <w:rsid w:val="00F548D8"/>
    <w:rsid w:val="00F54901"/>
    <w:rsid w:val="00F564B4"/>
    <w:rsid w:val="00F57C5E"/>
    <w:rsid w:val="00F60136"/>
    <w:rsid w:val="00F6073D"/>
    <w:rsid w:val="00F60F28"/>
    <w:rsid w:val="00F6106E"/>
    <w:rsid w:val="00F62AD8"/>
    <w:rsid w:val="00F636D2"/>
    <w:rsid w:val="00F63AA6"/>
    <w:rsid w:val="00F66627"/>
    <w:rsid w:val="00F666EF"/>
    <w:rsid w:val="00F66874"/>
    <w:rsid w:val="00F66AD8"/>
    <w:rsid w:val="00F67705"/>
    <w:rsid w:val="00F70AC9"/>
    <w:rsid w:val="00F70CAA"/>
    <w:rsid w:val="00F70E3A"/>
    <w:rsid w:val="00F71BD5"/>
    <w:rsid w:val="00F71EB1"/>
    <w:rsid w:val="00F733A9"/>
    <w:rsid w:val="00F73467"/>
    <w:rsid w:val="00F73C5D"/>
    <w:rsid w:val="00F73C9A"/>
    <w:rsid w:val="00F744E1"/>
    <w:rsid w:val="00F74508"/>
    <w:rsid w:val="00F75E3E"/>
    <w:rsid w:val="00F76650"/>
    <w:rsid w:val="00F7686E"/>
    <w:rsid w:val="00F76EB2"/>
    <w:rsid w:val="00F77C5C"/>
    <w:rsid w:val="00F80CCE"/>
    <w:rsid w:val="00F80F80"/>
    <w:rsid w:val="00F810DC"/>
    <w:rsid w:val="00F81545"/>
    <w:rsid w:val="00F82BB9"/>
    <w:rsid w:val="00F82D4A"/>
    <w:rsid w:val="00F83042"/>
    <w:rsid w:val="00F8351F"/>
    <w:rsid w:val="00F8375A"/>
    <w:rsid w:val="00F84049"/>
    <w:rsid w:val="00F855C9"/>
    <w:rsid w:val="00F8782A"/>
    <w:rsid w:val="00F87CC5"/>
    <w:rsid w:val="00F9017C"/>
    <w:rsid w:val="00F91C95"/>
    <w:rsid w:val="00F91CA1"/>
    <w:rsid w:val="00F92FA7"/>
    <w:rsid w:val="00F92FD2"/>
    <w:rsid w:val="00F93053"/>
    <w:rsid w:val="00F93D94"/>
    <w:rsid w:val="00F93E9A"/>
    <w:rsid w:val="00F94B74"/>
    <w:rsid w:val="00F958C2"/>
    <w:rsid w:val="00F976AB"/>
    <w:rsid w:val="00FA019D"/>
    <w:rsid w:val="00FA0FEB"/>
    <w:rsid w:val="00FA15B0"/>
    <w:rsid w:val="00FA2368"/>
    <w:rsid w:val="00FA3A7E"/>
    <w:rsid w:val="00FA3DB1"/>
    <w:rsid w:val="00FA424C"/>
    <w:rsid w:val="00FA49AB"/>
    <w:rsid w:val="00FA4DC1"/>
    <w:rsid w:val="00FA5257"/>
    <w:rsid w:val="00FA5EB8"/>
    <w:rsid w:val="00FA668B"/>
    <w:rsid w:val="00FB05E8"/>
    <w:rsid w:val="00FB12E0"/>
    <w:rsid w:val="00FB137C"/>
    <w:rsid w:val="00FB177E"/>
    <w:rsid w:val="00FB2274"/>
    <w:rsid w:val="00FB2620"/>
    <w:rsid w:val="00FB27F5"/>
    <w:rsid w:val="00FB4179"/>
    <w:rsid w:val="00FB45FE"/>
    <w:rsid w:val="00FB584B"/>
    <w:rsid w:val="00FB6B0B"/>
    <w:rsid w:val="00FB74DB"/>
    <w:rsid w:val="00FB7DB8"/>
    <w:rsid w:val="00FB7DDE"/>
    <w:rsid w:val="00FC1491"/>
    <w:rsid w:val="00FC18ED"/>
    <w:rsid w:val="00FC24E4"/>
    <w:rsid w:val="00FC2B98"/>
    <w:rsid w:val="00FC32BC"/>
    <w:rsid w:val="00FC3C3F"/>
    <w:rsid w:val="00FC42AD"/>
    <w:rsid w:val="00FC497C"/>
    <w:rsid w:val="00FC5484"/>
    <w:rsid w:val="00FC6292"/>
    <w:rsid w:val="00FC7498"/>
    <w:rsid w:val="00FD21C8"/>
    <w:rsid w:val="00FD249B"/>
    <w:rsid w:val="00FD2A5F"/>
    <w:rsid w:val="00FD2D32"/>
    <w:rsid w:val="00FD3C92"/>
    <w:rsid w:val="00FD402B"/>
    <w:rsid w:val="00FD439A"/>
    <w:rsid w:val="00FD4860"/>
    <w:rsid w:val="00FD4D38"/>
    <w:rsid w:val="00FD5171"/>
    <w:rsid w:val="00FD529D"/>
    <w:rsid w:val="00FD556A"/>
    <w:rsid w:val="00FD64D7"/>
    <w:rsid w:val="00FD69D6"/>
    <w:rsid w:val="00FE087D"/>
    <w:rsid w:val="00FE097E"/>
    <w:rsid w:val="00FE09D7"/>
    <w:rsid w:val="00FE15AD"/>
    <w:rsid w:val="00FE184A"/>
    <w:rsid w:val="00FE1F6C"/>
    <w:rsid w:val="00FE3282"/>
    <w:rsid w:val="00FE45A8"/>
    <w:rsid w:val="00FE4615"/>
    <w:rsid w:val="00FE4828"/>
    <w:rsid w:val="00FE49C9"/>
    <w:rsid w:val="00FE582F"/>
    <w:rsid w:val="00FE62DD"/>
    <w:rsid w:val="00FE64B6"/>
    <w:rsid w:val="00FE6671"/>
    <w:rsid w:val="00FE7101"/>
    <w:rsid w:val="00FE71C9"/>
    <w:rsid w:val="00FE7750"/>
    <w:rsid w:val="00FE77FF"/>
    <w:rsid w:val="00FE7C6E"/>
    <w:rsid w:val="00FF0A3C"/>
    <w:rsid w:val="00FF0F33"/>
    <w:rsid w:val="00FF167B"/>
    <w:rsid w:val="00FF2F76"/>
    <w:rsid w:val="00FF3DC2"/>
    <w:rsid w:val="00FF4627"/>
    <w:rsid w:val="00FF54EE"/>
    <w:rsid w:val="00FF5584"/>
    <w:rsid w:val="00FF5E45"/>
    <w:rsid w:val="00FF6975"/>
    <w:rsid w:val="00FF7434"/>
    <w:rsid w:val="00FF74B5"/>
    <w:rsid w:val="00FF79DA"/>
    <w:rsid w:val="01024DAC"/>
    <w:rsid w:val="012A77DA"/>
    <w:rsid w:val="014C3CC9"/>
    <w:rsid w:val="01653DD0"/>
    <w:rsid w:val="01777C25"/>
    <w:rsid w:val="017A698E"/>
    <w:rsid w:val="01D400F9"/>
    <w:rsid w:val="01D80F49"/>
    <w:rsid w:val="01F517DB"/>
    <w:rsid w:val="025A50F0"/>
    <w:rsid w:val="02627BC0"/>
    <w:rsid w:val="027D58BF"/>
    <w:rsid w:val="02B31A9F"/>
    <w:rsid w:val="02C03035"/>
    <w:rsid w:val="02C15147"/>
    <w:rsid w:val="03405B4F"/>
    <w:rsid w:val="0348617B"/>
    <w:rsid w:val="034B5303"/>
    <w:rsid w:val="034E3569"/>
    <w:rsid w:val="0371777B"/>
    <w:rsid w:val="037275BA"/>
    <w:rsid w:val="038675CF"/>
    <w:rsid w:val="03A56C3A"/>
    <w:rsid w:val="03C26934"/>
    <w:rsid w:val="03E17A6B"/>
    <w:rsid w:val="04026F6C"/>
    <w:rsid w:val="04063BC2"/>
    <w:rsid w:val="04237D81"/>
    <w:rsid w:val="0427048C"/>
    <w:rsid w:val="047F0FD1"/>
    <w:rsid w:val="0496656B"/>
    <w:rsid w:val="04A10EF3"/>
    <w:rsid w:val="04E019D0"/>
    <w:rsid w:val="04E95B23"/>
    <w:rsid w:val="04EC1581"/>
    <w:rsid w:val="05012FC1"/>
    <w:rsid w:val="05072119"/>
    <w:rsid w:val="05205B6D"/>
    <w:rsid w:val="05284471"/>
    <w:rsid w:val="05585B7C"/>
    <w:rsid w:val="05700C9E"/>
    <w:rsid w:val="058C450B"/>
    <w:rsid w:val="05A40510"/>
    <w:rsid w:val="05B657D0"/>
    <w:rsid w:val="05F15D10"/>
    <w:rsid w:val="0630164B"/>
    <w:rsid w:val="06383E44"/>
    <w:rsid w:val="065F6502"/>
    <w:rsid w:val="068D3BC2"/>
    <w:rsid w:val="06A06EF6"/>
    <w:rsid w:val="06A4346A"/>
    <w:rsid w:val="06AB4C2E"/>
    <w:rsid w:val="06DB1502"/>
    <w:rsid w:val="06FD3497"/>
    <w:rsid w:val="0701407B"/>
    <w:rsid w:val="0706705F"/>
    <w:rsid w:val="070B456F"/>
    <w:rsid w:val="073D2C4F"/>
    <w:rsid w:val="077822DB"/>
    <w:rsid w:val="077C4BA4"/>
    <w:rsid w:val="07891690"/>
    <w:rsid w:val="07B97FDE"/>
    <w:rsid w:val="07DB2ADC"/>
    <w:rsid w:val="07E26FCF"/>
    <w:rsid w:val="082743DC"/>
    <w:rsid w:val="085617D5"/>
    <w:rsid w:val="085F1553"/>
    <w:rsid w:val="08630011"/>
    <w:rsid w:val="0864589A"/>
    <w:rsid w:val="08683231"/>
    <w:rsid w:val="08726548"/>
    <w:rsid w:val="087601BC"/>
    <w:rsid w:val="087C51BA"/>
    <w:rsid w:val="089662AA"/>
    <w:rsid w:val="08A006BD"/>
    <w:rsid w:val="08A16E53"/>
    <w:rsid w:val="08A26653"/>
    <w:rsid w:val="08BF21F8"/>
    <w:rsid w:val="08EE19D6"/>
    <w:rsid w:val="09263630"/>
    <w:rsid w:val="09362A6B"/>
    <w:rsid w:val="0960175B"/>
    <w:rsid w:val="09745A68"/>
    <w:rsid w:val="0978104D"/>
    <w:rsid w:val="097D3FF8"/>
    <w:rsid w:val="09877CD1"/>
    <w:rsid w:val="098B05B2"/>
    <w:rsid w:val="0992061C"/>
    <w:rsid w:val="09AB3DCB"/>
    <w:rsid w:val="09D946D2"/>
    <w:rsid w:val="09E80063"/>
    <w:rsid w:val="09F86558"/>
    <w:rsid w:val="0A0E162C"/>
    <w:rsid w:val="0A1C578D"/>
    <w:rsid w:val="0A5A329F"/>
    <w:rsid w:val="0A9D340C"/>
    <w:rsid w:val="0AA14795"/>
    <w:rsid w:val="0AD940E5"/>
    <w:rsid w:val="0AF9213B"/>
    <w:rsid w:val="0AFC067C"/>
    <w:rsid w:val="0B105A63"/>
    <w:rsid w:val="0B9A0544"/>
    <w:rsid w:val="0BA364A8"/>
    <w:rsid w:val="0C111725"/>
    <w:rsid w:val="0C1A171E"/>
    <w:rsid w:val="0C1A2C47"/>
    <w:rsid w:val="0C1F06BA"/>
    <w:rsid w:val="0C3525A2"/>
    <w:rsid w:val="0C4D0C10"/>
    <w:rsid w:val="0C600661"/>
    <w:rsid w:val="0C6B4982"/>
    <w:rsid w:val="0C7C2697"/>
    <w:rsid w:val="0CB97F39"/>
    <w:rsid w:val="0CBC7EFF"/>
    <w:rsid w:val="0D2103B3"/>
    <w:rsid w:val="0D235F52"/>
    <w:rsid w:val="0D351C68"/>
    <w:rsid w:val="0D4A29DD"/>
    <w:rsid w:val="0D5931BC"/>
    <w:rsid w:val="0D6E7349"/>
    <w:rsid w:val="0DBD4DD6"/>
    <w:rsid w:val="0DD4297C"/>
    <w:rsid w:val="0DD42C62"/>
    <w:rsid w:val="0DF34680"/>
    <w:rsid w:val="0E0113F0"/>
    <w:rsid w:val="0E1B0760"/>
    <w:rsid w:val="0E22581F"/>
    <w:rsid w:val="0E256D4C"/>
    <w:rsid w:val="0E290B1A"/>
    <w:rsid w:val="0E434B76"/>
    <w:rsid w:val="0EAE4981"/>
    <w:rsid w:val="0EE66477"/>
    <w:rsid w:val="0F0D50D4"/>
    <w:rsid w:val="0F291B54"/>
    <w:rsid w:val="0F3B53A0"/>
    <w:rsid w:val="0F48479D"/>
    <w:rsid w:val="0F4F4B75"/>
    <w:rsid w:val="0F5E42D1"/>
    <w:rsid w:val="0F6F5138"/>
    <w:rsid w:val="0F88330F"/>
    <w:rsid w:val="0F93664C"/>
    <w:rsid w:val="0FD1531B"/>
    <w:rsid w:val="0FD82934"/>
    <w:rsid w:val="0FFB22C0"/>
    <w:rsid w:val="0FFD1E08"/>
    <w:rsid w:val="0FFE0870"/>
    <w:rsid w:val="100E550F"/>
    <w:rsid w:val="102A1D5E"/>
    <w:rsid w:val="10390F74"/>
    <w:rsid w:val="107345D0"/>
    <w:rsid w:val="107D77DD"/>
    <w:rsid w:val="10866C94"/>
    <w:rsid w:val="108E5D43"/>
    <w:rsid w:val="10A63204"/>
    <w:rsid w:val="10A719AF"/>
    <w:rsid w:val="10AC7ED0"/>
    <w:rsid w:val="10CA4E7C"/>
    <w:rsid w:val="10E30576"/>
    <w:rsid w:val="10F6478B"/>
    <w:rsid w:val="11287A15"/>
    <w:rsid w:val="11303E14"/>
    <w:rsid w:val="11502517"/>
    <w:rsid w:val="115823F4"/>
    <w:rsid w:val="11626CFD"/>
    <w:rsid w:val="11DB3220"/>
    <w:rsid w:val="12081807"/>
    <w:rsid w:val="121F7DD8"/>
    <w:rsid w:val="12367F73"/>
    <w:rsid w:val="12510CBB"/>
    <w:rsid w:val="125202E8"/>
    <w:rsid w:val="12DB3D35"/>
    <w:rsid w:val="12DC0FEA"/>
    <w:rsid w:val="12E80A45"/>
    <w:rsid w:val="12F9658E"/>
    <w:rsid w:val="12FC026D"/>
    <w:rsid w:val="130074BA"/>
    <w:rsid w:val="13345B19"/>
    <w:rsid w:val="1346737B"/>
    <w:rsid w:val="135204E9"/>
    <w:rsid w:val="137134D0"/>
    <w:rsid w:val="137E5243"/>
    <w:rsid w:val="1383647B"/>
    <w:rsid w:val="1391084A"/>
    <w:rsid w:val="139C1FA8"/>
    <w:rsid w:val="13BF2847"/>
    <w:rsid w:val="13EE15BD"/>
    <w:rsid w:val="13FF588C"/>
    <w:rsid w:val="143B5B45"/>
    <w:rsid w:val="14727AEB"/>
    <w:rsid w:val="147E7EC4"/>
    <w:rsid w:val="14891253"/>
    <w:rsid w:val="148E10E5"/>
    <w:rsid w:val="149462C6"/>
    <w:rsid w:val="14A53BFC"/>
    <w:rsid w:val="14BA7A1E"/>
    <w:rsid w:val="14D26853"/>
    <w:rsid w:val="14E82246"/>
    <w:rsid w:val="150A4DC3"/>
    <w:rsid w:val="153F4826"/>
    <w:rsid w:val="157A0520"/>
    <w:rsid w:val="15925D45"/>
    <w:rsid w:val="15975E29"/>
    <w:rsid w:val="15AD3B65"/>
    <w:rsid w:val="15B96DF1"/>
    <w:rsid w:val="15C15DCE"/>
    <w:rsid w:val="15C216A7"/>
    <w:rsid w:val="15D25047"/>
    <w:rsid w:val="15E2762C"/>
    <w:rsid w:val="15FA04DB"/>
    <w:rsid w:val="15FE38C6"/>
    <w:rsid w:val="160638FF"/>
    <w:rsid w:val="163E2B58"/>
    <w:rsid w:val="164B7F52"/>
    <w:rsid w:val="167B404A"/>
    <w:rsid w:val="16C279A6"/>
    <w:rsid w:val="170E1C15"/>
    <w:rsid w:val="174A69CB"/>
    <w:rsid w:val="178D4393"/>
    <w:rsid w:val="17B15618"/>
    <w:rsid w:val="17C62DE6"/>
    <w:rsid w:val="17D97C0D"/>
    <w:rsid w:val="17DC09EA"/>
    <w:rsid w:val="18384545"/>
    <w:rsid w:val="18671D3E"/>
    <w:rsid w:val="186F6612"/>
    <w:rsid w:val="18833F52"/>
    <w:rsid w:val="18C91816"/>
    <w:rsid w:val="18ED7758"/>
    <w:rsid w:val="18F428EB"/>
    <w:rsid w:val="18FE461E"/>
    <w:rsid w:val="18FF5EB8"/>
    <w:rsid w:val="19402724"/>
    <w:rsid w:val="194651B5"/>
    <w:rsid w:val="19586F38"/>
    <w:rsid w:val="19851F97"/>
    <w:rsid w:val="19A34B48"/>
    <w:rsid w:val="19C4395A"/>
    <w:rsid w:val="19CC3D00"/>
    <w:rsid w:val="19E813E7"/>
    <w:rsid w:val="1A127D31"/>
    <w:rsid w:val="1A420BEC"/>
    <w:rsid w:val="1A9540A3"/>
    <w:rsid w:val="1B084061"/>
    <w:rsid w:val="1B1F5F3E"/>
    <w:rsid w:val="1B427076"/>
    <w:rsid w:val="1B6B0570"/>
    <w:rsid w:val="1BBB1A47"/>
    <w:rsid w:val="1BD37A41"/>
    <w:rsid w:val="1C25329C"/>
    <w:rsid w:val="1C5F1EEB"/>
    <w:rsid w:val="1C8D1586"/>
    <w:rsid w:val="1CA433D8"/>
    <w:rsid w:val="1CA540AE"/>
    <w:rsid w:val="1CA56A6C"/>
    <w:rsid w:val="1CB01256"/>
    <w:rsid w:val="1CCB5EBF"/>
    <w:rsid w:val="1CF00C53"/>
    <w:rsid w:val="1CF07F14"/>
    <w:rsid w:val="1D177164"/>
    <w:rsid w:val="1D1A5CA0"/>
    <w:rsid w:val="1D8D205C"/>
    <w:rsid w:val="1D9E3D05"/>
    <w:rsid w:val="1D9E5AA7"/>
    <w:rsid w:val="1DA152F8"/>
    <w:rsid w:val="1DA856AE"/>
    <w:rsid w:val="1E561167"/>
    <w:rsid w:val="1E67257C"/>
    <w:rsid w:val="1E9F15D5"/>
    <w:rsid w:val="1EA11D92"/>
    <w:rsid w:val="1EB314CA"/>
    <w:rsid w:val="1EC9795B"/>
    <w:rsid w:val="1EE67C2A"/>
    <w:rsid w:val="1F115887"/>
    <w:rsid w:val="1F4F5D92"/>
    <w:rsid w:val="1F914E35"/>
    <w:rsid w:val="1FA86928"/>
    <w:rsid w:val="1FBB2A0D"/>
    <w:rsid w:val="1FDC5433"/>
    <w:rsid w:val="2000112D"/>
    <w:rsid w:val="202639E2"/>
    <w:rsid w:val="20510458"/>
    <w:rsid w:val="2060095A"/>
    <w:rsid w:val="207C6F0E"/>
    <w:rsid w:val="20844CC1"/>
    <w:rsid w:val="20935AE6"/>
    <w:rsid w:val="20F9180D"/>
    <w:rsid w:val="211662B9"/>
    <w:rsid w:val="21254795"/>
    <w:rsid w:val="21373C8F"/>
    <w:rsid w:val="21777383"/>
    <w:rsid w:val="21891D8B"/>
    <w:rsid w:val="21992EA1"/>
    <w:rsid w:val="21A25DDF"/>
    <w:rsid w:val="21AE2050"/>
    <w:rsid w:val="21C1205C"/>
    <w:rsid w:val="21DB0540"/>
    <w:rsid w:val="21E96E1A"/>
    <w:rsid w:val="223E0B73"/>
    <w:rsid w:val="227C5EDF"/>
    <w:rsid w:val="22A076AE"/>
    <w:rsid w:val="22AF2DFE"/>
    <w:rsid w:val="22BA5BFD"/>
    <w:rsid w:val="22BB1937"/>
    <w:rsid w:val="22DB01E3"/>
    <w:rsid w:val="22FB6E8C"/>
    <w:rsid w:val="230F393E"/>
    <w:rsid w:val="23126E60"/>
    <w:rsid w:val="231357BC"/>
    <w:rsid w:val="231826BE"/>
    <w:rsid w:val="23795155"/>
    <w:rsid w:val="238B5386"/>
    <w:rsid w:val="23B04F7F"/>
    <w:rsid w:val="23EC21D8"/>
    <w:rsid w:val="23FD1492"/>
    <w:rsid w:val="24032EAE"/>
    <w:rsid w:val="241C0AF1"/>
    <w:rsid w:val="2443198D"/>
    <w:rsid w:val="247A4B33"/>
    <w:rsid w:val="24E81970"/>
    <w:rsid w:val="24F14963"/>
    <w:rsid w:val="24F974CB"/>
    <w:rsid w:val="25087801"/>
    <w:rsid w:val="253A48A9"/>
    <w:rsid w:val="257430DA"/>
    <w:rsid w:val="25781134"/>
    <w:rsid w:val="2580310A"/>
    <w:rsid w:val="258261C0"/>
    <w:rsid w:val="25A57044"/>
    <w:rsid w:val="25A76C91"/>
    <w:rsid w:val="263C5F3A"/>
    <w:rsid w:val="26EC6F51"/>
    <w:rsid w:val="27354DB2"/>
    <w:rsid w:val="27516690"/>
    <w:rsid w:val="278F26AD"/>
    <w:rsid w:val="27C93DDE"/>
    <w:rsid w:val="27CD5FDC"/>
    <w:rsid w:val="27D20D41"/>
    <w:rsid w:val="286E451B"/>
    <w:rsid w:val="28B321AE"/>
    <w:rsid w:val="28D25FB9"/>
    <w:rsid w:val="28DE59A3"/>
    <w:rsid w:val="28FD268F"/>
    <w:rsid w:val="291449DD"/>
    <w:rsid w:val="298C184D"/>
    <w:rsid w:val="2A15392D"/>
    <w:rsid w:val="2A183FF4"/>
    <w:rsid w:val="2A1E2BE8"/>
    <w:rsid w:val="2A210EDF"/>
    <w:rsid w:val="2A3E513A"/>
    <w:rsid w:val="2A442D0D"/>
    <w:rsid w:val="2A5B48D2"/>
    <w:rsid w:val="2A5B58E1"/>
    <w:rsid w:val="2A6C1758"/>
    <w:rsid w:val="2AB45404"/>
    <w:rsid w:val="2ADC0836"/>
    <w:rsid w:val="2B1736B2"/>
    <w:rsid w:val="2B9A698F"/>
    <w:rsid w:val="2BD43CE0"/>
    <w:rsid w:val="2BD6346B"/>
    <w:rsid w:val="2BFA6F35"/>
    <w:rsid w:val="2BFB5311"/>
    <w:rsid w:val="2BFD6432"/>
    <w:rsid w:val="2C1B564D"/>
    <w:rsid w:val="2C5D4210"/>
    <w:rsid w:val="2C660945"/>
    <w:rsid w:val="2CA71395"/>
    <w:rsid w:val="2CC24C4D"/>
    <w:rsid w:val="2CC32679"/>
    <w:rsid w:val="2CE14A1F"/>
    <w:rsid w:val="2D495A0A"/>
    <w:rsid w:val="2D7D0DA8"/>
    <w:rsid w:val="2D8E618A"/>
    <w:rsid w:val="2DC04273"/>
    <w:rsid w:val="2DCA341A"/>
    <w:rsid w:val="2DDA6932"/>
    <w:rsid w:val="2DEE48E9"/>
    <w:rsid w:val="2E100070"/>
    <w:rsid w:val="2E1D2579"/>
    <w:rsid w:val="2E52520B"/>
    <w:rsid w:val="2E555736"/>
    <w:rsid w:val="2E5F34A7"/>
    <w:rsid w:val="2E971E5A"/>
    <w:rsid w:val="2EA33401"/>
    <w:rsid w:val="2ED85EC2"/>
    <w:rsid w:val="2F050CF2"/>
    <w:rsid w:val="2F1F1443"/>
    <w:rsid w:val="2F2809B4"/>
    <w:rsid w:val="2F336FCB"/>
    <w:rsid w:val="2F452684"/>
    <w:rsid w:val="2FA820B1"/>
    <w:rsid w:val="2FF409D9"/>
    <w:rsid w:val="30120CC3"/>
    <w:rsid w:val="30513446"/>
    <w:rsid w:val="308C21EA"/>
    <w:rsid w:val="30A45ACA"/>
    <w:rsid w:val="30A70336"/>
    <w:rsid w:val="30A76C3D"/>
    <w:rsid w:val="30AB5D90"/>
    <w:rsid w:val="30B158DE"/>
    <w:rsid w:val="30B24DFF"/>
    <w:rsid w:val="30BD62B0"/>
    <w:rsid w:val="30FF4D20"/>
    <w:rsid w:val="311D4C86"/>
    <w:rsid w:val="31313011"/>
    <w:rsid w:val="3140175A"/>
    <w:rsid w:val="317C2554"/>
    <w:rsid w:val="319A02C7"/>
    <w:rsid w:val="31AA014D"/>
    <w:rsid w:val="32037E40"/>
    <w:rsid w:val="32067948"/>
    <w:rsid w:val="322862E5"/>
    <w:rsid w:val="325234A7"/>
    <w:rsid w:val="32636972"/>
    <w:rsid w:val="327152FD"/>
    <w:rsid w:val="32782D0A"/>
    <w:rsid w:val="32A54962"/>
    <w:rsid w:val="32C601F6"/>
    <w:rsid w:val="32F26C25"/>
    <w:rsid w:val="32F82F22"/>
    <w:rsid w:val="330A09E1"/>
    <w:rsid w:val="331B3823"/>
    <w:rsid w:val="334D561E"/>
    <w:rsid w:val="338748FE"/>
    <w:rsid w:val="33F3263A"/>
    <w:rsid w:val="3426317C"/>
    <w:rsid w:val="34364524"/>
    <w:rsid w:val="34373381"/>
    <w:rsid w:val="347C6E07"/>
    <w:rsid w:val="34B43B14"/>
    <w:rsid w:val="34C759C4"/>
    <w:rsid w:val="34CF48E9"/>
    <w:rsid w:val="351D2EBE"/>
    <w:rsid w:val="355D3B25"/>
    <w:rsid w:val="35966FA2"/>
    <w:rsid w:val="35B647BA"/>
    <w:rsid w:val="35B77868"/>
    <w:rsid w:val="35ED481B"/>
    <w:rsid w:val="35F01625"/>
    <w:rsid w:val="363E1A30"/>
    <w:rsid w:val="36473F01"/>
    <w:rsid w:val="365C4985"/>
    <w:rsid w:val="367925D8"/>
    <w:rsid w:val="369576FF"/>
    <w:rsid w:val="36AB3044"/>
    <w:rsid w:val="36C138B2"/>
    <w:rsid w:val="36C45D1F"/>
    <w:rsid w:val="36DB500F"/>
    <w:rsid w:val="36F833E6"/>
    <w:rsid w:val="36FA7A66"/>
    <w:rsid w:val="37225A30"/>
    <w:rsid w:val="37416A9E"/>
    <w:rsid w:val="37550921"/>
    <w:rsid w:val="375B12E0"/>
    <w:rsid w:val="37670466"/>
    <w:rsid w:val="37707B15"/>
    <w:rsid w:val="3773587D"/>
    <w:rsid w:val="37C23C4C"/>
    <w:rsid w:val="37F673F5"/>
    <w:rsid w:val="3816516F"/>
    <w:rsid w:val="38333934"/>
    <w:rsid w:val="385857DB"/>
    <w:rsid w:val="386E00EB"/>
    <w:rsid w:val="3885468E"/>
    <w:rsid w:val="38B13952"/>
    <w:rsid w:val="38FD2932"/>
    <w:rsid w:val="39251A5D"/>
    <w:rsid w:val="3936518C"/>
    <w:rsid w:val="393E1C34"/>
    <w:rsid w:val="394A2C55"/>
    <w:rsid w:val="39767B4B"/>
    <w:rsid w:val="39CF1A93"/>
    <w:rsid w:val="39E54FB2"/>
    <w:rsid w:val="39FD68B3"/>
    <w:rsid w:val="3A240B4D"/>
    <w:rsid w:val="3A2E0F03"/>
    <w:rsid w:val="3A7162FC"/>
    <w:rsid w:val="3A7A2D89"/>
    <w:rsid w:val="3A7B7968"/>
    <w:rsid w:val="3A886BF9"/>
    <w:rsid w:val="3A8B6F9E"/>
    <w:rsid w:val="3AE314E5"/>
    <w:rsid w:val="3B1804B5"/>
    <w:rsid w:val="3BA47FBD"/>
    <w:rsid w:val="3BAB53B2"/>
    <w:rsid w:val="3BBC764F"/>
    <w:rsid w:val="3BE705EA"/>
    <w:rsid w:val="3C9A380C"/>
    <w:rsid w:val="3CA41097"/>
    <w:rsid w:val="3CAE2F40"/>
    <w:rsid w:val="3CBF292B"/>
    <w:rsid w:val="3CF706F9"/>
    <w:rsid w:val="3CFD2E9D"/>
    <w:rsid w:val="3D1054B2"/>
    <w:rsid w:val="3D9363F1"/>
    <w:rsid w:val="3DB51A87"/>
    <w:rsid w:val="3DC62DC2"/>
    <w:rsid w:val="3DD0409E"/>
    <w:rsid w:val="3DE62B13"/>
    <w:rsid w:val="3EB86A18"/>
    <w:rsid w:val="3ED61137"/>
    <w:rsid w:val="3EE87B04"/>
    <w:rsid w:val="3EEA0AFA"/>
    <w:rsid w:val="3F08082C"/>
    <w:rsid w:val="3F3517E9"/>
    <w:rsid w:val="3F470BA4"/>
    <w:rsid w:val="3F6555D6"/>
    <w:rsid w:val="3F7F55B1"/>
    <w:rsid w:val="3F8D3F68"/>
    <w:rsid w:val="3FBC4BC8"/>
    <w:rsid w:val="3FCB5ADF"/>
    <w:rsid w:val="40073B5A"/>
    <w:rsid w:val="400C5B8A"/>
    <w:rsid w:val="401044EA"/>
    <w:rsid w:val="401A7F42"/>
    <w:rsid w:val="405A4F02"/>
    <w:rsid w:val="40880067"/>
    <w:rsid w:val="4093795E"/>
    <w:rsid w:val="40957A4E"/>
    <w:rsid w:val="40D838FF"/>
    <w:rsid w:val="40E927D4"/>
    <w:rsid w:val="40FA384A"/>
    <w:rsid w:val="41026220"/>
    <w:rsid w:val="41130FEE"/>
    <w:rsid w:val="411B77B9"/>
    <w:rsid w:val="4126232E"/>
    <w:rsid w:val="413D59B4"/>
    <w:rsid w:val="414F7B6D"/>
    <w:rsid w:val="41706368"/>
    <w:rsid w:val="41907F6F"/>
    <w:rsid w:val="41B63BA6"/>
    <w:rsid w:val="41DB6DD6"/>
    <w:rsid w:val="41E702B6"/>
    <w:rsid w:val="4220021F"/>
    <w:rsid w:val="42264F50"/>
    <w:rsid w:val="424168B8"/>
    <w:rsid w:val="42545DE9"/>
    <w:rsid w:val="425C16A0"/>
    <w:rsid w:val="42A07C29"/>
    <w:rsid w:val="42CF0036"/>
    <w:rsid w:val="42D670AB"/>
    <w:rsid w:val="42E76FDD"/>
    <w:rsid w:val="42FE260C"/>
    <w:rsid w:val="431F6C09"/>
    <w:rsid w:val="43365EBE"/>
    <w:rsid w:val="435053DE"/>
    <w:rsid w:val="43547201"/>
    <w:rsid w:val="43556BAC"/>
    <w:rsid w:val="43650526"/>
    <w:rsid w:val="437D2058"/>
    <w:rsid w:val="438267C7"/>
    <w:rsid w:val="439E0C70"/>
    <w:rsid w:val="43C11CB9"/>
    <w:rsid w:val="43D90809"/>
    <w:rsid w:val="43EB32DD"/>
    <w:rsid w:val="43F04BD9"/>
    <w:rsid w:val="43F1585E"/>
    <w:rsid w:val="43F93755"/>
    <w:rsid w:val="43F974A8"/>
    <w:rsid w:val="44461148"/>
    <w:rsid w:val="445F3D7B"/>
    <w:rsid w:val="446465FC"/>
    <w:rsid w:val="447B4192"/>
    <w:rsid w:val="44A20FCF"/>
    <w:rsid w:val="44BC431E"/>
    <w:rsid w:val="44BF4E12"/>
    <w:rsid w:val="44C615B0"/>
    <w:rsid w:val="44E01336"/>
    <w:rsid w:val="44FC5B44"/>
    <w:rsid w:val="451268B7"/>
    <w:rsid w:val="45AF3B5C"/>
    <w:rsid w:val="45B57FB5"/>
    <w:rsid w:val="45E71987"/>
    <w:rsid w:val="4623731A"/>
    <w:rsid w:val="46590FB4"/>
    <w:rsid w:val="46764111"/>
    <w:rsid w:val="468F69DD"/>
    <w:rsid w:val="46B01D9F"/>
    <w:rsid w:val="46BB05F5"/>
    <w:rsid w:val="46C922EB"/>
    <w:rsid w:val="46DC6004"/>
    <w:rsid w:val="46F93E63"/>
    <w:rsid w:val="47260205"/>
    <w:rsid w:val="473C6FDD"/>
    <w:rsid w:val="47576800"/>
    <w:rsid w:val="477A7A7A"/>
    <w:rsid w:val="477E5975"/>
    <w:rsid w:val="47A13439"/>
    <w:rsid w:val="47D92B31"/>
    <w:rsid w:val="47FE6CC4"/>
    <w:rsid w:val="486C4C55"/>
    <w:rsid w:val="486E3D02"/>
    <w:rsid w:val="48AF7AD1"/>
    <w:rsid w:val="48F57999"/>
    <w:rsid w:val="4908797F"/>
    <w:rsid w:val="49127CB8"/>
    <w:rsid w:val="49295EE3"/>
    <w:rsid w:val="49710CB3"/>
    <w:rsid w:val="49C22106"/>
    <w:rsid w:val="49FF3424"/>
    <w:rsid w:val="4A001C9B"/>
    <w:rsid w:val="4A3B4098"/>
    <w:rsid w:val="4A3C3773"/>
    <w:rsid w:val="4AA22ED4"/>
    <w:rsid w:val="4AB11E2C"/>
    <w:rsid w:val="4AC464FB"/>
    <w:rsid w:val="4ADC083B"/>
    <w:rsid w:val="4AF3721D"/>
    <w:rsid w:val="4AF734F5"/>
    <w:rsid w:val="4AFA1783"/>
    <w:rsid w:val="4B147446"/>
    <w:rsid w:val="4B2454B8"/>
    <w:rsid w:val="4B294E3C"/>
    <w:rsid w:val="4B440B1B"/>
    <w:rsid w:val="4B5C1553"/>
    <w:rsid w:val="4B886220"/>
    <w:rsid w:val="4BA2500F"/>
    <w:rsid w:val="4BA66A2A"/>
    <w:rsid w:val="4C1048AE"/>
    <w:rsid w:val="4C124E3A"/>
    <w:rsid w:val="4C3261EF"/>
    <w:rsid w:val="4C356823"/>
    <w:rsid w:val="4C641799"/>
    <w:rsid w:val="4C7927E7"/>
    <w:rsid w:val="4C7B4508"/>
    <w:rsid w:val="4C7F6AF7"/>
    <w:rsid w:val="4CA27555"/>
    <w:rsid w:val="4CAD56BD"/>
    <w:rsid w:val="4CDA1F1B"/>
    <w:rsid w:val="4CED0366"/>
    <w:rsid w:val="4CF12722"/>
    <w:rsid w:val="4CF94AE8"/>
    <w:rsid w:val="4D3E7DE9"/>
    <w:rsid w:val="4D57711E"/>
    <w:rsid w:val="4D605395"/>
    <w:rsid w:val="4D6F06B0"/>
    <w:rsid w:val="4D7E0E64"/>
    <w:rsid w:val="4D8D5DA2"/>
    <w:rsid w:val="4DA7775C"/>
    <w:rsid w:val="4DA8600E"/>
    <w:rsid w:val="4DF12684"/>
    <w:rsid w:val="4DFE27F5"/>
    <w:rsid w:val="4E063ABD"/>
    <w:rsid w:val="4E0B45DC"/>
    <w:rsid w:val="4E1833DC"/>
    <w:rsid w:val="4E225C46"/>
    <w:rsid w:val="4E3864C6"/>
    <w:rsid w:val="4E3953BE"/>
    <w:rsid w:val="4E3B5FAE"/>
    <w:rsid w:val="4ED212AB"/>
    <w:rsid w:val="4EDB4456"/>
    <w:rsid w:val="4EF340EE"/>
    <w:rsid w:val="4EFD3668"/>
    <w:rsid w:val="4F1117BD"/>
    <w:rsid w:val="4F392443"/>
    <w:rsid w:val="4F4D6E12"/>
    <w:rsid w:val="4FBC0BBD"/>
    <w:rsid w:val="4FBF130F"/>
    <w:rsid w:val="4FD83EBE"/>
    <w:rsid w:val="4FE21DDF"/>
    <w:rsid w:val="503D3E77"/>
    <w:rsid w:val="504C6FC3"/>
    <w:rsid w:val="50F11097"/>
    <w:rsid w:val="50FB18E9"/>
    <w:rsid w:val="510F50A7"/>
    <w:rsid w:val="512C577A"/>
    <w:rsid w:val="51903747"/>
    <w:rsid w:val="51957942"/>
    <w:rsid w:val="51AA11C6"/>
    <w:rsid w:val="52296AE6"/>
    <w:rsid w:val="526567C2"/>
    <w:rsid w:val="52CA7101"/>
    <w:rsid w:val="52FC3477"/>
    <w:rsid w:val="5323728A"/>
    <w:rsid w:val="53364451"/>
    <w:rsid w:val="5354341D"/>
    <w:rsid w:val="535579CB"/>
    <w:rsid w:val="53693E04"/>
    <w:rsid w:val="536A16BC"/>
    <w:rsid w:val="53C749DC"/>
    <w:rsid w:val="53D4316E"/>
    <w:rsid w:val="53D710B8"/>
    <w:rsid w:val="54370684"/>
    <w:rsid w:val="54452E27"/>
    <w:rsid w:val="54494131"/>
    <w:rsid w:val="54666DAF"/>
    <w:rsid w:val="54686302"/>
    <w:rsid w:val="54D72E22"/>
    <w:rsid w:val="54DB3223"/>
    <w:rsid w:val="54EA04C9"/>
    <w:rsid w:val="550A5C10"/>
    <w:rsid w:val="5576506C"/>
    <w:rsid w:val="55A328A6"/>
    <w:rsid w:val="55D54ECE"/>
    <w:rsid w:val="55DD7548"/>
    <w:rsid w:val="55E426CC"/>
    <w:rsid w:val="55ED74BD"/>
    <w:rsid w:val="55FD7C01"/>
    <w:rsid w:val="55FF463B"/>
    <w:rsid w:val="561F6FB4"/>
    <w:rsid w:val="56303257"/>
    <w:rsid w:val="56395717"/>
    <w:rsid w:val="56432A74"/>
    <w:rsid w:val="565528F3"/>
    <w:rsid w:val="566512DE"/>
    <w:rsid w:val="56DB7995"/>
    <w:rsid w:val="56E26B1F"/>
    <w:rsid w:val="56F66ADF"/>
    <w:rsid w:val="56FC0557"/>
    <w:rsid w:val="575B60D8"/>
    <w:rsid w:val="57657B2F"/>
    <w:rsid w:val="57662668"/>
    <w:rsid w:val="576A46F1"/>
    <w:rsid w:val="57A1267E"/>
    <w:rsid w:val="57B54DDC"/>
    <w:rsid w:val="57C10504"/>
    <w:rsid w:val="580638AD"/>
    <w:rsid w:val="580E67DB"/>
    <w:rsid w:val="583D481C"/>
    <w:rsid w:val="583F0C33"/>
    <w:rsid w:val="583F4AE7"/>
    <w:rsid w:val="5876257E"/>
    <w:rsid w:val="58A95FD3"/>
    <w:rsid w:val="58B55210"/>
    <w:rsid w:val="58E0599E"/>
    <w:rsid w:val="58ED7902"/>
    <w:rsid w:val="58FF1AD7"/>
    <w:rsid w:val="590020DD"/>
    <w:rsid w:val="590E14E9"/>
    <w:rsid w:val="592E29B2"/>
    <w:rsid w:val="594E5F4F"/>
    <w:rsid w:val="595638DE"/>
    <w:rsid w:val="597535FA"/>
    <w:rsid w:val="59B351B4"/>
    <w:rsid w:val="59D162EE"/>
    <w:rsid w:val="5A11479E"/>
    <w:rsid w:val="5A1304AF"/>
    <w:rsid w:val="5A1B69B1"/>
    <w:rsid w:val="5A410A4B"/>
    <w:rsid w:val="5A593B16"/>
    <w:rsid w:val="5AB03DBA"/>
    <w:rsid w:val="5AB04154"/>
    <w:rsid w:val="5AC747D4"/>
    <w:rsid w:val="5ACF726E"/>
    <w:rsid w:val="5AD92E41"/>
    <w:rsid w:val="5B235FA4"/>
    <w:rsid w:val="5B2974C6"/>
    <w:rsid w:val="5B3E72E5"/>
    <w:rsid w:val="5B5F6223"/>
    <w:rsid w:val="5B6504A1"/>
    <w:rsid w:val="5B734AD0"/>
    <w:rsid w:val="5B965E51"/>
    <w:rsid w:val="5B9754B6"/>
    <w:rsid w:val="5BA21E7E"/>
    <w:rsid w:val="5BA30F49"/>
    <w:rsid w:val="5BBE4F2F"/>
    <w:rsid w:val="5BC576FF"/>
    <w:rsid w:val="5BC9341A"/>
    <w:rsid w:val="5BD26C35"/>
    <w:rsid w:val="5BD75286"/>
    <w:rsid w:val="5BDE305C"/>
    <w:rsid w:val="5C1B4C87"/>
    <w:rsid w:val="5C1C4006"/>
    <w:rsid w:val="5C2A2B1F"/>
    <w:rsid w:val="5C647637"/>
    <w:rsid w:val="5C720D4B"/>
    <w:rsid w:val="5C747985"/>
    <w:rsid w:val="5C8F4A2B"/>
    <w:rsid w:val="5CC8370D"/>
    <w:rsid w:val="5CCF187C"/>
    <w:rsid w:val="5CD82593"/>
    <w:rsid w:val="5CDC6A70"/>
    <w:rsid w:val="5CF5506B"/>
    <w:rsid w:val="5D076044"/>
    <w:rsid w:val="5D351E54"/>
    <w:rsid w:val="5D545523"/>
    <w:rsid w:val="5D581F03"/>
    <w:rsid w:val="5D86281D"/>
    <w:rsid w:val="5D8B6824"/>
    <w:rsid w:val="5DA075E8"/>
    <w:rsid w:val="5DA75DC1"/>
    <w:rsid w:val="5DB41FEE"/>
    <w:rsid w:val="5DE761D1"/>
    <w:rsid w:val="5E1A01EE"/>
    <w:rsid w:val="5E373AEF"/>
    <w:rsid w:val="5E42591D"/>
    <w:rsid w:val="5E605E4D"/>
    <w:rsid w:val="5E680506"/>
    <w:rsid w:val="5E704E30"/>
    <w:rsid w:val="5EBF26FA"/>
    <w:rsid w:val="5ED8362C"/>
    <w:rsid w:val="5F2963C5"/>
    <w:rsid w:val="5F2F326D"/>
    <w:rsid w:val="5F500DC9"/>
    <w:rsid w:val="5F9F222E"/>
    <w:rsid w:val="5FAD3AD8"/>
    <w:rsid w:val="5FDB2B09"/>
    <w:rsid w:val="5FE42E80"/>
    <w:rsid w:val="605F339F"/>
    <w:rsid w:val="606E1471"/>
    <w:rsid w:val="608429A4"/>
    <w:rsid w:val="609842EF"/>
    <w:rsid w:val="609E63B4"/>
    <w:rsid w:val="60C06C13"/>
    <w:rsid w:val="60E41EA2"/>
    <w:rsid w:val="60F01E00"/>
    <w:rsid w:val="612615E5"/>
    <w:rsid w:val="61264780"/>
    <w:rsid w:val="614D2201"/>
    <w:rsid w:val="615A5D9F"/>
    <w:rsid w:val="619C1207"/>
    <w:rsid w:val="61AA7764"/>
    <w:rsid w:val="61EF635A"/>
    <w:rsid w:val="629A703F"/>
    <w:rsid w:val="62A35823"/>
    <w:rsid w:val="62A852F7"/>
    <w:rsid w:val="62D63D68"/>
    <w:rsid w:val="62E9417D"/>
    <w:rsid w:val="63475967"/>
    <w:rsid w:val="635B204F"/>
    <w:rsid w:val="635C351F"/>
    <w:rsid w:val="637355DB"/>
    <w:rsid w:val="63811E88"/>
    <w:rsid w:val="63894EEA"/>
    <w:rsid w:val="63EA5F26"/>
    <w:rsid w:val="643952D2"/>
    <w:rsid w:val="644915C6"/>
    <w:rsid w:val="644E5940"/>
    <w:rsid w:val="649010F1"/>
    <w:rsid w:val="649133A1"/>
    <w:rsid w:val="64D356EF"/>
    <w:rsid w:val="64E3601B"/>
    <w:rsid w:val="64EA6D73"/>
    <w:rsid w:val="64F11CA5"/>
    <w:rsid w:val="653F3D6F"/>
    <w:rsid w:val="65737D6F"/>
    <w:rsid w:val="658D2BD4"/>
    <w:rsid w:val="65B87332"/>
    <w:rsid w:val="65BD2031"/>
    <w:rsid w:val="65C43047"/>
    <w:rsid w:val="65F4335E"/>
    <w:rsid w:val="6634407E"/>
    <w:rsid w:val="664A46E0"/>
    <w:rsid w:val="66994E8A"/>
    <w:rsid w:val="669F7E1C"/>
    <w:rsid w:val="66F71058"/>
    <w:rsid w:val="66FD1FBE"/>
    <w:rsid w:val="671C77B1"/>
    <w:rsid w:val="67220884"/>
    <w:rsid w:val="673708F4"/>
    <w:rsid w:val="675E0296"/>
    <w:rsid w:val="67781085"/>
    <w:rsid w:val="6787030D"/>
    <w:rsid w:val="67871324"/>
    <w:rsid w:val="67A712E8"/>
    <w:rsid w:val="67AD6E4C"/>
    <w:rsid w:val="67B843CB"/>
    <w:rsid w:val="67CB328A"/>
    <w:rsid w:val="67EA6CF0"/>
    <w:rsid w:val="68172D5D"/>
    <w:rsid w:val="681E6C1E"/>
    <w:rsid w:val="68495E5F"/>
    <w:rsid w:val="684D436D"/>
    <w:rsid w:val="688E19FA"/>
    <w:rsid w:val="6892638A"/>
    <w:rsid w:val="68A55588"/>
    <w:rsid w:val="68BE7BAC"/>
    <w:rsid w:val="68D40D81"/>
    <w:rsid w:val="69101FD8"/>
    <w:rsid w:val="692510A8"/>
    <w:rsid w:val="69BB04AD"/>
    <w:rsid w:val="69DA00A1"/>
    <w:rsid w:val="6A0911C4"/>
    <w:rsid w:val="6A1352F8"/>
    <w:rsid w:val="6A2678EA"/>
    <w:rsid w:val="6A9048A5"/>
    <w:rsid w:val="6AA17157"/>
    <w:rsid w:val="6AA30C25"/>
    <w:rsid w:val="6AE90E68"/>
    <w:rsid w:val="6AFA47C9"/>
    <w:rsid w:val="6B097E54"/>
    <w:rsid w:val="6B384C5A"/>
    <w:rsid w:val="6B866DB7"/>
    <w:rsid w:val="6BE83F68"/>
    <w:rsid w:val="6BF81FE2"/>
    <w:rsid w:val="6C5959DF"/>
    <w:rsid w:val="6CD849B4"/>
    <w:rsid w:val="6CFC10C4"/>
    <w:rsid w:val="6D0C2240"/>
    <w:rsid w:val="6D1F026B"/>
    <w:rsid w:val="6D434B69"/>
    <w:rsid w:val="6D6F479B"/>
    <w:rsid w:val="6DC73F8F"/>
    <w:rsid w:val="6E1958C8"/>
    <w:rsid w:val="6E2940A5"/>
    <w:rsid w:val="6E3C1408"/>
    <w:rsid w:val="6E4A1DFB"/>
    <w:rsid w:val="6E4B358D"/>
    <w:rsid w:val="6EC33D8D"/>
    <w:rsid w:val="6ED879BF"/>
    <w:rsid w:val="6EE57EBB"/>
    <w:rsid w:val="6EF16D44"/>
    <w:rsid w:val="6EF67DBF"/>
    <w:rsid w:val="6EFB743A"/>
    <w:rsid w:val="6F035112"/>
    <w:rsid w:val="6F2E68AC"/>
    <w:rsid w:val="6F3506E2"/>
    <w:rsid w:val="6F5C7220"/>
    <w:rsid w:val="6F5F475E"/>
    <w:rsid w:val="6F7046F1"/>
    <w:rsid w:val="6FB75B50"/>
    <w:rsid w:val="6FD47727"/>
    <w:rsid w:val="70134261"/>
    <w:rsid w:val="701448C8"/>
    <w:rsid w:val="70200312"/>
    <w:rsid w:val="702419FF"/>
    <w:rsid w:val="702D2423"/>
    <w:rsid w:val="706A505E"/>
    <w:rsid w:val="708B5855"/>
    <w:rsid w:val="70C31E94"/>
    <w:rsid w:val="70CF0144"/>
    <w:rsid w:val="70D31EA3"/>
    <w:rsid w:val="70DF5D68"/>
    <w:rsid w:val="70F667A5"/>
    <w:rsid w:val="710F4A9B"/>
    <w:rsid w:val="715E21EB"/>
    <w:rsid w:val="716C05BA"/>
    <w:rsid w:val="718166C9"/>
    <w:rsid w:val="71916357"/>
    <w:rsid w:val="71AA3811"/>
    <w:rsid w:val="71AC519B"/>
    <w:rsid w:val="71C742D3"/>
    <w:rsid w:val="72296AD9"/>
    <w:rsid w:val="72422100"/>
    <w:rsid w:val="726D2E7A"/>
    <w:rsid w:val="728B002D"/>
    <w:rsid w:val="72C21C62"/>
    <w:rsid w:val="72D61290"/>
    <w:rsid w:val="72DA531F"/>
    <w:rsid w:val="72DF4C8C"/>
    <w:rsid w:val="72E10A2C"/>
    <w:rsid w:val="730F38F8"/>
    <w:rsid w:val="73494068"/>
    <w:rsid w:val="73A07521"/>
    <w:rsid w:val="73AC7A42"/>
    <w:rsid w:val="73D931A0"/>
    <w:rsid w:val="740109F6"/>
    <w:rsid w:val="745C2C35"/>
    <w:rsid w:val="745D6677"/>
    <w:rsid w:val="746103CF"/>
    <w:rsid w:val="749F751C"/>
    <w:rsid w:val="74AD7B3E"/>
    <w:rsid w:val="74CE7A52"/>
    <w:rsid w:val="759139FF"/>
    <w:rsid w:val="75DE6642"/>
    <w:rsid w:val="75E85CE5"/>
    <w:rsid w:val="75E87C9E"/>
    <w:rsid w:val="75F81942"/>
    <w:rsid w:val="760D2BD4"/>
    <w:rsid w:val="764564A4"/>
    <w:rsid w:val="76542FF6"/>
    <w:rsid w:val="765D1046"/>
    <w:rsid w:val="766B0022"/>
    <w:rsid w:val="768B5090"/>
    <w:rsid w:val="769B3548"/>
    <w:rsid w:val="76CE1235"/>
    <w:rsid w:val="76DC7351"/>
    <w:rsid w:val="7707132E"/>
    <w:rsid w:val="777E16F9"/>
    <w:rsid w:val="77B05D14"/>
    <w:rsid w:val="77C8390E"/>
    <w:rsid w:val="77E551D6"/>
    <w:rsid w:val="781F75B9"/>
    <w:rsid w:val="7820437A"/>
    <w:rsid w:val="782B1B31"/>
    <w:rsid w:val="783F6C78"/>
    <w:rsid w:val="78632C3D"/>
    <w:rsid w:val="786720A3"/>
    <w:rsid w:val="78842032"/>
    <w:rsid w:val="78B2021F"/>
    <w:rsid w:val="78D33094"/>
    <w:rsid w:val="78E65190"/>
    <w:rsid w:val="78EB6179"/>
    <w:rsid w:val="79242253"/>
    <w:rsid w:val="79667446"/>
    <w:rsid w:val="79684469"/>
    <w:rsid w:val="79C2148B"/>
    <w:rsid w:val="7A1954C4"/>
    <w:rsid w:val="7A2119F7"/>
    <w:rsid w:val="7A321467"/>
    <w:rsid w:val="7A7A0CEF"/>
    <w:rsid w:val="7AF02E17"/>
    <w:rsid w:val="7AFA13DE"/>
    <w:rsid w:val="7B574519"/>
    <w:rsid w:val="7B584C19"/>
    <w:rsid w:val="7B5A0E00"/>
    <w:rsid w:val="7B76591A"/>
    <w:rsid w:val="7B7A6905"/>
    <w:rsid w:val="7BB9599C"/>
    <w:rsid w:val="7BCB3775"/>
    <w:rsid w:val="7BDA1A37"/>
    <w:rsid w:val="7C05250E"/>
    <w:rsid w:val="7C0C084C"/>
    <w:rsid w:val="7C10537E"/>
    <w:rsid w:val="7C3703F8"/>
    <w:rsid w:val="7C822B38"/>
    <w:rsid w:val="7C87543A"/>
    <w:rsid w:val="7CA70390"/>
    <w:rsid w:val="7CA80804"/>
    <w:rsid w:val="7CB51A56"/>
    <w:rsid w:val="7CD86F04"/>
    <w:rsid w:val="7CE2043A"/>
    <w:rsid w:val="7D221F52"/>
    <w:rsid w:val="7D3427E9"/>
    <w:rsid w:val="7D8040C0"/>
    <w:rsid w:val="7DB43DDB"/>
    <w:rsid w:val="7DE72CF1"/>
    <w:rsid w:val="7DFE32C1"/>
    <w:rsid w:val="7E192B84"/>
    <w:rsid w:val="7E333010"/>
    <w:rsid w:val="7E5B3D89"/>
    <w:rsid w:val="7EBA3483"/>
    <w:rsid w:val="7EFF21E7"/>
    <w:rsid w:val="7F026AF1"/>
    <w:rsid w:val="7F46644D"/>
    <w:rsid w:val="7F761FC0"/>
    <w:rsid w:val="7F7D5DF0"/>
    <w:rsid w:val="7F8B1F6C"/>
    <w:rsid w:val="7F9B1E1F"/>
    <w:rsid w:val="7FC4237A"/>
    <w:rsid w:val="7FE6500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8"/>
    <w:next w:val="1"/>
    <w:link w:val="59"/>
    <w:qFormat/>
    <w:uiPriority w:val="9"/>
    <w:pPr>
      <w:keepNext/>
      <w:keepLines/>
      <w:spacing w:before="340" w:after="330" w:line="578" w:lineRule="auto"/>
      <w:outlineLvl w:val="0"/>
    </w:pPr>
    <w:rPr>
      <w:b/>
      <w:bCs/>
      <w:kern w:val="44"/>
      <w:sz w:val="44"/>
      <w:szCs w:val="44"/>
    </w:rPr>
  </w:style>
  <w:style w:type="paragraph" w:styleId="9">
    <w:name w:val="heading 2"/>
    <w:basedOn w:val="1"/>
    <w:next w:val="1"/>
    <w:link w:val="60"/>
    <w:qFormat/>
    <w:uiPriority w:val="9"/>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61"/>
    <w:qFormat/>
    <w:uiPriority w:val="9"/>
    <w:pPr>
      <w:keepNext/>
      <w:keepLines/>
      <w:spacing w:before="260" w:after="260" w:line="416" w:lineRule="auto"/>
      <w:outlineLvl w:val="2"/>
    </w:pPr>
    <w:rPr>
      <w:b/>
      <w:bCs/>
      <w:sz w:val="32"/>
      <w:szCs w:val="32"/>
    </w:rPr>
  </w:style>
  <w:style w:type="paragraph" w:styleId="11">
    <w:name w:val="heading 4"/>
    <w:basedOn w:val="1"/>
    <w:next w:val="1"/>
    <w:link w:val="67"/>
    <w:qFormat/>
    <w:uiPriority w:val="9"/>
    <w:pPr>
      <w:keepNext/>
      <w:keepLines/>
      <w:spacing w:before="280" w:after="290" w:line="376" w:lineRule="auto"/>
      <w:outlineLvl w:val="3"/>
    </w:pPr>
    <w:rPr>
      <w:rFonts w:ascii="Arial" w:hAnsi="Arial" w:eastAsia="黑体"/>
      <w:b/>
      <w:bCs/>
      <w:sz w:val="28"/>
      <w:szCs w:val="28"/>
    </w:rPr>
  </w:style>
  <w:style w:type="paragraph" w:styleId="12">
    <w:name w:val="heading 5"/>
    <w:basedOn w:val="1"/>
    <w:next w:val="1"/>
    <w:link w:val="68"/>
    <w:qFormat/>
    <w:uiPriority w:val="9"/>
    <w:pPr>
      <w:keepNext/>
      <w:keepLines/>
      <w:tabs>
        <w:tab w:val="left" w:pos="2160"/>
      </w:tabs>
      <w:spacing w:before="280" w:after="290" w:line="376" w:lineRule="auto"/>
      <w:ind w:left="1008" w:hanging="1008"/>
      <w:outlineLvl w:val="4"/>
    </w:pPr>
    <w:rPr>
      <w:rFonts w:eastAsia="楷体_GB2312"/>
      <w:b/>
      <w:sz w:val="28"/>
      <w:szCs w:val="20"/>
    </w:rPr>
  </w:style>
  <w:style w:type="paragraph" w:styleId="13">
    <w:name w:val="heading 6"/>
    <w:basedOn w:val="1"/>
    <w:next w:val="1"/>
    <w:link w:val="69"/>
    <w:qFormat/>
    <w:uiPriority w:val="9"/>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14">
    <w:name w:val="heading 7"/>
    <w:basedOn w:val="1"/>
    <w:next w:val="1"/>
    <w:link w:val="70"/>
    <w:qFormat/>
    <w:uiPriority w:val="9"/>
    <w:pPr>
      <w:keepNext/>
      <w:keepLines/>
      <w:widowControl/>
      <w:tabs>
        <w:tab w:val="left" w:pos="2520"/>
      </w:tabs>
      <w:spacing w:before="240" w:after="64" w:line="320" w:lineRule="auto"/>
      <w:ind w:left="1296" w:hanging="1296"/>
      <w:jc w:val="left"/>
      <w:outlineLvl w:val="6"/>
    </w:pPr>
    <w:rPr>
      <w:b/>
      <w:bCs/>
      <w:kern w:val="0"/>
      <w:sz w:val="24"/>
    </w:rPr>
  </w:style>
  <w:style w:type="paragraph" w:styleId="15">
    <w:name w:val="heading 8"/>
    <w:basedOn w:val="1"/>
    <w:next w:val="1"/>
    <w:link w:val="71"/>
    <w:qFormat/>
    <w:uiPriority w:val="9"/>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6">
    <w:name w:val="heading 9"/>
    <w:basedOn w:val="1"/>
    <w:next w:val="1"/>
    <w:link w:val="72"/>
    <w:qFormat/>
    <w:uiPriority w:val="9"/>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4">
    <w:name w:val="Default Paragraph Font"/>
    <w:unhideWhenUsed/>
    <w:uiPriority w:val="1"/>
  </w:style>
  <w:style w:type="table" w:default="1" w:styleId="5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next w:val="5"/>
    <w:link w:val="56"/>
    <w:qFormat/>
    <w:uiPriority w:val="0"/>
    <w:pPr>
      <w:spacing w:line="360" w:lineRule="auto"/>
      <w:ind w:firstLine="420" w:firstLineChars="100"/>
    </w:pPr>
    <w:rPr>
      <w:szCs w:val="21"/>
    </w:rPr>
  </w:style>
  <w:style w:type="paragraph" w:styleId="3">
    <w:name w:val="Body Text"/>
    <w:basedOn w:val="1"/>
    <w:next w:val="4"/>
    <w:link w:val="55"/>
    <w:qFormat/>
    <w:uiPriority w:val="0"/>
    <w:pPr>
      <w:spacing w:after="120"/>
    </w:pPr>
  </w:style>
  <w:style w:type="paragraph" w:styleId="4">
    <w:name w:val="Body Text 2"/>
    <w:basedOn w:val="1"/>
    <w:qFormat/>
    <w:uiPriority w:val="0"/>
    <w:rPr>
      <w:rFonts w:ascii="宋体" w:hAnsi="宋体"/>
      <w:sz w:val="28"/>
    </w:rPr>
  </w:style>
  <w:style w:type="paragraph" w:styleId="5">
    <w:name w:val="Body Text First Indent 2"/>
    <w:basedOn w:val="6"/>
    <w:qFormat/>
    <w:uiPriority w:val="0"/>
    <w:pPr>
      <w:ind w:firstLine="420" w:firstLineChars="200"/>
    </w:pPr>
  </w:style>
  <w:style w:type="paragraph" w:styleId="6">
    <w:name w:val="Body Text Indent"/>
    <w:basedOn w:val="1"/>
    <w:qFormat/>
    <w:uiPriority w:val="0"/>
    <w:pPr>
      <w:spacing w:after="120"/>
      <w:ind w:left="420" w:leftChars="200"/>
    </w:pPr>
  </w:style>
  <w:style w:type="paragraph" w:customStyle="1" w:styleId="8">
    <w:name w:val="_Style 7"/>
    <w:qFormat/>
    <w:uiPriority w:val="0"/>
    <w:rPr>
      <w:rFonts w:ascii="Times New Roman" w:hAnsi="Times New Roman" w:eastAsia="宋体" w:cs="Times New Roman"/>
      <w:kern w:val="2"/>
      <w:sz w:val="21"/>
      <w:szCs w:val="24"/>
      <w:lang w:val="en-US" w:eastAsia="zh-CN" w:bidi="ar-SA"/>
    </w:rPr>
  </w:style>
  <w:style w:type="paragraph" w:styleId="17">
    <w:name w:val="annotation subject"/>
    <w:basedOn w:val="18"/>
    <w:next w:val="18"/>
    <w:link w:val="118"/>
    <w:qFormat/>
    <w:uiPriority w:val="0"/>
  </w:style>
  <w:style w:type="paragraph" w:styleId="18">
    <w:name w:val="annotation text"/>
    <w:basedOn w:val="1"/>
    <w:link w:val="64"/>
    <w:qFormat/>
    <w:uiPriority w:val="0"/>
    <w:pPr>
      <w:jc w:val="left"/>
    </w:pPr>
  </w:style>
  <w:style w:type="paragraph" w:styleId="19">
    <w:name w:val="toc 7"/>
    <w:basedOn w:val="1"/>
    <w:next w:val="1"/>
    <w:qFormat/>
    <w:uiPriority w:val="39"/>
    <w:pPr>
      <w:ind w:left="1260"/>
      <w:jc w:val="left"/>
    </w:pPr>
    <w:rPr>
      <w:rFonts w:ascii="Calibri" w:hAnsi="Calibri" w:cs="Calibri"/>
      <w:sz w:val="18"/>
      <w:szCs w:val="18"/>
    </w:rPr>
  </w:style>
  <w:style w:type="paragraph" w:styleId="20">
    <w:name w:val="Normal Indent"/>
    <w:basedOn w:val="1"/>
    <w:qFormat/>
    <w:uiPriority w:val="0"/>
    <w:pPr>
      <w:ind w:firstLine="420" w:firstLineChars="200"/>
    </w:pPr>
  </w:style>
  <w:style w:type="paragraph" w:styleId="21">
    <w:name w:val="caption"/>
    <w:basedOn w:val="1"/>
    <w:next w:val="1"/>
    <w:link w:val="110"/>
    <w:qFormat/>
    <w:uiPriority w:val="0"/>
    <w:pPr>
      <w:adjustRightInd w:val="0"/>
      <w:snapToGrid w:val="0"/>
      <w:spacing w:line="360" w:lineRule="auto"/>
      <w:jc w:val="center"/>
    </w:pPr>
    <w:rPr>
      <w:rFonts w:ascii="宋体" w:hAnsi="Arial"/>
      <w:b/>
      <w:kern w:val="0"/>
      <w:sz w:val="24"/>
      <w:szCs w:val="20"/>
    </w:rPr>
  </w:style>
  <w:style w:type="paragraph" w:styleId="22">
    <w:name w:val="Document Map"/>
    <w:basedOn w:val="1"/>
    <w:link w:val="140"/>
    <w:qFormat/>
    <w:uiPriority w:val="0"/>
    <w:pPr>
      <w:shd w:val="clear" w:color="auto" w:fill="000080"/>
    </w:pPr>
  </w:style>
  <w:style w:type="paragraph" w:styleId="23">
    <w:name w:val="Body Text 3"/>
    <w:basedOn w:val="1"/>
    <w:qFormat/>
    <w:uiPriority w:val="0"/>
    <w:rPr>
      <w:rFonts w:ascii="宋体"/>
      <w:sz w:val="24"/>
      <w:szCs w:val="20"/>
    </w:rPr>
  </w:style>
  <w:style w:type="paragraph" w:styleId="24">
    <w:name w:val="toc 5"/>
    <w:basedOn w:val="1"/>
    <w:next w:val="1"/>
    <w:qFormat/>
    <w:uiPriority w:val="39"/>
    <w:pPr>
      <w:ind w:left="840"/>
      <w:jc w:val="left"/>
    </w:pPr>
    <w:rPr>
      <w:rFonts w:ascii="Calibri" w:hAnsi="Calibri" w:cs="Calibri"/>
      <w:sz w:val="18"/>
      <w:szCs w:val="18"/>
    </w:rPr>
  </w:style>
  <w:style w:type="paragraph" w:styleId="25">
    <w:name w:val="toc 3"/>
    <w:basedOn w:val="1"/>
    <w:next w:val="1"/>
    <w:qFormat/>
    <w:uiPriority w:val="39"/>
    <w:pPr>
      <w:ind w:left="420"/>
      <w:jc w:val="left"/>
    </w:pPr>
    <w:rPr>
      <w:rFonts w:ascii="Calibri" w:hAnsi="Calibri" w:cs="Calibri"/>
      <w:i/>
      <w:iCs/>
      <w:sz w:val="20"/>
      <w:szCs w:val="20"/>
    </w:rPr>
  </w:style>
  <w:style w:type="paragraph" w:styleId="26">
    <w:name w:val="Plain Text"/>
    <w:basedOn w:val="1"/>
    <w:link w:val="135"/>
    <w:qFormat/>
    <w:uiPriority w:val="0"/>
    <w:rPr>
      <w:rFonts w:ascii="宋体" w:hAnsi="Courier New"/>
      <w:szCs w:val="21"/>
    </w:rPr>
  </w:style>
  <w:style w:type="paragraph" w:styleId="27">
    <w:name w:val="toc 8"/>
    <w:basedOn w:val="1"/>
    <w:next w:val="1"/>
    <w:qFormat/>
    <w:uiPriority w:val="39"/>
    <w:pPr>
      <w:ind w:left="1470"/>
      <w:jc w:val="left"/>
    </w:pPr>
    <w:rPr>
      <w:rFonts w:ascii="Calibri" w:hAnsi="Calibri" w:cs="Calibri"/>
      <w:sz w:val="18"/>
      <w:szCs w:val="18"/>
    </w:rPr>
  </w:style>
  <w:style w:type="paragraph" w:styleId="28">
    <w:name w:val="Date"/>
    <w:basedOn w:val="1"/>
    <w:next w:val="1"/>
    <w:link w:val="73"/>
    <w:qFormat/>
    <w:uiPriority w:val="99"/>
    <w:rPr>
      <w:sz w:val="24"/>
      <w:szCs w:val="20"/>
    </w:rPr>
  </w:style>
  <w:style w:type="paragraph" w:styleId="29">
    <w:name w:val="Body Text Indent 2"/>
    <w:basedOn w:val="1"/>
    <w:link w:val="112"/>
    <w:qFormat/>
    <w:uiPriority w:val="0"/>
    <w:pPr>
      <w:adjustRightInd w:val="0"/>
      <w:snapToGrid w:val="0"/>
      <w:spacing w:before="120" w:line="360" w:lineRule="auto"/>
      <w:ind w:firstLine="539"/>
      <w:textAlignment w:val="baseline"/>
    </w:pPr>
    <w:rPr>
      <w:rFonts w:ascii="宋体" w:hAnsi="宋体"/>
      <w:kern w:val="0"/>
      <w:sz w:val="28"/>
      <w:szCs w:val="28"/>
    </w:rPr>
  </w:style>
  <w:style w:type="paragraph" w:styleId="30">
    <w:name w:val="Balloon Text"/>
    <w:basedOn w:val="1"/>
    <w:link w:val="86"/>
    <w:qFormat/>
    <w:uiPriority w:val="99"/>
    <w:rPr>
      <w:sz w:val="18"/>
      <w:szCs w:val="18"/>
    </w:rPr>
  </w:style>
  <w:style w:type="paragraph" w:styleId="31">
    <w:name w:val="footer"/>
    <w:basedOn w:val="1"/>
    <w:link w:val="58"/>
    <w:qFormat/>
    <w:uiPriority w:val="99"/>
    <w:pPr>
      <w:tabs>
        <w:tab w:val="center" w:pos="4153"/>
        <w:tab w:val="right" w:pos="8306"/>
      </w:tabs>
      <w:snapToGrid w:val="0"/>
      <w:jc w:val="left"/>
    </w:pPr>
    <w:rPr>
      <w:sz w:val="18"/>
      <w:szCs w:val="18"/>
    </w:rPr>
  </w:style>
  <w:style w:type="paragraph" w:styleId="32">
    <w:name w:val="header"/>
    <w:basedOn w:val="1"/>
    <w:link w:val="57"/>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cs="Calibri"/>
      <w:b/>
      <w:bCs/>
      <w:caps/>
      <w:szCs w:val="20"/>
    </w:rPr>
  </w:style>
  <w:style w:type="paragraph" w:styleId="34">
    <w:name w:val="toc 4"/>
    <w:basedOn w:val="1"/>
    <w:next w:val="1"/>
    <w:qFormat/>
    <w:uiPriority w:val="39"/>
    <w:pPr>
      <w:ind w:left="630"/>
      <w:jc w:val="left"/>
    </w:pPr>
    <w:rPr>
      <w:rFonts w:ascii="Calibri" w:hAnsi="Calibri" w:cs="Calibri"/>
      <w:sz w:val="18"/>
      <w:szCs w:val="18"/>
    </w:rPr>
  </w:style>
  <w:style w:type="paragraph" w:styleId="35">
    <w:name w:val="Subtitle"/>
    <w:basedOn w:val="1"/>
    <w:next w:val="1"/>
    <w:link w:val="97"/>
    <w:qFormat/>
    <w:uiPriority w:val="0"/>
    <w:pPr>
      <w:spacing w:before="240" w:after="60" w:line="312" w:lineRule="auto"/>
      <w:jc w:val="center"/>
      <w:outlineLvl w:val="1"/>
    </w:pPr>
    <w:rPr>
      <w:rFonts w:ascii="Cambria" w:hAnsi="Cambria"/>
      <w:b/>
      <w:bCs/>
      <w:kern w:val="28"/>
      <w:sz w:val="32"/>
      <w:szCs w:val="32"/>
    </w:rPr>
  </w:style>
  <w:style w:type="paragraph" w:styleId="36">
    <w:name w:val="toc 6"/>
    <w:basedOn w:val="1"/>
    <w:next w:val="1"/>
    <w:qFormat/>
    <w:uiPriority w:val="39"/>
    <w:pPr>
      <w:ind w:left="1050"/>
      <w:jc w:val="left"/>
    </w:pPr>
    <w:rPr>
      <w:rFonts w:ascii="Calibri" w:hAnsi="Calibri" w:cs="Calibri"/>
      <w:sz w:val="18"/>
      <w:szCs w:val="18"/>
    </w:rPr>
  </w:style>
  <w:style w:type="paragraph" w:styleId="37">
    <w:name w:val="Body Text Indent 3"/>
    <w:basedOn w:val="1"/>
    <w:qFormat/>
    <w:uiPriority w:val="0"/>
    <w:pPr>
      <w:spacing w:after="120"/>
      <w:ind w:left="420" w:leftChars="200"/>
    </w:pPr>
    <w:rPr>
      <w:sz w:val="16"/>
      <w:szCs w:val="16"/>
    </w:rPr>
  </w:style>
  <w:style w:type="paragraph" w:styleId="38">
    <w:name w:val="toc 2"/>
    <w:basedOn w:val="1"/>
    <w:next w:val="1"/>
    <w:qFormat/>
    <w:uiPriority w:val="39"/>
    <w:pPr>
      <w:ind w:left="210"/>
      <w:jc w:val="left"/>
    </w:pPr>
    <w:rPr>
      <w:rFonts w:ascii="Calibri" w:hAnsi="Calibri" w:cs="Calibri"/>
      <w:smallCaps/>
      <w:szCs w:val="20"/>
    </w:rPr>
  </w:style>
  <w:style w:type="paragraph" w:styleId="39">
    <w:name w:val="toc 9"/>
    <w:basedOn w:val="1"/>
    <w:next w:val="1"/>
    <w:qFormat/>
    <w:uiPriority w:val="39"/>
    <w:pPr>
      <w:ind w:left="1680"/>
      <w:jc w:val="left"/>
    </w:pPr>
    <w:rPr>
      <w:rFonts w:ascii="Calibri" w:hAnsi="Calibri" w:cs="Calibri"/>
      <w:sz w:val="18"/>
      <w:szCs w:val="18"/>
    </w:rPr>
  </w:style>
  <w:style w:type="paragraph" w:styleId="4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143"/>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styleId="45">
    <w:name w:val="Strong"/>
    <w:qFormat/>
    <w:uiPriority w:val="0"/>
    <w:rPr>
      <w:rFonts w:ascii="Times New Roman" w:hAnsi="Times New Roman" w:eastAsia="宋体" w:cs="Times New Roman"/>
      <w:b/>
      <w:bCs/>
    </w:rPr>
  </w:style>
  <w:style w:type="character" w:styleId="46">
    <w:name w:val="page number"/>
    <w:qFormat/>
    <w:uiPriority w:val="0"/>
    <w:rPr>
      <w:rFonts w:ascii="Times New Roman" w:hAnsi="Times New Roman" w:eastAsia="宋体" w:cs="Times New Roman"/>
    </w:rPr>
  </w:style>
  <w:style w:type="character" w:styleId="47">
    <w:name w:val="FollowedHyperlink"/>
    <w:qFormat/>
    <w:uiPriority w:val="0"/>
    <w:rPr>
      <w:rFonts w:ascii="Times New Roman" w:hAnsi="Times New Roman" w:eastAsia="宋体" w:cs="Times New Roman"/>
      <w:color w:val="800080"/>
      <w:u w:val="single"/>
    </w:rPr>
  </w:style>
  <w:style w:type="character" w:styleId="48">
    <w:name w:val="Emphasis"/>
    <w:qFormat/>
    <w:uiPriority w:val="0"/>
    <w:rPr>
      <w:rFonts w:ascii="Times New Roman" w:hAnsi="Times New Roman" w:eastAsia="宋体" w:cs="Times New Roman"/>
      <w:color w:val="CC0000"/>
    </w:rPr>
  </w:style>
  <w:style w:type="character" w:styleId="49">
    <w:name w:val="Hyperlink"/>
    <w:qFormat/>
    <w:uiPriority w:val="99"/>
    <w:rPr>
      <w:rFonts w:ascii="Times New Roman" w:hAnsi="Times New Roman" w:eastAsia="宋体" w:cs="Times New Roman"/>
      <w:color w:val="0000FF"/>
      <w:u w:val="single"/>
    </w:rPr>
  </w:style>
  <w:style w:type="character" w:styleId="50">
    <w:name w:val="annotation reference"/>
    <w:qFormat/>
    <w:uiPriority w:val="0"/>
    <w:rPr>
      <w:rFonts w:ascii="Times New Roman" w:hAnsi="Times New Roman" w:eastAsia="宋体" w:cs="Times New Roman"/>
      <w:sz w:val="21"/>
      <w:szCs w:val="21"/>
    </w:rPr>
  </w:style>
  <w:style w:type="character" w:styleId="51">
    <w:name w:val="HTML Cite"/>
    <w:qFormat/>
    <w:uiPriority w:val="0"/>
    <w:rPr>
      <w:rFonts w:ascii="Times New Roman" w:hAnsi="Times New Roman" w:eastAsia="宋体" w:cs="Times New Roman"/>
      <w:color w:val="008000"/>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4">
    <w:name w:val="Table Elegant"/>
    <w:basedOn w:val="52"/>
    <w:qFormat/>
    <w:uiPriority w:val="0"/>
    <w:pPr>
      <w:widowControl w:val="0"/>
      <w:jc w:val="both"/>
    </w:pPr>
    <w:tblP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55">
    <w:name w:val="正文文本 Char1"/>
    <w:link w:val="3"/>
    <w:qFormat/>
    <w:uiPriority w:val="0"/>
    <w:rPr>
      <w:rFonts w:ascii="Times New Roman" w:hAnsi="Times New Roman" w:eastAsia="宋体" w:cs="Times New Roman"/>
      <w:kern w:val="2"/>
      <w:sz w:val="21"/>
      <w:szCs w:val="24"/>
    </w:rPr>
  </w:style>
  <w:style w:type="character" w:customStyle="1" w:styleId="56">
    <w:name w:val="正文首行缩进 Char"/>
    <w:link w:val="2"/>
    <w:qFormat/>
    <w:uiPriority w:val="0"/>
    <w:rPr>
      <w:rFonts w:ascii="Times New Roman" w:hAnsi="Times New Roman" w:eastAsia="宋体" w:cs="Times New Roman"/>
      <w:kern w:val="2"/>
      <w:sz w:val="21"/>
      <w:szCs w:val="21"/>
    </w:rPr>
  </w:style>
  <w:style w:type="character" w:customStyle="1" w:styleId="57">
    <w:name w:val="页眉 Char"/>
    <w:link w:val="32"/>
    <w:qFormat/>
    <w:uiPriority w:val="99"/>
    <w:rPr>
      <w:rFonts w:ascii="Times New Roman" w:hAnsi="Times New Roman" w:eastAsia="宋体" w:cs="Times New Roman"/>
      <w:kern w:val="2"/>
      <w:sz w:val="18"/>
      <w:szCs w:val="18"/>
    </w:rPr>
  </w:style>
  <w:style w:type="character" w:customStyle="1" w:styleId="58">
    <w:name w:val="页脚 Char"/>
    <w:link w:val="31"/>
    <w:qFormat/>
    <w:uiPriority w:val="99"/>
    <w:rPr>
      <w:rFonts w:ascii="Times New Roman" w:hAnsi="Times New Roman" w:eastAsia="宋体" w:cs="Times New Roman"/>
      <w:kern w:val="2"/>
      <w:sz w:val="18"/>
      <w:szCs w:val="18"/>
    </w:rPr>
  </w:style>
  <w:style w:type="character" w:customStyle="1" w:styleId="59">
    <w:name w:val="标题 1 Char"/>
    <w:link w:val="7"/>
    <w:qFormat/>
    <w:uiPriority w:val="9"/>
    <w:rPr>
      <w:rFonts w:ascii="Times New Roman" w:hAnsi="Times New Roman" w:eastAsia="宋体" w:cs="Times New Roman"/>
      <w:b/>
      <w:bCs/>
      <w:kern w:val="44"/>
      <w:sz w:val="44"/>
      <w:szCs w:val="44"/>
    </w:rPr>
  </w:style>
  <w:style w:type="character" w:customStyle="1" w:styleId="60">
    <w:name w:val="标题 2 Char"/>
    <w:link w:val="9"/>
    <w:qFormat/>
    <w:uiPriority w:val="9"/>
    <w:rPr>
      <w:rFonts w:ascii="Arial" w:hAnsi="Arial" w:eastAsia="黑体" w:cs="Times New Roman"/>
      <w:b/>
      <w:bCs/>
      <w:kern w:val="2"/>
      <w:sz w:val="32"/>
      <w:szCs w:val="32"/>
      <w:lang w:val="en-US" w:eastAsia="zh-CN" w:bidi="ar-SA"/>
    </w:rPr>
  </w:style>
  <w:style w:type="character" w:customStyle="1" w:styleId="61">
    <w:name w:val="标题 3 Char"/>
    <w:link w:val="10"/>
    <w:qFormat/>
    <w:uiPriority w:val="9"/>
    <w:rPr>
      <w:rFonts w:ascii="Times New Roman" w:hAnsi="Times New Roman" w:eastAsia="宋体" w:cs="Times New Roman"/>
      <w:b/>
      <w:bCs/>
      <w:kern w:val="2"/>
      <w:sz w:val="32"/>
      <w:szCs w:val="32"/>
    </w:rPr>
  </w:style>
  <w:style w:type="paragraph" w:customStyle="1" w:styleId="62">
    <w:name w:val="总一"/>
    <w:basedOn w:val="7"/>
    <w:qFormat/>
    <w:uiPriority w:val="0"/>
    <w:pPr>
      <w:spacing w:before="0" w:after="0" w:line="360" w:lineRule="auto"/>
      <w:ind w:firstLine="883" w:firstLineChars="200"/>
      <w:jc w:val="center"/>
    </w:pPr>
    <w:rPr>
      <w:rFonts w:cs="黑体"/>
      <w:kern w:val="0"/>
      <w:sz w:val="32"/>
      <w:szCs w:val="32"/>
    </w:rPr>
  </w:style>
  <w:style w:type="paragraph" w:customStyle="1" w:styleId="63">
    <w:name w:val="1.1"/>
    <w:basedOn w:val="10"/>
    <w:qFormat/>
    <w:uiPriority w:val="0"/>
    <w:pPr>
      <w:spacing w:afterLines="50" w:line="360" w:lineRule="auto"/>
      <w:ind w:firstLine="482" w:firstLineChars="200"/>
    </w:pPr>
    <w:rPr>
      <w:rFonts w:ascii="宋体" w:hAnsi="宋体" w:cs="宋体"/>
      <w:sz w:val="24"/>
      <w:szCs w:val="24"/>
    </w:rPr>
  </w:style>
  <w:style w:type="character" w:customStyle="1" w:styleId="64">
    <w:name w:val="批注文字 Char"/>
    <w:link w:val="18"/>
    <w:qFormat/>
    <w:uiPriority w:val="0"/>
    <w:rPr>
      <w:rFonts w:ascii="Times New Roman" w:hAnsi="Times New Roman" w:eastAsia="宋体" w:cs="Times New Roman"/>
      <w:kern w:val="2"/>
      <w:sz w:val="21"/>
      <w:szCs w:val="24"/>
    </w:rPr>
  </w:style>
  <w:style w:type="character" w:customStyle="1" w:styleId="65">
    <w:name w:val="fontstyle01"/>
    <w:qFormat/>
    <w:uiPriority w:val="0"/>
    <w:rPr>
      <w:rFonts w:ascii="宋体" w:hAnsi="宋体" w:eastAsia="宋体" w:cs="宋体"/>
      <w:color w:val="000000"/>
      <w:sz w:val="22"/>
      <w:szCs w:val="22"/>
    </w:rPr>
  </w:style>
  <w:style w:type="paragraph" w:customStyle="1" w:styleId="66">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67">
    <w:name w:val="标题 4 Char"/>
    <w:link w:val="11"/>
    <w:qFormat/>
    <w:uiPriority w:val="9"/>
    <w:rPr>
      <w:rFonts w:ascii="Arial" w:hAnsi="Arial" w:eastAsia="黑体" w:cs="Times New Roman"/>
      <w:b/>
      <w:bCs/>
      <w:kern w:val="2"/>
      <w:sz w:val="28"/>
      <w:szCs w:val="28"/>
    </w:rPr>
  </w:style>
  <w:style w:type="character" w:customStyle="1" w:styleId="68">
    <w:name w:val="标题 5 Char"/>
    <w:link w:val="12"/>
    <w:qFormat/>
    <w:uiPriority w:val="9"/>
    <w:rPr>
      <w:rFonts w:ascii="Times New Roman" w:hAnsi="Times New Roman" w:eastAsia="楷体_GB2312" w:cs="Times New Roman"/>
      <w:b/>
      <w:kern w:val="2"/>
      <w:sz w:val="28"/>
    </w:rPr>
  </w:style>
  <w:style w:type="character" w:customStyle="1" w:styleId="69">
    <w:name w:val="标题 6 Char"/>
    <w:link w:val="13"/>
    <w:qFormat/>
    <w:uiPriority w:val="9"/>
    <w:rPr>
      <w:rFonts w:ascii="Arial" w:hAnsi="Arial" w:eastAsia="黑体" w:cs="Times New Roman"/>
      <w:b/>
      <w:bCs/>
      <w:sz w:val="24"/>
      <w:szCs w:val="24"/>
    </w:rPr>
  </w:style>
  <w:style w:type="character" w:customStyle="1" w:styleId="70">
    <w:name w:val="标题 7 Char"/>
    <w:link w:val="14"/>
    <w:qFormat/>
    <w:uiPriority w:val="9"/>
    <w:rPr>
      <w:rFonts w:ascii="Times New Roman" w:hAnsi="Times New Roman" w:eastAsia="宋体" w:cs="Times New Roman"/>
      <w:b/>
      <w:bCs/>
      <w:sz w:val="24"/>
      <w:szCs w:val="24"/>
    </w:rPr>
  </w:style>
  <w:style w:type="character" w:customStyle="1" w:styleId="71">
    <w:name w:val="标题 8 Char"/>
    <w:link w:val="15"/>
    <w:qFormat/>
    <w:uiPriority w:val="9"/>
    <w:rPr>
      <w:rFonts w:ascii="Arial" w:hAnsi="Arial" w:eastAsia="黑体" w:cs="Times New Roman"/>
      <w:sz w:val="24"/>
      <w:szCs w:val="24"/>
    </w:rPr>
  </w:style>
  <w:style w:type="character" w:customStyle="1" w:styleId="72">
    <w:name w:val="标题 9 Char"/>
    <w:link w:val="16"/>
    <w:qFormat/>
    <w:uiPriority w:val="9"/>
    <w:rPr>
      <w:rFonts w:ascii="Arial" w:hAnsi="Arial" w:eastAsia="黑体" w:cs="Times New Roman"/>
      <w:sz w:val="21"/>
      <w:szCs w:val="21"/>
    </w:rPr>
  </w:style>
  <w:style w:type="character" w:customStyle="1" w:styleId="73">
    <w:name w:val="日期 Char"/>
    <w:link w:val="28"/>
    <w:qFormat/>
    <w:uiPriority w:val="99"/>
    <w:rPr>
      <w:rFonts w:ascii="Times New Roman" w:hAnsi="Times New Roman" w:eastAsia="宋体" w:cs="Times New Roman"/>
      <w:kern w:val="2"/>
      <w:sz w:val="24"/>
    </w:rPr>
  </w:style>
  <w:style w:type="character" w:customStyle="1" w:styleId="74">
    <w:name w:val="正文文本缩进 2 Char1"/>
    <w:qFormat/>
    <w:uiPriority w:val="0"/>
    <w:rPr>
      <w:rFonts w:ascii="Calibri" w:hAnsi="Calibri" w:eastAsia="宋体" w:cs="Times New Roman"/>
      <w:kern w:val="2"/>
      <w:sz w:val="21"/>
      <w:szCs w:val="22"/>
    </w:rPr>
  </w:style>
  <w:style w:type="character" w:customStyle="1" w:styleId="75">
    <w:name w:val="正文文本 (9) + Times New Roman"/>
    <w:qFormat/>
    <w:uiPriority w:val="0"/>
    <w:rPr>
      <w:rFonts w:hint="eastAsia" w:ascii="Times New Roman" w:hAnsi="Times New Roman" w:eastAsia="Times New Roman" w:cs="Times New Roman"/>
      <w:spacing w:val="0"/>
      <w:sz w:val="20"/>
      <w:lang w:val="en-US" w:eastAsia="en-US"/>
    </w:rPr>
  </w:style>
  <w:style w:type="character" w:customStyle="1" w:styleId="76">
    <w:name w:val="正文文本 (11) + Times New Roman"/>
    <w:qFormat/>
    <w:uiPriority w:val="0"/>
    <w:rPr>
      <w:rFonts w:hint="eastAsia" w:ascii="Times New Roman" w:hAnsi="Times New Roman" w:eastAsia="Times New Roman" w:cs="Times New Roman"/>
      <w:i/>
      <w:spacing w:val="0"/>
      <w:sz w:val="15"/>
      <w:lang w:val="zh-CN" w:eastAsia="zh-CN"/>
    </w:rPr>
  </w:style>
  <w:style w:type="character" w:customStyle="1" w:styleId="77">
    <w:name w:val="纯文本 Char1"/>
    <w:qFormat/>
    <w:uiPriority w:val="0"/>
    <w:rPr>
      <w:rFonts w:ascii="宋体" w:hAnsi="Courier New" w:eastAsia="宋体" w:cs="Courier New"/>
      <w:kern w:val="2"/>
      <w:sz w:val="21"/>
      <w:szCs w:val="21"/>
    </w:rPr>
  </w:style>
  <w:style w:type="character" w:customStyle="1" w:styleId="78">
    <w:name w:val="批注框文本 Char1"/>
    <w:qFormat/>
    <w:uiPriority w:val="0"/>
    <w:rPr>
      <w:rFonts w:ascii="Times New Roman" w:hAnsi="Times New Roman" w:eastAsia="宋体" w:cs="Times New Roman"/>
      <w:sz w:val="18"/>
      <w:szCs w:val="18"/>
    </w:rPr>
  </w:style>
  <w:style w:type="paragraph" w:customStyle="1" w:styleId="79">
    <w:name w:val="正文文本 (9)"/>
    <w:basedOn w:val="1"/>
    <w:link w:val="80"/>
    <w:qFormat/>
    <w:uiPriority w:val="0"/>
    <w:pPr>
      <w:shd w:val="clear" w:color="auto" w:fill="FFFFFF"/>
      <w:spacing w:after="60" w:line="240" w:lineRule="atLeast"/>
    </w:pPr>
    <w:rPr>
      <w:rFonts w:ascii="MingLiU" w:hAnsi="MingLiU" w:eastAsia="MingLiU"/>
      <w:spacing w:val="20"/>
      <w:kern w:val="0"/>
      <w:sz w:val="18"/>
      <w:szCs w:val="20"/>
    </w:rPr>
  </w:style>
  <w:style w:type="character" w:customStyle="1" w:styleId="80">
    <w:name w:val="正文文本 (9)_"/>
    <w:link w:val="79"/>
    <w:qFormat/>
    <w:uiPriority w:val="0"/>
    <w:rPr>
      <w:rFonts w:ascii="MingLiU" w:hAnsi="MingLiU" w:eastAsia="MingLiU" w:cs="Times New Roman"/>
      <w:spacing w:val="20"/>
      <w:sz w:val="18"/>
      <w:shd w:val="clear" w:color="auto" w:fill="FFFFFF"/>
    </w:rPr>
  </w:style>
  <w:style w:type="character" w:customStyle="1" w:styleId="81">
    <w:name w:val="正文文本 (9) + Batang"/>
    <w:qFormat/>
    <w:uiPriority w:val="0"/>
    <w:rPr>
      <w:rFonts w:hint="default" w:ascii="Batang" w:hAnsi="Batang" w:eastAsia="Batang" w:cs="Times New Roman"/>
      <w:spacing w:val="0"/>
      <w:sz w:val="14"/>
      <w:lang w:val="en-US" w:eastAsia="en-US"/>
    </w:rPr>
  </w:style>
  <w:style w:type="character" w:customStyle="1" w:styleId="82">
    <w:name w:val="批注文字 Char1"/>
    <w:qFormat/>
    <w:uiPriority w:val="0"/>
    <w:rPr>
      <w:rFonts w:ascii="Calibri" w:hAnsi="Calibri" w:eastAsia="宋体" w:cs="Times New Roman"/>
      <w:kern w:val="2"/>
      <w:sz w:val="21"/>
      <w:szCs w:val="22"/>
    </w:rPr>
  </w:style>
  <w:style w:type="character" w:customStyle="1" w:styleId="83">
    <w:name w:val="日期 Char2"/>
    <w:qFormat/>
    <w:uiPriority w:val="0"/>
    <w:rPr>
      <w:rFonts w:ascii="Calibri" w:hAnsi="Calibri" w:eastAsia="宋体" w:cs="Times New Roman"/>
      <w:kern w:val="2"/>
      <w:sz w:val="21"/>
      <w:szCs w:val="22"/>
    </w:rPr>
  </w:style>
  <w:style w:type="character" w:customStyle="1" w:styleId="84">
    <w:name w:val="文档结构图 Char1"/>
    <w:qFormat/>
    <w:uiPriority w:val="0"/>
    <w:rPr>
      <w:rFonts w:ascii="宋体" w:hAnsi="Calibri" w:eastAsia="宋体" w:cs="Times New Roman"/>
      <w:kern w:val="2"/>
      <w:sz w:val="18"/>
      <w:szCs w:val="18"/>
    </w:rPr>
  </w:style>
  <w:style w:type="character" w:customStyle="1" w:styleId="85">
    <w:name w:val="标题 Char2"/>
    <w:qFormat/>
    <w:uiPriority w:val="0"/>
    <w:rPr>
      <w:rFonts w:ascii="Cambria" w:hAnsi="Cambria" w:eastAsia="宋体" w:cs="Times New Roman"/>
      <w:b/>
      <w:bCs/>
      <w:kern w:val="2"/>
      <w:sz w:val="32"/>
      <w:szCs w:val="32"/>
    </w:rPr>
  </w:style>
  <w:style w:type="character" w:customStyle="1" w:styleId="86">
    <w:name w:val="批注框文本 Char"/>
    <w:link w:val="30"/>
    <w:qFormat/>
    <w:uiPriority w:val="99"/>
    <w:rPr>
      <w:rFonts w:ascii="Times New Roman" w:hAnsi="Times New Roman" w:eastAsia="宋体" w:cs="Times New Roman"/>
      <w:kern w:val="2"/>
      <w:sz w:val="18"/>
      <w:szCs w:val="18"/>
    </w:rPr>
  </w:style>
  <w:style w:type="paragraph" w:customStyle="1" w:styleId="87">
    <w:name w:val="正文文本 (12)"/>
    <w:basedOn w:val="1"/>
    <w:link w:val="88"/>
    <w:qFormat/>
    <w:uiPriority w:val="0"/>
    <w:pPr>
      <w:shd w:val="clear" w:color="auto" w:fill="FFFFFF"/>
      <w:spacing w:after="180" w:line="240" w:lineRule="atLeast"/>
      <w:ind w:firstLine="580"/>
    </w:pPr>
    <w:rPr>
      <w:rFonts w:eastAsia="Times New Roman"/>
      <w:kern w:val="0"/>
      <w:sz w:val="19"/>
      <w:szCs w:val="20"/>
      <w:lang w:eastAsia="en-US"/>
    </w:rPr>
  </w:style>
  <w:style w:type="character" w:customStyle="1" w:styleId="88">
    <w:name w:val="正文文本 (12)_"/>
    <w:link w:val="87"/>
    <w:qFormat/>
    <w:uiPriority w:val="0"/>
    <w:rPr>
      <w:rFonts w:ascii="Times New Roman" w:hAnsi="Times New Roman" w:eastAsia="Times New Roman" w:cs="Times New Roman"/>
      <w:sz w:val="19"/>
      <w:shd w:val="clear" w:color="auto" w:fill="FFFFFF"/>
      <w:lang w:eastAsia="en-US"/>
    </w:rPr>
  </w:style>
  <w:style w:type="character" w:customStyle="1" w:styleId="89">
    <w:name w:val="正文文本缩进 2 Char3"/>
    <w:qFormat/>
    <w:uiPriority w:val="0"/>
    <w:rPr>
      <w:rFonts w:ascii="Times New Roman" w:hAnsi="Times New Roman" w:eastAsia="宋体" w:cs="Times New Roman"/>
      <w:kern w:val="2"/>
      <w:sz w:val="21"/>
      <w:szCs w:val="24"/>
    </w:rPr>
  </w:style>
  <w:style w:type="character" w:customStyle="1" w:styleId="90">
    <w:name w:val="正文文本 Char"/>
    <w:qFormat/>
    <w:uiPriority w:val="0"/>
    <w:rPr>
      <w:rFonts w:ascii="Calibri" w:hAnsi="Calibri" w:eastAsia="宋体" w:cs="Times New Roman"/>
      <w:kern w:val="2"/>
      <w:sz w:val="21"/>
      <w:szCs w:val="22"/>
    </w:rPr>
  </w:style>
  <w:style w:type="character" w:customStyle="1" w:styleId="91">
    <w:name w:val="引用 Char2"/>
    <w:qFormat/>
    <w:uiPriority w:val="0"/>
    <w:rPr>
      <w:rFonts w:ascii="Times New Roman" w:hAnsi="Times New Roman" w:eastAsia="宋体" w:cs="Times New Roman"/>
      <w:i/>
      <w:iCs/>
      <w:color w:val="404040"/>
      <w:kern w:val="2"/>
      <w:sz w:val="21"/>
      <w:szCs w:val="24"/>
    </w:rPr>
  </w:style>
  <w:style w:type="character" w:customStyle="1" w:styleId="92">
    <w:name w:val="书籍标题1"/>
    <w:qFormat/>
    <w:uiPriority w:val="0"/>
    <w:rPr>
      <w:rFonts w:ascii="Times New Roman" w:hAnsi="Times New Roman" w:eastAsia="宋体" w:cs="Times New Roman"/>
      <w:b/>
      <w:bCs/>
      <w:smallCaps/>
      <w:spacing w:val="5"/>
    </w:rPr>
  </w:style>
  <w:style w:type="character" w:customStyle="1" w:styleId="93">
    <w:name w:val="副标题 Char3"/>
    <w:qFormat/>
    <w:uiPriority w:val="0"/>
    <w:rPr>
      <w:rFonts w:ascii="Calibri Light" w:hAnsi="Calibri Light" w:eastAsia="宋体" w:cs="Times New Roman"/>
      <w:b/>
      <w:bCs/>
      <w:kern w:val="28"/>
      <w:sz w:val="32"/>
      <w:szCs w:val="32"/>
    </w:rPr>
  </w:style>
  <w:style w:type="paragraph" w:customStyle="1" w:styleId="94">
    <w:name w:val="正文文本 (7)"/>
    <w:basedOn w:val="1"/>
    <w:link w:val="95"/>
    <w:qFormat/>
    <w:uiPriority w:val="0"/>
    <w:pPr>
      <w:shd w:val="clear" w:color="auto" w:fill="FFFFFF"/>
      <w:spacing w:line="240" w:lineRule="atLeast"/>
      <w:jc w:val="center"/>
    </w:pPr>
    <w:rPr>
      <w:rFonts w:ascii="Dotum" w:hAnsi="Dotum" w:eastAsia="Dotum"/>
      <w:spacing w:val="-10"/>
      <w:kern w:val="0"/>
      <w:sz w:val="17"/>
      <w:szCs w:val="20"/>
    </w:rPr>
  </w:style>
  <w:style w:type="character" w:customStyle="1" w:styleId="95">
    <w:name w:val="正文文本 (7)_"/>
    <w:link w:val="94"/>
    <w:qFormat/>
    <w:uiPriority w:val="0"/>
    <w:rPr>
      <w:rFonts w:ascii="Dotum" w:hAnsi="Dotum" w:eastAsia="Dotum" w:cs="Times New Roman"/>
      <w:spacing w:val="-10"/>
      <w:sz w:val="17"/>
      <w:shd w:val="clear" w:color="auto" w:fill="FFFFFF"/>
    </w:rPr>
  </w:style>
  <w:style w:type="character" w:customStyle="1" w:styleId="96">
    <w:name w:val="页脚 Char1"/>
    <w:qFormat/>
    <w:uiPriority w:val="0"/>
    <w:rPr>
      <w:rFonts w:ascii="Calibri" w:hAnsi="Calibri" w:eastAsia="宋体" w:cs="Times New Roman"/>
      <w:kern w:val="2"/>
      <w:sz w:val="18"/>
      <w:szCs w:val="18"/>
    </w:rPr>
  </w:style>
  <w:style w:type="character" w:customStyle="1" w:styleId="97">
    <w:name w:val="副标题 Char"/>
    <w:link w:val="35"/>
    <w:qFormat/>
    <w:uiPriority w:val="0"/>
    <w:rPr>
      <w:rFonts w:ascii="Cambria" w:hAnsi="Cambria" w:eastAsia="宋体" w:cs="Times New Roman"/>
      <w:b/>
      <w:bCs/>
      <w:kern w:val="28"/>
      <w:sz w:val="32"/>
      <w:szCs w:val="32"/>
    </w:rPr>
  </w:style>
  <w:style w:type="character" w:customStyle="1" w:styleId="98">
    <w:name w:val="正文文本 (9) + 4 pt"/>
    <w:qFormat/>
    <w:uiPriority w:val="0"/>
    <w:rPr>
      <w:rFonts w:hint="default" w:ascii="MingLiU" w:hAnsi="MingLiU" w:eastAsia="MingLiU" w:cs="Times New Roman"/>
      <w:spacing w:val="0"/>
      <w:w w:val="40"/>
      <w:sz w:val="8"/>
      <w:lang w:val="zh-CN" w:eastAsia="zh-CN"/>
    </w:rPr>
  </w:style>
  <w:style w:type="paragraph" w:customStyle="1" w:styleId="99">
    <w:name w:val="正文文本 (11)"/>
    <w:basedOn w:val="1"/>
    <w:link w:val="100"/>
    <w:qFormat/>
    <w:uiPriority w:val="0"/>
    <w:pPr>
      <w:shd w:val="clear" w:color="auto" w:fill="FFFFFF"/>
      <w:spacing w:after="180" w:line="240" w:lineRule="atLeast"/>
    </w:pPr>
    <w:rPr>
      <w:rFonts w:ascii="MS Mincho" w:hAnsi="MS Mincho" w:eastAsia="MS Mincho"/>
      <w:spacing w:val="-10"/>
      <w:kern w:val="0"/>
      <w:sz w:val="20"/>
      <w:szCs w:val="20"/>
    </w:rPr>
  </w:style>
  <w:style w:type="character" w:customStyle="1" w:styleId="100">
    <w:name w:val="正文文本 (11)_"/>
    <w:link w:val="99"/>
    <w:qFormat/>
    <w:uiPriority w:val="0"/>
    <w:rPr>
      <w:rFonts w:ascii="MS Mincho" w:hAnsi="MS Mincho" w:eastAsia="MS Mincho" w:cs="Times New Roman"/>
      <w:spacing w:val="-10"/>
      <w:shd w:val="clear" w:color="auto" w:fill="FFFFFF"/>
    </w:rPr>
  </w:style>
  <w:style w:type="character" w:customStyle="1" w:styleId="101">
    <w:name w:val="fontstyle21"/>
    <w:qFormat/>
    <w:uiPriority w:val="0"/>
    <w:rPr>
      <w:rFonts w:ascii="TimesNewRomanPSMT" w:hAnsi="TimesNewRomanPSMT" w:eastAsia="TimesNewRomanPSMT" w:cs="TimesNewRomanPSMT"/>
      <w:color w:val="000000"/>
      <w:sz w:val="22"/>
      <w:szCs w:val="22"/>
    </w:rPr>
  </w:style>
  <w:style w:type="character" w:customStyle="1" w:styleId="102">
    <w:name w:val="Subtitle Char"/>
    <w:qFormat/>
    <w:uiPriority w:val="0"/>
    <w:rPr>
      <w:rFonts w:ascii="Cambria" w:hAnsi="Cambria" w:eastAsia="宋体" w:cs="Times New Roman"/>
      <w:b/>
      <w:kern w:val="28"/>
      <w:sz w:val="32"/>
    </w:rPr>
  </w:style>
  <w:style w:type="character" w:customStyle="1" w:styleId="103">
    <w:name w:val="明显引用 Char2"/>
    <w:qFormat/>
    <w:uiPriority w:val="0"/>
    <w:rPr>
      <w:rFonts w:ascii="Times New Roman" w:hAnsi="Times New Roman" w:eastAsia="宋体" w:cs="Times New Roman"/>
      <w:i/>
      <w:iCs/>
      <w:color w:val="5B9BD5"/>
      <w:kern w:val="2"/>
      <w:sz w:val="21"/>
      <w:szCs w:val="24"/>
    </w:rPr>
  </w:style>
  <w:style w:type="character" w:customStyle="1" w:styleId="104">
    <w:name w:val="不明显参考1"/>
    <w:qFormat/>
    <w:uiPriority w:val="0"/>
    <w:rPr>
      <w:rFonts w:ascii="Times New Roman" w:hAnsi="Times New Roman" w:eastAsia="宋体" w:cs="Times New Roman"/>
      <w:smallCaps/>
    </w:rPr>
  </w:style>
  <w:style w:type="character" w:customStyle="1" w:styleId="105">
    <w:name w:val="正文文本缩进 2 Char2"/>
    <w:qFormat/>
    <w:uiPriority w:val="0"/>
    <w:rPr>
      <w:rFonts w:ascii="Times New Roman" w:hAnsi="Times New Roman" w:eastAsia="宋体" w:cs="Times New Roman"/>
      <w:kern w:val="2"/>
      <w:sz w:val="21"/>
      <w:szCs w:val="24"/>
    </w:rPr>
  </w:style>
  <w:style w:type="paragraph" w:styleId="106">
    <w:name w:val="Intense Quote"/>
    <w:basedOn w:val="1"/>
    <w:next w:val="1"/>
    <w:link w:val="107"/>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rPr>
  </w:style>
  <w:style w:type="character" w:customStyle="1" w:styleId="107">
    <w:name w:val="明显引用 Char"/>
    <w:link w:val="106"/>
    <w:qFormat/>
    <w:uiPriority w:val="0"/>
    <w:rPr>
      <w:rFonts w:ascii="Calibri" w:hAnsi="Calibri" w:eastAsia="宋体" w:cs="Times New Roman"/>
      <w:b/>
      <w:bCs/>
      <w:i/>
      <w:iCs/>
      <w:sz w:val="22"/>
      <w:szCs w:val="22"/>
    </w:rPr>
  </w:style>
  <w:style w:type="character" w:customStyle="1" w:styleId="108">
    <w:name w:val="副标题 Char2"/>
    <w:qFormat/>
    <w:uiPriority w:val="0"/>
    <w:rPr>
      <w:rFonts w:ascii="Cambria" w:hAnsi="Cambria" w:eastAsia="宋体" w:cs="Times New Roman"/>
      <w:b/>
      <w:bCs/>
      <w:kern w:val="28"/>
      <w:sz w:val="32"/>
      <w:szCs w:val="32"/>
    </w:rPr>
  </w:style>
  <w:style w:type="character" w:customStyle="1" w:styleId="109">
    <w:name w:val="Char Char1"/>
    <w:qFormat/>
    <w:uiPriority w:val="0"/>
    <w:rPr>
      <w:rFonts w:ascii="Times New Roman" w:hAnsi="Times New Roman" w:eastAsia="宋体" w:cs="Times New Roman"/>
      <w:kern w:val="2"/>
      <w:sz w:val="18"/>
      <w:szCs w:val="18"/>
    </w:rPr>
  </w:style>
  <w:style w:type="character" w:customStyle="1" w:styleId="110">
    <w:name w:val="题注 Char"/>
    <w:link w:val="21"/>
    <w:qFormat/>
    <w:uiPriority w:val="0"/>
    <w:rPr>
      <w:rFonts w:ascii="宋体" w:hAnsi="Arial" w:eastAsia="宋体" w:cs="Times New Roman"/>
      <w:b/>
      <w:sz w:val="24"/>
    </w:rPr>
  </w:style>
  <w:style w:type="character" w:customStyle="1" w:styleId="111">
    <w:name w:val="正文文本 (10) + MingLiU"/>
    <w:qFormat/>
    <w:uiPriority w:val="0"/>
    <w:rPr>
      <w:rFonts w:hint="default" w:ascii="MingLiU" w:hAnsi="MingLiU" w:eastAsia="MingLiU" w:cs="Times New Roman"/>
      <w:spacing w:val="20"/>
      <w:sz w:val="18"/>
      <w:lang w:val="zh-CN" w:eastAsia="zh-CN"/>
    </w:rPr>
  </w:style>
  <w:style w:type="character" w:customStyle="1" w:styleId="112">
    <w:name w:val="正文文本缩进 2 Char"/>
    <w:link w:val="29"/>
    <w:qFormat/>
    <w:uiPriority w:val="0"/>
    <w:rPr>
      <w:rFonts w:ascii="宋体" w:hAnsi="宋体" w:eastAsia="宋体" w:cs="Times New Roman"/>
      <w:sz w:val="28"/>
      <w:szCs w:val="28"/>
    </w:rPr>
  </w:style>
  <w:style w:type="character" w:customStyle="1" w:styleId="113">
    <w:name w:val="引用 Char1"/>
    <w:qFormat/>
    <w:uiPriority w:val="0"/>
    <w:rPr>
      <w:rFonts w:ascii="Times New Roman" w:hAnsi="Times New Roman" w:eastAsia="宋体" w:cs="Times New Roman"/>
      <w:i/>
      <w:iCs/>
      <w:color w:val="000000"/>
      <w:kern w:val="2"/>
      <w:sz w:val="21"/>
      <w:szCs w:val="24"/>
    </w:rPr>
  </w:style>
  <w:style w:type="character" w:customStyle="1" w:styleId="114">
    <w:name w:val="Char Char3"/>
    <w:qFormat/>
    <w:uiPriority w:val="0"/>
    <w:rPr>
      <w:rFonts w:ascii="Calibri" w:hAnsi="Calibri" w:eastAsia="宋体" w:cs="Times New Roman"/>
      <w:b/>
      <w:bCs/>
      <w:kern w:val="2"/>
      <w:sz w:val="32"/>
      <w:szCs w:val="32"/>
      <w:lang w:val="en-US" w:eastAsia="zh-CN" w:bidi="ar-SA"/>
    </w:rPr>
  </w:style>
  <w:style w:type="paragraph" w:customStyle="1" w:styleId="115">
    <w:name w:val="正文文本 (10)"/>
    <w:basedOn w:val="1"/>
    <w:link w:val="116"/>
    <w:qFormat/>
    <w:uiPriority w:val="0"/>
    <w:pPr>
      <w:shd w:val="clear" w:color="auto" w:fill="FFFFFF"/>
      <w:spacing w:before="60" w:after="60" w:line="240" w:lineRule="atLeast"/>
    </w:pPr>
    <w:rPr>
      <w:rFonts w:eastAsia="Times New Roman"/>
      <w:kern w:val="0"/>
      <w:sz w:val="20"/>
      <w:szCs w:val="20"/>
    </w:rPr>
  </w:style>
  <w:style w:type="character" w:customStyle="1" w:styleId="116">
    <w:name w:val="正文文本 (10)_"/>
    <w:link w:val="115"/>
    <w:qFormat/>
    <w:uiPriority w:val="0"/>
    <w:rPr>
      <w:rFonts w:ascii="Times New Roman" w:hAnsi="Times New Roman" w:eastAsia="Times New Roman" w:cs="Times New Roman"/>
      <w:shd w:val="clear" w:color="auto" w:fill="FFFFFF"/>
    </w:rPr>
  </w:style>
  <w:style w:type="character" w:customStyle="1" w:styleId="117">
    <w:name w:val="批注框文本 Char2"/>
    <w:qFormat/>
    <w:uiPriority w:val="0"/>
    <w:rPr>
      <w:rFonts w:ascii="Calibri" w:hAnsi="Calibri" w:eastAsia="宋体" w:cs="Times New Roman"/>
      <w:kern w:val="2"/>
      <w:sz w:val="18"/>
      <w:szCs w:val="18"/>
    </w:rPr>
  </w:style>
  <w:style w:type="character" w:customStyle="1" w:styleId="118">
    <w:name w:val="批注主题 Char"/>
    <w:link w:val="17"/>
    <w:qFormat/>
    <w:uiPriority w:val="0"/>
    <w:rPr>
      <w:rFonts w:ascii="Times New Roman" w:hAnsi="Times New Roman" w:eastAsia="宋体" w:cs="Times New Roman"/>
      <w:kern w:val="2"/>
      <w:sz w:val="21"/>
      <w:szCs w:val="24"/>
    </w:rPr>
  </w:style>
  <w:style w:type="character" w:customStyle="1" w:styleId="119">
    <w:name w:val="正文文本 (9) + 12.5 pt"/>
    <w:qFormat/>
    <w:uiPriority w:val="0"/>
    <w:rPr>
      <w:rFonts w:hint="eastAsia" w:ascii="MingLiU" w:hAnsi="MingLiU" w:eastAsia="MingLiU" w:cs="Times New Roman"/>
      <w:strike/>
      <w:spacing w:val="0"/>
      <w:sz w:val="25"/>
    </w:rPr>
  </w:style>
  <w:style w:type="character" w:customStyle="1" w:styleId="120">
    <w:name w:val="正文文本 (9) Exact"/>
    <w:qFormat/>
    <w:uiPriority w:val="0"/>
    <w:rPr>
      <w:rFonts w:hint="eastAsia" w:ascii="MingLiU" w:hAnsi="MingLiU" w:eastAsia="MingLiU" w:cs="Times New Roman"/>
      <w:spacing w:val="17"/>
      <w:sz w:val="17"/>
    </w:rPr>
  </w:style>
  <w:style w:type="character" w:customStyle="1" w:styleId="121">
    <w:name w:val="font161"/>
    <w:qFormat/>
    <w:uiPriority w:val="0"/>
    <w:rPr>
      <w:rFonts w:ascii="Times New Roman" w:hAnsi="Times New Roman" w:eastAsia="宋体" w:cs="Times New Roman"/>
      <w:b/>
      <w:bCs/>
      <w:sz w:val="32"/>
      <w:szCs w:val="32"/>
    </w:rPr>
  </w:style>
  <w:style w:type="character" w:customStyle="1" w:styleId="122">
    <w:name w:val="页眉 Char1"/>
    <w:qFormat/>
    <w:uiPriority w:val="0"/>
    <w:rPr>
      <w:rFonts w:ascii="Calibri" w:hAnsi="Calibri" w:eastAsia="宋体" w:cs="Times New Roman"/>
      <w:kern w:val="2"/>
      <w:sz w:val="18"/>
      <w:szCs w:val="18"/>
    </w:rPr>
  </w:style>
  <w:style w:type="character" w:customStyle="1" w:styleId="123">
    <w:name w:val="正文文本 (12) + MingLiU"/>
    <w:qFormat/>
    <w:uiPriority w:val="0"/>
    <w:rPr>
      <w:rFonts w:hint="default" w:ascii="MingLiU" w:hAnsi="MingLiU" w:eastAsia="MingLiU" w:cs="Times New Roman"/>
      <w:sz w:val="17"/>
      <w:lang w:val="zh-CN" w:eastAsia="zh-CN"/>
    </w:rPr>
  </w:style>
  <w:style w:type="paragraph" w:styleId="124">
    <w:name w:val="Quote"/>
    <w:basedOn w:val="1"/>
    <w:next w:val="1"/>
    <w:link w:val="125"/>
    <w:qFormat/>
    <w:uiPriority w:val="0"/>
    <w:pPr>
      <w:widowControl/>
      <w:spacing w:before="200" w:line="276" w:lineRule="auto"/>
      <w:ind w:left="360" w:right="360"/>
      <w:jc w:val="left"/>
    </w:pPr>
    <w:rPr>
      <w:rFonts w:ascii="Calibri" w:hAnsi="Calibri"/>
      <w:i/>
      <w:iCs/>
      <w:kern w:val="0"/>
      <w:sz w:val="22"/>
      <w:szCs w:val="22"/>
    </w:rPr>
  </w:style>
  <w:style w:type="character" w:customStyle="1" w:styleId="125">
    <w:name w:val="引用 Char"/>
    <w:link w:val="124"/>
    <w:qFormat/>
    <w:uiPriority w:val="0"/>
    <w:rPr>
      <w:rFonts w:ascii="Calibri" w:hAnsi="Calibri" w:eastAsia="宋体" w:cs="Times New Roman"/>
      <w:i/>
      <w:iCs/>
      <w:sz w:val="22"/>
      <w:szCs w:val="22"/>
    </w:rPr>
  </w:style>
  <w:style w:type="character" w:customStyle="1" w:styleId="126">
    <w:name w:val="Char Char"/>
    <w:qFormat/>
    <w:uiPriority w:val="0"/>
    <w:rPr>
      <w:rFonts w:ascii="Calibri" w:hAnsi="Calibri" w:eastAsia="宋体" w:cs="Times New Roman"/>
      <w:b/>
      <w:bCs/>
      <w:kern w:val="2"/>
      <w:sz w:val="32"/>
      <w:szCs w:val="32"/>
      <w:lang w:val="en-US" w:eastAsia="zh-CN" w:bidi="ar-SA"/>
    </w:rPr>
  </w:style>
  <w:style w:type="character" w:customStyle="1" w:styleId="127">
    <w:name w:val="标题 Char1"/>
    <w:qFormat/>
    <w:uiPriority w:val="0"/>
    <w:rPr>
      <w:rFonts w:ascii="Cambria" w:hAnsi="Cambria" w:eastAsia="宋体" w:cs="Times New Roman"/>
      <w:b/>
      <w:bCs/>
      <w:kern w:val="2"/>
      <w:sz w:val="32"/>
      <w:szCs w:val="32"/>
    </w:rPr>
  </w:style>
  <w:style w:type="paragraph" w:customStyle="1" w:styleId="128">
    <w:name w:val="正文文本1"/>
    <w:basedOn w:val="1"/>
    <w:link w:val="129"/>
    <w:qFormat/>
    <w:uiPriority w:val="0"/>
    <w:pPr>
      <w:shd w:val="clear" w:color="auto" w:fill="FFFFFF"/>
      <w:spacing w:after="480" w:line="650" w:lineRule="exact"/>
      <w:ind w:hanging="580"/>
      <w:jc w:val="distribute"/>
    </w:pPr>
    <w:rPr>
      <w:rFonts w:ascii="MingLiU" w:hAnsi="MingLiU" w:eastAsia="MingLiU"/>
      <w:spacing w:val="30"/>
      <w:kern w:val="0"/>
      <w:sz w:val="29"/>
      <w:szCs w:val="20"/>
    </w:rPr>
  </w:style>
  <w:style w:type="character" w:customStyle="1" w:styleId="129">
    <w:name w:val="正文文本_"/>
    <w:link w:val="128"/>
    <w:qFormat/>
    <w:uiPriority w:val="0"/>
    <w:rPr>
      <w:rFonts w:ascii="MingLiU" w:hAnsi="MingLiU" w:eastAsia="MingLiU" w:cs="Times New Roman"/>
      <w:spacing w:val="30"/>
      <w:sz w:val="29"/>
      <w:shd w:val="clear" w:color="auto" w:fill="FFFFFF"/>
    </w:rPr>
  </w:style>
  <w:style w:type="character" w:customStyle="1" w:styleId="130">
    <w:name w:val="明显引用 Char1"/>
    <w:qFormat/>
    <w:uiPriority w:val="0"/>
    <w:rPr>
      <w:rFonts w:ascii="Times New Roman" w:hAnsi="Times New Roman" w:eastAsia="宋体" w:cs="Times New Roman"/>
      <w:b/>
      <w:bCs/>
      <w:i/>
      <w:iCs/>
      <w:color w:val="4F81BD"/>
      <w:kern w:val="2"/>
      <w:sz w:val="21"/>
      <w:szCs w:val="24"/>
    </w:rPr>
  </w:style>
  <w:style w:type="character" w:customStyle="1" w:styleId="131">
    <w:name w:val="Char Char31"/>
    <w:qFormat/>
    <w:uiPriority w:val="0"/>
    <w:rPr>
      <w:rFonts w:ascii="Calibri" w:hAnsi="Calibri" w:eastAsia="宋体" w:cs="Times New Roman"/>
      <w:b/>
      <w:bCs/>
      <w:kern w:val="2"/>
      <w:sz w:val="32"/>
      <w:szCs w:val="32"/>
      <w:lang w:val="en-US" w:eastAsia="zh-CN" w:bidi="ar-SA"/>
    </w:rPr>
  </w:style>
  <w:style w:type="character" w:customStyle="1" w:styleId="132">
    <w:name w:val="Char Char21"/>
    <w:qFormat/>
    <w:uiPriority w:val="0"/>
    <w:rPr>
      <w:rFonts w:ascii="Calibri" w:hAnsi="Calibri" w:eastAsia="宋体" w:cs="Times New Roman"/>
      <w:b/>
      <w:bCs/>
      <w:kern w:val="2"/>
      <w:sz w:val="32"/>
      <w:szCs w:val="32"/>
      <w:lang w:val="en-US" w:eastAsia="zh-CN" w:bidi="ar-SA"/>
    </w:rPr>
  </w:style>
  <w:style w:type="character" w:customStyle="1" w:styleId="133">
    <w:name w:val="正文文本 (11) + 间距 0 pt"/>
    <w:qFormat/>
    <w:uiPriority w:val="0"/>
    <w:rPr>
      <w:rFonts w:hint="default" w:ascii="MS Mincho" w:hAnsi="MS Mincho" w:eastAsia="MS Mincho" w:cs="Times New Roman"/>
      <w:spacing w:val="0"/>
      <w:sz w:val="20"/>
      <w:lang w:val="zh-CN" w:eastAsia="zh-CN"/>
    </w:rPr>
  </w:style>
  <w:style w:type="character" w:customStyle="1" w:styleId="134">
    <w:name w:val="Char Char11"/>
    <w:qFormat/>
    <w:uiPriority w:val="0"/>
    <w:rPr>
      <w:rFonts w:ascii="Times New Roman" w:hAnsi="Times New Roman" w:eastAsia="宋体" w:cs="Times New Roman"/>
      <w:kern w:val="2"/>
      <w:sz w:val="18"/>
      <w:szCs w:val="18"/>
    </w:rPr>
  </w:style>
  <w:style w:type="character" w:customStyle="1" w:styleId="135">
    <w:name w:val="纯文本 Char"/>
    <w:link w:val="26"/>
    <w:qFormat/>
    <w:uiPriority w:val="0"/>
    <w:rPr>
      <w:rFonts w:ascii="宋体" w:hAnsi="Courier New" w:eastAsia="宋体" w:cs="Times New Roman"/>
      <w:kern w:val="2"/>
      <w:sz w:val="21"/>
      <w:szCs w:val="21"/>
    </w:rPr>
  </w:style>
  <w:style w:type="character" w:customStyle="1" w:styleId="136">
    <w:name w:val="不明显强调1"/>
    <w:qFormat/>
    <w:uiPriority w:val="0"/>
    <w:rPr>
      <w:rFonts w:ascii="Times New Roman" w:hAnsi="Times New Roman" w:eastAsia="宋体" w:cs="Times New Roman"/>
      <w:i/>
      <w:iCs/>
    </w:rPr>
  </w:style>
  <w:style w:type="character" w:customStyle="1" w:styleId="137">
    <w:name w:val="正文文本 + Times New Roman"/>
    <w:qFormat/>
    <w:uiPriority w:val="0"/>
    <w:rPr>
      <w:rFonts w:hint="eastAsia" w:ascii="Times New Roman" w:hAnsi="Times New Roman" w:eastAsia="Times New Roman" w:cs="Times New Roman"/>
      <w:spacing w:val="0"/>
      <w:sz w:val="31"/>
      <w:lang w:val="en-US" w:eastAsia="en-US"/>
    </w:rPr>
  </w:style>
  <w:style w:type="character" w:customStyle="1" w:styleId="138">
    <w:name w:val="Char Char5"/>
    <w:qFormat/>
    <w:uiPriority w:val="0"/>
    <w:rPr>
      <w:rFonts w:ascii="Cambria" w:hAnsi="Cambria" w:eastAsia="宋体" w:cs="Times New Roman"/>
      <w:b/>
      <w:bCs/>
      <w:kern w:val="28"/>
      <w:sz w:val="32"/>
      <w:szCs w:val="32"/>
    </w:rPr>
  </w:style>
  <w:style w:type="character" w:customStyle="1" w:styleId="139">
    <w:name w:val="Char Char2"/>
    <w:qFormat/>
    <w:uiPriority w:val="0"/>
    <w:rPr>
      <w:rFonts w:ascii="宋体" w:hAnsi="Arial" w:eastAsia="宋体" w:cs="Times New Roman"/>
      <w:b/>
      <w:sz w:val="24"/>
      <w:lang w:val="en-US" w:eastAsia="zh-CN"/>
    </w:rPr>
  </w:style>
  <w:style w:type="character" w:customStyle="1" w:styleId="140">
    <w:name w:val="文档结构图 Char"/>
    <w:link w:val="22"/>
    <w:qFormat/>
    <w:uiPriority w:val="0"/>
    <w:rPr>
      <w:rFonts w:ascii="Times New Roman" w:hAnsi="Times New Roman" w:eastAsia="宋体" w:cs="Times New Roman"/>
      <w:kern w:val="2"/>
      <w:sz w:val="21"/>
      <w:szCs w:val="24"/>
      <w:shd w:val="clear" w:color="auto" w:fill="000080"/>
    </w:rPr>
  </w:style>
  <w:style w:type="character" w:customStyle="1" w:styleId="141">
    <w:name w:val="副标题 Char1"/>
    <w:qFormat/>
    <w:uiPriority w:val="0"/>
    <w:rPr>
      <w:rFonts w:ascii="Cambria" w:hAnsi="Cambria" w:eastAsia="宋体" w:cs="Times New Roman"/>
      <w:b/>
      <w:bCs/>
      <w:kern w:val="28"/>
      <w:sz w:val="32"/>
      <w:szCs w:val="32"/>
    </w:rPr>
  </w:style>
  <w:style w:type="character" w:customStyle="1" w:styleId="142">
    <w:name w:val="日期 Char1"/>
    <w:qFormat/>
    <w:uiPriority w:val="0"/>
    <w:rPr>
      <w:rFonts w:ascii="Times New Roman" w:hAnsi="Times New Roman" w:eastAsia="宋体" w:cs="Times New Roman"/>
    </w:rPr>
  </w:style>
  <w:style w:type="character" w:customStyle="1" w:styleId="143">
    <w:name w:val="标题 Char"/>
    <w:link w:val="43"/>
    <w:qFormat/>
    <w:uiPriority w:val="0"/>
    <w:rPr>
      <w:rFonts w:ascii="Arial" w:hAnsi="Arial" w:eastAsia="宋体" w:cs="Times New Roman"/>
      <w:b/>
      <w:sz w:val="32"/>
    </w:rPr>
  </w:style>
  <w:style w:type="character" w:customStyle="1" w:styleId="144">
    <w:name w:val="明显强调1"/>
    <w:qFormat/>
    <w:uiPriority w:val="0"/>
    <w:rPr>
      <w:rFonts w:ascii="Times New Roman" w:hAnsi="Times New Roman" w:eastAsia="宋体" w:cs="Times New Roman"/>
      <w:b/>
      <w:bCs/>
    </w:rPr>
  </w:style>
  <w:style w:type="character" w:customStyle="1" w:styleId="145">
    <w:name w:val="批注主题 Char1"/>
    <w:qFormat/>
    <w:uiPriority w:val="0"/>
    <w:rPr>
      <w:rFonts w:ascii="Calibri" w:hAnsi="Calibri" w:eastAsia="宋体" w:cs="Times New Roman"/>
      <w:b/>
      <w:bCs/>
      <w:kern w:val="2"/>
      <w:sz w:val="21"/>
      <w:szCs w:val="22"/>
    </w:rPr>
  </w:style>
  <w:style w:type="character" w:customStyle="1" w:styleId="146">
    <w:name w:val="明显参考1"/>
    <w:qFormat/>
    <w:uiPriority w:val="0"/>
    <w:rPr>
      <w:rFonts w:ascii="Times New Roman" w:hAnsi="Times New Roman" w:eastAsia="宋体" w:cs="Times New Roman"/>
      <w:smallCaps/>
      <w:spacing w:val="5"/>
      <w:u w:val="single"/>
    </w:rPr>
  </w:style>
  <w:style w:type="paragraph" w:customStyle="1" w:styleId="147">
    <w:name w:val="标注"/>
    <w:basedOn w:val="1"/>
    <w:qFormat/>
    <w:uiPriority w:val="0"/>
    <w:pPr>
      <w:adjustRightInd w:val="0"/>
      <w:snapToGrid w:val="0"/>
    </w:pPr>
    <w:rPr>
      <w:rFonts w:ascii="宋体"/>
      <w:sz w:val="18"/>
    </w:rPr>
  </w:style>
  <w:style w:type="paragraph" w:customStyle="1" w:styleId="148">
    <w:name w:val="样式 3"/>
    <w:basedOn w:val="1"/>
    <w:qFormat/>
    <w:uiPriority w:val="0"/>
    <w:pPr>
      <w:spacing w:line="360" w:lineRule="auto"/>
      <w:ind w:firstLine="482" w:firstLineChars="200"/>
    </w:pPr>
    <w:rPr>
      <w:rFonts w:ascii="宋体" w:cs="宋体"/>
      <w:b/>
      <w:bCs/>
      <w:sz w:val="24"/>
      <w:szCs w:val="20"/>
    </w:rPr>
  </w:style>
  <w:style w:type="paragraph" w:customStyle="1" w:styleId="149">
    <w:name w:val="Heading 2"/>
    <w:basedOn w:val="1"/>
    <w:qFormat/>
    <w:uiPriority w:val="0"/>
    <w:pPr>
      <w:ind w:left="2504"/>
      <w:jc w:val="left"/>
      <w:outlineLvl w:val="2"/>
    </w:pPr>
    <w:rPr>
      <w:rFonts w:ascii="宋体" w:hAnsi="宋体"/>
      <w:kern w:val="0"/>
      <w:sz w:val="32"/>
      <w:szCs w:val="32"/>
      <w:lang w:eastAsia="en-US"/>
    </w:rPr>
  </w:style>
  <w:style w:type="paragraph" w:styleId="150">
    <w:name w:val="No Spacing"/>
    <w:basedOn w:val="1"/>
    <w:qFormat/>
    <w:uiPriority w:val="0"/>
    <w:pPr>
      <w:widowControl/>
      <w:jc w:val="left"/>
    </w:pPr>
    <w:rPr>
      <w:rFonts w:ascii="Calibri" w:hAnsi="Calibri"/>
      <w:kern w:val="0"/>
      <w:sz w:val="22"/>
      <w:szCs w:val="22"/>
    </w:rPr>
  </w:style>
  <w:style w:type="paragraph" w:customStyle="1" w:styleId="151">
    <w:name w:val="Char Char Char Char Char Char Char"/>
    <w:basedOn w:val="1"/>
    <w:qFormat/>
    <w:uiPriority w:val="0"/>
  </w:style>
  <w:style w:type="paragraph" w:customStyle="1" w:styleId="152">
    <w:name w:val="样式 标题 2 + Times New Roman 四号 非加粗 段前: 5 磅 段后: 0 磅 行距: 固定值 20..."/>
    <w:basedOn w:val="9"/>
    <w:qFormat/>
    <w:uiPriority w:val="0"/>
    <w:pPr>
      <w:spacing w:before="100" w:after="0" w:line="400" w:lineRule="exact"/>
    </w:pPr>
    <w:rPr>
      <w:rFonts w:ascii="Times New Roman" w:hAnsi="Times New Roman" w:eastAsia="宋体" w:cs="宋体"/>
      <w:b w:val="0"/>
      <w:bCs w:val="0"/>
      <w:sz w:val="28"/>
      <w:szCs w:val="20"/>
    </w:rPr>
  </w:style>
  <w:style w:type="paragraph" w:customStyle="1" w:styleId="153">
    <w:name w:val="表格"/>
    <w:basedOn w:val="1"/>
    <w:qFormat/>
    <w:uiPriority w:val="0"/>
    <w:pPr>
      <w:jc w:val="center"/>
      <w:textAlignment w:val="center"/>
    </w:pPr>
    <w:rPr>
      <w:rFonts w:ascii="华文细黑" w:hAnsi="华文细黑"/>
      <w:kern w:val="0"/>
      <w:szCs w:val="20"/>
    </w:rPr>
  </w:style>
  <w:style w:type="paragraph" w:styleId="154">
    <w:name w:val="List Paragraph"/>
    <w:basedOn w:val="1"/>
    <w:qFormat/>
    <w:uiPriority w:val="34"/>
    <w:pPr>
      <w:jc w:val="left"/>
    </w:pPr>
    <w:rPr>
      <w:rFonts w:ascii="Calibri" w:hAnsi="Calibri"/>
      <w:kern w:val="0"/>
      <w:sz w:val="22"/>
      <w:szCs w:val="22"/>
      <w:lang w:eastAsia="en-US"/>
    </w:rPr>
  </w:style>
  <w:style w:type="paragraph" w:customStyle="1" w:styleId="155">
    <w:name w:val="Heading 1"/>
    <w:basedOn w:val="1"/>
    <w:qFormat/>
    <w:uiPriority w:val="0"/>
    <w:pPr>
      <w:spacing w:before="3"/>
      <w:jc w:val="left"/>
      <w:outlineLvl w:val="1"/>
    </w:pPr>
    <w:rPr>
      <w:rFonts w:ascii="黑体" w:hAnsi="黑体" w:eastAsia="黑体"/>
      <w:kern w:val="0"/>
      <w:sz w:val="36"/>
      <w:szCs w:val="36"/>
      <w:lang w:eastAsia="en-US"/>
    </w:rPr>
  </w:style>
  <w:style w:type="paragraph" w:customStyle="1" w:styleId="156">
    <w:name w:val="ÕýÎÄ"/>
    <w:qFormat/>
    <w:uiPriority w:val="0"/>
    <w:pPr>
      <w:autoSpaceDE w:val="0"/>
      <w:autoSpaceDN w:val="0"/>
      <w:adjustRightInd w:val="0"/>
    </w:pPr>
    <w:rPr>
      <w:rFonts w:ascii="Times New Roman" w:hAnsi="Times New Roman" w:eastAsia="宋体" w:cs="Times New Roman"/>
      <w:sz w:val="21"/>
      <w:lang w:val="en-US" w:eastAsia="zh-CN" w:bidi="ar-SA"/>
    </w:rPr>
  </w:style>
  <w:style w:type="paragraph" w:customStyle="1" w:styleId="157">
    <w:name w:val="正文1"/>
    <w:basedOn w:val="1"/>
    <w:qFormat/>
    <w:uiPriority w:val="0"/>
    <w:pPr>
      <w:widowControl/>
    </w:pPr>
    <w:rPr>
      <w:szCs w:val="21"/>
    </w:rPr>
  </w:style>
  <w:style w:type="paragraph" w:customStyle="1" w:styleId="158">
    <w:name w:val="样式2"/>
    <w:basedOn w:val="9"/>
    <w:next w:val="1"/>
    <w:link w:val="209"/>
    <w:qFormat/>
    <w:uiPriority w:val="0"/>
    <w:pPr>
      <w:tabs>
        <w:tab w:val="left" w:pos="720"/>
      </w:tabs>
      <w:spacing w:before="0" w:after="0" w:line="360" w:lineRule="auto"/>
      <w:jc w:val="left"/>
    </w:pPr>
    <w:rPr>
      <w:rFonts w:ascii="Cambria" w:hAnsi="Cambria" w:eastAsia="宋体"/>
      <w:sz w:val="24"/>
    </w:rPr>
  </w:style>
  <w:style w:type="paragraph" w:customStyle="1" w:styleId="159">
    <w:name w:val="表"/>
    <w:basedOn w:val="1"/>
    <w:qFormat/>
    <w:uiPriority w:val="0"/>
    <w:pPr>
      <w:spacing w:line="340" w:lineRule="exact"/>
      <w:jc w:val="center"/>
    </w:pPr>
    <w:rPr>
      <w:szCs w:val="20"/>
    </w:rPr>
  </w:style>
  <w:style w:type="paragraph" w:customStyle="1" w:styleId="160">
    <w:name w:val="TOC 标题1"/>
    <w:basedOn w:val="7"/>
    <w:next w:val="1"/>
    <w:qFormat/>
    <w:uiPriority w:val="39"/>
    <w:pPr>
      <w:outlineLvl w:val="9"/>
    </w:pPr>
  </w:style>
  <w:style w:type="paragraph" w:customStyle="1" w:styleId="161">
    <w:name w:val="1"/>
    <w:basedOn w:val="1"/>
    <w:next w:val="1"/>
    <w:qFormat/>
    <w:uiPriority w:val="0"/>
  </w:style>
  <w:style w:type="paragraph" w:customStyle="1" w:styleId="162">
    <w:name w:val="样式 标题 1 + 黑体 三号 非加粗 居中 段前: 6 磅 段后: 6 磅 行距: 固定值 20 磅"/>
    <w:basedOn w:val="7"/>
    <w:qFormat/>
    <w:uiPriority w:val="0"/>
    <w:pPr>
      <w:spacing w:before="120" w:after="120" w:line="400" w:lineRule="exact"/>
      <w:jc w:val="center"/>
    </w:pPr>
    <w:rPr>
      <w:rFonts w:ascii="黑体" w:hAnsi="黑体" w:eastAsia="黑体" w:cs="宋体"/>
      <w:b w:val="0"/>
      <w:bCs w:val="0"/>
      <w:sz w:val="32"/>
      <w:szCs w:val="20"/>
    </w:rPr>
  </w:style>
  <w:style w:type="paragraph" w:customStyle="1" w:styleId="163">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64">
    <w:name w:val="正文缩进1"/>
    <w:basedOn w:val="1"/>
    <w:qFormat/>
    <w:uiPriority w:val="0"/>
    <w:pPr>
      <w:widowControl/>
      <w:autoSpaceDE w:val="0"/>
      <w:autoSpaceDN w:val="0"/>
      <w:adjustRightInd w:val="0"/>
      <w:spacing w:before="60" w:after="60" w:line="480" w:lineRule="exact"/>
      <w:ind w:left="630" w:right="389" w:firstLine="420"/>
      <w:jc w:val="left"/>
    </w:pPr>
    <w:rPr>
      <w:rFonts w:ascii="CG Times" w:hAnsi="CG Times"/>
      <w:kern w:val="0"/>
      <w:sz w:val="24"/>
      <w:szCs w:val="20"/>
    </w:rPr>
  </w:style>
  <w:style w:type="paragraph" w:customStyle="1" w:styleId="165">
    <w:name w:val="列出段落1"/>
    <w:basedOn w:val="1"/>
    <w:link w:val="196"/>
    <w:qFormat/>
    <w:uiPriority w:val="34"/>
    <w:pPr>
      <w:ind w:firstLine="420" w:firstLineChars="200"/>
    </w:pPr>
    <w:rPr>
      <w:rFonts w:ascii="Calibri" w:hAnsi="Calibri"/>
      <w:szCs w:val="22"/>
    </w:rPr>
  </w:style>
  <w:style w:type="paragraph" w:customStyle="1" w:styleId="166">
    <w:name w:val="TOC 标题11"/>
    <w:basedOn w:val="7"/>
    <w:next w:val="1"/>
    <w:qFormat/>
    <w:uiPriority w:val="0"/>
    <w:pPr>
      <w:tabs>
        <w:tab w:val="left" w:pos="1080"/>
      </w:tabs>
      <w:spacing w:before="480" w:after="0" w:line="276" w:lineRule="auto"/>
      <w:outlineLvl w:val="9"/>
    </w:pPr>
    <w:rPr>
      <w:rFonts w:ascii="Cambria" w:hAnsi="Cambria"/>
      <w:color w:val="365F91"/>
      <w:kern w:val="0"/>
      <w:sz w:val="28"/>
      <w:szCs w:val="28"/>
    </w:rPr>
  </w:style>
  <w:style w:type="paragraph" w:customStyle="1" w:styleId="167">
    <w:name w:val="2级小标题"/>
    <w:basedOn w:val="1"/>
    <w:qFormat/>
    <w:uiPriority w:val="0"/>
    <w:pPr>
      <w:jc w:val="left"/>
    </w:pPr>
    <w:rPr>
      <w:rFonts w:ascii="Calibri" w:hAnsi="Calibri"/>
      <w:b/>
      <w:szCs w:val="22"/>
    </w:rPr>
  </w:style>
  <w:style w:type="paragraph" w:customStyle="1" w:styleId="168">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n_p_lineheight"/>
    <w:basedOn w:val="1"/>
    <w:qFormat/>
    <w:uiPriority w:val="0"/>
    <w:pPr>
      <w:widowControl/>
      <w:jc w:val="left"/>
    </w:pPr>
    <w:rPr>
      <w:rFonts w:ascii="宋体" w:hAnsi="宋体" w:cs="宋体"/>
      <w:kern w:val="0"/>
      <w:sz w:val="24"/>
    </w:rPr>
  </w:style>
  <w:style w:type="paragraph" w:customStyle="1" w:styleId="170">
    <w:name w:val="TOC 标题2"/>
    <w:basedOn w:val="7"/>
    <w:next w:val="1"/>
    <w:qFormat/>
    <w:uiPriority w:val="0"/>
    <w:pPr>
      <w:spacing w:before="480" w:after="0" w:line="276" w:lineRule="auto"/>
      <w:outlineLvl w:val="9"/>
    </w:pPr>
    <w:rPr>
      <w:rFonts w:ascii="Cambria" w:hAnsi="Cambria"/>
      <w:color w:val="365F91"/>
      <w:kern w:val="0"/>
      <w:sz w:val="28"/>
      <w:szCs w:val="28"/>
    </w:rPr>
  </w:style>
  <w:style w:type="paragraph" w:customStyle="1" w:styleId="171">
    <w:name w:val="正文yiyuan"/>
    <w:basedOn w:val="1"/>
    <w:qFormat/>
    <w:uiPriority w:val="0"/>
    <w:pPr>
      <w:spacing w:before="40" w:after="80" w:line="360" w:lineRule="auto"/>
      <w:ind w:firstLine="560" w:firstLineChars="200"/>
    </w:pPr>
    <w:rPr>
      <w:rFonts w:eastAsia="仿宋_GB2312"/>
      <w:sz w:val="28"/>
      <w:szCs w:val="28"/>
    </w:rPr>
  </w:style>
  <w:style w:type="paragraph" w:customStyle="1" w:styleId="172">
    <w:name w:val="_Style 2"/>
    <w:basedOn w:val="1"/>
    <w:qFormat/>
    <w:uiPriority w:val="0"/>
    <w:pPr>
      <w:ind w:firstLine="420"/>
    </w:pPr>
    <w:rPr>
      <w:rFonts w:ascii="Calibri" w:hAnsi="Calibri"/>
      <w:szCs w:val="22"/>
    </w:rPr>
  </w:style>
  <w:style w:type="paragraph" w:customStyle="1" w:styleId="173">
    <w:name w:val="表注"/>
    <w:qFormat/>
    <w:uiPriority w:val="0"/>
    <w:pPr>
      <w:jc w:val="both"/>
    </w:pPr>
    <w:rPr>
      <w:rFonts w:ascii="Times New Roman" w:hAnsi="Times New Roman" w:eastAsia="宋体" w:cs="Times New Roman"/>
      <w:sz w:val="21"/>
      <w:lang w:val="en-US" w:eastAsia="zh-CN" w:bidi="ar-SA"/>
    </w:rPr>
  </w:style>
  <w:style w:type="paragraph" w:customStyle="1" w:styleId="174">
    <w:name w:val="列出段落2"/>
    <w:basedOn w:val="1"/>
    <w:qFormat/>
    <w:uiPriority w:val="0"/>
    <w:pPr>
      <w:ind w:firstLine="420" w:firstLineChars="200"/>
    </w:pPr>
    <w:rPr>
      <w:rFonts w:ascii="Calibri" w:hAnsi="Calibri"/>
      <w:szCs w:val="22"/>
    </w:rPr>
  </w:style>
  <w:style w:type="paragraph" w:customStyle="1" w:styleId="175">
    <w:name w:val="表格文字"/>
    <w:basedOn w:val="1"/>
    <w:qFormat/>
    <w:uiPriority w:val="0"/>
    <w:pPr>
      <w:adjustRightInd w:val="0"/>
      <w:spacing w:line="420" w:lineRule="atLeast"/>
      <w:jc w:val="left"/>
      <w:textAlignment w:val="baseline"/>
    </w:pPr>
    <w:rPr>
      <w:kern w:val="0"/>
      <w:szCs w:val="20"/>
    </w:rPr>
  </w:style>
  <w:style w:type="paragraph" w:customStyle="1" w:styleId="176">
    <w:name w:val="标题-4"/>
    <w:basedOn w:val="11"/>
    <w:link w:val="193"/>
    <w:qFormat/>
    <w:uiPriority w:val="0"/>
    <w:pPr>
      <w:keepNext w:val="0"/>
      <w:keepLines w:val="0"/>
      <w:numPr>
        <w:ilvl w:val="3"/>
        <w:numId w:val="1"/>
      </w:numPr>
      <w:spacing w:before="0" w:after="0" w:line="360" w:lineRule="auto"/>
      <w:contextualSpacing/>
    </w:pPr>
    <w:rPr>
      <w:sz w:val="24"/>
    </w:rPr>
  </w:style>
  <w:style w:type="paragraph" w:customStyle="1" w:styleId="177">
    <w:name w:val="样式1"/>
    <w:basedOn w:val="158"/>
    <w:link w:val="197"/>
    <w:qFormat/>
    <w:uiPriority w:val="0"/>
    <w:pPr>
      <w:keepNext w:val="0"/>
      <w:keepLines w:val="0"/>
      <w:pageBreakBefore/>
      <w:spacing w:beforeLines="50" w:afterLines="50"/>
      <w:jc w:val="center"/>
      <w:outlineLvl w:val="0"/>
    </w:pPr>
    <w:rPr>
      <w:rFonts w:ascii="黑体" w:hAnsi="黑体" w:eastAsia="黑体"/>
      <w:sz w:val="32"/>
    </w:rPr>
  </w:style>
  <w:style w:type="paragraph" w:customStyle="1" w:styleId="178">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179">
    <w:name w:val="Table Paragraph"/>
    <w:basedOn w:val="1"/>
    <w:qFormat/>
    <w:uiPriority w:val="0"/>
    <w:pPr>
      <w:jc w:val="left"/>
    </w:pPr>
    <w:rPr>
      <w:rFonts w:ascii="Calibri" w:hAnsi="Calibri"/>
      <w:kern w:val="0"/>
      <w:sz w:val="22"/>
      <w:szCs w:val="22"/>
      <w:lang w:eastAsia="en-US"/>
    </w:rPr>
  </w:style>
  <w:style w:type="paragraph" w:customStyle="1" w:styleId="180">
    <w:name w:val="样式 标题 3 + (中文) 黑体 小四 非加粗 段前: 7.8 磅 段后: 0 磅 行距: 固定值 20 磅"/>
    <w:basedOn w:val="10"/>
    <w:qFormat/>
    <w:uiPriority w:val="0"/>
    <w:pPr>
      <w:spacing w:before="0" w:after="0" w:line="400" w:lineRule="exact"/>
    </w:pPr>
    <w:rPr>
      <w:rFonts w:eastAsia="黑体" w:cs="宋体"/>
      <w:b w:val="0"/>
      <w:bCs w:val="0"/>
      <w:sz w:val="24"/>
      <w:szCs w:val="20"/>
    </w:rPr>
  </w:style>
  <w:style w:type="paragraph" w:customStyle="1" w:styleId="181">
    <w:name w:val="_Style 6"/>
    <w:basedOn w:val="7"/>
    <w:next w:val="1"/>
    <w:qFormat/>
    <w:uiPriority w:val="0"/>
    <w:pPr>
      <w:outlineLvl w:val="9"/>
    </w:pPr>
  </w:style>
  <w:style w:type="paragraph" w:customStyle="1" w:styleId="18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3">
    <w:name w:val="修订1"/>
    <w:qFormat/>
    <w:uiPriority w:val="99"/>
    <w:rPr>
      <w:rFonts w:ascii="Times New Roman" w:hAnsi="Times New Roman" w:eastAsia="宋体" w:cs="Times New Roman"/>
      <w:kern w:val="2"/>
      <w:sz w:val="21"/>
      <w:szCs w:val="24"/>
      <w:lang w:val="en-US" w:eastAsia="zh-CN" w:bidi="ar-SA"/>
    </w:rPr>
  </w:style>
  <w:style w:type="table" w:customStyle="1" w:styleId="184">
    <w:name w:val="网格型2"/>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5">
    <w:name w:val="Table Normal"/>
    <w:qFormat/>
    <w:uiPriority w:val="0"/>
    <w:pPr>
      <w:widowControl w:val="0"/>
    </w:pPr>
    <w:rPr>
      <w:sz w:val="22"/>
      <w:szCs w:val="22"/>
      <w:lang w:eastAsia="en-US"/>
    </w:rPr>
    <w:tblPr>
      <w:tblLayout w:type="fixed"/>
      <w:tblCellMar>
        <w:top w:w="0" w:type="dxa"/>
        <w:left w:w="0" w:type="dxa"/>
        <w:bottom w:w="0" w:type="dxa"/>
        <w:right w:w="0" w:type="dxa"/>
      </w:tblCellMar>
    </w:tblPr>
  </w:style>
  <w:style w:type="table" w:customStyle="1" w:styleId="186">
    <w:name w:val="网格型1"/>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7">
    <w:name w:val="网格型11"/>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88">
    <w:name w:val="网格型3"/>
    <w:basedOn w:val="5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9">
    <w:name w:val="标题-2"/>
    <w:basedOn w:val="9"/>
    <w:link w:val="190"/>
    <w:qFormat/>
    <w:uiPriority w:val="0"/>
    <w:pPr>
      <w:keepLines w:val="0"/>
      <w:tabs>
        <w:tab w:val="left" w:pos="0"/>
        <w:tab w:val="left" w:pos="280"/>
      </w:tabs>
      <w:spacing w:before="360" w:after="120" w:line="360" w:lineRule="auto"/>
      <w:ind w:hanging="578"/>
      <w:jc w:val="left"/>
    </w:pPr>
    <w:rPr>
      <w:sz w:val="24"/>
    </w:rPr>
  </w:style>
  <w:style w:type="character" w:customStyle="1" w:styleId="190">
    <w:name w:val="标题-2 Char"/>
    <w:link w:val="189"/>
    <w:qFormat/>
    <w:uiPriority w:val="0"/>
    <w:rPr>
      <w:rFonts w:ascii="Arial" w:hAnsi="Arial" w:eastAsia="黑体" w:cs="Times New Roman"/>
      <w:b/>
      <w:bCs/>
      <w:kern w:val="2"/>
      <w:sz w:val="24"/>
      <w:szCs w:val="32"/>
      <w:lang w:val="en-US" w:eastAsia="zh-CN" w:bidi="ar-SA"/>
    </w:rPr>
  </w:style>
  <w:style w:type="paragraph" w:customStyle="1" w:styleId="191">
    <w:name w:val="标题-3"/>
    <w:basedOn w:val="10"/>
    <w:link w:val="192"/>
    <w:qFormat/>
    <w:uiPriority w:val="0"/>
    <w:pPr>
      <w:keepNext w:val="0"/>
      <w:keepLines w:val="0"/>
      <w:tabs>
        <w:tab w:val="left" w:pos="284"/>
      </w:tabs>
      <w:spacing w:before="240" w:after="120" w:line="360" w:lineRule="auto"/>
      <w:jc w:val="left"/>
    </w:pPr>
    <w:rPr>
      <w:rFonts w:ascii="Arial" w:hAnsi="Arial"/>
      <w:sz w:val="24"/>
    </w:rPr>
  </w:style>
  <w:style w:type="character" w:customStyle="1" w:styleId="192">
    <w:name w:val="标题-3 Char"/>
    <w:link w:val="191"/>
    <w:qFormat/>
    <w:uiPriority w:val="0"/>
    <w:rPr>
      <w:rFonts w:ascii="Arial" w:hAnsi="Arial" w:eastAsia="宋体" w:cs="Times New Roman"/>
      <w:b/>
      <w:bCs/>
      <w:kern w:val="2"/>
      <w:sz w:val="24"/>
      <w:szCs w:val="32"/>
    </w:rPr>
  </w:style>
  <w:style w:type="character" w:customStyle="1" w:styleId="193">
    <w:name w:val="标题-4 Char"/>
    <w:link w:val="176"/>
    <w:qFormat/>
    <w:uiPriority w:val="0"/>
    <w:rPr>
      <w:rFonts w:ascii="Arial" w:hAnsi="Arial" w:eastAsia="黑体" w:cs="Times New Roman"/>
      <w:b/>
      <w:bCs/>
      <w:kern w:val="2"/>
      <w:sz w:val="24"/>
      <w:szCs w:val="28"/>
    </w:rPr>
  </w:style>
  <w:style w:type="paragraph" w:customStyle="1" w:styleId="194">
    <w:name w:val="标题-5"/>
    <w:basedOn w:val="13"/>
    <w:link w:val="195"/>
    <w:qFormat/>
    <w:uiPriority w:val="0"/>
    <w:pPr>
      <w:keepLines w:val="0"/>
      <w:widowControl w:val="0"/>
      <w:tabs>
        <w:tab w:val="left" w:pos="0"/>
        <w:tab w:val="left" w:pos="1200"/>
        <w:tab w:val="clear" w:pos="1440"/>
      </w:tabs>
      <w:spacing w:before="0" w:after="0" w:line="360" w:lineRule="auto"/>
      <w:ind w:left="567"/>
    </w:pPr>
    <w:rPr>
      <w:kern w:val="2"/>
    </w:rPr>
  </w:style>
  <w:style w:type="character" w:customStyle="1" w:styleId="195">
    <w:name w:val="标题-5 Char"/>
    <w:link w:val="194"/>
    <w:qFormat/>
    <w:uiPriority w:val="0"/>
    <w:rPr>
      <w:rFonts w:ascii="Arial" w:hAnsi="Arial" w:eastAsia="黑体" w:cs="Times New Roman"/>
      <w:b/>
      <w:bCs/>
      <w:kern w:val="2"/>
      <w:sz w:val="24"/>
      <w:szCs w:val="24"/>
    </w:rPr>
  </w:style>
  <w:style w:type="character" w:customStyle="1" w:styleId="196">
    <w:name w:val="列出段落 Char"/>
    <w:link w:val="165"/>
    <w:qFormat/>
    <w:uiPriority w:val="34"/>
    <w:rPr>
      <w:rFonts w:ascii="Calibri" w:hAnsi="Calibri" w:eastAsia="宋体" w:cs="Times New Roman"/>
      <w:kern w:val="2"/>
      <w:sz w:val="21"/>
      <w:szCs w:val="22"/>
    </w:rPr>
  </w:style>
  <w:style w:type="character" w:customStyle="1" w:styleId="197">
    <w:name w:val="样式1 Char"/>
    <w:link w:val="177"/>
    <w:qFormat/>
    <w:uiPriority w:val="0"/>
    <w:rPr>
      <w:rFonts w:ascii="黑体" w:hAnsi="黑体" w:eastAsia="黑体" w:cs="Times New Roman"/>
      <w:b/>
      <w:bCs/>
      <w:kern w:val="2"/>
      <w:sz w:val="32"/>
      <w:szCs w:val="32"/>
    </w:rPr>
  </w:style>
  <w:style w:type="character" w:customStyle="1" w:styleId="198">
    <w:name w:val="正文文本 (2)_"/>
    <w:link w:val="199"/>
    <w:qFormat/>
    <w:uiPriority w:val="0"/>
    <w:rPr>
      <w:rFonts w:ascii="MingLiU" w:hAnsi="MingLiU" w:eastAsia="MingLiU" w:cs="MingLiU"/>
      <w:shd w:val="clear" w:color="auto" w:fill="FFFFFF"/>
    </w:rPr>
  </w:style>
  <w:style w:type="paragraph" w:customStyle="1" w:styleId="199">
    <w:name w:val="正文文本 (2)"/>
    <w:basedOn w:val="1"/>
    <w:link w:val="198"/>
    <w:qFormat/>
    <w:uiPriority w:val="0"/>
    <w:pPr>
      <w:shd w:val="clear" w:color="auto" w:fill="FFFFFF"/>
      <w:spacing w:line="342" w:lineRule="exact"/>
      <w:ind w:hanging="120"/>
    </w:pPr>
    <w:rPr>
      <w:rFonts w:ascii="MingLiU" w:hAnsi="MingLiU" w:eastAsia="MingLiU"/>
      <w:kern w:val="0"/>
      <w:sz w:val="20"/>
      <w:szCs w:val="20"/>
    </w:rPr>
  </w:style>
  <w:style w:type="character" w:customStyle="1" w:styleId="200">
    <w:name w:val="正文文本 (2) + Arial Unicode MS"/>
    <w:qFormat/>
    <w:uiPriority w:val="0"/>
    <w:rPr>
      <w:rFonts w:ascii="Arial Unicode MS" w:hAnsi="Arial Unicode MS" w:eastAsia="Arial Unicode MS" w:cs="Arial Unicode MS"/>
      <w:color w:val="000000"/>
      <w:spacing w:val="0"/>
      <w:w w:val="100"/>
      <w:position w:val="0"/>
      <w:shd w:val="clear" w:color="auto" w:fill="FFFFFF"/>
      <w:lang w:val="en-US" w:eastAsia="en-US" w:bidi="en-US"/>
    </w:rPr>
  </w:style>
  <w:style w:type="character" w:customStyle="1" w:styleId="201">
    <w:name w:val="页眉或页脚_"/>
    <w:qFormat/>
    <w:uiPriority w:val="0"/>
    <w:rPr>
      <w:rFonts w:ascii="MingLiU" w:hAnsi="MingLiU" w:eastAsia="MingLiU" w:cs="MingLiU"/>
      <w:sz w:val="22"/>
      <w:szCs w:val="22"/>
      <w:u w:val="none"/>
    </w:rPr>
  </w:style>
  <w:style w:type="character" w:customStyle="1" w:styleId="202">
    <w:name w:val="页眉或页脚"/>
    <w:qFormat/>
    <w:uiPriority w:val="0"/>
    <w:rPr>
      <w:rFonts w:ascii="MingLiU" w:hAnsi="MingLiU" w:eastAsia="MingLiU" w:cs="MingLiU"/>
      <w:color w:val="000000"/>
      <w:spacing w:val="0"/>
      <w:w w:val="100"/>
      <w:position w:val="0"/>
      <w:sz w:val="22"/>
      <w:szCs w:val="22"/>
      <w:u w:val="none"/>
      <w:lang w:val="zh-CN" w:eastAsia="zh-CN" w:bidi="zh-CN"/>
    </w:rPr>
  </w:style>
  <w:style w:type="character" w:customStyle="1" w:styleId="203">
    <w:name w:val="正文文本 (2) + 间距 1 pt"/>
    <w:qFormat/>
    <w:uiPriority w:val="0"/>
    <w:rPr>
      <w:rFonts w:ascii="MingLiU" w:hAnsi="MingLiU" w:eastAsia="MingLiU" w:cs="MingLiU"/>
      <w:color w:val="000000"/>
      <w:spacing w:val="30"/>
      <w:w w:val="100"/>
      <w:position w:val="0"/>
      <w:u w:val="none"/>
      <w:shd w:val="clear" w:color="auto" w:fill="FFFFFF"/>
      <w:lang w:val="zh-CN" w:eastAsia="zh-CN" w:bidi="zh-CN"/>
    </w:rPr>
  </w:style>
  <w:style w:type="character" w:customStyle="1" w:styleId="204">
    <w:name w:val="正文文本 (2) + 9.5 pt"/>
    <w:qFormat/>
    <w:uiPriority w:val="0"/>
    <w:rPr>
      <w:rFonts w:ascii="MingLiU" w:hAnsi="MingLiU" w:eastAsia="MingLiU" w:cs="MingLiU"/>
      <w:color w:val="000000"/>
      <w:spacing w:val="0"/>
      <w:w w:val="100"/>
      <w:position w:val="0"/>
      <w:sz w:val="19"/>
      <w:szCs w:val="19"/>
      <w:u w:val="none"/>
      <w:shd w:val="clear" w:color="auto" w:fill="FFFFFF"/>
      <w:lang w:val="zh-CN" w:eastAsia="zh-CN" w:bidi="zh-CN"/>
    </w:rPr>
  </w:style>
  <w:style w:type="character" w:customStyle="1" w:styleId="205">
    <w:name w:val="正文文本 (2) + 6.5 pt"/>
    <w:qFormat/>
    <w:uiPriority w:val="0"/>
    <w:rPr>
      <w:rFonts w:ascii="MingLiU" w:hAnsi="MingLiU" w:eastAsia="MingLiU" w:cs="MingLiU"/>
      <w:color w:val="000000"/>
      <w:spacing w:val="0"/>
      <w:w w:val="100"/>
      <w:position w:val="0"/>
      <w:sz w:val="13"/>
      <w:szCs w:val="13"/>
      <w:u w:val="none"/>
      <w:shd w:val="clear" w:color="auto" w:fill="FFFFFF"/>
      <w:lang w:val="en-US" w:eastAsia="en-US" w:bidi="en-US"/>
    </w:rPr>
  </w:style>
  <w:style w:type="character" w:customStyle="1" w:styleId="206">
    <w:name w:val="正文文本 (2) + Franklin Gothic Heavy"/>
    <w:qFormat/>
    <w:uiPriority w:val="0"/>
    <w:rPr>
      <w:rFonts w:ascii="Franklin Gothic Heavy" w:hAnsi="Franklin Gothic Heavy" w:eastAsia="Franklin Gothic Heavy" w:cs="Franklin Gothic Heavy"/>
      <w:color w:val="000000"/>
      <w:spacing w:val="0"/>
      <w:w w:val="100"/>
      <w:position w:val="0"/>
      <w:u w:val="none"/>
      <w:shd w:val="clear" w:color="auto" w:fill="FFFFFF"/>
      <w:lang w:val="en-US" w:eastAsia="en-US" w:bidi="en-US"/>
    </w:rPr>
  </w:style>
  <w:style w:type="character" w:customStyle="1" w:styleId="207">
    <w:name w:val="正文文本 (2) + Arial"/>
    <w:qFormat/>
    <w:uiPriority w:val="0"/>
    <w:rPr>
      <w:rFonts w:ascii="Arial" w:hAnsi="Arial" w:eastAsia="Arial" w:cs="Arial"/>
      <w:color w:val="000000"/>
      <w:spacing w:val="0"/>
      <w:w w:val="100"/>
      <w:position w:val="0"/>
      <w:sz w:val="8"/>
      <w:szCs w:val="8"/>
      <w:u w:val="none"/>
      <w:shd w:val="clear" w:color="auto" w:fill="FFFFFF"/>
      <w:lang w:val="en-US" w:eastAsia="en-US" w:bidi="en-US"/>
    </w:rPr>
  </w:style>
  <w:style w:type="character" w:customStyle="1" w:styleId="208">
    <w:name w:val="正文文本 (2) + 10.5 pt"/>
    <w:qFormat/>
    <w:uiPriority w:val="0"/>
    <w:rPr>
      <w:rFonts w:ascii="MingLiU" w:hAnsi="MingLiU" w:eastAsia="MingLiU" w:cs="MingLiU"/>
      <w:color w:val="000000"/>
      <w:spacing w:val="10"/>
      <w:w w:val="100"/>
      <w:position w:val="0"/>
      <w:sz w:val="21"/>
      <w:szCs w:val="21"/>
      <w:u w:val="none"/>
      <w:shd w:val="clear" w:color="auto" w:fill="FFFFFF"/>
      <w:lang w:val="zh-CN" w:eastAsia="zh-CN" w:bidi="zh-CN"/>
    </w:rPr>
  </w:style>
  <w:style w:type="character" w:customStyle="1" w:styleId="209">
    <w:name w:val="样式2 Char"/>
    <w:link w:val="158"/>
    <w:qFormat/>
    <w:uiPriority w:val="0"/>
    <w:rPr>
      <w:rFonts w:ascii="Cambria" w:hAnsi="Cambria" w:eastAsia="宋体" w:cs="Times New Roman"/>
      <w:b/>
      <w:bCs/>
      <w:kern w:val="2"/>
      <w:sz w:val="24"/>
      <w:szCs w:val="32"/>
    </w:rPr>
  </w:style>
  <w:style w:type="table" w:customStyle="1" w:styleId="210">
    <w:name w:val="网格型4"/>
    <w:basedOn w:val="5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1">
    <w:name w:val="正文一级"/>
    <w:basedOn w:val="1"/>
    <w:qFormat/>
    <w:uiPriority w:val="0"/>
    <w:pPr>
      <w:widowControl/>
      <w:spacing w:before="120" w:afterLines="50" w:line="288" w:lineRule="auto"/>
      <w:ind w:left="567" w:right="-11"/>
    </w:pPr>
    <w:rPr>
      <w:rFonts w:ascii="宋体"/>
      <w:szCs w:val="20"/>
    </w:rPr>
  </w:style>
  <w:style w:type="paragraph" w:customStyle="1" w:styleId="212">
    <w:name w:val="1级编号"/>
    <w:basedOn w:val="1"/>
    <w:qFormat/>
    <w:uiPriority w:val="0"/>
    <w:pPr>
      <w:numPr>
        <w:ilvl w:val="0"/>
        <w:numId w:val="2"/>
      </w:numPr>
      <w:spacing w:beforeLines="150" w:afterLines="50" w:line="288" w:lineRule="auto"/>
      <w:jc w:val="center"/>
      <w:outlineLvl w:val="0"/>
    </w:pPr>
    <w:rPr>
      <w:rFonts w:eastAsia="黑体"/>
      <w:sz w:val="28"/>
    </w:rPr>
  </w:style>
  <w:style w:type="paragraph" w:customStyle="1" w:styleId="213">
    <w:name w:val="2级编号"/>
    <w:basedOn w:val="214"/>
    <w:qFormat/>
    <w:uiPriority w:val="0"/>
    <w:pPr>
      <w:numPr>
        <w:ilvl w:val="1"/>
      </w:numPr>
      <w:tabs>
        <w:tab w:val="left" w:pos="1418"/>
      </w:tabs>
      <w:spacing w:before="156" w:afterLines="50"/>
      <w:outlineLvl w:val="1"/>
    </w:pPr>
    <w:rPr>
      <w:rFonts w:ascii="宋体" w:hAnsi="宋体"/>
    </w:rPr>
  </w:style>
  <w:style w:type="paragraph" w:customStyle="1" w:styleId="214">
    <w:name w:val="3级编号"/>
    <w:basedOn w:val="1"/>
    <w:qFormat/>
    <w:uiPriority w:val="0"/>
    <w:pPr>
      <w:numPr>
        <w:ilvl w:val="2"/>
        <w:numId w:val="2"/>
      </w:numPr>
      <w:spacing w:afterLines="30" w:line="360" w:lineRule="auto"/>
    </w:pPr>
  </w:style>
  <w:style w:type="paragraph" w:customStyle="1" w:styleId="215">
    <w:name w:val="1级正文"/>
    <w:basedOn w:val="1"/>
    <w:qFormat/>
    <w:uiPriority w:val="0"/>
    <w:pPr>
      <w:spacing w:afterLines="50" w:line="288" w:lineRule="auto"/>
      <w:ind w:firstLine="480"/>
    </w:pPr>
  </w:style>
  <w:style w:type="paragraph" w:customStyle="1" w:styleId="216">
    <w:name w:val="+正文"/>
    <w:basedOn w:val="1"/>
    <w:qFormat/>
    <w:uiPriority w:val="0"/>
    <w:pPr>
      <w:spacing w:line="360" w:lineRule="auto"/>
      <w:ind w:firstLine="200" w:firstLineChars="200"/>
    </w:pPr>
    <w:rPr>
      <w:szCs w:val="28"/>
    </w:rPr>
  </w:style>
  <w:style w:type="character" w:customStyle="1" w:styleId="217">
    <w:name w:val="备选条款1"/>
    <w:qFormat/>
    <w:uiPriority w:val="1"/>
    <w:rPr>
      <w:color w:val="00B050"/>
      <w:szCs w:val="18"/>
    </w:rPr>
  </w:style>
  <w:style w:type="paragraph" w:customStyle="1" w:styleId="218">
    <w:name w:val="2级正文"/>
    <w:basedOn w:val="1"/>
    <w:qFormat/>
    <w:uiPriority w:val="0"/>
    <w:pPr>
      <w:spacing w:afterLines="30" w:line="360" w:lineRule="auto"/>
      <w:ind w:left="567"/>
    </w:pPr>
  </w:style>
  <w:style w:type="paragraph" w:customStyle="1" w:styleId="219">
    <w:name w:val="4级编号"/>
    <w:basedOn w:val="214"/>
    <w:qFormat/>
    <w:uiPriority w:val="0"/>
    <w:pPr>
      <w:numPr>
        <w:ilvl w:val="3"/>
      </w:numPr>
    </w:pPr>
  </w:style>
  <w:style w:type="paragraph" w:customStyle="1" w:styleId="220">
    <w:name w:val="3级正文"/>
    <w:basedOn w:val="1"/>
    <w:qFormat/>
    <w:uiPriority w:val="0"/>
    <w:pPr>
      <w:spacing w:afterLines="30" w:line="360" w:lineRule="auto"/>
      <w:ind w:left="1418"/>
    </w:pPr>
  </w:style>
  <w:style w:type="paragraph" w:customStyle="1" w:styleId="221">
    <w:name w:val="样式 左侧:  1.27 厘米 段前: 6 磅 段后: 7.8 磅"/>
    <w:basedOn w:val="1"/>
    <w:qFormat/>
    <w:uiPriority w:val="0"/>
    <w:pPr>
      <w:spacing w:before="120" w:after="156"/>
      <w:ind w:left="720"/>
    </w:pPr>
    <w:rPr>
      <w:rFonts w:cs="宋体"/>
      <w:szCs w:val="20"/>
    </w:rPr>
  </w:style>
  <w:style w:type="paragraph" w:customStyle="1" w:styleId="222">
    <w:name w:val="正文样式"/>
    <w:basedOn w:val="154"/>
    <w:qFormat/>
    <w:uiPriority w:val="0"/>
    <w:pPr>
      <w:spacing w:afterLines="50" w:line="360" w:lineRule="auto"/>
      <w:ind w:firstLine="560"/>
    </w:pPr>
    <w:rPr>
      <w:rFonts w:ascii="宋体" w:hAnsi="宋体" w:eastAsia="仿宋"/>
      <w:sz w:val="24"/>
      <w:szCs w:val="28"/>
      <w:lang w:val="zh-CN" w:eastAsia="zh-CN"/>
    </w:rPr>
  </w:style>
  <w:style w:type="paragraph" w:customStyle="1" w:styleId="223">
    <w:name w:val="表格2"/>
    <w:basedOn w:val="1"/>
    <w:qFormat/>
    <w:uiPriority w:val="0"/>
    <w:pPr>
      <w:jc w:val="center"/>
    </w:pPr>
    <w:rPr>
      <w:rFonts w:eastAsia="仿宋"/>
      <w:szCs w:val="32"/>
    </w:rPr>
  </w:style>
  <w:style w:type="paragraph" w:customStyle="1" w:styleId="224">
    <w:name w:val="表头"/>
    <w:basedOn w:val="1"/>
    <w:qFormat/>
    <w:uiPriority w:val="0"/>
    <w:pPr>
      <w:numPr>
        <w:ilvl w:val="0"/>
        <w:numId w:val="3"/>
      </w:numPr>
      <w:spacing w:after="120" w:line="360" w:lineRule="auto"/>
      <w:ind w:firstLine="0"/>
      <w:jc w:val="center"/>
    </w:pPr>
    <w:rPr>
      <w:rFonts w:eastAsia="仿宋"/>
      <w:b/>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6.emf"/><Relationship Id="rId32" Type="http://schemas.openxmlformats.org/officeDocument/2006/relationships/image" Target="media/image5.emf"/><Relationship Id="rId31" Type="http://schemas.openxmlformats.org/officeDocument/2006/relationships/oleObject" Target="embeddings/oleObject1.bin"/><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0.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3"/>
    <customShpInfo spid="_x0000_s2054"/>
    <customShpInfo spid="_x0000_s2055"/>
    <customShpInfo spid="_x0000_s2056"/>
    <customShpInfo spid="_x0000_s2057"/>
    <customShpInfo spid="_x0000_s2052"/>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C5517-0AA6-45A5-B960-836FAF2029D8}">
  <ds:schemaRefs/>
</ds:datastoreItem>
</file>

<file path=docProps/app.xml><?xml version="1.0" encoding="utf-8"?>
<Properties xmlns="http://schemas.openxmlformats.org/officeDocument/2006/extended-properties" xmlns:vt="http://schemas.openxmlformats.org/officeDocument/2006/docPropsVTypes">
  <Template>Normal</Template>
  <Pages>172</Pages>
  <Words>16736</Words>
  <Characters>95401</Characters>
  <Lines>795</Lines>
  <Paragraphs>223</Paragraphs>
  <TotalTime>3</TotalTime>
  <ScaleCrop>false</ScaleCrop>
  <LinksUpToDate>false</LinksUpToDate>
  <CharactersWithSpaces>111914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2019-01-09T14:55:00Z</dcterms:created>
  <dc:creator>1</dc:creator>
  <cp:lastModifiedBy>河南省伟信招标管理咨询有限公司:河南省伟信招标管理咨询有限公司</cp:lastModifiedBy>
  <cp:lastPrinted>2019-01-10T07:46:00Z</cp:lastPrinted>
  <dcterms:modified xsi:type="dcterms:W3CDTF">2019-01-30T03:27:37Z</dcterms:modified>
  <dc:title>中华人民共和国</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