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rPr>
        <w:t>JZFCG-G</w:t>
      </w:r>
      <w:r>
        <w:rPr>
          <w:rFonts w:hint="eastAsia" w:ascii="宋体" w:hAnsi="宋体" w:eastAsia="宋体" w:cs="宋体"/>
          <w:b/>
          <w:bCs/>
          <w:color w:val="auto"/>
          <w:sz w:val="48"/>
          <w:szCs w:val="48"/>
          <w:lang w:val="en-US" w:eastAsia="zh-CN"/>
        </w:rPr>
        <w:t>2019005</w:t>
      </w:r>
      <w:r>
        <w:rPr>
          <w:rFonts w:hint="eastAsia" w:ascii="宋体" w:hAnsi="宋体" w:eastAsia="宋体" w:cs="宋体"/>
          <w:b/>
          <w:bCs/>
          <w:color w:val="auto"/>
          <w:sz w:val="48"/>
          <w:szCs w:val="48"/>
        </w:rPr>
        <w:t>号</w:t>
      </w:r>
      <w:r>
        <w:rPr>
          <w:rFonts w:hint="eastAsia" w:ascii="宋体" w:hAnsi="宋体" w:eastAsia="宋体" w:cs="宋体"/>
          <w:b/>
          <w:bCs/>
          <w:color w:val="auto"/>
          <w:sz w:val="48"/>
          <w:szCs w:val="48"/>
          <w:lang w:eastAsia="zh-CN"/>
        </w:rPr>
        <w:t>魏都区住房建设和交通运输局</w:t>
      </w:r>
      <w:r>
        <w:rPr>
          <w:rFonts w:hint="eastAsia" w:ascii="宋体" w:hAnsi="宋体" w:eastAsia="宋体" w:cs="宋体"/>
          <w:b/>
          <w:bCs/>
          <w:color w:val="auto"/>
          <w:sz w:val="48"/>
          <w:szCs w:val="48"/>
        </w:rPr>
        <w:t>“</w:t>
      </w:r>
      <w:r>
        <w:rPr>
          <w:rFonts w:hint="eastAsia" w:ascii="宋体" w:hAnsi="宋体" w:eastAsia="宋体" w:cs="宋体"/>
          <w:b/>
          <w:bCs/>
          <w:color w:val="auto"/>
          <w:sz w:val="48"/>
          <w:szCs w:val="48"/>
          <w:lang w:eastAsia="zh-CN"/>
        </w:rPr>
        <w:t>魏都区市政道路养护</w:t>
      </w:r>
      <w:r>
        <w:rPr>
          <w:rFonts w:hint="eastAsia" w:ascii="宋体" w:hAnsi="宋体" w:eastAsia="宋体" w:cs="宋体"/>
          <w:b/>
          <w:bCs/>
          <w:color w:val="auto"/>
          <w:sz w:val="48"/>
          <w:szCs w:val="48"/>
        </w:rPr>
        <w:t>”</w:t>
      </w:r>
      <w:r>
        <w:rPr>
          <w:rFonts w:hint="eastAsia" w:ascii="宋体" w:hAnsi="宋体" w:eastAsia="宋体" w:cs="宋体"/>
          <w:b/>
          <w:bCs/>
          <w:color w:val="auto"/>
          <w:sz w:val="48"/>
          <w:szCs w:val="48"/>
          <w:lang w:eastAsia="zh-CN"/>
        </w:rPr>
        <w:t>项目</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highlight w:val="none"/>
        </w:rPr>
        <w:t>JZFCG-G</w:t>
      </w:r>
      <w:r>
        <w:rPr>
          <w:rFonts w:hint="eastAsia" w:asciiTheme="majorEastAsia" w:hAnsiTheme="majorEastAsia" w:eastAsiaTheme="majorEastAsia" w:cstheme="majorEastAsia"/>
          <w:b/>
          <w:bCs/>
          <w:color w:val="auto"/>
          <w:sz w:val="36"/>
          <w:szCs w:val="36"/>
          <w:highlight w:val="none"/>
          <w:lang w:val="en-US" w:eastAsia="zh-CN"/>
        </w:rPr>
        <w:t>2019005</w:t>
      </w:r>
      <w:r>
        <w:rPr>
          <w:rFonts w:hint="eastAsia" w:asciiTheme="majorEastAsia" w:hAnsiTheme="majorEastAsia" w:eastAsiaTheme="majorEastAsia" w:cstheme="majorEastAsia"/>
          <w:b/>
          <w:bCs/>
          <w:color w:val="auto"/>
          <w:sz w:val="36"/>
          <w:szCs w:val="36"/>
          <w:highlight w:val="none"/>
        </w:rPr>
        <w:t>号</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eastAsia="zh-CN"/>
        </w:rPr>
        <w:t>魏都区住房建设和交通运输局</w:t>
      </w:r>
    </w:p>
    <w:p>
      <w:pPr>
        <w:ind w:firstLine="1084" w:firstLineChars="300"/>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6"/>
          <w:szCs w:val="36"/>
        </w:rPr>
        <w:t>代理机构：河南</w:t>
      </w:r>
      <w:r>
        <w:rPr>
          <w:rFonts w:hint="eastAsia" w:asciiTheme="majorEastAsia" w:hAnsiTheme="majorEastAsia" w:eastAsiaTheme="majorEastAsia" w:cstheme="majorEastAsia"/>
          <w:b/>
          <w:bCs/>
          <w:color w:val="auto"/>
          <w:sz w:val="36"/>
          <w:szCs w:val="36"/>
          <w:lang w:eastAsia="zh-CN"/>
        </w:rPr>
        <w:t>华明工程造价咨询有限公司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w:t>
      </w:r>
      <w:r>
        <w:rPr>
          <w:rFonts w:hint="eastAsia" w:asciiTheme="majorEastAsia" w:hAnsiTheme="majorEastAsia" w:eastAsiaTheme="majorEastAsia" w:cstheme="majorEastAsia"/>
          <w:b/>
          <w:bCs/>
          <w:color w:val="auto"/>
          <w:sz w:val="36"/>
          <w:szCs w:val="36"/>
          <w:lang w:eastAsia="zh-CN"/>
        </w:rPr>
        <w:t>九</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eastAsia="zh-CN"/>
        </w:rPr>
        <w:t>一</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pStyle w:val="21"/>
        <w:widowControl/>
        <w:shd w:val="clear" w:color="auto" w:fill="FFFFFF"/>
        <w:spacing w:line="315" w:lineRule="atLeast"/>
        <w:jc w:val="center"/>
        <w:rPr>
          <w:rFonts w:hint="eastAsia" w:ascii="宋体" w:hAnsi="宋体" w:cs="宋体"/>
          <w:b/>
          <w:color w:val="auto"/>
          <w:sz w:val="36"/>
          <w:szCs w:val="36"/>
          <w:shd w:val="clear" w:color="auto" w:fill="FFFFFF"/>
        </w:rPr>
      </w:pPr>
    </w:p>
    <w:p>
      <w:pPr>
        <w:pStyle w:val="21"/>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1"/>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（一）项目名称：魏都区市政道路养护项目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w:t>
      </w:r>
      <w:r>
        <w:rPr>
          <w:rFonts w:hint="eastAsia" w:cs="仿宋_GB2312" w:asciiTheme="minorEastAsia" w:hAnsiTheme="minorEastAsia" w:eastAsiaTheme="minorEastAsia"/>
          <w:color w:val="auto"/>
          <w:highlight w:val="none"/>
          <w:shd w:val="clear" w:color="auto" w:fill="FFFFFF"/>
        </w:rPr>
        <w:t>JZFCG-G</w:t>
      </w:r>
      <w:r>
        <w:rPr>
          <w:rFonts w:hint="eastAsia" w:cs="仿宋_GB2312" w:asciiTheme="minorEastAsia" w:hAnsiTheme="minorEastAsia" w:eastAsiaTheme="minorEastAsia"/>
          <w:color w:val="auto"/>
          <w:highlight w:val="none"/>
          <w:shd w:val="clear" w:color="auto" w:fill="FFFFFF"/>
          <w:lang w:val="en-US" w:eastAsia="zh-CN"/>
        </w:rPr>
        <w:t>2019005</w:t>
      </w:r>
      <w:r>
        <w:rPr>
          <w:rFonts w:hint="eastAsia" w:cs="仿宋_GB2312" w:asciiTheme="minorEastAsia" w:hAnsiTheme="minorEastAsia" w:eastAsiaTheme="minorEastAsia"/>
          <w:color w:val="auto"/>
          <w:highlight w:val="none"/>
          <w:shd w:val="clear" w:color="auto" w:fill="FFFFFF"/>
        </w:rPr>
        <w:t>号</w:t>
      </w:r>
      <w:r>
        <w:rPr>
          <w:rFonts w:hint="eastAsia" w:cs="仿宋_GB2312" w:asciiTheme="minorEastAsia" w:hAnsiTheme="minorEastAsia" w:eastAsiaTheme="minorEastAsia"/>
          <w:color w:val="auto"/>
          <w:shd w:val="clear" w:color="auto" w:fill="FFFFFF"/>
        </w:rPr>
        <w:t xml:space="preserve">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（四）项目主要内容及要求：</w:t>
      </w:r>
      <w:r>
        <w:rPr>
          <w:rFonts w:hint="eastAsia" w:cs="仿宋_GB2312" w:asciiTheme="minorEastAsia" w:hAnsiTheme="minorEastAsia" w:eastAsiaTheme="minorEastAsia"/>
          <w:color w:val="auto"/>
          <w:shd w:val="clear" w:color="auto" w:fill="FFFFFF"/>
          <w:lang w:eastAsia="zh-CN"/>
        </w:rPr>
        <w:t>市政道路养护主要包括沥青路面补槽、混凝土路面补槽、人行道步砖及基础更换、道牙花坛石及树池石更换、道路补缝等</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w:t>
      </w:r>
      <w:r>
        <w:rPr>
          <w:rFonts w:hint="eastAsia" w:asciiTheme="minorEastAsia" w:hAnsiTheme="minorEastAsia" w:eastAsiaTheme="minorEastAsia" w:cstheme="minorEastAsia"/>
          <w:color w:val="auto"/>
          <w:shd w:val="clear" w:color="auto" w:fill="FFFFFF"/>
          <w:lang w:val="en-US" w:eastAsia="zh-CN"/>
        </w:rPr>
        <w:t>10079760.09</w:t>
      </w:r>
      <w:r>
        <w:rPr>
          <w:rFonts w:hint="eastAsia" w:asciiTheme="minorEastAsia" w:hAnsiTheme="minorEastAsia" w:eastAsiaTheme="minorEastAsia" w:cstheme="minorEastAsia"/>
          <w:color w:val="auto"/>
          <w:shd w:val="clear" w:color="auto" w:fill="FFFFFF"/>
        </w:rPr>
        <w:t>元</w:t>
      </w:r>
      <w:r>
        <w:rPr>
          <w:rFonts w:hint="eastAsia" w:cs="仿宋_GB2312" w:asciiTheme="minorEastAsia" w:hAnsiTheme="minorEastAsia" w:eastAsiaTheme="minorEastAsia"/>
          <w:color w:val="auto"/>
          <w:shd w:val="clear" w:color="auto" w:fill="FFFFFF"/>
        </w:rPr>
        <w:t>。最高限价：</w:t>
      </w:r>
      <w:r>
        <w:rPr>
          <w:rFonts w:hint="eastAsia" w:asciiTheme="minorEastAsia" w:hAnsiTheme="minorEastAsia" w:eastAsiaTheme="minorEastAsia" w:cstheme="minorEastAsia"/>
          <w:color w:val="auto"/>
          <w:shd w:val="clear" w:color="auto" w:fill="FFFFFF"/>
          <w:lang w:val="en-US" w:eastAsia="zh-CN"/>
        </w:rPr>
        <w:t>10079760.09</w:t>
      </w:r>
      <w:r>
        <w:rPr>
          <w:rFonts w:hint="eastAsia" w:asciiTheme="minorEastAsia" w:hAnsiTheme="minorEastAsia" w:eastAsiaTheme="minorEastAsia" w:cstheme="minorEastAsia"/>
          <w:color w:val="auto"/>
          <w:shd w:val="clear" w:color="auto" w:fill="FFFFFF"/>
        </w:rPr>
        <w:t>元</w:t>
      </w:r>
      <w:r>
        <w:rPr>
          <w:rFonts w:hint="eastAsia" w:cs="仿宋_GB2312" w:asciiTheme="minorEastAsia" w:hAnsiTheme="minorEastAsia" w:eastAsiaTheme="minorEastAsia"/>
          <w:color w:val="auto"/>
          <w:shd w:val="clear" w:color="auto" w:fill="FFFFFF"/>
        </w:rPr>
        <w:t>。</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（六）服务时间</w:t>
      </w:r>
      <w:r>
        <w:rPr>
          <w:rFonts w:hint="eastAsia" w:cs="仿宋_GB2312" w:asciiTheme="minorEastAsia" w:hAnsiTheme="minorEastAsia" w:eastAsiaTheme="minorEastAsia"/>
          <w:color w:val="auto"/>
          <w:shd w:val="clear" w:color="auto" w:fill="FFFFFF"/>
          <w:lang w:eastAsia="zh-CN"/>
        </w:rPr>
        <w:t>及年金额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合同签订后的三年。每次采购以三年为周期，每年</w:t>
      </w:r>
      <w:r>
        <w:rPr>
          <w:rFonts w:hint="eastAsia" w:cs="仿宋_GB2312" w:asciiTheme="minorEastAsia" w:hAnsiTheme="minorEastAsia" w:eastAsiaTheme="minorEastAsia"/>
          <w:color w:val="auto"/>
          <w:shd w:val="clear" w:color="auto" w:fill="FFFFFF"/>
          <w:lang w:val="en-US" w:eastAsia="zh-CN"/>
        </w:rPr>
        <w:t>3359920.03元，三年共计10079760.09元。</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（七）服务地点：</w:t>
      </w:r>
      <w:r>
        <w:rPr>
          <w:rFonts w:hint="eastAsia" w:cs="仿宋_GB2312" w:asciiTheme="minorEastAsia" w:hAnsiTheme="minorEastAsia" w:eastAsiaTheme="minorEastAsia"/>
          <w:color w:val="auto"/>
          <w:shd w:val="clear" w:color="auto" w:fill="FFFFFF"/>
          <w:lang w:eastAsia="zh-CN"/>
        </w:rPr>
        <w:t>许昌市魏都区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highlight w:val="none"/>
          <w:shd w:val="clear" w:color="auto" w:fill="FFFFFF"/>
        </w:rPr>
      </w:pPr>
      <w:r>
        <w:rPr>
          <w:rFonts w:hint="eastAsia" w:cs="仿宋_GB2312" w:asciiTheme="minorEastAsia" w:hAnsiTheme="minorEastAsia" w:eastAsiaTheme="minorEastAsia"/>
          <w:color w:val="auto"/>
          <w:highlight w:val="none"/>
          <w:shd w:val="clear" w:color="auto" w:fill="FFFFFF"/>
        </w:rPr>
        <w:t>（二）投标人须具备市政公用工程施工总承包二级及以上资质；</w:t>
      </w:r>
    </w:p>
    <w:p>
      <w:pPr>
        <w:pStyle w:val="21"/>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；“国家企业信用公示系统”网站（www.gsxt.gov.cn）严重违法失信企业名单（黑名单）的投标人</w:t>
      </w:r>
      <w:r>
        <w:rPr>
          <w:rFonts w:hint="eastAsia" w:cs="仿宋_GB2312" w:asciiTheme="minorEastAsia" w:hAnsiTheme="minorEastAsia" w:eastAsiaTheme="minorEastAsia"/>
          <w:color w:val="auto"/>
          <w:shd w:val="clear" w:color="auto" w:fill="FFFFFF"/>
          <w:lang w:eastAsia="zh-CN"/>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w:t>
      </w:r>
      <w:r>
        <w:rPr>
          <w:rFonts w:hint="eastAsia" w:cs="仿宋_GB2312" w:asciiTheme="minorEastAsia" w:hAnsiTheme="minorEastAsia" w:eastAsiaTheme="minorEastAsia"/>
          <w:color w:val="auto"/>
          <w:highlight w:val="none"/>
        </w:rPr>
        <w:t>201</w:t>
      </w: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rPr>
        <w:t>年</w:t>
      </w:r>
      <w:r>
        <w:rPr>
          <w:rFonts w:hint="eastAsia" w:cs="仿宋_GB2312" w:asciiTheme="minorEastAsia" w:hAnsiTheme="minorEastAsia" w:eastAsiaTheme="minorEastAsia"/>
          <w:color w:val="auto"/>
          <w:highlight w:val="none"/>
          <w:u w:val="single"/>
          <w:lang w:val="en-US" w:eastAsia="zh-CN"/>
        </w:rPr>
        <w:t>1</w:t>
      </w:r>
      <w:r>
        <w:rPr>
          <w:rFonts w:hint="eastAsia" w:cs="仿宋_GB2312" w:asciiTheme="minorEastAsia" w:hAnsiTheme="minorEastAsia" w:eastAsiaTheme="minorEastAsia"/>
          <w:color w:val="auto"/>
          <w:highlight w:val="none"/>
        </w:rPr>
        <w:t>月</w:t>
      </w:r>
      <w:r>
        <w:rPr>
          <w:rFonts w:hint="eastAsia" w:cs="仿宋_GB2312" w:asciiTheme="minorEastAsia" w:hAnsiTheme="minorEastAsia" w:eastAsiaTheme="minorEastAsia"/>
          <w:color w:val="auto"/>
          <w:highlight w:val="none"/>
          <w:u w:val="single"/>
          <w:lang w:val="en-US" w:eastAsia="zh-CN"/>
        </w:rPr>
        <w:t>29</w:t>
      </w:r>
      <w:r>
        <w:rPr>
          <w:rFonts w:hint="eastAsia" w:cs="仿宋_GB2312" w:asciiTheme="minorEastAsia" w:hAnsiTheme="minorEastAsia" w:eastAsiaTheme="minorEastAsia"/>
          <w:color w:val="auto"/>
          <w:highlight w:val="none"/>
        </w:rPr>
        <w:t>日</w:t>
      </w:r>
      <w:r>
        <w:rPr>
          <w:rFonts w:hint="eastAsia" w:cs="仿宋_GB2312" w:asciiTheme="minorEastAsia" w:hAnsiTheme="minorEastAsia" w:eastAsiaTheme="minorEastAsia"/>
          <w:color w:val="auto"/>
          <w:highlight w:val="none"/>
          <w:u w:val="single"/>
          <w:lang w:val="en-US" w:eastAsia="zh-CN"/>
        </w:rPr>
        <w:t>10</w:t>
      </w:r>
      <w:r>
        <w:rPr>
          <w:rFonts w:hint="eastAsia" w:cs="仿宋_GB2312" w:asciiTheme="minorEastAsia" w:hAnsiTheme="minorEastAsia" w:eastAsiaTheme="minorEastAsia"/>
          <w:color w:val="auto"/>
          <w:highlight w:val="none"/>
        </w:rPr>
        <w:t>时</w:t>
      </w:r>
      <w:r>
        <w:rPr>
          <w:rFonts w:hint="eastAsia" w:cs="仿宋_GB2312" w:asciiTheme="minorEastAsia" w:hAnsiTheme="minorEastAsia" w:eastAsiaTheme="minorEastAsia"/>
          <w:color w:val="auto"/>
          <w:highlight w:val="none"/>
          <w:u w:val="single"/>
          <w:lang w:val="en-US" w:eastAsia="zh-CN"/>
        </w:rPr>
        <w:t>30</w:t>
      </w:r>
      <w:r>
        <w:rPr>
          <w:rFonts w:hint="eastAsia" w:cs="仿宋_GB2312" w:asciiTheme="minorEastAsia" w:hAnsiTheme="minorEastAsia" w:eastAsiaTheme="minorEastAsia"/>
          <w:color w:val="auto"/>
          <w:highlight w:val="none"/>
        </w:rPr>
        <w:t>分</w:t>
      </w:r>
      <w:r>
        <w:rPr>
          <w:rFonts w:hint="eastAsia" w:cs="仿宋_GB2312" w:asciiTheme="minorEastAsia" w:hAnsiTheme="minorEastAsia" w:eastAsiaTheme="minorEastAsia"/>
          <w:color w:val="auto"/>
        </w:rPr>
        <w:t>（北京时间），逾期提交或不符合规定的投标文件不予接受。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w:t>
      </w:r>
      <w:r>
        <w:rPr>
          <w:rFonts w:hint="eastAsia" w:cs="仿宋_GB2312" w:asciiTheme="minorEastAsia" w:hAnsiTheme="minorEastAsia" w:eastAsiaTheme="minorEastAsia"/>
          <w:color w:val="auto"/>
          <w:highlight w:val="none"/>
          <w:u w:val="single"/>
        </w:rPr>
        <w:t>开标</w:t>
      </w:r>
      <w:r>
        <w:rPr>
          <w:rFonts w:hint="eastAsia" w:cs="仿宋_GB2312" w:asciiTheme="minorEastAsia" w:hAnsiTheme="minorEastAsia" w:eastAsiaTheme="minorEastAsia"/>
          <w:color w:val="auto"/>
          <w:highlight w:val="none"/>
          <w:u w:val="single"/>
          <w:lang w:val="en-US" w:eastAsia="zh-CN"/>
        </w:rPr>
        <w:t>四</w:t>
      </w:r>
      <w:r>
        <w:rPr>
          <w:rFonts w:hint="eastAsia" w:cs="仿宋_GB2312" w:asciiTheme="minorEastAsia" w:hAnsiTheme="minorEastAsia" w:eastAsiaTheme="minorEastAsia"/>
          <w:color w:val="auto"/>
          <w:highlight w:val="none"/>
          <w:u w:val="single"/>
        </w:rPr>
        <w:t>室</w:t>
      </w:r>
      <w:r>
        <w:rPr>
          <w:rFonts w:hint="eastAsia" w:cs="仿宋_GB2312" w:asciiTheme="minorEastAsia" w:hAnsiTheme="minorEastAsia" w:eastAsiaTheme="minorEastAsia"/>
          <w:color w:val="auto"/>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rPr>
        <w:t>采购人：</w:t>
      </w:r>
      <w:r>
        <w:rPr>
          <w:rFonts w:hint="eastAsia" w:cs="仿宋_GB2312" w:asciiTheme="minorEastAsia" w:hAnsiTheme="minorEastAsia" w:eastAsiaTheme="minorEastAsia"/>
          <w:color w:val="auto"/>
          <w:shd w:val="clear" w:color="auto" w:fill="FFFFFF"/>
        </w:rPr>
        <w:t>魏都区住房建设和交通运输局</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地 址：</w:t>
      </w:r>
      <w:r>
        <w:rPr>
          <w:rFonts w:hint="eastAsia" w:cs="仿宋_GB2312" w:asciiTheme="minorEastAsia" w:hAnsiTheme="minorEastAsia" w:eastAsiaTheme="minorEastAsia"/>
          <w:color w:val="auto"/>
          <w:lang w:eastAsia="zh-CN"/>
        </w:rPr>
        <w:t>许昌市魏都区政府</w:t>
      </w:r>
      <w:r>
        <w:rPr>
          <w:rFonts w:hint="eastAsia" w:cs="仿宋_GB2312" w:asciiTheme="minorEastAsia" w:hAnsiTheme="minorEastAsia" w:eastAsiaTheme="minorEastAsia"/>
          <w:color w:val="auto"/>
          <w:lang w:val="en-US" w:eastAsia="zh-CN"/>
        </w:rPr>
        <w:t>8楼</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郭磊</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val="en-US" w:eastAsia="zh-CN"/>
        </w:rPr>
        <w:t>0374-5056257</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河南华明工程造价咨询有限公司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地    址：</w:t>
      </w:r>
      <w:r>
        <w:rPr>
          <w:rFonts w:hint="eastAsia" w:cs="仿宋_GB2312" w:asciiTheme="minorEastAsia" w:hAnsiTheme="minorEastAsia" w:eastAsiaTheme="minorEastAsia"/>
          <w:color w:val="auto"/>
          <w:lang w:eastAsia="zh-CN"/>
        </w:rPr>
        <w:t>许昌市魏都区魏武大道天明城</w:t>
      </w:r>
      <w:r>
        <w:rPr>
          <w:rFonts w:hint="eastAsia" w:cs="仿宋_GB2312" w:asciiTheme="minorEastAsia" w:hAnsiTheme="minorEastAsia" w:eastAsiaTheme="minorEastAsia"/>
          <w:color w:val="auto"/>
          <w:lang w:val="en-US" w:eastAsia="zh-CN"/>
        </w:rPr>
        <w:t>1904室</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 系 人：</w:t>
      </w:r>
      <w:r>
        <w:rPr>
          <w:rFonts w:hint="eastAsia" w:cs="仿宋_GB2312" w:asciiTheme="minorEastAsia" w:hAnsiTheme="minorEastAsia" w:eastAsiaTheme="minorEastAsia"/>
          <w:color w:val="auto"/>
          <w:lang w:eastAsia="zh-CN"/>
        </w:rPr>
        <w:t>马先生</w:t>
      </w:r>
      <w:r>
        <w:rPr>
          <w:rFonts w:hint="eastAsia" w:cs="仿宋_GB2312" w:asciiTheme="minorEastAsia" w:hAnsiTheme="minorEastAsia" w:eastAsiaTheme="minorEastAsia"/>
          <w:color w:val="auto"/>
        </w:rPr>
        <w:t xml:space="preserve">           联系电话：0374-</w:t>
      </w:r>
      <w:r>
        <w:rPr>
          <w:rFonts w:hint="eastAsia" w:cs="仿宋_GB2312" w:asciiTheme="minorEastAsia" w:hAnsiTheme="minorEastAsia" w:eastAsiaTheme="minorEastAsia"/>
          <w:color w:val="auto"/>
          <w:lang w:val="en-US" w:eastAsia="zh-CN"/>
        </w:rPr>
        <w:t>3117600</w:t>
      </w:r>
    </w:p>
    <w:p>
      <w:pPr>
        <w:autoSpaceDE w:val="0"/>
        <w:autoSpaceDN w:val="0"/>
        <w:adjustRightInd w:val="0"/>
        <w:spacing w:line="700" w:lineRule="exact"/>
        <w:ind w:firstLine="560"/>
        <w:jc w:val="right"/>
        <w:rPr>
          <w:rFonts w:hint="eastAsia" w:cs="仿宋_GB2312" w:asciiTheme="minorEastAsia" w:hAnsiTheme="minorEastAsia" w:eastAsiaTheme="minorEastAsia"/>
          <w:color w:val="auto"/>
          <w:kern w:val="2"/>
          <w:sz w:val="24"/>
          <w:szCs w:val="24"/>
          <w:lang w:val="en-US" w:eastAsia="zh-CN" w:bidi="ar-SA"/>
        </w:rPr>
      </w:pPr>
      <w:r>
        <w:rPr>
          <w:rFonts w:hint="eastAsia" w:asciiTheme="minorEastAsia" w:hAnsiTheme="minorEastAsia" w:cstheme="majorEastAsia"/>
          <w:color w:val="auto"/>
          <w:sz w:val="24"/>
          <w:szCs w:val="24"/>
          <w:lang w:val="zh-CN"/>
        </w:rPr>
        <w:t xml:space="preserve">                           </w:t>
      </w:r>
      <w:r>
        <w:rPr>
          <w:rFonts w:hint="eastAsia" w:cs="仿宋_GB2312" w:asciiTheme="minorEastAsia" w:hAnsiTheme="minorEastAsia" w:eastAsiaTheme="minorEastAsia"/>
          <w:color w:val="auto"/>
          <w:kern w:val="2"/>
          <w:sz w:val="24"/>
          <w:szCs w:val="24"/>
          <w:lang w:val="en-US" w:eastAsia="zh-CN" w:bidi="ar-SA"/>
        </w:rPr>
        <w:t xml:space="preserve"> 魏都区住房建设和交通运输局</w:t>
      </w:r>
    </w:p>
    <w:p>
      <w:pPr>
        <w:autoSpaceDE w:val="0"/>
        <w:autoSpaceDN w:val="0"/>
        <w:adjustRightInd w:val="0"/>
        <w:spacing w:line="700" w:lineRule="exact"/>
        <w:ind w:firstLine="560"/>
        <w:jc w:val="right"/>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highlight w:val="yellow"/>
        </w:rPr>
        <w:t xml:space="preserve"> 二〇一</w:t>
      </w:r>
      <w:r>
        <w:rPr>
          <w:rFonts w:hint="eastAsia" w:cs="仿宋_GB2312" w:asciiTheme="minorEastAsia" w:hAnsiTheme="minorEastAsia"/>
          <w:color w:val="auto"/>
          <w:sz w:val="24"/>
          <w:szCs w:val="24"/>
          <w:highlight w:val="yellow"/>
          <w:lang w:eastAsia="zh-CN"/>
        </w:rPr>
        <w:t>九</w:t>
      </w:r>
      <w:r>
        <w:rPr>
          <w:rFonts w:hint="eastAsia" w:cs="仿宋_GB2312" w:asciiTheme="minorEastAsia" w:hAnsiTheme="minorEastAsia"/>
          <w:color w:val="auto"/>
          <w:sz w:val="24"/>
          <w:szCs w:val="24"/>
          <w:highlight w:val="yellow"/>
        </w:rPr>
        <w:t>年</w:t>
      </w:r>
      <w:r>
        <w:rPr>
          <w:rFonts w:hint="eastAsia" w:cs="仿宋_GB2312" w:asciiTheme="minorEastAsia" w:hAnsiTheme="minorEastAsia"/>
          <w:color w:val="auto"/>
          <w:sz w:val="24"/>
          <w:szCs w:val="24"/>
          <w:highlight w:val="yellow"/>
          <w:lang w:val="en-US" w:eastAsia="zh-CN"/>
        </w:rPr>
        <w:t>一</w:t>
      </w:r>
      <w:r>
        <w:rPr>
          <w:rFonts w:hint="eastAsia" w:cs="仿宋_GB2312" w:asciiTheme="minorEastAsia" w:hAnsiTheme="minorEastAsia"/>
          <w:color w:val="auto"/>
          <w:sz w:val="24"/>
          <w:szCs w:val="24"/>
          <w:highlight w:val="yellow"/>
        </w:rPr>
        <w:t>月</w:t>
      </w:r>
      <w:r>
        <w:rPr>
          <w:rFonts w:hint="eastAsia" w:cs="仿宋_GB2312" w:asciiTheme="minorEastAsia" w:hAnsiTheme="minorEastAsia"/>
          <w:color w:val="auto"/>
          <w:sz w:val="24"/>
          <w:szCs w:val="24"/>
          <w:highlight w:val="yellow"/>
          <w:lang w:eastAsia="zh-CN"/>
        </w:rPr>
        <w:t>八</w:t>
      </w:r>
      <w:r>
        <w:rPr>
          <w:rFonts w:hint="eastAsia" w:cs="仿宋_GB2312" w:asciiTheme="minorEastAsia" w:hAnsiTheme="minorEastAsia"/>
          <w:color w:val="auto"/>
          <w:sz w:val="24"/>
          <w:szCs w:val="24"/>
          <w:highlight w:val="yellow"/>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pStyle w:val="2"/>
      </w:pPr>
    </w:p>
    <w:p>
      <w:pPr>
        <w:pStyle w:val="3"/>
      </w:pPr>
    </w:p>
    <w:p>
      <w:pPr>
        <w:autoSpaceDE w:val="0"/>
        <w:autoSpaceDN w:val="0"/>
        <w:adjustRightInd w:val="0"/>
        <w:spacing w:line="700" w:lineRule="exact"/>
        <w:ind w:firstLine="560"/>
        <w:rPr>
          <w:rFonts w:cs="仿宋_GB2312" w:asciiTheme="minorEastAsia" w:hAnsiTheme="minorEastAsia"/>
          <w:color w:val="auto"/>
          <w:sz w:val="24"/>
          <w:szCs w:val="24"/>
        </w:rPr>
      </w:pPr>
    </w:p>
    <w:p>
      <w:pPr>
        <w:pStyle w:val="3"/>
      </w:pPr>
    </w:p>
    <w:p>
      <w:pPr>
        <w:jc w:val="center"/>
      </w:pPr>
      <w:r>
        <w:rPr>
          <w:rFonts w:hint="eastAsia" w:cs="宋体" w:asciiTheme="majorEastAsia" w:hAnsiTheme="majorEastAsia" w:eastAsiaTheme="majorEastAsia"/>
          <w:b/>
          <w:color w:val="auto"/>
          <w:kern w:val="0"/>
          <w:sz w:val="36"/>
          <w:szCs w:val="36"/>
        </w:rPr>
        <w:t>第二章  项目需求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482" w:firstLineChars="200"/>
        <w:contextualSpacing/>
        <w:jc w:val="both"/>
        <w:textAlignment w:val="auto"/>
        <w:rPr>
          <w:rFonts w:cs="黑体" w:asciiTheme="minorEastAsia" w:hAnsiTheme="minorEastAsia"/>
          <w:b/>
          <w:bCs/>
          <w:color w:val="auto"/>
          <w:sz w:val="24"/>
          <w:szCs w:val="24"/>
          <w:highlight w:val="none"/>
          <w:shd w:val="clear" w:color="auto" w:fill="FFFFFF"/>
        </w:rPr>
      </w:pPr>
      <w:r>
        <w:rPr>
          <w:rFonts w:hint="eastAsia" w:cs="黑体" w:asciiTheme="minorEastAsia" w:hAnsiTheme="minorEastAsia"/>
          <w:b/>
          <w:bCs/>
          <w:color w:val="auto"/>
          <w:sz w:val="24"/>
          <w:szCs w:val="24"/>
          <w:highlight w:val="none"/>
          <w:shd w:val="clear" w:color="auto" w:fill="FFFFFF"/>
          <w:lang w:eastAsia="zh-CN"/>
        </w:rPr>
        <w:t>一、</w:t>
      </w:r>
      <w:r>
        <w:rPr>
          <w:rFonts w:hint="eastAsia" w:cs="黑体" w:asciiTheme="minorEastAsia" w:hAnsiTheme="minorEastAsia"/>
          <w:b/>
          <w:bCs/>
          <w:color w:val="auto"/>
          <w:sz w:val="24"/>
          <w:szCs w:val="24"/>
          <w:highlight w:val="none"/>
          <w:shd w:val="clear" w:color="auto" w:fill="FFFFFF"/>
        </w:rPr>
        <w:t>本项目需实现的功能或者目标</w:t>
      </w:r>
    </w:p>
    <w:p>
      <w:pPr>
        <w:pStyle w:val="3"/>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color w:val="auto"/>
          <w:kern w:val="0"/>
          <w:sz w:val="24"/>
          <w:szCs w:val="24"/>
          <w:highlight w:val="none"/>
          <w:lang w:val="en-US" w:eastAsia="zh-CN" w:bidi="ar-SA"/>
        </w:rPr>
        <w:t>对魏都区区管98条主次干道</w:t>
      </w:r>
      <w:r>
        <w:rPr>
          <w:rFonts w:hint="eastAsia" w:cs="宋体" w:asciiTheme="minorEastAsia" w:hAnsiTheme="minorEastAsia" w:eastAsiaTheme="minorEastAsia"/>
          <w:color w:val="auto"/>
          <w:kern w:val="0"/>
          <w:sz w:val="24"/>
          <w:szCs w:val="24"/>
          <w:highlight w:val="none"/>
          <w:lang w:val="en-US" w:eastAsia="zh-CN" w:bidi="ar-SA"/>
        </w:rPr>
        <w:t>完成管养任务</w:t>
      </w:r>
      <w:r>
        <w:rPr>
          <w:rFonts w:hint="eastAsia" w:cs="宋体" w:asciiTheme="minorEastAsia" w:hAnsiTheme="minorEastAsia"/>
          <w:color w:val="auto"/>
          <w:kern w:val="0"/>
          <w:sz w:val="24"/>
          <w:szCs w:val="24"/>
          <w:highlight w:val="none"/>
          <w:lang w:val="en-US" w:eastAsia="zh-CN" w:bidi="ar-SA"/>
        </w:rPr>
        <w:t>，</w:t>
      </w:r>
      <w:r>
        <w:rPr>
          <w:rFonts w:hint="eastAsia" w:cs="宋体" w:asciiTheme="minorEastAsia" w:hAnsiTheme="minorEastAsia" w:eastAsiaTheme="minorEastAsia"/>
          <w:color w:val="auto"/>
          <w:kern w:val="0"/>
          <w:sz w:val="24"/>
          <w:szCs w:val="24"/>
          <w:highlight w:val="none"/>
          <w:lang w:val="en-US" w:eastAsia="zh-CN" w:bidi="ar-SA"/>
        </w:rPr>
        <w:t>保持提高道路</w:t>
      </w:r>
      <w:r>
        <w:rPr>
          <w:rFonts w:hint="eastAsia" w:cs="宋体" w:asciiTheme="minorEastAsia" w:hAnsiTheme="minorEastAsia"/>
          <w:color w:val="auto"/>
          <w:kern w:val="0"/>
          <w:sz w:val="24"/>
          <w:szCs w:val="24"/>
          <w:highlight w:val="none"/>
          <w:lang w:val="en-US" w:eastAsia="zh-CN" w:bidi="ar-SA"/>
        </w:rPr>
        <w:t>等市政设施的</w:t>
      </w:r>
      <w:r>
        <w:rPr>
          <w:rFonts w:hint="eastAsia" w:cs="宋体" w:asciiTheme="minorEastAsia" w:hAnsiTheme="minorEastAsia" w:eastAsiaTheme="minorEastAsia"/>
          <w:color w:val="auto"/>
          <w:kern w:val="0"/>
          <w:sz w:val="24"/>
          <w:szCs w:val="24"/>
          <w:highlight w:val="none"/>
          <w:lang w:val="en-US" w:eastAsia="zh-CN" w:bidi="ar-SA"/>
        </w:rPr>
        <w:t>综合养护水平</w:t>
      </w:r>
      <w:r>
        <w:rPr>
          <w:rFonts w:hint="eastAsia" w:cs="宋体" w:asciiTheme="minorEastAsia" w:hAnsiTheme="minorEastAsia"/>
          <w:color w:val="auto"/>
          <w:kern w:val="0"/>
          <w:sz w:val="24"/>
          <w:szCs w:val="24"/>
          <w:highlight w:val="none"/>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200"/>
        <w:contextualSpacing/>
        <w:jc w:val="both"/>
        <w:textAlignment w:val="auto"/>
        <w:rPr>
          <w:rFonts w:hint="eastAsia" w:eastAsia="宋体" w:cs="黑体" w:asciiTheme="minorEastAsia" w:hAnsiTheme="minorEastAsia"/>
          <w:b/>
          <w:bCs/>
          <w:color w:val="auto"/>
          <w:sz w:val="24"/>
          <w:szCs w:val="24"/>
          <w:highlight w:val="none"/>
          <w:shd w:val="clear" w:color="auto" w:fill="FFFFFF"/>
          <w:lang w:val="en-US" w:eastAsia="zh-CN"/>
        </w:rPr>
      </w:pPr>
      <w:r>
        <w:rPr>
          <w:rFonts w:hint="eastAsia" w:cs="黑体" w:asciiTheme="minorEastAsia" w:hAnsiTheme="minorEastAsia"/>
          <w:b/>
          <w:bCs/>
          <w:color w:val="auto"/>
          <w:sz w:val="24"/>
          <w:szCs w:val="24"/>
          <w:highlight w:val="none"/>
          <w:shd w:val="clear" w:color="auto" w:fill="FFFFFF"/>
          <w:lang w:eastAsia="zh-CN"/>
        </w:rPr>
        <w:t>二、项目概况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480" w:firstLineChars="200"/>
        <w:contextualSpacing/>
        <w:jc w:val="both"/>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该项目</w:t>
      </w:r>
      <w:r>
        <w:rPr>
          <w:rFonts w:hint="eastAsia" w:cs="宋体" w:asciiTheme="minorEastAsia" w:hAnsiTheme="minorEastAsia"/>
          <w:color w:val="auto"/>
          <w:kern w:val="0"/>
          <w:sz w:val="24"/>
          <w:szCs w:val="24"/>
          <w:highlight w:val="none"/>
          <w:lang w:val="en-US" w:eastAsia="zh-CN" w:bidi="ar-SA"/>
        </w:rPr>
        <w:t>位于魏都区境内的98条区管道路</w:t>
      </w:r>
      <w:r>
        <w:rPr>
          <w:rFonts w:hint="eastAsia" w:cs="宋体" w:asciiTheme="minorEastAsia" w:hAnsiTheme="minorEastAsia" w:eastAsiaTheme="minorEastAsia"/>
          <w:color w:val="auto"/>
          <w:kern w:val="0"/>
          <w:sz w:val="24"/>
          <w:szCs w:val="24"/>
          <w:highlight w:val="none"/>
          <w:lang w:val="en-US" w:eastAsia="zh-CN" w:bidi="ar-SA"/>
        </w:rPr>
        <w:t>（详见附表：魏都区现管辖道路一览表），主要针对魏都区主次干道道路的沥青路面补槽、C40混凝土路面补槽、C30混凝土基础补强、人行道步砖更换、级配再生砖石基础补强、道牙、花坛石更换、道路灌缝、110联动出警及数字化案件处理等。</w:t>
      </w:r>
    </w:p>
    <w:p>
      <w:pPr>
        <w:keepNext w:val="0"/>
        <w:keepLines w:val="0"/>
        <w:pageBreakBefore w:val="0"/>
        <w:kinsoku/>
        <w:wordWrap/>
        <w:overflowPunct/>
        <w:topLinePunct w:val="0"/>
        <w:autoSpaceDE/>
        <w:autoSpaceDN/>
        <w:bidi w:val="0"/>
        <w:adjustRightInd/>
        <w:snapToGrid/>
        <w:spacing w:line="560" w:lineRule="exact"/>
        <w:ind w:firstLine="241" w:firstLineChars="100"/>
        <w:contextualSpacing/>
        <w:jc w:val="both"/>
        <w:textAlignment w:val="auto"/>
        <w:rPr>
          <w:rFonts w:hint="eastAsia"/>
          <w:lang w:val="zh-CN" w:eastAsia="zh-CN"/>
        </w:rPr>
      </w:pPr>
      <w:r>
        <w:rPr>
          <w:rFonts w:hint="eastAsia" w:ascii="宋体" w:hAnsi="宋体" w:cs="宋体"/>
          <w:b/>
          <w:bCs/>
          <w:color w:val="auto"/>
          <w:kern w:val="0"/>
          <w:sz w:val="24"/>
          <w:highlight w:val="none"/>
          <w:shd w:val="clear" w:color="auto" w:fill="FFFFFF"/>
        </w:rPr>
        <w:t>★</w:t>
      </w:r>
      <w:r>
        <w:rPr>
          <w:rFonts w:hint="eastAsia" w:ascii="宋体" w:hAnsi="宋体" w:cs="宋体"/>
          <w:b/>
          <w:bCs/>
          <w:color w:val="auto"/>
          <w:kern w:val="0"/>
          <w:sz w:val="24"/>
          <w:highlight w:val="none"/>
          <w:shd w:val="clear" w:color="auto" w:fill="FFFFFF"/>
          <w:lang w:val="zh-CN"/>
        </w:rPr>
        <w:t>三、验收标准</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jc w:val="both"/>
        <w:textAlignment w:val="auto"/>
        <w:rPr>
          <w:rFonts w:cs="宋体" w:asciiTheme="minorEastAsia" w:hAnsiTheme="minorEastAsia"/>
          <w:color w:val="auto"/>
          <w:kern w:val="0"/>
          <w:sz w:val="24"/>
          <w:szCs w:val="24"/>
          <w:highlight w:val="none"/>
          <w:lang w:val="zh-CN"/>
        </w:rPr>
      </w:pPr>
      <w:r>
        <w:rPr>
          <w:rFonts w:hint="eastAsia" w:cs="宋体" w:asciiTheme="minorEastAsia" w:hAnsiTheme="minorEastAsia"/>
          <w:color w:val="auto"/>
          <w:kern w:val="0"/>
          <w:sz w:val="24"/>
          <w:szCs w:val="24"/>
          <w:highlight w:val="none"/>
          <w:lang w:val="zh-CN"/>
        </w:rPr>
        <w:t>1、由采购方成立验收小组,按照采购合同和招标约定的工程量，对中标人履约情况进行验收，验收时,数量不能低于招标文件中约定的工程量，质量符合国家相关规范标准。按照采购合同的约定标准的履约情况进行确认。验收结束后,出具验收书,列明各项标准的验收情况及项目总体评价,由验收双方共同签署。</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jc w:val="both"/>
        <w:textAlignment w:val="auto"/>
        <w:rPr>
          <w:rFonts w:cs="宋体" w:asciiTheme="minorEastAsia" w:hAnsiTheme="minorEastAsia"/>
          <w:color w:val="auto"/>
          <w:kern w:val="0"/>
          <w:sz w:val="24"/>
          <w:szCs w:val="24"/>
          <w:highlight w:val="none"/>
          <w:lang w:val="zh-CN"/>
        </w:rPr>
      </w:pPr>
      <w:r>
        <w:rPr>
          <w:rFonts w:hint="eastAsia" w:cs="宋体" w:asciiTheme="minorEastAsia" w:hAnsiTheme="minorEastAsia"/>
          <w:color w:val="auto"/>
          <w:kern w:val="0"/>
          <w:sz w:val="24"/>
          <w:szCs w:val="24"/>
          <w:highlight w:val="none"/>
          <w:lang w:val="zh-CN"/>
        </w:rPr>
        <w:t>2、按照招标文件要求、投标文件响应和承诺验收。</w:t>
      </w:r>
    </w:p>
    <w:p>
      <w:pPr>
        <w:keepNext w:val="0"/>
        <w:keepLines w:val="0"/>
        <w:pageBreakBefore w:val="0"/>
        <w:kinsoku/>
        <w:wordWrap/>
        <w:overflowPunct/>
        <w:topLinePunct w:val="0"/>
        <w:autoSpaceDE/>
        <w:autoSpaceDN/>
        <w:bidi w:val="0"/>
        <w:adjustRightInd/>
        <w:snapToGrid/>
        <w:spacing w:line="560" w:lineRule="exact"/>
        <w:ind w:firstLine="241" w:firstLineChars="100"/>
        <w:contextualSpacing/>
        <w:jc w:val="both"/>
        <w:textAlignment w:val="auto"/>
        <w:rPr>
          <w:rFonts w:ascii="宋体" w:hAnsi="宋体" w:cs="宋体"/>
          <w:b/>
          <w:bCs/>
          <w:color w:val="auto"/>
          <w:kern w:val="0"/>
          <w:sz w:val="24"/>
          <w:highlight w:val="none"/>
          <w:shd w:val="clear" w:color="auto" w:fill="FFFFFF"/>
          <w:lang w:val="zh-CN"/>
        </w:rPr>
      </w:pPr>
      <w:r>
        <w:rPr>
          <w:rFonts w:hint="eastAsia" w:ascii="宋体" w:hAnsi="宋体" w:cs="宋体"/>
          <w:b/>
          <w:bCs/>
          <w:color w:val="auto"/>
          <w:kern w:val="0"/>
          <w:sz w:val="24"/>
          <w:highlight w:val="none"/>
          <w:shd w:val="clear" w:color="auto" w:fill="FFFFFF"/>
        </w:rPr>
        <w:t>★</w:t>
      </w:r>
      <w:r>
        <w:rPr>
          <w:rFonts w:hint="eastAsia" w:ascii="宋体" w:hAnsi="宋体" w:cs="宋体"/>
          <w:b/>
          <w:bCs/>
          <w:color w:val="auto"/>
          <w:kern w:val="0"/>
          <w:sz w:val="24"/>
          <w:highlight w:val="none"/>
          <w:shd w:val="clear" w:color="auto" w:fill="FFFFFF"/>
          <w:lang w:val="zh-CN"/>
        </w:rPr>
        <w:t>四、资金支付</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jc w:val="both"/>
        <w:textAlignment w:val="auto"/>
        <w:rPr>
          <w:rFonts w:cs="宋体" w:asciiTheme="minorEastAsia" w:hAnsiTheme="minorEastAsia"/>
          <w:color w:val="auto"/>
          <w:kern w:val="0"/>
          <w:sz w:val="24"/>
          <w:szCs w:val="24"/>
          <w:highlight w:val="none"/>
          <w:lang w:val="zh-CN"/>
        </w:rPr>
      </w:pPr>
      <w:r>
        <w:rPr>
          <w:rFonts w:hint="eastAsia" w:cs="宋体" w:asciiTheme="minorEastAsia" w:hAnsiTheme="minorEastAsia"/>
          <w:color w:val="auto"/>
          <w:kern w:val="0"/>
          <w:sz w:val="24"/>
          <w:szCs w:val="24"/>
          <w:highlight w:val="none"/>
          <w:lang w:val="zh-CN"/>
        </w:rPr>
        <w:t>1、支付方式：银行转账。</w:t>
      </w:r>
    </w:p>
    <w:p>
      <w:pPr>
        <w:keepNext w:val="0"/>
        <w:keepLines w:val="0"/>
        <w:pageBreakBefore w:val="0"/>
        <w:kinsoku/>
        <w:wordWrap/>
        <w:overflowPunct/>
        <w:topLinePunct w:val="0"/>
        <w:autoSpaceDE/>
        <w:autoSpaceDN/>
        <w:bidi w:val="0"/>
        <w:adjustRightInd/>
        <w:snapToGrid/>
        <w:spacing w:line="560" w:lineRule="exact"/>
        <w:ind w:firstLine="480" w:firstLineChars="200"/>
        <w:contextualSpacing/>
        <w:jc w:val="both"/>
        <w:textAlignment w:val="auto"/>
        <w:rPr>
          <w:rFonts w:hint="eastAsia" w:cs="宋体" w:asciiTheme="minorEastAsia" w:hAnsiTheme="minorEastAsia"/>
          <w:color w:val="auto"/>
          <w:kern w:val="0"/>
          <w:sz w:val="24"/>
          <w:szCs w:val="24"/>
          <w:highlight w:val="none"/>
          <w:lang w:val="zh-CN"/>
        </w:rPr>
      </w:pPr>
      <w:r>
        <w:rPr>
          <w:rFonts w:hint="eastAsia" w:cs="宋体" w:asciiTheme="minorEastAsia" w:hAnsiTheme="minorEastAsia"/>
          <w:color w:val="auto"/>
          <w:kern w:val="0"/>
          <w:sz w:val="24"/>
          <w:szCs w:val="24"/>
          <w:highlight w:val="none"/>
          <w:lang w:val="zh-CN"/>
        </w:rPr>
        <w:t>2、支付时间及条件：由采购方组织进行验收，每一年采购周期到期，按照合同约定予以支付。</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项目名称：“魏都区市政道路养护”项目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highlight w:val="none"/>
              </w:rPr>
              <w:t>JZFCG-G</w:t>
            </w:r>
            <w:r>
              <w:rPr>
                <w:rFonts w:hint="eastAsia" w:cs="仿宋_GB2312" w:asciiTheme="minorEastAsia" w:hAnsiTheme="minorEastAsia"/>
                <w:color w:val="auto"/>
                <w:sz w:val="24"/>
                <w:szCs w:val="24"/>
                <w:highlight w:val="none"/>
                <w:lang w:val="en-US" w:eastAsia="zh-CN"/>
              </w:rPr>
              <w:t>2019005</w:t>
            </w:r>
            <w:r>
              <w:rPr>
                <w:rFonts w:hint="eastAsia" w:cs="仿宋_GB2312" w:asciiTheme="minorEastAsia" w:hAnsiTheme="minorEastAsia"/>
                <w:color w:val="auto"/>
                <w:sz w:val="24"/>
                <w:szCs w:val="24"/>
                <w:highlight w:val="none"/>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宋体" w:asciiTheme="minorEastAsia" w:hAnsiTheme="minorEastAsia" w:eastAsiaTheme="minorEastAsia"/>
                <w:color w:val="auto"/>
                <w:kern w:val="0"/>
                <w:sz w:val="24"/>
                <w:szCs w:val="24"/>
                <w:lang w:val="en-US" w:eastAsia="zh-CN" w:bidi="ar-SA"/>
              </w:rPr>
              <w:t>市政道路养护</w:t>
            </w:r>
            <w:bookmarkStart w:id="6" w:name="_GoBack"/>
            <w:bookmarkEnd w:id="6"/>
            <w:r>
              <w:rPr>
                <w:rFonts w:hint="eastAsia" w:cs="宋体" w:asciiTheme="minorEastAsia" w:hAnsiTheme="minorEastAsia" w:eastAsiaTheme="minorEastAsia"/>
                <w:color w:val="auto"/>
                <w:kern w:val="0"/>
                <w:sz w:val="24"/>
                <w:szCs w:val="24"/>
                <w:lang w:val="en-US" w:eastAsia="zh-CN" w:bidi="ar-SA"/>
              </w:rPr>
              <w:t>主要包括沥青路面补槽、混凝土路面补槽、人行道步砖及基础更换、道牙花坛石及树池石更换、道路补缝等。</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名称：魏都区住房建设和交通运输局</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许昌市魏都区政府</w:t>
            </w:r>
            <w:r>
              <w:rPr>
                <w:rFonts w:hint="eastAsia" w:cs="仿宋_GB2312" w:asciiTheme="minorEastAsia" w:hAnsiTheme="minorEastAsia"/>
                <w:color w:val="auto"/>
                <w:sz w:val="24"/>
                <w:szCs w:val="24"/>
                <w:lang w:val="en-US" w:eastAsia="zh-CN"/>
              </w:rPr>
              <w:t>8楼</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郭磊</w:t>
            </w:r>
            <w:r>
              <w:rPr>
                <w:rFonts w:hint="eastAsia" w:cs="仿宋_GB2312" w:asciiTheme="minorEastAsia" w:hAnsiTheme="minorEastAsia"/>
                <w:color w:val="auto"/>
                <w:sz w:val="24"/>
                <w:szCs w:val="24"/>
              </w:rPr>
              <w:t xml:space="preserve">          联系电话：0374-</w:t>
            </w:r>
            <w:r>
              <w:rPr>
                <w:rFonts w:hint="eastAsia" w:cs="仿宋_GB2312" w:asciiTheme="minorEastAsia" w:hAnsiTheme="minorEastAsia"/>
                <w:color w:val="auto"/>
                <w:sz w:val="24"/>
                <w:szCs w:val="24"/>
                <w:lang w:val="en-US" w:eastAsia="zh-CN"/>
              </w:rPr>
              <w:t>5056257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河南华明工程造价咨询有限公司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许昌市魏都区魏武大道天明城</w:t>
            </w:r>
            <w:r>
              <w:rPr>
                <w:rFonts w:hint="eastAsia" w:cs="仿宋_GB2312" w:asciiTheme="minorEastAsia" w:hAnsiTheme="minorEastAsia"/>
                <w:color w:val="auto"/>
                <w:sz w:val="24"/>
                <w:szCs w:val="24"/>
                <w:lang w:val="en-US" w:eastAsia="zh-CN"/>
              </w:rPr>
              <w:t>1904室</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马先生</w:t>
            </w:r>
            <w:r>
              <w:rPr>
                <w:rFonts w:hint="eastAsia" w:cs="仿宋_GB2312" w:asciiTheme="minorEastAsia" w:hAnsiTheme="minorEastAsia"/>
                <w:color w:val="auto"/>
                <w:sz w:val="24"/>
                <w:szCs w:val="24"/>
              </w:rPr>
              <w:t xml:space="preserve">            联系电话：0374-</w:t>
            </w:r>
            <w:r>
              <w:rPr>
                <w:rFonts w:hint="eastAsia" w:cs="仿宋_GB2312" w:asciiTheme="minorEastAsia" w:hAnsiTheme="minorEastAsia"/>
                <w:color w:val="auto"/>
                <w:sz w:val="24"/>
                <w:szCs w:val="24"/>
                <w:lang w:val="en-US" w:eastAsia="zh-CN"/>
              </w:rPr>
              <w:t>3117600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w:t>
            </w:r>
            <w:r>
              <w:rPr>
                <w:rFonts w:hint="eastAsia" w:cs="宋体" w:asciiTheme="minorEastAsia" w:hAnsiTheme="minorEastAsia"/>
                <w:bCs/>
                <w:color w:val="auto"/>
                <w:sz w:val="24"/>
                <w:szCs w:val="24"/>
              </w:rPr>
              <w:t>7</w:t>
            </w:r>
            <w:r>
              <w:rPr>
                <w:rFonts w:hint="eastAsia" w:cs="宋体" w:asciiTheme="minorEastAsia" w:hAnsiTheme="minorEastAsia"/>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b/>
                <w:color w:val="auto"/>
                <w:sz w:val="24"/>
                <w:szCs w:val="24"/>
                <w:highlight w:val="none"/>
                <w:shd w:val="clear" w:color="auto" w:fill="FFFFFF"/>
                <w:lang w:val="zh-CN"/>
              </w:rPr>
            </w:pPr>
            <w:r>
              <w:rPr>
                <w:rFonts w:hint="eastAsia" w:cs="仿宋_GB2312" w:asciiTheme="minorEastAsia" w:hAnsiTheme="minorEastAsia"/>
                <w:b/>
                <w:color w:val="auto"/>
                <w:sz w:val="24"/>
                <w:szCs w:val="24"/>
                <w:highlight w:val="none"/>
                <w:shd w:val="clear" w:color="auto" w:fill="FFFFFF"/>
                <w:lang w:val="zh-CN"/>
              </w:rPr>
              <w:t>七、投标人须具备市政公用工程施工总承包二级及以上资质。</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仿宋_GB2312" w:asciiTheme="minorEastAsia" w:hAnsiTheme="minorEastAsia"/>
                <w:b/>
                <w:color w:val="auto"/>
                <w:sz w:val="24"/>
                <w:szCs w:val="24"/>
                <w:shd w:val="clear" w:color="auto" w:fill="FFFFFF"/>
                <w:lang w:eastAsia="zh-CN"/>
              </w:rPr>
              <w:t>；“国家企业信用公示系统”网站（www.gsxt.gov.cn）严重违法失信企业名单（黑名单）的投标人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10079760.09</w:t>
            </w:r>
            <w:r>
              <w:rPr>
                <w:rFonts w:hint="eastAsia" w:cs="宋体" w:asciiTheme="minorEastAsia" w:hAnsiTheme="minorEastAsia"/>
                <w:bCs/>
                <w:color w:val="auto"/>
                <w:sz w:val="24"/>
                <w:szCs w:val="24"/>
              </w:rPr>
              <w:t>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rPr>
              <w:t>201</w:t>
            </w:r>
            <w:r>
              <w:rPr>
                <w:rFonts w:hint="eastAsia" w:cs="宋体" w:asciiTheme="minorEastAsia" w:hAnsiTheme="minorEastAsia"/>
                <w:bCs/>
                <w:color w:val="auto"/>
                <w:sz w:val="24"/>
                <w:szCs w:val="24"/>
                <w:highlight w:val="none"/>
                <w:lang w:val="en-US" w:eastAsia="zh-CN"/>
              </w:rPr>
              <w:t>9</w:t>
            </w:r>
            <w:r>
              <w:rPr>
                <w:rFonts w:hint="eastAsia" w:cs="宋体" w:asciiTheme="minorEastAsia" w:hAnsiTheme="minorEastAsia"/>
                <w:bCs/>
                <w:color w:val="auto"/>
                <w:sz w:val="24"/>
                <w:szCs w:val="24"/>
                <w:highlight w:val="none"/>
                <w:lang w:val="zh-CN"/>
              </w:rPr>
              <w:t>年</w:t>
            </w:r>
            <w:r>
              <w:rPr>
                <w:rFonts w:hint="eastAsia" w:cs="宋体" w:asciiTheme="minorEastAsia" w:hAnsiTheme="minorEastAsia"/>
                <w:bCs/>
                <w:color w:val="auto"/>
                <w:sz w:val="24"/>
                <w:szCs w:val="24"/>
                <w:highlight w:val="none"/>
                <w:lang w:val="en-US" w:eastAsia="zh-CN"/>
              </w:rPr>
              <w:t>1</w:t>
            </w:r>
            <w:r>
              <w:rPr>
                <w:rFonts w:hint="eastAsia" w:cs="宋体" w:asciiTheme="minorEastAsia" w:hAnsiTheme="minorEastAsia"/>
                <w:bCs/>
                <w:color w:val="auto"/>
                <w:sz w:val="24"/>
                <w:szCs w:val="24"/>
                <w:highlight w:val="none"/>
                <w:lang w:val="zh-CN"/>
              </w:rPr>
              <w:t>月</w:t>
            </w:r>
            <w:r>
              <w:rPr>
                <w:rFonts w:hint="eastAsia" w:cs="宋体" w:asciiTheme="minorEastAsia" w:hAnsiTheme="minorEastAsia"/>
                <w:bCs/>
                <w:color w:val="auto"/>
                <w:sz w:val="24"/>
                <w:szCs w:val="24"/>
                <w:highlight w:val="none"/>
                <w:lang w:val="en-US" w:eastAsia="zh-CN"/>
              </w:rPr>
              <w:t>29</w:t>
            </w:r>
            <w:r>
              <w:rPr>
                <w:rFonts w:hint="eastAsia" w:cs="宋体" w:asciiTheme="minorEastAsia" w:hAnsiTheme="minorEastAsia"/>
                <w:bCs/>
                <w:color w:val="auto"/>
                <w:sz w:val="24"/>
                <w:szCs w:val="24"/>
                <w:highlight w:val="none"/>
                <w:lang w:val="zh-CN"/>
              </w:rPr>
              <w:t>日</w:t>
            </w:r>
            <w:r>
              <w:rPr>
                <w:rFonts w:hint="eastAsia" w:cs="宋体" w:asciiTheme="minorEastAsia" w:hAnsiTheme="minorEastAsia"/>
                <w:bCs/>
                <w:color w:val="auto"/>
                <w:sz w:val="24"/>
                <w:szCs w:val="24"/>
                <w:highlight w:val="none"/>
                <w:lang w:val="en-US" w:eastAsia="zh-CN"/>
              </w:rPr>
              <w:t>10</w:t>
            </w:r>
            <w:r>
              <w:rPr>
                <w:rFonts w:hint="eastAsia" w:cs="宋体" w:asciiTheme="minorEastAsia" w:hAnsiTheme="minorEastAsia"/>
                <w:bCs/>
                <w:color w:val="auto"/>
                <w:sz w:val="24"/>
                <w:szCs w:val="24"/>
                <w:highlight w:val="none"/>
                <w:lang w:val="zh-CN"/>
              </w:rPr>
              <w:t>时</w:t>
            </w:r>
            <w:r>
              <w:rPr>
                <w:rFonts w:hint="eastAsia" w:cs="宋体" w:asciiTheme="minorEastAsia" w:hAnsiTheme="minorEastAsia"/>
                <w:bCs/>
                <w:color w:val="auto"/>
                <w:sz w:val="24"/>
                <w:szCs w:val="24"/>
                <w:highlight w:val="none"/>
                <w:lang w:val="en-US" w:eastAsia="zh-CN"/>
              </w:rPr>
              <w:t>30</w:t>
            </w:r>
            <w:r>
              <w:rPr>
                <w:rFonts w:hint="eastAsia" w:cs="宋体" w:asciiTheme="minorEastAsia" w:hAnsiTheme="minorEastAsia"/>
                <w:bCs/>
                <w:color w:val="auto"/>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highlight w:val="none"/>
                <w:lang w:val="zh-CN"/>
              </w:rPr>
            </w:pPr>
            <w:r>
              <w:rPr>
                <w:rFonts w:hint="eastAsia" w:cs="宋体" w:asciiTheme="minorEastAsia" w:hAnsiTheme="minorEastAsia"/>
                <w:bCs/>
                <w:color w:val="auto"/>
                <w:sz w:val="24"/>
                <w:szCs w:val="24"/>
                <w:highlight w:val="none"/>
                <w:lang w:val="zh-CN"/>
              </w:rPr>
              <w:t>许昌市公共资源交易中心三楼开标</w:t>
            </w:r>
            <w:r>
              <w:rPr>
                <w:rFonts w:hint="eastAsia" w:cs="宋体" w:asciiTheme="minorEastAsia" w:hAnsiTheme="minorEastAsia"/>
                <w:bCs/>
                <w:color w:val="auto"/>
                <w:sz w:val="24"/>
                <w:szCs w:val="24"/>
                <w:highlight w:val="none"/>
                <w:lang w:val="en-US" w:eastAsia="zh-CN"/>
              </w:rPr>
              <w:t>四</w:t>
            </w:r>
            <w:r>
              <w:rPr>
                <w:rFonts w:hint="eastAsia" w:cs="宋体" w:asciiTheme="minorEastAsia" w:hAnsiTheme="minorEastAsia"/>
                <w:bCs/>
                <w:color w:val="auto"/>
                <w:sz w:val="24"/>
                <w:szCs w:val="24"/>
                <w:highlight w:val="none"/>
                <w:lang w:val="zh-CN"/>
              </w:rPr>
              <w:t>室（</w:t>
            </w:r>
            <w:r>
              <w:rPr>
                <w:rFonts w:cs="宋体" w:asciiTheme="minorEastAsia" w:hAnsiTheme="minorEastAsia"/>
                <w:bCs/>
                <w:color w:val="auto"/>
                <w:sz w:val="24"/>
                <w:szCs w:val="24"/>
                <w:highlight w:val="none"/>
                <w:lang w:val="zh-CN"/>
              </w:rPr>
              <w:t>龙兴路与竹林路交汇处</w:t>
            </w:r>
            <w:r>
              <w:rPr>
                <w:rFonts w:hint="eastAsia" w:cs="宋体" w:asciiTheme="minorEastAsia" w:hAnsiTheme="minorEastAsia"/>
                <w:bCs/>
                <w:color w:val="auto"/>
                <w:sz w:val="24"/>
                <w:szCs w:val="24"/>
                <w:highlight w:val="none"/>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金额：贰拾万整（¥</w:t>
            </w:r>
            <w:r>
              <w:rPr>
                <w:rFonts w:hint="eastAsia" w:cs="仿宋_GB2312" w:asciiTheme="minorEastAsia" w:hAnsiTheme="minorEastAsia"/>
                <w:color w:val="auto"/>
                <w:sz w:val="24"/>
                <w:szCs w:val="24"/>
                <w:lang w:val="en-US" w:eastAsia="zh-CN"/>
              </w:rPr>
              <w:t>200000</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w:t>
            </w:r>
            <w:r>
              <w:rPr>
                <w:rFonts w:hint="eastAsia" w:cs="仿宋_GB2312" w:asciiTheme="minorEastAsia" w:hAnsiTheme="minorEastAsia"/>
                <w:color w:val="auto"/>
                <w:sz w:val="24"/>
                <w:szCs w:val="24"/>
                <w:lang w:val="en-US" w:eastAsia="zh-CN"/>
              </w:rPr>
              <w:t xml:space="preserve"> </w:t>
            </w:r>
            <w:r>
              <w:rPr>
                <w:rFonts w:hint="eastAsia" w:cs="仿宋_GB2312" w:asciiTheme="minorEastAsia" w:hAnsiTheme="minorEastAsia"/>
                <w:color w:val="auto"/>
                <w:sz w:val="24"/>
                <w:szCs w:val="24"/>
                <w:lang w:val="zh-CN"/>
              </w:rPr>
              <w:t>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lang w:val="zh-CN"/>
              </w:rPr>
              <w:t>评标委员会组成：</w:t>
            </w:r>
            <w:r>
              <w:rPr>
                <w:rFonts w:hint="eastAsia" w:cs="仿宋_GB2312" w:asciiTheme="minorEastAsia" w:hAnsiTheme="minorEastAsia"/>
                <w:color w:val="auto"/>
                <w:sz w:val="24"/>
                <w:szCs w:val="24"/>
                <w:lang w:val="en-US" w:eastAsia="zh-CN"/>
              </w:rPr>
              <w:t>7人。（由采购人代表1人和评审专家6人组成。）</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904268098@qq</w:t>
            </w:r>
            <w:r>
              <w:rPr>
                <w:rFonts w:hint="eastAsia" w:cs="宋体" w:asciiTheme="minorEastAsia" w:hAnsiTheme="minorEastAsia"/>
                <w:bCs/>
                <w:color w:val="auto"/>
                <w:sz w:val="24"/>
                <w:szCs w:val="24"/>
              </w:rPr>
              <w:t>.com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9"/>
        <w:numPr>
          <w:ilvl w:val="0"/>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9"/>
        <w:numPr>
          <w:ilvl w:val="0"/>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9"/>
        <w:numPr>
          <w:ilvl w:val="1"/>
          <w:numId w:val="6"/>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9"/>
        <w:numPr>
          <w:ilvl w:val="1"/>
          <w:numId w:val="7"/>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9"/>
        <w:numPr>
          <w:ilvl w:val="0"/>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9"/>
        <w:numPr>
          <w:ilvl w:val="0"/>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9"/>
        <w:numPr>
          <w:ilvl w:val="1"/>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9"/>
        <w:numPr>
          <w:ilvl w:val="1"/>
          <w:numId w:val="4"/>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contextualSpacing/>
        <w:rPr>
          <w:rFonts w:cs="宋体" w:asciiTheme="majorEastAsia" w:hAnsiTheme="majorEastAsia" w:eastAsiaTheme="majorEastAsia"/>
          <w:b/>
          <w:color w:val="auto"/>
          <w:kern w:val="0"/>
          <w:sz w:val="36"/>
          <w:szCs w:val="36"/>
        </w:rPr>
      </w:pPr>
    </w:p>
    <w:p>
      <w:pPr>
        <w:pageBreakBefore/>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ind w:firstLine="340"/>
        <w:contextualSpacing/>
        <w:rPr>
          <w:rFonts w:cs="仿宋_GB2312" w:asciiTheme="minorEastAsia" w:hAnsiTheme="minorEastAsia"/>
          <w:color w:val="auto"/>
          <w:lang w:val="zh-CN"/>
        </w:rPr>
      </w:pPr>
    </w:p>
    <w:p>
      <w:pPr>
        <w:pStyle w:val="14"/>
        <w:spacing w:line="360" w:lineRule="auto"/>
        <w:ind w:firstLine="211"/>
        <w:contextualSpacing/>
        <w:rPr>
          <w:rFonts w:cs="仿宋_GB2312" w:asciiTheme="minorEastAsia" w:hAnsiTheme="minorEastAsia" w:eastAsiaTheme="minorEastAsia"/>
          <w:b/>
          <w:color w:val="auto"/>
          <w:sz w:val="21"/>
          <w:szCs w:val="21"/>
          <w:lang w:val="zh-CN"/>
        </w:rPr>
      </w:pPr>
      <w:r>
        <w:rPr>
          <w:rFonts w:cs="仿宋_GB2312" w:asciiTheme="minorEastAsia" w:hAnsiTheme="minorEastAsia" w:eastAsiaTheme="minorEastAsia"/>
          <w:b/>
          <w:color w:val="auto"/>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（一）</w:t>
      </w:r>
      <w:r>
        <w:rPr>
          <w:rFonts w:cs="仿宋_GB2312" w:asciiTheme="minorEastAsia" w:hAnsiTheme="minorEastAsia" w:eastAsiaTheme="minorEastAsia"/>
          <w:color w:val="auto"/>
          <w:sz w:val="21"/>
          <w:szCs w:val="21"/>
          <w:lang w:val="zh-CN"/>
        </w:rPr>
        <w:t>开标结束后，</w:t>
      </w:r>
      <w:r>
        <w:rPr>
          <w:rFonts w:hint="eastAsia" w:cs="仿宋_GB2312" w:asciiTheme="minorEastAsia" w:hAnsiTheme="minorEastAsia" w:eastAsiaTheme="minorEastAsia"/>
          <w:color w:val="auto"/>
          <w:sz w:val="21"/>
          <w:szCs w:val="21"/>
          <w:lang w:val="zh-CN"/>
        </w:rPr>
        <w:t>采购人依法对投标人资格进行审查</w:t>
      </w:r>
      <w:r>
        <w:rPr>
          <w:rFonts w:cs="仿宋_GB2312" w:asciiTheme="minorEastAsia" w:hAnsiTheme="minorEastAsia" w:eastAsiaTheme="minorEastAsia"/>
          <w:color w:val="auto"/>
          <w:sz w:val="21"/>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Cs w:val="21"/>
              </w:rPr>
            </w:pPr>
            <w:r>
              <w:rPr>
                <w:rFonts w:hint="eastAsia" w:asciiTheme="minorEastAsia" w:hAnsiTheme="minorEastAsia"/>
                <w:b/>
                <w:color w:val="auto"/>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2、法人或者其他组织的营业执照等证明文件，自然人的身份证明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（3）执业许可证。（非专业服务机构投标提供）</w:t>
            </w:r>
          </w:p>
          <w:p>
            <w:pPr>
              <w:spacing w:line="360" w:lineRule="auto"/>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rPr>
                <w:rFonts w:asciiTheme="minorEastAsia" w:hAnsiTheme="minorEastAsia"/>
                <w:b/>
                <w:color w:val="auto"/>
                <w:szCs w:val="21"/>
              </w:rPr>
            </w:pPr>
            <w:r>
              <w:rPr>
                <w:rFonts w:hint="eastAsia" w:asciiTheme="minorEastAsia" w:hAnsiTheme="minorEastAsia"/>
                <w:bCs/>
                <w:color w:val="auto"/>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3、财务状况报告相关材料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Cs w:val="21"/>
              </w:rPr>
            </w:pPr>
            <w:r>
              <w:rPr>
                <w:rFonts w:hint="eastAsia" w:asciiTheme="minorEastAsia" w:hAnsiTheme="minorEastAsia"/>
                <w:bCs/>
                <w:color w:val="auto"/>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4、依法缴纳税收相关材料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5、依法缴纳社会保障资金的证明材料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6、履行合同所必须的设备和专业技术能力的证明材料</w:t>
            </w:r>
          </w:p>
          <w:p>
            <w:pPr>
              <w:spacing w:line="360" w:lineRule="auto"/>
              <w:rPr>
                <w:rFonts w:asciiTheme="minorEastAsia" w:hAnsiTheme="minorEastAsia"/>
                <w:b/>
                <w:color w:val="auto"/>
                <w:szCs w:val="21"/>
              </w:rPr>
            </w:pPr>
            <w:r>
              <w:rPr>
                <w:rFonts w:hint="eastAsia" w:asciiTheme="minorEastAsia" w:hAnsiTheme="minorEastAsia"/>
                <w:bCs/>
                <w:color w:val="auto"/>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7、参加政府采购活动前3年内在经营活动中没有重大违法记录的声明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8、</w:t>
            </w:r>
            <w:r>
              <w:rPr>
                <w:rFonts w:cs="仿宋_GB2312" w:asciiTheme="minorEastAsia" w:hAnsiTheme="minorEastAsia"/>
                <w:b/>
                <w:color w:val="auto"/>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(www.ccgp.gov.cn)政府采购严重违法失信行为记录名单的投标人</w:t>
            </w:r>
            <w:r>
              <w:rPr>
                <w:rFonts w:hint="eastAsia" w:cs="仿宋_GB2312" w:asciiTheme="minorEastAsia" w:hAnsiTheme="minorEastAsia"/>
                <w:b/>
                <w:color w:val="auto"/>
                <w:szCs w:val="21"/>
                <w:shd w:val="clear" w:color="auto" w:fill="FFFFFF"/>
                <w:lang w:eastAsia="zh-CN"/>
              </w:rPr>
              <w:t>；“国家企业信用公示系统”网站（www.gsxt.gov.cn）严重违法失信企业名单（黑名单）的投标人</w:t>
            </w:r>
            <w:r>
              <w:rPr>
                <w:rFonts w:hint="eastAsia" w:asciiTheme="minorEastAsia" w:hAnsiTheme="minorEastAsia"/>
                <w:b/>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注：政府采购活动中查询及使用投标人信用记录的具体要求为：投标人未被列入失信被执行人、重大税收违法案件当事人名单、</w:t>
            </w:r>
            <w:r>
              <w:rPr>
                <w:rFonts w:asciiTheme="minorEastAsia" w:hAnsiTheme="minorEastAsia"/>
                <w:bCs/>
                <w:color w:val="auto"/>
                <w:szCs w:val="21"/>
              </w:rPr>
              <w:t>政府采购严重违法失信名单</w:t>
            </w:r>
            <w:r>
              <w:rPr>
                <w:rFonts w:hint="eastAsia" w:asciiTheme="minorEastAsia" w:hAnsiTheme="minorEastAsia"/>
                <w:bCs/>
                <w:color w:val="auto"/>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（1）查询渠道：“信用中国”网站（www.creditchina.gov.cn）和“中国政府采购网”（www.ccgp.gov.cn）；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Cs w:val="21"/>
              </w:rPr>
            </w:pPr>
            <w:r>
              <w:rPr>
                <w:rFonts w:hint="eastAsia" w:asciiTheme="minorEastAsia" w:hAnsiTheme="minorEastAsia"/>
                <w:bCs/>
                <w:color w:val="auto"/>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Cs w:val="21"/>
                <w:lang w:val="zh-CN"/>
              </w:rPr>
            </w:pPr>
            <w:r>
              <w:rPr>
                <w:rFonts w:hint="eastAsia" w:asciiTheme="minorEastAsia" w:hAnsiTheme="minorEastAsia"/>
                <w:b/>
                <w:bCs/>
                <w:color w:val="auto"/>
                <w:szCs w:val="21"/>
              </w:rPr>
              <w:t>9、</w:t>
            </w:r>
            <w:r>
              <w:rPr>
                <w:rFonts w:hint="eastAsia" w:cs="仿宋_GB2312" w:asciiTheme="minorEastAsia" w:hAnsiTheme="minorEastAsia"/>
                <w:b/>
                <w:color w:val="auto"/>
                <w:szCs w:val="21"/>
                <w:lang w:val="zh-CN"/>
              </w:rPr>
              <w:t>报价</w:t>
            </w:r>
          </w:p>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10、联合体协议</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11、投标保证金</w:t>
            </w:r>
          </w:p>
          <w:p>
            <w:pPr>
              <w:spacing w:line="360" w:lineRule="auto"/>
              <w:rPr>
                <w:rFonts w:asciiTheme="minorEastAsia" w:hAnsiTheme="minorEastAsia"/>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highlight w:val="none"/>
              </w:rPr>
              <w:t>13、投标人须具备市政公用工程施工总承包二级及以上资质；</w:t>
            </w:r>
          </w:p>
        </w:tc>
      </w:tr>
    </w:tbl>
    <w:p>
      <w:pPr>
        <w:pStyle w:val="14"/>
        <w:spacing w:line="360" w:lineRule="auto"/>
        <w:contextualSpacing/>
        <w:rPr>
          <w:rFonts w:cs="仿宋_GB2312" w:asciiTheme="minorEastAsia" w:hAnsiTheme="minorEastAsia" w:eastAsiaTheme="minorEastAsia"/>
          <w:b/>
          <w:color w:val="auto"/>
          <w:sz w:val="32"/>
          <w:szCs w:val="32"/>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投标人所投其他产品若属于“节能产品政府采购清单”优先采购产品，</w:t>
      </w:r>
      <w:r>
        <w:rPr>
          <w:rFonts w:hint="eastAsia" w:cs="仿宋_GB2312" w:asciiTheme="minorEastAsia" w:hAnsiTheme="minorEastAsia"/>
          <w:color w:val="auto"/>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）产品查询结果截图并加盖投标人公章或中国信息安全认证中心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7"/>
        <w:tblpPr w:leftFromText="180" w:rightFromText="180" w:vertAnchor="text" w:horzAnchor="page" w:tblpX="1606"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分值构成</w:t>
            </w:r>
          </w:p>
          <w:p>
            <w:pPr>
              <w:spacing w:line="360" w:lineRule="auto"/>
              <w:jc w:val="center"/>
              <w:rPr>
                <w:rFonts w:asciiTheme="minorEastAsia" w:hAnsiTheme="minorEastAsia"/>
                <w:color w:val="auto"/>
                <w:sz w:val="24"/>
              </w:rPr>
            </w:pPr>
            <w:r>
              <w:rPr>
                <w:rFonts w:hint="eastAsia" w:asciiTheme="minorEastAsia" w:hAnsiTheme="minorEastAsia"/>
                <w:color w:val="auto"/>
                <w:sz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价格分值：</w:t>
            </w:r>
            <w:r>
              <w:rPr>
                <w:rFonts w:hint="eastAsia" w:asciiTheme="minorEastAsia" w:hAnsiTheme="minorEastAsia"/>
                <w:color w:val="auto"/>
                <w:sz w:val="24"/>
                <w:u w:val="single"/>
              </w:rPr>
              <w:t>20</w:t>
            </w:r>
            <w:r>
              <w:rPr>
                <w:rFonts w:hint="eastAsia" w:asciiTheme="minorEastAsia" w:hAnsiTheme="minorEastAsia"/>
                <w:color w:val="auto"/>
                <w:sz w:val="24"/>
              </w:rPr>
              <w:t>分</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商务部分：</w:t>
            </w:r>
            <w:r>
              <w:rPr>
                <w:rFonts w:hint="eastAsia" w:asciiTheme="minorEastAsia" w:hAnsiTheme="minorEastAsia"/>
                <w:color w:val="auto"/>
                <w:sz w:val="24"/>
                <w:u w:val="single"/>
              </w:rPr>
              <w:t>45</w:t>
            </w:r>
            <w:r>
              <w:rPr>
                <w:rFonts w:hint="eastAsia" w:asciiTheme="minorEastAsia" w:hAnsiTheme="minorEastAsia"/>
                <w:color w:val="auto"/>
                <w:sz w:val="24"/>
              </w:rPr>
              <w:t>分</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技术部分：</w:t>
            </w:r>
            <w:r>
              <w:rPr>
                <w:rFonts w:hint="eastAsia" w:asciiTheme="minorEastAsia" w:hAnsiTheme="minorEastAsia"/>
                <w:color w:val="auto"/>
                <w:sz w:val="24"/>
                <w:u w:val="single"/>
              </w:rPr>
              <w:t>35</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966" w:type="dxa"/>
            <w:gridSpan w:val="3"/>
            <w:tcBorders>
              <w:bottom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价格部分（满分</w:t>
            </w:r>
            <w:r>
              <w:rPr>
                <w:rFonts w:hint="eastAsia" w:asciiTheme="minorEastAsia" w:hAnsiTheme="minorEastAsia"/>
                <w:b/>
                <w:color w:val="auto"/>
                <w:sz w:val="24"/>
                <w:u w:val="single"/>
              </w:rPr>
              <w:t>20</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62"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tcBorders>
              <w:top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Theme="minorEastAsia" w:hAnsiTheme="minorEastAsia"/>
                <w:color w:val="auto"/>
                <w:sz w:val="24"/>
              </w:rPr>
            </w:pPr>
            <w:r>
              <w:rPr>
                <w:rFonts w:hint="eastAsia" w:asciiTheme="minorEastAsia" w:hAnsiTheme="minorEastAsia"/>
                <w:color w:val="auto"/>
                <w:sz w:val="24"/>
              </w:rPr>
              <w:t>投标报价</w:t>
            </w:r>
          </w:p>
          <w:p>
            <w:pPr>
              <w:spacing w:line="360" w:lineRule="auto"/>
              <w:jc w:val="center"/>
              <w:rPr>
                <w:rFonts w:asciiTheme="minorEastAsia" w:hAnsiTheme="minorEastAsia"/>
                <w:color w:val="auto"/>
                <w:sz w:val="24"/>
              </w:rPr>
            </w:pPr>
            <w:r>
              <w:rPr>
                <w:rFonts w:hint="eastAsia" w:asciiTheme="minorEastAsia" w:hAnsiTheme="minorEastAsia"/>
                <w:color w:val="auto"/>
                <w:sz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rPr>
            </w:pPr>
            <w:r>
              <w:rPr>
                <w:rFonts w:hint="eastAsia" w:asciiTheme="minorEastAsia" w:hAnsiTheme="minorEastAsia"/>
                <w:color w:val="auto"/>
                <w:sz w:val="24"/>
              </w:rPr>
              <w:t>评标基准价：满足招标文件要求的有效投标报价中，最低的投标报价为评标基准价。</w:t>
            </w:r>
          </w:p>
          <w:p>
            <w:pPr>
              <w:spacing w:line="360" w:lineRule="auto"/>
              <w:rPr>
                <w:rFonts w:asciiTheme="minorEastAsia" w:hAnsiTheme="minorEastAsia"/>
                <w:color w:val="auto"/>
                <w:sz w:val="24"/>
              </w:rPr>
            </w:pPr>
            <w:r>
              <w:rPr>
                <w:rFonts w:hint="eastAsia" w:asciiTheme="minorEastAsia" w:hAnsiTheme="minorEastAsia"/>
                <w:color w:val="auto"/>
                <w:sz w:val="24"/>
              </w:rPr>
              <w:t>投标报价得分=（评标基准价/投标报价）×</w:t>
            </w:r>
            <w:r>
              <w:rPr>
                <w:rFonts w:hint="eastAsia" w:asciiTheme="minorEastAsia" w:hAnsiTheme="minorEastAsia"/>
                <w:color w:val="auto"/>
                <w:sz w:val="24"/>
                <w:u w:val="single"/>
              </w:rPr>
              <w:t>20</w:t>
            </w:r>
          </w:p>
        </w:tc>
        <w:tc>
          <w:tcPr>
            <w:tcW w:w="967" w:type="dxa"/>
            <w:tcBorders>
              <w:top w:val="single" w:color="auto" w:sz="4" w:space="0"/>
            </w:tcBorders>
            <w:vAlign w:val="center"/>
          </w:tcPr>
          <w:p>
            <w:pPr>
              <w:jc w:val="center"/>
              <w:rPr>
                <w:rFonts w:asciiTheme="minorEastAsia" w:hAnsiTheme="minorEastAsia"/>
                <w:color w:val="auto"/>
                <w:sz w:val="24"/>
              </w:rPr>
            </w:pPr>
            <w:r>
              <w:rPr>
                <w:rFonts w:hint="eastAsia" w:asciiTheme="minorEastAsia" w:hAnsiTheme="minorEastAsia"/>
                <w:color w:val="auto"/>
                <w:sz w:val="24"/>
                <w:u w:val="single"/>
              </w:rPr>
              <w:t>20</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Theme="minorEastAsia" w:hAnsiTheme="minorEastAsia"/>
                <w:b/>
                <w:color w:val="auto"/>
                <w:sz w:val="24"/>
              </w:rPr>
            </w:pPr>
            <w:r>
              <w:rPr>
                <w:rFonts w:hint="eastAsia" w:asciiTheme="minorEastAsia" w:hAnsiTheme="minorEastAsia"/>
                <w:b/>
                <w:color w:val="auto"/>
                <w:sz w:val="24"/>
              </w:rPr>
              <w:t>商务部分（满分</w:t>
            </w:r>
            <w:r>
              <w:rPr>
                <w:rFonts w:hint="eastAsia" w:asciiTheme="minorEastAsia" w:hAnsiTheme="minorEastAsia"/>
                <w:b/>
                <w:color w:val="auto"/>
                <w:sz w:val="24"/>
                <w:u w:val="single"/>
              </w:rPr>
              <w:t>45</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62" w:type="dxa"/>
            <w:tcBorders>
              <w:bottom w:val="single" w:color="auto" w:sz="4" w:space="0"/>
            </w:tcBorders>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rPr>
              <w:t>企业业绩</w:t>
            </w:r>
          </w:p>
        </w:tc>
        <w:tc>
          <w:tcPr>
            <w:tcW w:w="6237" w:type="dxa"/>
            <w:vAlign w:val="center"/>
          </w:tcPr>
          <w:p>
            <w:pPr>
              <w:snapToGrid w:val="0"/>
              <w:spacing w:line="360" w:lineRule="auto"/>
              <w:ind w:firstLine="481"/>
              <w:rPr>
                <w:rFonts w:hint="eastAsia"/>
                <w:sz w:val="24"/>
                <w:szCs w:val="24"/>
                <w:lang w:val="en-US" w:eastAsia="zh-CN"/>
              </w:rPr>
            </w:pPr>
            <w:r>
              <w:rPr>
                <w:rFonts w:hint="eastAsia"/>
                <w:sz w:val="24"/>
                <w:szCs w:val="24"/>
                <w:lang w:val="en-US" w:eastAsia="zh-CN"/>
              </w:rPr>
              <w:t>1、投标人自2015年以来具有类似项目业绩，每个2分，满分4分。（类似项目指市政道路养护维修或排水养护维修项目）（需提供中标通知书和合同协议书扫描件，以中同签订时间为准）</w:t>
            </w:r>
          </w:p>
          <w:p>
            <w:pPr>
              <w:snapToGrid w:val="0"/>
              <w:spacing w:line="360" w:lineRule="auto"/>
              <w:ind w:firstLine="481"/>
              <w:rPr>
                <w:rFonts w:hint="eastAsia"/>
                <w:sz w:val="24"/>
                <w:szCs w:val="24"/>
                <w:lang w:val="en-US" w:eastAsia="zh-CN"/>
              </w:rPr>
            </w:pPr>
            <w:r>
              <w:rPr>
                <w:rFonts w:hint="eastAsia"/>
                <w:sz w:val="24"/>
                <w:szCs w:val="24"/>
                <w:lang w:val="en-US" w:eastAsia="zh-CN"/>
              </w:rPr>
              <w:t>2、投标人养护维修过的类似项目2015年1月1日以来获得过省级荣誉者每项得4分，获得过国级荣誉者每项得8分，最高得16分。（需提供获奖证书和同级奖励文件扫描件，以证书时间为准）</w:t>
            </w:r>
          </w:p>
        </w:tc>
        <w:tc>
          <w:tcPr>
            <w:tcW w:w="967" w:type="dxa"/>
            <w:vAlign w:val="center"/>
          </w:tcPr>
          <w:p>
            <w:pPr>
              <w:jc w:val="center"/>
              <w:rPr>
                <w:rFonts w:ascii="仿宋" w:hAnsi="仿宋" w:eastAsia="仿宋"/>
                <w:color w:val="auto"/>
                <w:sz w:val="28"/>
                <w:szCs w:val="28"/>
              </w:rPr>
            </w:pPr>
            <w:r>
              <w:rPr>
                <w:rFonts w:hint="eastAsia" w:ascii="仿宋" w:hAnsi="仿宋" w:eastAsia="仿宋"/>
                <w:color w:val="auto"/>
                <w:sz w:val="24"/>
              </w:rPr>
              <w:t>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auto"/>
                <w:sz w:val="24"/>
              </w:rPr>
            </w:pPr>
            <w:r>
              <w:rPr>
                <w:rFonts w:hint="eastAsia" w:asciiTheme="minorEastAsia" w:hAnsiTheme="minorEastAsia"/>
                <w:color w:val="auto"/>
                <w:sz w:val="24"/>
              </w:rPr>
              <w:t>企业实力</w:t>
            </w:r>
          </w:p>
        </w:tc>
        <w:tc>
          <w:tcPr>
            <w:tcW w:w="6237" w:type="dxa"/>
            <w:vAlign w:val="center"/>
          </w:tcPr>
          <w:p>
            <w:pPr>
              <w:snapToGrid w:val="0"/>
              <w:spacing w:line="360" w:lineRule="auto"/>
              <w:ind w:firstLine="481"/>
              <w:rPr>
                <w:sz w:val="24"/>
                <w:szCs w:val="24"/>
              </w:rPr>
            </w:pPr>
            <w:r>
              <w:rPr>
                <w:rFonts w:hint="eastAsia"/>
                <w:sz w:val="24"/>
                <w:szCs w:val="24"/>
                <w:lang w:val="en-US" w:eastAsia="zh-CN"/>
              </w:rPr>
              <w:t>1、</w:t>
            </w:r>
            <w:r>
              <w:rPr>
                <w:rFonts w:hint="eastAsia"/>
                <w:sz w:val="24"/>
                <w:szCs w:val="24"/>
              </w:rPr>
              <w:t>2015年1月1日以来企业荣获省级以上（含省级）市政公用工程施工质量管理先进企业称号和省级以上（含省级）市政公用工程施工安全管理先进企业称号以及省级以上（含省级）市政公用工程优秀施工企业称号者得6分，三项证书缺一不得分；（需提供获奖证书和同级奖励文件扫描件，以证书时间为准）</w:t>
            </w:r>
          </w:p>
          <w:p>
            <w:pPr>
              <w:snapToGrid w:val="0"/>
              <w:spacing w:line="360" w:lineRule="auto"/>
              <w:ind w:firstLine="481"/>
              <w:rPr>
                <w:rFonts w:hint="eastAsia"/>
                <w:sz w:val="24"/>
                <w:szCs w:val="24"/>
              </w:rPr>
            </w:pPr>
            <w:r>
              <w:rPr>
                <w:rFonts w:hint="eastAsia"/>
                <w:sz w:val="24"/>
                <w:szCs w:val="24"/>
                <w:lang w:val="en-US" w:eastAsia="zh-CN"/>
              </w:rPr>
              <w:t>2、</w:t>
            </w:r>
            <w:r>
              <w:rPr>
                <w:rFonts w:hint="eastAsia"/>
                <w:sz w:val="24"/>
                <w:szCs w:val="24"/>
              </w:rPr>
              <w:t>2015年1月1日以来企业连续两年获得过省级以上（含省级）建设工程招标投标“诚实守信单位”者得2分，缺一不得分；（需提供获奖证书和同级奖励文件扫描件，以证书时间为准）</w:t>
            </w:r>
          </w:p>
          <w:p>
            <w:pPr>
              <w:snapToGrid w:val="0"/>
              <w:spacing w:line="360" w:lineRule="auto"/>
              <w:ind w:firstLine="481"/>
              <w:rPr>
                <w:rFonts w:hint="eastAsia" w:asciiTheme="minorEastAsia" w:hAnsiTheme="minorEastAsia" w:eastAsiaTheme="minorEastAsia"/>
                <w:color w:val="auto"/>
                <w:sz w:val="24"/>
                <w:lang w:eastAsia="zh-CN"/>
              </w:rPr>
            </w:pPr>
            <w:r>
              <w:rPr>
                <w:rFonts w:hint="eastAsia" w:asciiTheme="minorEastAsia" w:hAnsiTheme="minorEastAsia"/>
                <w:color w:val="auto"/>
                <w:sz w:val="24"/>
                <w:lang w:val="en-US" w:eastAsia="zh-CN"/>
              </w:rPr>
              <w:t>3</w:t>
            </w:r>
            <w:r>
              <w:rPr>
                <w:rFonts w:hint="eastAsia" w:asciiTheme="minorEastAsia" w:hAnsiTheme="minorEastAsia"/>
                <w:color w:val="auto"/>
                <w:sz w:val="24"/>
              </w:rPr>
              <w:t>、投标人提供质量管理体系认证得2分、环境管理体系认证得2分、职业健康安全管理体系认证得2分。</w:t>
            </w:r>
            <w:r>
              <w:rPr>
                <w:rFonts w:hint="eastAsia"/>
                <w:sz w:val="24"/>
                <w:szCs w:val="24"/>
              </w:rPr>
              <w:t>（需提供证书扫描件</w:t>
            </w:r>
            <w:r>
              <w:rPr>
                <w:rFonts w:hint="eastAsia"/>
                <w:sz w:val="24"/>
                <w:szCs w:val="24"/>
                <w:lang w:eastAsia="zh-CN"/>
              </w:rPr>
              <w:t>）</w:t>
            </w:r>
          </w:p>
        </w:tc>
        <w:tc>
          <w:tcPr>
            <w:tcW w:w="967" w:type="dxa"/>
            <w:vAlign w:val="center"/>
          </w:tcPr>
          <w:p>
            <w:pPr>
              <w:jc w:val="center"/>
              <w:rPr>
                <w:rFonts w:ascii="仿宋" w:hAnsi="仿宋" w:eastAsia="仿宋"/>
                <w:color w:val="auto"/>
                <w:sz w:val="28"/>
                <w:szCs w:val="28"/>
                <w:u w:val="single"/>
              </w:rPr>
            </w:pPr>
            <w:r>
              <w:rPr>
                <w:rFonts w:hint="eastAsia" w:ascii="仿宋" w:hAnsi="仿宋" w:eastAsia="仿宋"/>
                <w:color w:val="auto"/>
                <w:sz w:val="24"/>
                <w:u w:val="single"/>
              </w:rPr>
              <w:t>1</w:t>
            </w:r>
            <w:r>
              <w:rPr>
                <w:rFonts w:hint="eastAsia" w:ascii="仿宋" w:hAnsi="仿宋" w:eastAsia="仿宋"/>
                <w:color w:val="auto"/>
                <w:sz w:val="24"/>
                <w:u w:val="single"/>
                <w:lang w:val="en-US" w:eastAsia="zh-CN"/>
              </w:rPr>
              <w:t>4</w:t>
            </w:r>
            <w:r>
              <w:rPr>
                <w:rFonts w:hint="eastAsia" w:ascii="仿宋" w:hAnsi="仿宋" w:eastAsia="仿宋"/>
                <w:color w:val="auto"/>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762" w:type="dxa"/>
            <w:vAlign w:val="center"/>
          </w:tcPr>
          <w:p>
            <w:pPr>
              <w:spacing w:line="360" w:lineRule="exact"/>
              <w:jc w:val="center"/>
              <w:rPr>
                <w:rFonts w:asciiTheme="minorEastAsia" w:hAnsiTheme="minorEastAsia"/>
                <w:color w:val="auto"/>
                <w:sz w:val="24"/>
              </w:rPr>
            </w:pPr>
            <w:r>
              <w:rPr>
                <w:rFonts w:hint="eastAsia" w:ascii="宋体" w:hAnsi="宋体"/>
                <w:b/>
                <w:bCs/>
                <w:color w:val="auto"/>
                <w:sz w:val="24"/>
              </w:rPr>
              <w:t>售后服务</w:t>
            </w:r>
          </w:p>
        </w:tc>
        <w:tc>
          <w:tcPr>
            <w:tcW w:w="6237" w:type="dxa"/>
            <w:vAlign w:val="center"/>
          </w:tcPr>
          <w:p>
            <w:pPr>
              <w:snapToGrid w:val="0"/>
              <w:spacing w:line="360" w:lineRule="auto"/>
              <w:rPr>
                <w:rFonts w:asciiTheme="minorEastAsia" w:hAnsiTheme="minorEastAsia"/>
                <w:color w:val="auto"/>
                <w:sz w:val="24"/>
              </w:rPr>
            </w:pPr>
            <w:r>
              <w:rPr>
                <w:rFonts w:hint="eastAsia" w:asciiTheme="minorEastAsia" w:hAnsiTheme="minorEastAsia"/>
                <w:color w:val="auto"/>
                <w:sz w:val="24"/>
              </w:rPr>
              <w:t xml:space="preserve"> 解决问题时间以小时为单位（四舍五入法，30分钟及以上按1小时计算），以8小时为起点，基本分6分，每减少2小时，加2分，满分11分。8小时以上的不得分。</w:t>
            </w:r>
          </w:p>
        </w:tc>
        <w:tc>
          <w:tcPr>
            <w:tcW w:w="967" w:type="dxa"/>
            <w:vAlign w:val="center"/>
          </w:tcPr>
          <w:p>
            <w:pPr>
              <w:jc w:val="center"/>
              <w:rPr>
                <w:rFonts w:ascii="仿宋" w:hAnsi="仿宋" w:eastAsia="仿宋"/>
                <w:color w:val="auto"/>
                <w:sz w:val="24"/>
                <w:u w:val="single"/>
              </w:rPr>
            </w:pPr>
            <w:r>
              <w:rPr>
                <w:rFonts w:hint="eastAsia" w:asciiTheme="minorEastAsia" w:hAnsiTheme="minorEastAsia"/>
                <w:color w:val="auto"/>
                <w:sz w:val="24"/>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966" w:type="dxa"/>
            <w:gridSpan w:val="3"/>
            <w:vAlign w:val="center"/>
          </w:tcPr>
          <w:p>
            <w:pPr>
              <w:jc w:val="center"/>
              <w:rPr>
                <w:rFonts w:asciiTheme="minorEastAsia" w:hAnsiTheme="minorEastAsia"/>
                <w:b/>
                <w:color w:val="auto"/>
                <w:sz w:val="24"/>
              </w:rPr>
            </w:pPr>
            <w:r>
              <w:rPr>
                <w:rFonts w:hint="eastAsia" w:asciiTheme="minorEastAsia" w:hAnsiTheme="minorEastAsia"/>
                <w:b/>
                <w:color w:val="auto"/>
                <w:sz w:val="24"/>
              </w:rPr>
              <w:t>技术部分（满分</w:t>
            </w:r>
            <w:r>
              <w:rPr>
                <w:rFonts w:hint="eastAsia" w:asciiTheme="minorEastAsia" w:hAnsiTheme="minorEastAsia"/>
                <w:b/>
                <w:color w:val="auto"/>
                <w:sz w:val="24"/>
                <w:u w:val="single"/>
              </w:rPr>
              <w:t>35</w:t>
            </w:r>
            <w:r>
              <w:rPr>
                <w:rFonts w:hint="eastAsia" w:asciiTheme="minorEastAsia" w:hAnsiTheme="minorEastAsia"/>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评分因素</w:t>
            </w:r>
          </w:p>
        </w:tc>
        <w:tc>
          <w:tcPr>
            <w:tcW w:w="6237" w:type="dxa"/>
            <w:vAlign w:val="center"/>
          </w:tcPr>
          <w:p>
            <w:pPr>
              <w:jc w:val="center"/>
              <w:rPr>
                <w:rFonts w:asciiTheme="minorEastAsia" w:hAnsiTheme="minorEastAsia"/>
                <w:b/>
                <w:color w:val="auto"/>
                <w:sz w:val="24"/>
              </w:rPr>
            </w:pPr>
            <w:r>
              <w:rPr>
                <w:rFonts w:hint="eastAsia" w:asciiTheme="minorEastAsia" w:hAnsiTheme="minorEastAsia"/>
                <w:b/>
                <w:color w:val="auto"/>
                <w:sz w:val="24"/>
              </w:rPr>
              <w:t>评标标准</w:t>
            </w:r>
          </w:p>
        </w:tc>
        <w:tc>
          <w:tcPr>
            <w:tcW w:w="967" w:type="dxa"/>
            <w:vAlign w:val="center"/>
          </w:tcPr>
          <w:p>
            <w:pPr>
              <w:jc w:val="center"/>
              <w:rPr>
                <w:rFonts w:asciiTheme="minorEastAsia" w:hAnsiTheme="minorEastAsia"/>
                <w:b/>
                <w:color w:val="auto"/>
                <w:sz w:val="24"/>
              </w:rPr>
            </w:pPr>
            <w:r>
              <w:rPr>
                <w:rFonts w:hint="eastAsia" w:asciiTheme="minorEastAsia" w:hAnsiTheme="minorEastAsia"/>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jc w:val="center"/>
              <w:rPr>
                <w:rFonts w:asciiTheme="minorEastAsia" w:hAnsiTheme="minorEastAsia"/>
                <w:color w:val="auto"/>
                <w:sz w:val="24"/>
              </w:rPr>
            </w:pPr>
            <w:r>
              <w:rPr>
                <w:rFonts w:hint="eastAsia" w:asciiTheme="minorEastAsia" w:hAnsiTheme="minorEastAsia"/>
                <w:color w:val="auto"/>
                <w:sz w:val="24"/>
              </w:rPr>
              <w:t>投标文件的规范程度</w:t>
            </w:r>
          </w:p>
        </w:tc>
        <w:tc>
          <w:tcPr>
            <w:tcW w:w="6237" w:type="dxa"/>
            <w:vAlign w:val="center"/>
          </w:tcPr>
          <w:p>
            <w:pPr>
              <w:widowControl/>
              <w:jc w:val="left"/>
              <w:rPr>
                <w:rFonts w:ascii="仿宋" w:hAnsi="仿宋" w:eastAsia="仿宋"/>
                <w:b/>
                <w:color w:val="auto"/>
                <w:sz w:val="24"/>
              </w:rPr>
            </w:pPr>
            <w:r>
              <w:rPr>
                <w:rFonts w:hint="eastAsia" w:ascii="宋体" w:hAnsi="宋体" w:cs="Courier New"/>
                <w:bCs/>
                <w:color w:val="auto"/>
                <w:sz w:val="24"/>
              </w:rPr>
              <w:t>1、投标文件的编制符合招标文件的规定，装订整齐规范的，得2分。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2</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62" w:type="dxa"/>
            <w:vMerge w:val="continue"/>
            <w:vAlign w:val="center"/>
          </w:tcPr>
          <w:p>
            <w:pPr>
              <w:spacing w:line="360" w:lineRule="auto"/>
              <w:jc w:val="center"/>
              <w:rPr>
                <w:rFonts w:ascii="仿宋" w:hAnsi="仿宋" w:eastAsia="仿宋"/>
                <w:color w:val="auto"/>
                <w:sz w:val="24"/>
              </w:rPr>
            </w:pPr>
          </w:p>
        </w:tc>
        <w:tc>
          <w:tcPr>
            <w:tcW w:w="6237" w:type="dxa"/>
            <w:vAlign w:val="center"/>
          </w:tcPr>
          <w:p>
            <w:pPr>
              <w:spacing w:line="360" w:lineRule="exact"/>
              <w:rPr>
                <w:rFonts w:ascii="仿宋" w:hAnsi="仿宋" w:eastAsia="仿宋"/>
                <w:color w:val="auto"/>
                <w:sz w:val="24"/>
              </w:rPr>
            </w:pPr>
            <w:r>
              <w:rPr>
                <w:rFonts w:hint="eastAsia" w:ascii="宋体" w:hAnsi="宋体" w:cs="Courier New"/>
                <w:bCs/>
                <w:color w:val="auto"/>
                <w:sz w:val="24"/>
              </w:rPr>
              <w:t>2、投标人编制投标文件逻辑严紧、描述规范、无文字错误的，得3分。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u w:val="single"/>
              </w:rPr>
              <w:t>3</w:t>
            </w:r>
            <w:r>
              <w:rPr>
                <w:rFonts w:hint="eastAsia" w:asciiTheme="minorEastAsia" w:hAnsiTheme="minorEastAsia"/>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9" w:hRule="atLeast"/>
        </w:trPr>
        <w:tc>
          <w:tcPr>
            <w:tcW w:w="1762" w:type="dxa"/>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rPr>
              <w:t>对招标文件的响应程度</w:t>
            </w:r>
          </w:p>
        </w:tc>
        <w:tc>
          <w:tcPr>
            <w:tcW w:w="6237" w:type="dxa"/>
            <w:vAlign w:val="center"/>
          </w:tcPr>
          <w:p>
            <w:pPr>
              <w:snapToGrid w:val="0"/>
              <w:spacing w:line="360" w:lineRule="auto"/>
              <w:rPr>
                <w:rFonts w:ascii="宋体" w:hAnsi="宋体" w:cs="宋体"/>
                <w:bCs/>
                <w:color w:val="auto"/>
                <w:sz w:val="24"/>
              </w:rPr>
            </w:pPr>
            <w:r>
              <w:rPr>
                <w:rFonts w:hint="eastAsia" w:ascii="宋体" w:hAnsi="宋体" w:cs="宋体"/>
                <w:bCs/>
                <w:color w:val="auto"/>
                <w:sz w:val="24"/>
              </w:rPr>
              <w:t>投标文件中有以下内容的，每项得5分，满分30分。</w:t>
            </w:r>
          </w:p>
          <w:p>
            <w:pPr>
              <w:snapToGrid w:val="0"/>
              <w:spacing w:line="360" w:lineRule="auto"/>
              <w:rPr>
                <w:rFonts w:ascii="宋体" w:hAnsi="宋体" w:cs="宋体"/>
                <w:bCs/>
                <w:color w:val="auto"/>
                <w:sz w:val="24"/>
              </w:rPr>
            </w:pPr>
            <w:r>
              <w:rPr>
                <w:rFonts w:hint="eastAsia" w:ascii="宋体" w:hAnsi="宋体" w:cs="宋体"/>
                <w:bCs/>
                <w:color w:val="auto"/>
                <w:sz w:val="24"/>
              </w:rPr>
              <w:t>1、有关项目的合理分析及解决方案；</w:t>
            </w:r>
          </w:p>
          <w:p>
            <w:pPr>
              <w:snapToGrid w:val="0"/>
              <w:spacing w:line="360" w:lineRule="auto"/>
              <w:rPr>
                <w:rFonts w:ascii="宋体" w:hAnsi="宋体" w:cs="宋体"/>
                <w:bCs/>
                <w:color w:val="auto"/>
                <w:sz w:val="24"/>
              </w:rPr>
            </w:pPr>
            <w:r>
              <w:rPr>
                <w:rFonts w:hint="eastAsia" w:ascii="宋体" w:hAnsi="宋体" w:cs="宋体"/>
                <w:bCs/>
                <w:color w:val="auto"/>
                <w:sz w:val="24"/>
              </w:rPr>
              <w:t>2、确保一年内维保技术措施；</w:t>
            </w:r>
          </w:p>
          <w:p>
            <w:pPr>
              <w:snapToGrid w:val="0"/>
              <w:spacing w:line="360" w:lineRule="auto"/>
              <w:rPr>
                <w:rFonts w:ascii="宋体" w:hAnsi="宋体" w:cs="宋体"/>
                <w:bCs/>
                <w:color w:val="auto"/>
                <w:sz w:val="24"/>
              </w:rPr>
            </w:pPr>
            <w:r>
              <w:rPr>
                <w:rFonts w:hint="eastAsia" w:ascii="宋体" w:hAnsi="宋体" w:cs="宋体"/>
                <w:bCs/>
                <w:color w:val="auto"/>
                <w:sz w:val="24"/>
              </w:rPr>
              <w:t>3、确保安全生产、文明施工、环境保护的技术组织措施；4、确保完成工程建设的技术和管理措施；</w:t>
            </w:r>
          </w:p>
          <w:p>
            <w:pPr>
              <w:snapToGrid w:val="0"/>
              <w:spacing w:line="360" w:lineRule="auto"/>
              <w:rPr>
                <w:rFonts w:ascii="宋体" w:hAnsi="宋体" w:cs="宋体"/>
                <w:bCs/>
                <w:color w:val="auto"/>
                <w:sz w:val="24"/>
              </w:rPr>
            </w:pPr>
            <w:r>
              <w:rPr>
                <w:rFonts w:hint="eastAsia" w:ascii="宋体" w:hAnsi="宋体" w:cs="宋体"/>
                <w:bCs/>
                <w:color w:val="auto"/>
                <w:sz w:val="24"/>
              </w:rPr>
              <w:t>5、员工培训计划。</w:t>
            </w:r>
          </w:p>
          <w:p>
            <w:pPr>
              <w:snapToGrid w:val="0"/>
              <w:spacing w:line="360" w:lineRule="auto"/>
              <w:rPr>
                <w:rFonts w:ascii="宋体" w:hAnsi="宋体" w:cs="Courier New"/>
                <w:bCs/>
                <w:color w:val="auto"/>
                <w:sz w:val="24"/>
              </w:rPr>
            </w:pPr>
            <w:r>
              <w:rPr>
                <w:rFonts w:hint="eastAsia" w:ascii="宋体" w:hAnsi="宋体" w:cs="宋体"/>
                <w:bCs/>
                <w:color w:val="auto"/>
                <w:sz w:val="24"/>
              </w:rPr>
              <w:t>上述5项方案措施，内容完整、合理程度高的每项加1分，满分5分；</w:t>
            </w:r>
          </w:p>
        </w:tc>
        <w:tc>
          <w:tcPr>
            <w:tcW w:w="967" w:type="dxa"/>
            <w:vAlign w:val="center"/>
          </w:tcPr>
          <w:p>
            <w:pPr>
              <w:jc w:val="center"/>
              <w:rPr>
                <w:rFonts w:asciiTheme="minorEastAsia" w:hAnsiTheme="minorEastAsia"/>
                <w:color w:val="auto"/>
                <w:sz w:val="24"/>
              </w:rPr>
            </w:pPr>
            <w:r>
              <w:rPr>
                <w:rFonts w:hint="eastAsia" w:asciiTheme="minorEastAsia" w:hAnsiTheme="minorEastAsia"/>
                <w:color w:val="auto"/>
                <w:sz w:val="24"/>
              </w:rPr>
              <w:t>30分</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r>
        <w:rPr>
          <w:rFonts w:ascii="宋体" w:hAnsi="宋体" w:cs="Courier New"/>
          <w:color w:val="auto"/>
          <w:szCs w:val="21"/>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spacing w:line="360" w:lineRule="auto"/>
        <w:ind w:firstLine="480" w:firstLineChars="200"/>
        <w:rPr>
          <w:rFonts w:ascii="宋体" w:hAnsi="宋体"/>
          <w:color w:val="auto"/>
          <w:sz w:val="24"/>
        </w:rPr>
      </w:pPr>
      <w:r>
        <w:rPr>
          <w:rFonts w:hint="eastAsia" w:ascii="宋体" w:hAnsi="宋体"/>
          <w:color w:val="auto"/>
          <w:sz w:val="24"/>
        </w:rPr>
        <w:t>1. 定义</w:t>
      </w:r>
    </w:p>
    <w:p>
      <w:pPr>
        <w:spacing w:line="360" w:lineRule="auto"/>
        <w:ind w:firstLine="480" w:firstLineChars="200"/>
        <w:rPr>
          <w:rFonts w:ascii="宋体" w:hAnsi="宋体"/>
          <w:color w:val="auto"/>
          <w:sz w:val="24"/>
        </w:rPr>
      </w:pPr>
      <w:r>
        <w:rPr>
          <w:rFonts w:hint="eastAsia" w:ascii="宋体" w:hAnsi="宋体"/>
          <w:color w:val="auto"/>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color w:val="auto"/>
          <w:sz w:val="24"/>
        </w:rPr>
      </w:pPr>
      <w:r>
        <w:rPr>
          <w:rFonts w:hint="eastAsia" w:ascii="宋体" w:hAnsi="宋体"/>
          <w:color w:val="auto"/>
          <w:sz w:val="24"/>
        </w:rPr>
        <w:t xml:space="preserve">1.2“合同价格”系指根据合同规定，在乙方全面正确地履行合同义务时应支付给乙方的款项。 </w:t>
      </w:r>
    </w:p>
    <w:p>
      <w:pPr>
        <w:spacing w:line="360" w:lineRule="auto"/>
        <w:ind w:firstLine="480" w:firstLineChars="200"/>
        <w:rPr>
          <w:rFonts w:ascii="宋体" w:hAnsi="宋体"/>
          <w:color w:val="auto"/>
          <w:sz w:val="24"/>
        </w:rPr>
      </w:pPr>
      <w:r>
        <w:rPr>
          <w:rFonts w:hint="eastAsia" w:ascii="宋体" w:hAnsi="宋体"/>
          <w:color w:val="auto"/>
          <w:sz w:val="24"/>
        </w:rPr>
        <w:t>1.3“甲方”系指通过招标方式，接受合同服务的采购人</w:t>
      </w:r>
    </w:p>
    <w:p>
      <w:pPr>
        <w:spacing w:line="360" w:lineRule="auto"/>
        <w:ind w:firstLine="480" w:firstLineChars="200"/>
        <w:rPr>
          <w:rFonts w:ascii="宋体" w:hAnsi="宋体"/>
          <w:color w:val="auto"/>
          <w:sz w:val="24"/>
        </w:rPr>
      </w:pPr>
      <w:r>
        <w:rPr>
          <w:rFonts w:hint="eastAsia" w:ascii="宋体" w:hAnsi="宋体"/>
          <w:color w:val="auto"/>
          <w:sz w:val="24"/>
        </w:rPr>
        <w:t>1.4“乙方”系指中标后提供合同服务的</w:t>
      </w:r>
      <w:r>
        <w:rPr>
          <w:rFonts w:hint="eastAsia" w:ascii="宋体" w:hAnsi="宋体"/>
          <w:bCs/>
          <w:color w:val="auto"/>
          <w:sz w:val="24"/>
        </w:rPr>
        <w:t>中标方</w:t>
      </w:r>
      <w:r>
        <w:rPr>
          <w:rFonts w:hint="eastAsia" w:ascii="宋体" w:hAnsi="宋体"/>
          <w:color w:val="auto"/>
          <w:sz w:val="24"/>
        </w:rPr>
        <w:t>或供应商。</w:t>
      </w:r>
    </w:p>
    <w:p>
      <w:pPr>
        <w:spacing w:line="360" w:lineRule="auto"/>
        <w:ind w:firstLine="480" w:firstLineChars="200"/>
        <w:rPr>
          <w:rFonts w:ascii="宋体" w:hAnsi="宋体"/>
          <w:color w:val="auto"/>
          <w:sz w:val="24"/>
        </w:rPr>
      </w:pPr>
      <w:r>
        <w:rPr>
          <w:rFonts w:hint="eastAsia" w:ascii="宋体" w:hAnsi="宋体"/>
          <w:color w:val="auto"/>
          <w:sz w:val="24"/>
        </w:rPr>
        <w:t>2.适用范围</w:t>
      </w:r>
    </w:p>
    <w:p>
      <w:pPr>
        <w:spacing w:line="360" w:lineRule="auto"/>
        <w:ind w:firstLine="480" w:firstLineChars="200"/>
        <w:rPr>
          <w:rFonts w:ascii="宋体" w:hAnsi="宋体"/>
          <w:color w:val="auto"/>
          <w:sz w:val="24"/>
        </w:rPr>
      </w:pPr>
      <w:r>
        <w:rPr>
          <w:rFonts w:hint="eastAsia" w:ascii="宋体" w:hAnsi="宋体"/>
          <w:color w:val="auto"/>
          <w:sz w:val="24"/>
        </w:rPr>
        <w:t>本合同条款仅适用于本次招标活动。</w:t>
      </w:r>
    </w:p>
    <w:p>
      <w:pPr>
        <w:spacing w:line="360" w:lineRule="auto"/>
        <w:ind w:firstLine="480" w:firstLineChars="200"/>
        <w:rPr>
          <w:rFonts w:ascii="宋体" w:hAnsi="宋体"/>
          <w:color w:val="auto"/>
          <w:sz w:val="24"/>
        </w:rPr>
      </w:pPr>
      <w:r>
        <w:rPr>
          <w:rFonts w:hint="eastAsia" w:ascii="宋体" w:hAnsi="宋体"/>
          <w:color w:val="auto"/>
          <w:sz w:val="24"/>
        </w:rPr>
        <w:t>3.技术规格和标准</w:t>
      </w:r>
    </w:p>
    <w:p>
      <w:pPr>
        <w:pStyle w:val="16"/>
        <w:spacing w:line="360" w:lineRule="auto"/>
        <w:ind w:firstLine="480"/>
        <w:rPr>
          <w:rFonts w:ascii="宋体" w:hAnsi="宋体" w:eastAsia="宋体"/>
          <w:color w:val="auto"/>
          <w:sz w:val="24"/>
        </w:rPr>
      </w:pPr>
      <w:r>
        <w:rPr>
          <w:rFonts w:hint="eastAsia" w:ascii="宋体" w:hAnsi="宋体" w:eastAsia="宋体"/>
          <w:color w:val="auto"/>
          <w:sz w:val="24"/>
        </w:rPr>
        <w:t>本合同项下所提供服务的技术规格标准应与本招标文件技术规格规定的标准相一致。</w:t>
      </w:r>
    </w:p>
    <w:p>
      <w:pPr>
        <w:spacing w:line="360" w:lineRule="auto"/>
        <w:ind w:firstLine="480" w:firstLineChars="200"/>
        <w:rPr>
          <w:rFonts w:ascii="宋体" w:hAnsi="宋体"/>
          <w:color w:val="auto"/>
          <w:sz w:val="24"/>
        </w:rPr>
      </w:pPr>
      <w:r>
        <w:rPr>
          <w:rFonts w:hint="eastAsia" w:ascii="宋体" w:hAnsi="宋体"/>
          <w:color w:val="auto"/>
          <w:sz w:val="24"/>
        </w:rPr>
        <w:t>4.合同期限</w:t>
      </w:r>
    </w:p>
    <w:p>
      <w:pPr>
        <w:spacing w:line="360" w:lineRule="auto"/>
        <w:ind w:firstLine="480" w:firstLineChars="200"/>
        <w:rPr>
          <w:rFonts w:ascii="宋体" w:hAnsi="宋体"/>
          <w:color w:val="auto"/>
          <w:sz w:val="24"/>
        </w:rPr>
      </w:pPr>
      <w:r>
        <w:rPr>
          <w:rFonts w:hint="eastAsia" w:ascii="宋体" w:hAnsi="宋体"/>
          <w:color w:val="auto"/>
          <w:sz w:val="24"/>
        </w:rPr>
        <w:t>即自</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日起至</w:t>
      </w:r>
      <w:r>
        <w:rPr>
          <w:rFonts w:hint="eastAsia" w:ascii="宋体" w:hAnsi="宋体"/>
          <w:color w:val="auto"/>
          <w:sz w:val="24"/>
        </w:rPr>
        <w:tab/>
      </w:r>
      <w:r>
        <w:rPr>
          <w:rFonts w:hint="eastAsia" w:ascii="宋体" w:hAnsi="宋体"/>
          <w:color w:val="auto"/>
          <w:sz w:val="24"/>
        </w:rPr>
        <w:t>年</w:t>
      </w:r>
      <w:r>
        <w:rPr>
          <w:rFonts w:hint="eastAsia" w:ascii="宋体" w:hAnsi="宋体"/>
          <w:color w:val="auto"/>
          <w:sz w:val="24"/>
        </w:rPr>
        <w:tab/>
      </w:r>
      <w:r>
        <w:rPr>
          <w:rFonts w:hint="eastAsia" w:ascii="宋体" w:hAnsi="宋体"/>
          <w:color w:val="auto"/>
          <w:sz w:val="24"/>
        </w:rPr>
        <w:t>月</w:t>
      </w:r>
      <w:r>
        <w:rPr>
          <w:rFonts w:hint="eastAsia" w:ascii="宋体" w:hAnsi="宋体"/>
          <w:color w:val="auto"/>
          <w:sz w:val="24"/>
        </w:rPr>
        <w:tab/>
      </w:r>
      <w:r>
        <w:rPr>
          <w:rFonts w:hint="eastAsia" w:ascii="宋体" w:hAnsi="宋体"/>
          <w:color w:val="auto"/>
          <w:sz w:val="24"/>
        </w:rPr>
        <w:t>日止。</w:t>
      </w:r>
    </w:p>
    <w:p>
      <w:pPr>
        <w:spacing w:line="360" w:lineRule="auto"/>
        <w:ind w:firstLine="480" w:firstLineChars="200"/>
        <w:rPr>
          <w:rFonts w:ascii="宋体" w:hAnsi="宋体"/>
          <w:color w:val="auto"/>
          <w:sz w:val="24"/>
        </w:rPr>
      </w:pPr>
      <w:r>
        <w:rPr>
          <w:rFonts w:hint="eastAsia" w:ascii="宋体" w:hAnsi="宋体"/>
          <w:color w:val="auto"/>
          <w:sz w:val="24"/>
        </w:rPr>
        <w:t>5.价格</w:t>
      </w:r>
    </w:p>
    <w:p>
      <w:pPr>
        <w:spacing w:line="360" w:lineRule="auto"/>
        <w:ind w:firstLine="480" w:firstLineChars="200"/>
        <w:rPr>
          <w:rFonts w:ascii="宋体" w:hAnsi="宋体"/>
          <w:color w:val="auto"/>
          <w:sz w:val="24"/>
        </w:rPr>
      </w:pPr>
      <w:r>
        <w:rPr>
          <w:rFonts w:hint="eastAsia" w:ascii="宋体" w:hAnsi="宋体"/>
          <w:color w:val="auto"/>
          <w:sz w:val="24"/>
        </w:rPr>
        <w:t>除非合同中另有规定，乙方为其所提供货物设备和服务而要求甲方支付的金额应与其投标报价一致。</w:t>
      </w:r>
    </w:p>
    <w:p>
      <w:pPr>
        <w:spacing w:line="360" w:lineRule="auto"/>
        <w:ind w:firstLine="480" w:firstLineChars="200"/>
        <w:rPr>
          <w:rFonts w:ascii="宋体" w:hAnsi="宋体"/>
          <w:color w:val="auto"/>
          <w:sz w:val="24"/>
        </w:rPr>
      </w:pPr>
      <w:r>
        <w:rPr>
          <w:rFonts w:hint="eastAsia" w:ascii="宋体" w:hAnsi="宋体"/>
          <w:color w:val="auto"/>
          <w:sz w:val="24"/>
        </w:rPr>
        <w:t>6.索赔</w:t>
      </w:r>
    </w:p>
    <w:p>
      <w:pPr>
        <w:spacing w:line="360" w:lineRule="auto"/>
        <w:ind w:firstLine="480" w:firstLineChars="200"/>
        <w:rPr>
          <w:rFonts w:ascii="宋体" w:hAnsi="宋体"/>
          <w:color w:val="auto"/>
          <w:sz w:val="24"/>
        </w:rPr>
      </w:pPr>
      <w:r>
        <w:rPr>
          <w:rFonts w:hint="eastAsia" w:ascii="宋体" w:hAnsi="宋体"/>
          <w:color w:val="auto"/>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color w:val="auto"/>
          <w:sz w:val="24"/>
        </w:rPr>
      </w:pPr>
      <w:r>
        <w:rPr>
          <w:rFonts w:hint="eastAsia" w:ascii="宋体" w:hAnsi="宋体"/>
          <w:color w:val="auto"/>
          <w:sz w:val="24"/>
        </w:rPr>
        <w:t>6.1.1乙方同意甲方取消其不符合要求的服务项目，退还已经收取的款项。</w:t>
      </w:r>
    </w:p>
    <w:p>
      <w:pPr>
        <w:spacing w:line="360" w:lineRule="auto"/>
        <w:ind w:firstLine="480" w:firstLineChars="200"/>
        <w:rPr>
          <w:rFonts w:ascii="宋体" w:hAnsi="宋体"/>
          <w:color w:val="auto"/>
          <w:sz w:val="24"/>
        </w:rPr>
      </w:pPr>
      <w:r>
        <w:rPr>
          <w:rFonts w:hint="eastAsia" w:ascii="宋体" w:hAnsi="宋体"/>
          <w:color w:val="auto"/>
          <w:sz w:val="24"/>
        </w:rPr>
        <w:t>6.1.2对于情节严重、造成甲方损失金额巨大的，同意甲方终止全部项目合同，并赔偿甲方因此造成的损失。</w:t>
      </w:r>
    </w:p>
    <w:p>
      <w:pPr>
        <w:spacing w:line="360" w:lineRule="auto"/>
        <w:ind w:firstLine="480" w:firstLineChars="200"/>
        <w:rPr>
          <w:rFonts w:ascii="宋体" w:hAnsi="宋体"/>
          <w:color w:val="auto"/>
          <w:sz w:val="24"/>
        </w:rPr>
      </w:pPr>
      <w:r>
        <w:rPr>
          <w:rFonts w:hint="eastAsia" w:ascii="宋体" w:hAnsi="宋体"/>
          <w:color w:val="auto"/>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color w:val="auto"/>
          <w:sz w:val="24"/>
        </w:rPr>
      </w:pPr>
      <w:r>
        <w:rPr>
          <w:rFonts w:hint="eastAsia" w:ascii="宋体" w:hAnsi="宋体"/>
          <w:color w:val="auto"/>
          <w:sz w:val="24"/>
        </w:rPr>
        <w:t>7.不可抗力</w:t>
      </w:r>
    </w:p>
    <w:p>
      <w:pPr>
        <w:spacing w:line="360" w:lineRule="auto"/>
        <w:ind w:firstLine="480" w:firstLineChars="200"/>
        <w:rPr>
          <w:rFonts w:ascii="宋体" w:hAnsi="宋体"/>
          <w:color w:val="auto"/>
          <w:sz w:val="24"/>
        </w:rPr>
      </w:pPr>
      <w:r>
        <w:rPr>
          <w:rFonts w:hint="eastAsia" w:ascii="宋体" w:hAnsi="宋体"/>
          <w:color w:val="auto"/>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color w:val="auto"/>
          <w:sz w:val="24"/>
        </w:rPr>
      </w:pPr>
      <w:r>
        <w:rPr>
          <w:rFonts w:hint="eastAsia" w:ascii="宋体" w:hAnsi="宋体"/>
          <w:color w:val="auto"/>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color w:val="auto"/>
          <w:sz w:val="24"/>
          <w:u w:val="single"/>
        </w:rPr>
        <w:t>一旦不可抗力事故的影响持续 60天以上</w:t>
      </w:r>
      <w:r>
        <w:rPr>
          <w:rFonts w:hint="eastAsia" w:ascii="宋体" w:hAnsi="宋体"/>
          <w:color w:val="auto"/>
          <w:sz w:val="24"/>
        </w:rPr>
        <w:t>，双方应通过友好协商，在合理的时间内达成进一步履行合同的协议。</w:t>
      </w:r>
    </w:p>
    <w:p>
      <w:pPr>
        <w:spacing w:line="360" w:lineRule="auto"/>
        <w:ind w:firstLine="480" w:firstLineChars="200"/>
        <w:rPr>
          <w:rFonts w:ascii="宋体" w:hAnsi="宋体"/>
          <w:color w:val="auto"/>
          <w:sz w:val="24"/>
        </w:rPr>
      </w:pPr>
      <w:r>
        <w:rPr>
          <w:rFonts w:hint="eastAsia" w:ascii="宋体" w:hAnsi="宋体"/>
          <w:color w:val="auto"/>
          <w:sz w:val="24"/>
        </w:rPr>
        <w:t>8.履约保证金</w:t>
      </w:r>
    </w:p>
    <w:p>
      <w:pPr>
        <w:spacing w:line="360" w:lineRule="auto"/>
        <w:ind w:firstLine="480" w:firstLineChars="200"/>
        <w:rPr>
          <w:rFonts w:ascii="宋体" w:hAnsi="宋体"/>
          <w:color w:val="auto"/>
          <w:sz w:val="24"/>
        </w:rPr>
      </w:pPr>
      <w:r>
        <w:rPr>
          <w:rFonts w:hint="eastAsia" w:ascii="宋体" w:hAnsi="宋体"/>
          <w:color w:val="auto"/>
          <w:sz w:val="24"/>
        </w:rPr>
        <w:t>8.1履约保证金的有效期至供货完毕且验收合格。</w:t>
      </w:r>
    </w:p>
    <w:p>
      <w:pPr>
        <w:spacing w:line="360" w:lineRule="auto"/>
        <w:ind w:firstLine="480" w:firstLineChars="200"/>
        <w:rPr>
          <w:rFonts w:ascii="宋体" w:hAnsi="宋体"/>
          <w:color w:val="auto"/>
          <w:sz w:val="24"/>
        </w:rPr>
      </w:pPr>
      <w:r>
        <w:rPr>
          <w:rFonts w:hint="eastAsia" w:ascii="宋体" w:hAnsi="宋体"/>
          <w:color w:val="auto"/>
          <w:sz w:val="24"/>
        </w:rPr>
        <w:t>8.2乙方提供的履约保证金按规定格式以现金、转帐支票、电汇的形式提供，与此有关的费用由乙方负担。</w:t>
      </w:r>
    </w:p>
    <w:p>
      <w:pPr>
        <w:spacing w:line="360" w:lineRule="auto"/>
        <w:ind w:firstLine="480" w:firstLineChars="200"/>
        <w:rPr>
          <w:rFonts w:ascii="宋体" w:hAnsi="宋体"/>
          <w:color w:val="auto"/>
          <w:sz w:val="24"/>
        </w:rPr>
      </w:pPr>
      <w:r>
        <w:rPr>
          <w:rFonts w:hint="eastAsia" w:ascii="宋体" w:hAnsi="宋体"/>
          <w:color w:val="auto"/>
          <w:sz w:val="24"/>
        </w:rPr>
        <w:t>8.3如果乙方未能按合同规定履行其义务，甲方有权从履约保证金取得补偿。</w:t>
      </w:r>
    </w:p>
    <w:p>
      <w:pPr>
        <w:spacing w:line="360" w:lineRule="auto"/>
        <w:ind w:firstLine="480" w:firstLineChars="200"/>
        <w:rPr>
          <w:rFonts w:ascii="宋体" w:hAnsi="宋体"/>
          <w:color w:val="auto"/>
          <w:sz w:val="24"/>
        </w:rPr>
      </w:pPr>
      <w:r>
        <w:rPr>
          <w:rFonts w:hint="eastAsia" w:ascii="宋体" w:hAnsi="宋体"/>
          <w:color w:val="auto"/>
          <w:sz w:val="24"/>
        </w:rPr>
        <w:t>9.争议的解决</w:t>
      </w:r>
    </w:p>
    <w:p>
      <w:pPr>
        <w:spacing w:line="360" w:lineRule="auto"/>
        <w:ind w:firstLine="480" w:firstLineChars="200"/>
        <w:rPr>
          <w:rFonts w:ascii="宋体" w:hAnsi="宋体"/>
          <w:color w:val="auto"/>
          <w:sz w:val="24"/>
        </w:rPr>
      </w:pPr>
      <w:r>
        <w:rPr>
          <w:rFonts w:hint="eastAsia" w:ascii="宋体" w:hAnsi="宋体"/>
          <w:color w:val="auto"/>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合同双方均为国内法人的，其争端的仲裁应由合同发生地许昌市仲裁委员会根据其仲裁程序进行。</w:t>
      </w:r>
    </w:p>
    <w:p>
      <w:pPr>
        <w:spacing w:line="360" w:lineRule="auto"/>
        <w:ind w:firstLine="480" w:firstLineChars="200"/>
        <w:rPr>
          <w:rFonts w:ascii="宋体" w:hAnsi="宋体"/>
          <w:color w:val="auto"/>
          <w:sz w:val="24"/>
        </w:rPr>
      </w:pPr>
      <w:r>
        <w:rPr>
          <w:rFonts w:hint="eastAsia" w:ascii="宋体" w:hAnsi="宋体"/>
          <w:color w:val="auto"/>
          <w:sz w:val="24"/>
        </w:rPr>
        <w:t>9.3 仲裁裁决应为最终决定，并对双方具有约束力。</w:t>
      </w:r>
    </w:p>
    <w:p>
      <w:pPr>
        <w:spacing w:line="360" w:lineRule="auto"/>
        <w:ind w:firstLine="480" w:firstLineChars="200"/>
        <w:rPr>
          <w:rFonts w:ascii="宋体" w:hAnsi="宋体"/>
          <w:color w:val="auto"/>
          <w:sz w:val="24"/>
        </w:rPr>
      </w:pPr>
      <w:r>
        <w:rPr>
          <w:rFonts w:hint="eastAsia" w:ascii="宋体" w:hAnsi="宋体"/>
          <w:color w:val="auto"/>
          <w:sz w:val="24"/>
        </w:rPr>
        <w:t>9.4 除另有裁决外，仲裁费应由败诉方负担。</w:t>
      </w:r>
    </w:p>
    <w:p>
      <w:pPr>
        <w:spacing w:line="360" w:lineRule="auto"/>
        <w:ind w:firstLine="480" w:firstLineChars="200"/>
        <w:rPr>
          <w:rFonts w:ascii="宋体" w:hAnsi="宋体"/>
          <w:color w:val="auto"/>
          <w:sz w:val="24"/>
        </w:rPr>
      </w:pPr>
      <w:r>
        <w:rPr>
          <w:rFonts w:hint="eastAsia" w:ascii="宋体" w:hAnsi="宋体"/>
          <w:color w:val="auto"/>
          <w:sz w:val="24"/>
        </w:rPr>
        <w:t>9.5 在仲裁期间，除正在进行的仲裁部分外，合同其他部分继续执行。</w:t>
      </w:r>
    </w:p>
    <w:p>
      <w:pPr>
        <w:spacing w:line="360" w:lineRule="auto"/>
        <w:ind w:firstLine="480" w:firstLineChars="200"/>
        <w:rPr>
          <w:rFonts w:ascii="宋体" w:hAnsi="宋体"/>
          <w:color w:val="auto"/>
          <w:sz w:val="24"/>
        </w:rPr>
      </w:pPr>
      <w:r>
        <w:rPr>
          <w:rFonts w:hint="eastAsia" w:ascii="宋体" w:hAnsi="宋体"/>
          <w:color w:val="auto"/>
          <w:sz w:val="24"/>
        </w:rPr>
        <w:t>10.合同终止</w:t>
      </w:r>
    </w:p>
    <w:p>
      <w:pPr>
        <w:spacing w:line="360" w:lineRule="auto"/>
        <w:ind w:firstLine="480" w:firstLineChars="200"/>
        <w:rPr>
          <w:rFonts w:ascii="宋体" w:hAnsi="宋体"/>
          <w:color w:val="auto"/>
          <w:sz w:val="24"/>
        </w:rPr>
      </w:pPr>
      <w:r>
        <w:rPr>
          <w:rFonts w:hint="eastAsia" w:ascii="宋体" w:hAnsi="宋体"/>
          <w:color w:val="auto"/>
          <w:sz w:val="24"/>
        </w:rPr>
        <w:t>10.1本合同期限为</w:t>
      </w:r>
      <w:r>
        <w:rPr>
          <w:rFonts w:hint="eastAsia" w:ascii="宋体" w:hAnsi="宋体"/>
          <w:b/>
          <w:color w:val="auto"/>
          <w:sz w:val="24"/>
          <w:u w:val="single"/>
        </w:rPr>
        <w:t xml:space="preserve">     </w:t>
      </w:r>
      <w:r>
        <w:rPr>
          <w:rFonts w:hint="eastAsia" w:ascii="宋体" w:hAnsi="宋体"/>
          <w:color w:val="auto"/>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color w:val="auto"/>
          <w:sz w:val="24"/>
        </w:rPr>
      </w:pPr>
      <w:r>
        <w:rPr>
          <w:rFonts w:hint="eastAsia" w:ascii="宋体" w:hAnsi="宋体"/>
          <w:color w:val="auto"/>
          <w:sz w:val="24"/>
        </w:rPr>
        <w:t>10.2 出现下列情况时合同自动终止：</w:t>
      </w:r>
    </w:p>
    <w:p>
      <w:pPr>
        <w:spacing w:line="360" w:lineRule="auto"/>
        <w:ind w:firstLine="480" w:firstLineChars="200"/>
        <w:rPr>
          <w:rFonts w:ascii="宋体" w:hAnsi="宋体"/>
          <w:color w:val="auto"/>
          <w:sz w:val="24"/>
        </w:rPr>
      </w:pPr>
      <w:r>
        <w:rPr>
          <w:rFonts w:hint="eastAsia" w:ascii="宋体" w:hAnsi="宋体"/>
          <w:color w:val="auto"/>
          <w:sz w:val="24"/>
        </w:rPr>
        <w:t>10.2.1发生不可抗力时。</w:t>
      </w:r>
    </w:p>
    <w:p>
      <w:pPr>
        <w:spacing w:line="360" w:lineRule="auto"/>
        <w:ind w:firstLine="480" w:firstLineChars="200"/>
        <w:rPr>
          <w:rFonts w:ascii="宋体" w:hAnsi="宋体"/>
          <w:color w:val="auto"/>
          <w:sz w:val="24"/>
        </w:rPr>
      </w:pPr>
      <w:r>
        <w:rPr>
          <w:rFonts w:hint="eastAsia" w:ascii="宋体" w:hAnsi="宋体"/>
          <w:color w:val="auto"/>
          <w:sz w:val="24"/>
        </w:rPr>
        <w:t>10.2.2一方不履行合同条款，造成另一方无法执行合同协议，协商又不能求得解决，合同终止，责任方赔偿损失。</w:t>
      </w:r>
    </w:p>
    <w:p>
      <w:pPr>
        <w:spacing w:line="360" w:lineRule="auto"/>
        <w:ind w:firstLine="480" w:firstLineChars="200"/>
        <w:rPr>
          <w:rFonts w:ascii="宋体" w:hAnsi="宋体"/>
          <w:color w:val="auto"/>
          <w:sz w:val="24"/>
        </w:rPr>
      </w:pPr>
      <w:r>
        <w:rPr>
          <w:rFonts w:hint="eastAsia" w:ascii="宋体" w:hAnsi="宋体"/>
          <w:color w:val="auto"/>
          <w:sz w:val="24"/>
        </w:rPr>
        <w:t>11.合同修改</w:t>
      </w:r>
    </w:p>
    <w:p>
      <w:pPr>
        <w:spacing w:line="360" w:lineRule="auto"/>
        <w:ind w:firstLine="480" w:firstLineChars="200"/>
        <w:rPr>
          <w:rFonts w:ascii="宋体" w:hAnsi="宋体"/>
          <w:color w:val="auto"/>
          <w:sz w:val="24"/>
        </w:rPr>
      </w:pPr>
      <w:r>
        <w:rPr>
          <w:rFonts w:hint="eastAsia" w:ascii="宋体" w:hAnsi="宋体"/>
          <w:color w:val="auto"/>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color w:val="auto"/>
          <w:sz w:val="24"/>
        </w:rPr>
      </w:pPr>
      <w:r>
        <w:rPr>
          <w:rFonts w:hint="eastAsia" w:ascii="宋体" w:hAnsi="宋体"/>
          <w:color w:val="auto"/>
          <w:sz w:val="24"/>
        </w:rPr>
        <w:t>12.适用法律</w:t>
      </w:r>
    </w:p>
    <w:p>
      <w:pPr>
        <w:spacing w:line="360" w:lineRule="auto"/>
        <w:ind w:firstLine="480" w:firstLineChars="200"/>
        <w:rPr>
          <w:rFonts w:ascii="宋体" w:hAnsi="宋体"/>
          <w:color w:val="auto"/>
          <w:sz w:val="24"/>
        </w:rPr>
      </w:pPr>
      <w:r>
        <w:rPr>
          <w:rFonts w:hint="eastAsia" w:ascii="宋体" w:hAnsi="宋体"/>
          <w:color w:val="auto"/>
          <w:sz w:val="24"/>
        </w:rPr>
        <w:t>本合同应按中华人民共和国的法律解释。</w:t>
      </w:r>
    </w:p>
    <w:p>
      <w:pPr>
        <w:spacing w:line="360" w:lineRule="auto"/>
        <w:ind w:firstLine="480" w:firstLineChars="200"/>
        <w:rPr>
          <w:rFonts w:ascii="宋体" w:hAnsi="宋体"/>
          <w:color w:val="auto"/>
          <w:sz w:val="24"/>
        </w:rPr>
      </w:pPr>
      <w:r>
        <w:rPr>
          <w:rFonts w:hint="eastAsia" w:ascii="宋体" w:hAnsi="宋体"/>
          <w:color w:val="auto"/>
          <w:sz w:val="24"/>
        </w:rPr>
        <w:t>13.主导语言与计量单位</w:t>
      </w:r>
    </w:p>
    <w:p>
      <w:pPr>
        <w:spacing w:line="360" w:lineRule="auto"/>
        <w:ind w:firstLine="480" w:firstLineChars="200"/>
        <w:rPr>
          <w:rFonts w:ascii="宋体" w:hAnsi="宋体"/>
          <w:color w:val="auto"/>
          <w:sz w:val="24"/>
        </w:rPr>
      </w:pPr>
      <w:r>
        <w:rPr>
          <w:rFonts w:hint="eastAsia" w:ascii="宋体" w:hAnsi="宋体"/>
          <w:color w:val="auto"/>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color w:val="auto"/>
          <w:sz w:val="24"/>
        </w:rPr>
      </w:pPr>
      <w:r>
        <w:rPr>
          <w:rFonts w:hint="eastAsia" w:ascii="宋体" w:hAnsi="宋体"/>
          <w:color w:val="auto"/>
          <w:sz w:val="24"/>
        </w:rPr>
        <w:t>13.2 除技术规格另有规定外，计量单位均使用中华人民共和国法定计量单位。</w:t>
      </w:r>
    </w:p>
    <w:p>
      <w:pPr>
        <w:spacing w:line="360" w:lineRule="auto"/>
        <w:ind w:firstLine="480" w:firstLineChars="200"/>
        <w:rPr>
          <w:rFonts w:ascii="宋体" w:hAnsi="宋体"/>
          <w:color w:val="auto"/>
          <w:sz w:val="24"/>
        </w:rPr>
      </w:pPr>
      <w:r>
        <w:rPr>
          <w:rFonts w:hint="eastAsia" w:ascii="宋体" w:hAnsi="宋体"/>
          <w:color w:val="auto"/>
          <w:sz w:val="24"/>
        </w:rPr>
        <w:t>14.合同生效</w:t>
      </w:r>
    </w:p>
    <w:p>
      <w:pPr>
        <w:spacing w:line="360" w:lineRule="auto"/>
        <w:rPr>
          <w:rFonts w:ascii="宋体" w:hAnsi="宋体" w:cs="微软雅黑"/>
          <w:b/>
          <w:bCs/>
          <w:color w:val="auto"/>
          <w:sz w:val="24"/>
          <w:szCs w:val="24"/>
        </w:rPr>
      </w:pPr>
      <w:r>
        <w:rPr>
          <w:rFonts w:hint="eastAsia" w:ascii="宋体" w:hAnsi="宋体"/>
          <w:color w:val="auto"/>
          <w:sz w:val="24"/>
        </w:rPr>
        <w:t>除非合同中另有说明，本合同经双方签字盖章，并在招标人收到乙方的履约保证金后，即开始生效。</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numPr>
          <w:ilvl w:val="0"/>
          <w:numId w:val="18"/>
        </w:numPr>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投标文件有关格式</w:t>
      </w:r>
    </w:p>
    <w:p>
      <w:pPr>
        <w:pStyle w:val="14"/>
        <w:numPr>
          <w:ilvl w:val="0"/>
          <w:numId w:val="0"/>
        </w:numPr>
        <w:spacing w:line="360" w:lineRule="auto"/>
        <w:contextualSpacing/>
        <w:jc w:val="center"/>
        <w:rPr>
          <w:rFonts w:hint="eastAsia" w:cs="宋体" w:asciiTheme="majorEastAsia" w:hAnsiTheme="majorEastAsia" w:eastAsiaTheme="majorEastAsia"/>
          <w:b/>
          <w:color w:val="auto"/>
          <w:kern w:val="0"/>
          <w:sz w:val="36"/>
          <w:szCs w:val="36"/>
          <w:lang w:val="zh-CN"/>
        </w:rPr>
      </w:pPr>
      <w:r>
        <w:rPr>
          <w:rFonts w:hint="eastAsia" w:cs="宋体" w:asciiTheme="majorEastAsia" w:hAnsiTheme="majorEastAsia" w:eastAsiaTheme="majorEastAsia"/>
          <w:b/>
          <w:color w:val="auto"/>
          <w:kern w:val="0"/>
          <w:sz w:val="36"/>
          <w:szCs w:val="36"/>
          <w:lang w:val="zh-CN"/>
        </w:rPr>
        <w:t>一、投标文件封面</w:t>
      </w:r>
    </w:p>
    <w:p>
      <w:pPr>
        <w:jc w:val="right"/>
        <w:rPr>
          <w:rStyle w:val="29"/>
          <w:rFonts w:ascii="宋体" w:hAnsi="宋体" w:eastAsia="宋体"/>
        </w:rPr>
      </w:pPr>
      <w:r>
        <w:rPr>
          <w:rStyle w:val="29"/>
          <w:rFonts w:hint="eastAsia" w:ascii="宋体" w:hAnsi="宋体" w:eastAsia="宋体"/>
        </w:rPr>
        <w:t>正本/副本</w:t>
      </w:r>
    </w:p>
    <w:p>
      <w:pPr>
        <w:jc w:val="left"/>
        <w:rPr>
          <w:rStyle w:val="29"/>
          <w:rFonts w:ascii="宋体" w:hAnsi="宋体" w:eastAsia="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
        <w:ind w:firstLine="0" w:firstLineChars="0"/>
      </w:pPr>
    </w:p>
    <w:p>
      <w:pPr>
        <w:rPr>
          <w:rFonts w:ascii="宋体" w:hAnsi="宋体" w:cs="微软雅黑"/>
          <w:sz w:val="28"/>
          <w:szCs w:val="28"/>
        </w:rPr>
      </w:pPr>
    </w:p>
    <w:p>
      <w:pPr>
        <w:pStyle w:val="2"/>
        <w:ind w:firstLine="280"/>
        <w:rPr>
          <w:rFonts w:hAnsi="宋体" w:cs="微软雅黑"/>
          <w:sz w:val="28"/>
          <w:szCs w:val="28"/>
        </w:rPr>
      </w:pPr>
    </w:p>
    <w:p>
      <w:pPr>
        <w:pStyle w:val="2"/>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Theme="majorEastAsia" w:hAnsiTheme="majorEastAsia" w:eastAsiaTheme="majorEastAsia"/>
          <w:b/>
          <w:snapToGrid w:val="0"/>
          <w:color w:val="auto"/>
          <w:kern w:val="0"/>
          <w:sz w:val="36"/>
          <w:szCs w:val="36"/>
        </w:rPr>
      </w:pPr>
      <w:r>
        <w:rPr>
          <w:rFonts w:hint="eastAsia" w:ascii="宋体" w:hAnsi="宋体" w:cs="微软雅黑"/>
          <w:sz w:val="28"/>
          <w:szCs w:val="28"/>
        </w:rPr>
        <w:t>年    月    日</w:t>
      </w:r>
    </w:p>
    <w:p>
      <w:pPr>
        <w:pStyle w:val="14"/>
        <w:spacing w:line="360" w:lineRule="auto"/>
        <w:jc w:val="both"/>
        <w:rPr>
          <w:rFonts w:hint="eastAsia"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服务时间</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注：服务时间指完成该项目的最终时间。</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rPr>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1"/>
        <w:spacing w:line="480" w:lineRule="auto"/>
        <w:ind w:firstLine="540" w:firstLineChars="225"/>
        <w:jc w:val="left"/>
        <w:rPr>
          <w:rFonts w:asciiTheme="minorEastAsia" w:hAnsiTheme="minorEastAsia"/>
          <w:color w:val="auto"/>
          <w:szCs w:val="24"/>
        </w:rPr>
      </w:pPr>
    </w:p>
    <w:p>
      <w:pPr>
        <w:pStyle w:val="41"/>
        <w:spacing w:line="480" w:lineRule="auto"/>
        <w:ind w:firstLine="540" w:firstLineChars="225"/>
        <w:jc w:val="left"/>
        <w:rPr>
          <w:rFonts w:asciiTheme="minorEastAsia" w:hAnsiTheme="minorEastAsia"/>
          <w:color w:val="auto"/>
          <w:szCs w:val="24"/>
        </w:rPr>
      </w:pPr>
    </w:p>
    <w:p>
      <w:pPr>
        <w:pStyle w:val="4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3"/>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1" w:name="_资格证明文件"/>
            <w:bookmarkEnd w:id="1"/>
            <w:bookmarkStart w:id="2" w:name="_Toc364329026"/>
            <w:r>
              <w:rPr>
                <w:rFonts w:hint="eastAsia" w:asciiTheme="minorEastAsia" w:hAnsiTheme="minorEastAsia"/>
                <w:color w:val="auto"/>
                <w:sz w:val="24"/>
                <w:szCs w:val="24"/>
              </w:rPr>
              <w:t>法定代表人授权代表身份证（正面）</w:t>
            </w:r>
            <w:bookmarkEnd w:id="2"/>
          </w:p>
        </w:tc>
        <w:tc>
          <w:tcPr>
            <w:tcW w:w="4492" w:type="dxa"/>
            <w:gridSpan w:val="2"/>
            <w:vAlign w:val="center"/>
          </w:tcPr>
          <w:p>
            <w:pPr>
              <w:jc w:val="center"/>
              <w:rPr>
                <w:rFonts w:asciiTheme="minorEastAsia" w:hAnsiTheme="minorEastAsia"/>
                <w:color w:val="auto"/>
                <w:sz w:val="24"/>
                <w:szCs w:val="24"/>
              </w:rPr>
            </w:pPr>
            <w:bookmarkStart w:id="3" w:name="_Toc364329027"/>
            <w:r>
              <w:rPr>
                <w:rFonts w:hint="eastAsia" w:asciiTheme="minorEastAsia" w:hAnsiTheme="minorEastAsia"/>
                <w:color w:val="auto"/>
                <w:sz w:val="24"/>
                <w:szCs w:val="24"/>
              </w:rPr>
              <w:t>法定代表人授权代表身份证（反面）</w:t>
            </w:r>
            <w:bookmarkEnd w:id="3"/>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both"/>
        <w:rPr>
          <w:rFonts w:hint="eastAsia"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sz w:val="36"/>
          <w:szCs w:val="36"/>
        </w:rPr>
        <w:t>4.</w:t>
      </w:r>
      <w:r>
        <w:rPr>
          <w:rFonts w:hint="eastAsia" w:ascii="宋体" w:hAnsi="宋体"/>
          <w:b/>
          <w:bCs/>
          <w:sz w:val="36"/>
          <w:szCs w:val="36"/>
          <w:lang w:val="en-US" w:eastAsia="zh-CN"/>
        </w:rPr>
        <w:t>1</w:t>
      </w:r>
      <w:r>
        <w:rPr>
          <w:rFonts w:hint="eastAsia" w:ascii="宋体" w:hAnsi="宋体"/>
          <w:b/>
          <w:bCs/>
          <w:sz w:val="36"/>
          <w:szCs w:val="36"/>
        </w:rPr>
        <w:t xml:space="preserve">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ascii="宋体" w:hAnsi="宋体"/>
          <w:b/>
          <w:bCs/>
          <w:sz w:val="36"/>
          <w:szCs w:val="36"/>
        </w:rPr>
        <w:t xml:space="preserve"> </w:t>
      </w:r>
      <w:r>
        <w:rPr>
          <w:rFonts w:hint="eastAsia" w:hAnsi="宋体"/>
          <w:b/>
          <w:snapToGrid w:val="0"/>
          <w:kern w:val="0"/>
          <w:sz w:val="36"/>
          <w:szCs w:val="36"/>
        </w:rPr>
        <w:t>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noWrap w:val="0"/>
            <w:vAlign w:val="center"/>
          </w:tcPr>
          <w:p>
            <w:pPr>
              <w:pStyle w:val="9"/>
              <w:spacing w:line="360" w:lineRule="auto"/>
              <w:rPr>
                <w:rFonts w:ascii="宋体" w:hAnsi="宋体" w:eastAsia="宋体" w:cs="Times New Roman"/>
                <w:sz w:val="24"/>
                <w:szCs w:val="24"/>
              </w:rPr>
            </w:pPr>
          </w:p>
        </w:tc>
        <w:tc>
          <w:tcPr>
            <w:tcW w:w="3579" w:type="dxa"/>
            <w:noWrap w:val="0"/>
            <w:vAlign w:val="center"/>
          </w:tcPr>
          <w:p>
            <w:pPr>
              <w:pStyle w:val="9"/>
              <w:spacing w:line="360" w:lineRule="auto"/>
              <w:rPr>
                <w:rFonts w:ascii="宋体" w:hAnsi="宋体" w:eastAsia="宋体" w:cs="Times New Roman"/>
                <w:sz w:val="24"/>
                <w:szCs w:val="24"/>
              </w:rPr>
            </w:pPr>
          </w:p>
        </w:tc>
        <w:tc>
          <w:tcPr>
            <w:tcW w:w="1440" w:type="dxa"/>
            <w:noWrap w:val="0"/>
            <w:vAlign w:val="center"/>
          </w:tcPr>
          <w:p>
            <w:pPr>
              <w:pStyle w:val="9"/>
              <w:spacing w:line="360" w:lineRule="auto"/>
              <w:rPr>
                <w:rFonts w:ascii="宋体" w:hAnsi="宋体" w:eastAsia="宋体" w:cs="Times New Roman"/>
                <w:sz w:val="24"/>
                <w:szCs w:val="24"/>
              </w:rPr>
            </w:pPr>
          </w:p>
        </w:tc>
        <w:tc>
          <w:tcPr>
            <w:tcW w:w="1706" w:type="dxa"/>
            <w:noWrap w:val="0"/>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noWrap w:val="0"/>
            <w:vAlign w:val="center"/>
          </w:tcPr>
          <w:p>
            <w:pPr>
              <w:pStyle w:val="9"/>
              <w:spacing w:line="360" w:lineRule="auto"/>
              <w:rPr>
                <w:rFonts w:ascii="宋体" w:hAnsi="宋体" w:eastAsia="宋体" w:cs="Times New Roman"/>
                <w:sz w:val="24"/>
                <w:szCs w:val="24"/>
              </w:rPr>
            </w:pPr>
          </w:p>
        </w:tc>
        <w:tc>
          <w:tcPr>
            <w:tcW w:w="3579" w:type="dxa"/>
            <w:noWrap w:val="0"/>
            <w:vAlign w:val="center"/>
          </w:tcPr>
          <w:p>
            <w:pPr>
              <w:pStyle w:val="9"/>
              <w:spacing w:line="360" w:lineRule="auto"/>
              <w:rPr>
                <w:rFonts w:ascii="宋体" w:hAnsi="宋体" w:eastAsia="宋体" w:cs="Times New Roman"/>
                <w:sz w:val="24"/>
                <w:szCs w:val="24"/>
              </w:rPr>
            </w:pPr>
          </w:p>
        </w:tc>
        <w:tc>
          <w:tcPr>
            <w:tcW w:w="1440" w:type="dxa"/>
            <w:noWrap w:val="0"/>
            <w:vAlign w:val="center"/>
          </w:tcPr>
          <w:p>
            <w:pPr>
              <w:pStyle w:val="9"/>
              <w:spacing w:line="360" w:lineRule="auto"/>
              <w:rPr>
                <w:rFonts w:ascii="宋体" w:hAnsi="宋体" w:eastAsia="宋体" w:cs="Times New Roman"/>
                <w:sz w:val="24"/>
                <w:szCs w:val="24"/>
              </w:rPr>
            </w:pPr>
          </w:p>
        </w:tc>
        <w:tc>
          <w:tcPr>
            <w:tcW w:w="1706" w:type="dxa"/>
            <w:noWrap w:val="0"/>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noWrap w:val="0"/>
            <w:vAlign w:val="center"/>
          </w:tcPr>
          <w:p>
            <w:pPr>
              <w:pStyle w:val="9"/>
              <w:spacing w:line="360" w:lineRule="auto"/>
              <w:rPr>
                <w:rFonts w:ascii="宋体" w:hAnsi="宋体" w:eastAsia="宋体" w:cs="Times New Roman"/>
                <w:sz w:val="24"/>
                <w:szCs w:val="24"/>
              </w:rPr>
            </w:pPr>
          </w:p>
        </w:tc>
        <w:tc>
          <w:tcPr>
            <w:tcW w:w="3579" w:type="dxa"/>
            <w:noWrap w:val="0"/>
            <w:vAlign w:val="center"/>
          </w:tcPr>
          <w:p>
            <w:pPr>
              <w:pStyle w:val="9"/>
              <w:spacing w:line="360" w:lineRule="auto"/>
              <w:rPr>
                <w:rFonts w:ascii="宋体" w:hAnsi="宋体" w:eastAsia="宋体" w:cs="Times New Roman"/>
                <w:sz w:val="24"/>
                <w:szCs w:val="24"/>
              </w:rPr>
            </w:pPr>
          </w:p>
        </w:tc>
        <w:tc>
          <w:tcPr>
            <w:tcW w:w="1440" w:type="dxa"/>
            <w:noWrap w:val="0"/>
            <w:vAlign w:val="center"/>
          </w:tcPr>
          <w:p>
            <w:pPr>
              <w:pStyle w:val="9"/>
              <w:spacing w:line="360" w:lineRule="auto"/>
              <w:rPr>
                <w:rFonts w:ascii="宋体" w:hAnsi="宋体" w:eastAsia="宋体" w:cs="Times New Roman"/>
                <w:sz w:val="24"/>
                <w:szCs w:val="24"/>
              </w:rPr>
            </w:pPr>
          </w:p>
        </w:tc>
        <w:tc>
          <w:tcPr>
            <w:tcW w:w="1706" w:type="dxa"/>
            <w:noWrap w:val="0"/>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p>
    <w:p>
      <w:pPr>
        <w:pStyle w:val="2"/>
        <w:rPr>
          <w:rFonts w:ascii="宋体" w:hAnsi="宋体" w:cs="宋体"/>
          <w:sz w:val="24"/>
          <w:szCs w:val="24"/>
          <w:lang w:val="zh-CN"/>
        </w:rPr>
      </w:pPr>
    </w:p>
    <w:p>
      <w:pPr>
        <w:pStyle w:val="2"/>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lang w:val="en-US" w:eastAsia="zh-CN"/>
        </w:rPr>
      </w:pPr>
    </w:p>
    <w:p>
      <w:pPr>
        <w:autoSpaceDE w:val="0"/>
        <w:autoSpaceDN w:val="0"/>
        <w:adjustRightInd w:val="0"/>
        <w:spacing w:line="360" w:lineRule="auto"/>
        <w:jc w:val="center"/>
        <w:outlineLvl w:val="0"/>
        <w:rPr>
          <w:rFonts w:hint="eastAsia" w:ascii="宋体" w:hAnsi="宋体"/>
          <w:b/>
          <w:bCs/>
          <w:sz w:val="36"/>
          <w:szCs w:val="36"/>
          <w:lang w:val="en-US" w:eastAsia="zh-CN"/>
        </w:rPr>
      </w:pPr>
    </w:p>
    <w:p>
      <w:pPr>
        <w:autoSpaceDE w:val="0"/>
        <w:autoSpaceDN w:val="0"/>
        <w:adjustRightInd w:val="0"/>
        <w:spacing w:line="360" w:lineRule="auto"/>
        <w:jc w:val="center"/>
        <w:outlineLvl w:val="0"/>
        <w:rPr>
          <w:rFonts w:hint="eastAsia" w:ascii="宋体" w:hAnsi="宋体"/>
          <w:b/>
          <w:bCs/>
          <w:sz w:val="36"/>
          <w:szCs w:val="36"/>
          <w:lang w:val="en-US" w:eastAsia="zh-CN"/>
        </w:rPr>
      </w:pPr>
    </w:p>
    <w:p>
      <w:pPr>
        <w:autoSpaceDE w:val="0"/>
        <w:autoSpaceDN w:val="0"/>
        <w:adjustRightInd w:val="0"/>
        <w:spacing w:line="360" w:lineRule="auto"/>
        <w:jc w:val="center"/>
        <w:outlineLvl w:val="0"/>
        <w:rPr>
          <w:rFonts w:hint="eastAsia" w:ascii="宋体" w:hAnsi="宋体"/>
          <w:b/>
          <w:bCs/>
          <w:sz w:val="36"/>
          <w:szCs w:val="36"/>
          <w:lang w:val="en-US" w:eastAsia="zh-CN"/>
        </w:rPr>
      </w:pPr>
    </w:p>
    <w:p>
      <w:pPr>
        <w:autoSpaceDE w:val="0"/>
        <w:autoSpaceDN w:val="0"/>
        <w:adjustRightInd w:val="0"/>
        <w:spacing w:line="360" w:lineRule="auto"/>
        <w:jc w:val="center"/>
        <w:outlineLvl w:val="0"/>
        <w:rPr>
          <w:rFonts w:hint="eastAsia" w:ascii="宋体" w:hAnsi="宋体"/>
          <w:b/>
          <w:bCs/>
          <w:sz w:val="36"/>
          <w:szCs w:val="36"/>
          <w:lang w:val="en-US" w:eastAsia="zh-CN"/>
        </w:rPr>
      </w:pPr>
      <w:r>
        <w:rPr>
          <w:rFonts w:hint="eastAsia" w:ascii="宋体" w:hAnsi="宋体"/>
          <w:b/>
          <w:bCs/>
          <w:sz w:val="36"/>
          <w:szCs w:val="36"/>
          <w:lang w:val="en-US" w:eastAsia="zh-CN"/>
        </w:rPr>
        <w:t>4.3 企业实力</w:t>
      </w:r>
    </w:p>
    <w:p>
      <w:pPr>
        <w:pStyle w:val="2"/>
        <w:rPr>
          <w:rFonts w:hint="eastAsia"/>
          <w:lang w:val="en-US" w:eastAsia="zh-CN"/>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pStyle w:val="2"/>
        <w:ind w:firstLine="340"/>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cs="宋体"/>
          <w:sz w:val="24"/>
          <w:szCs w:val="24"/>
          <w:lang w:val="zh-CN"/>
        </w:rPr>
        <w:t>（投标人根据招标文件要求自行编制）</w:t>
      </w:r>
    </w:p>
    <w:p>
      <w:pPr>
        <w:spacing w:line="360" w:lineRule="auto"/>
        <w:jc w:val="center"/>
        <w:rPr>
          <w:rFonts w:hint="eastAsia" w:ascii="宋体" w:hAnsi="宋体"/>
          <w:b/>
          <w:bCs/>
          <w:sz w:val="36"/>
          <w:szCs w:val="36"/>
        </w:rPr>
      </w:pPr>
    </w:p>
    <w:p>
      <w:pPr>
        <w:pStyle w:val="2"/>
        <w:rPr>
          <w:rFonts w:hint="eastAsia" w:ascii="宋体" w:hAnsi="宋体"/>
          <w:b/>
          <w:bCs/>
          <w:sz w:val="36"/>
          <w:szCs w:val="36"/>
        </w:rPr>
      </w:pPr>
    </w:p>
    <w:p>
      <w:pPr>
        <w:pStyle w:val="2"/>
        <w:rPr>
          <w:rFonts w:hint="eastAsia" w:ascii="宋体" w:hAnsi="宋体"/>
          <w:b/>
          <w:bCs/>
          <w:sz w:val="36"/>
          <w:szCs w:val="36"/>
        </w:rPr>
      </w:pPr>
    </w:p>
    <w:p>
      <w:pPr>
        <w:spacing w:line="360" w:lineRule="auto"/>
        <w:jc w:val="both"/>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b/>
          <w:bCs/>
          <w:sz w:val="36"/>
          <w:szCs w:val="36"/>
        </w:rPr>
      </w:pPr>
      <w:r>
        <w:rPr>
          <w:rFonts w:hint="eastAsia" w:ascii="宋体" w:hAnsi="宋体" w:cs="Arial"/>
          <w:kern w:val="0"/>
          <w:sz w:val="24"/>
          <w:szCs w:val="24"/>
        </w:rPr>
        <w:t>2、如投标人为联合投标的，联合投标人需分别填写上述《中小企业声明函》。</w:t>
      </w:r>
    </w:p>
    <w:p>
      <w:pPr>
        <w:spacing w:line="360" w:lineRule="auto"/>
        <w:jc w:val="center"/>
        <w:rPr>
          <w:rFonts w:hint="eastAsia" w:ascii="宋体" w:hAnsi="宋体"/>
          <w:b/>
          <w:bCs/>
          <w:sz w:val="36"/>
          <w:szCs w:val="36"/>
        </w:rPr>
      </w:pPr>
      <w:bookmarkStart w:id="4" w:name="OLE_LINK14"/>
      <w:bookmarkStart w:id="5" w:name="OLE_LINK13"/>
    </w:p>
    <w:p>
      <w:pPr>
        <w:pStyle w:val="2"/>
        <w:ind w:left="0" w:leftChars="0" w:firstLine="0" w:firstLineChars="0"/>
        <w:rPr>
          <w:rFonts w:hint="eastAsia"/>
        </w:rPr>
      </w:pPr>
    </w:p>
    <w:p>
      <w:pPr>
        <w:spacing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6</w:t>
      </w:r>
      <w:r>
        <w:rPr>
          <w:rFonts w:hint="eastAsia" w:ascii="宋体" w:hAnsi="宋体"/>
          <w:b/>
          <w:bCs/>
          <w:sz w:val="36"/>
          <w:szCs w:val="36"/>
        </w:rPr>
        <w:t xml:space="preserve"> 残疾人福利性单位声明函</w:t>
      </w:r>
    </w:p>
    <w:bookmarkEnd w:id="4"/>
    <w:bookmarkEnd w:id="5"/>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7</w:t>
      </w:r>
      <w:r>
        <w:rPr>
          <w:rFonts w:hint="eastAsia" w:ascii="宋体" w:hAnsi="宋体"/>
          <w:b/>
          <w:bCs/>
          <w:sz w:val="36"/>
          <w:szCs w:val="36"/>
        </w:rPr>
        <w:t xml:space="preserve">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pStyle w:val="2"/>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rPr>
          <w:rFonts w:hint="eastAsia" w:ascii="宋体" w:hAnsi="宋体"/>
          <w:b/>
          <w:bCs/>
          <w:sz w:val="28"/>
          <w:szCs w:val="28"/>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4865AD1E"/>
    <w:multiLevelType w:val="singleLevel"/>
    <w:tmpl w:val="4865AD1E"/>
    <w:lvl w:ilvl="0" w:tentative="0">
      <w:start w:val="8"/>
      <w:numFmt w:val="chineseCounting"/>
      <w:suff w:val="space"/>
      <w:lvlText w:val="第%1章"/>
      <w:lvlJc w:val="left"/>
      <w:rPr>
        <w:rFonts w:hint="eastAsia"/>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6"/>
  </w:num>
  <w:num w:numId="5">
    <w:abstractNumId w:val="14"/>
  </w:num>
  <w:num w:numId="6">
    <w:abstractNumId w:val="15"/>
  </w:num>
  <w:num w:numId="7">
    <w:abstractNumId w:val="10"/>
  </w:num>
  <w:num w:numId="8">
    <w:abstractNumId w:val="7"/>
  </w:num>
  <w:num w:numId="9">
    <w:abstractNumId w:val="3"/>
  </w:num>
  <w:num w:numId="10">
    <w:abstractNumId w:val="4"/>
  </w:num>
  <w:num w:numId="11">
    <w:abstractNumId w:val="17"/>
  </w:num>
  <w:num w:numId="12">
    <w:abstractNumId w:val="9"/>
  </w:num>
  <w:num w:numId="13">
    <w:abstractNumId w:val="16"/>
  </w:num>
  <w:num w:numId="14">
    <w:abstractNumId w:val="2"/>
  </w:num>
  <w:num w:numId="15">
    <w:abstractNumId w:val="5"/>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76B59"/>
    <w:rsid w:val="000A3C3F"/>
    <w:rsid w:val="000B201C"/>
    <w:rsid w:val="000F40BE"/>
    <w:rsid w:val="000F58D4"/>
    <w:rsid w:val="00160D27"/>
    <w:rsid w:val="00187214"/>
    <w:rsid w:val="001B69F1"/>
    <w:rsid w:val="001C3E6D"/>
    <w:rsid w:val="001D65BA"/>
    <w:rsid w:val="001E2D6D"/>
    <w:rsid w:val="00215B36"/>
    <w:rsid w:val="002A39A2"/>
    <w:rsid w:val="002A7EAE"/>
    <w:rsid w:val="002C1175"/>
    <w:rsid w:val="002F21EF"/>
    <w:rsid w:val="00363726"/>
    <w:rsid w:val="00397A66"/>
    <w:rsid w:val="003C1CEA"/>
    <w:rsid w:val="00450C1D"/>
    <w:rsid w:val="00460A21"/>
    <w:rsid w:val="00496923"/>
    <w:rsid w:val="00505787"/>
    <w:rsid w:val="0051397E"/>
    <w:rsid w:val="0052568F"/>
    <w:rsid w:val="0054241D"/>
    <w:rsid w:val="0057038A"/>
    <w:rsid w:val="005E646F"/>
    <w:rsid w:val="005F22BC"/>
    <w:rsid w:val="00636AAD"/>
    <w:rsid w:val="00685B99"/>
    <w:rsid w:val="00694DB2"/>
    <w:rsid w:val="006E678E"/>
    <w:rsid w:val="006F1C15"/>
    <w:rsid w:val="007054C2"/>
    <w:rsid w:val="00713175"/>
    <w:rsid w:val="0076324F"/>
    <w:rsid w:val="0078154E"/>
    <w:rsid w:val="007D329B"/>
    <w:rsid w:val="00845144"/>
    <w:rsid w:val="008570DB"/>
    <w:rsid w:val="00885877"/>
    <w:rsid w:val="008B3AF4"/>
    <w:rsid w:val="008D07A8"/>
    <w:rsid w:val="00924D0B"/>
    <w:rsid w:val="00933EBF"/>
    <w:rsid w:val="009434C1"/>
    <w:rsid w:val="0097065A"/>
    <w:rsid w:val="009C12AB"/>
    <w:rsid w:val="009D27F1"/>
    <w:rsid w:val="00A3752F"/>
    <w:rsid w:val="00A4670A"/>
    <w:rsid w:val="00A57254"/>
    <w:rsid w:val="00A700D5"/>
    <w:rsid w:val="00AD60E2"/>
    <w:rsid w:val="00AF2871"/>
    <w:rsid w:val="00B07A0D"/>
    <w:rsid w:val="00B20B19"/>
    <w:rsid w:val="00BA1C66"/>
    <w:rsid w:val="00BF7BB6"/>
    <w:rsid w:val="00C118B0"/>
    <w:rsid w:val="00C977DC"/>
    <w:rsid w:val="00CD277F"/>
    <w:rsid w:val="00CD3054"/>
    <w:rsid w:val="00CD47B7"/>
    <w:rsid w:val="00CE38EA"/>
    <w:rsid w:val="00D53665"/>
    <w:rsid w:val="00D71B7B"/>
    <w:rsid w:val="00D81A59"/>
    <w:rsid w:val="00D86948"/>
    <w:rsid w:val="00DE647B"/>
    <w:rsid w:val="00E84EA0"/>
    <w:rsid w:val="00EA2836"/>
    <w:rsid w:val="00ED546F"/>
    <w:rsid w:val="00F71CA7"/>
    <w:rsid w:val="00FC40F1"/>
    <w:rsid w:val="01392F69"/>
    <w:rsid w:val="016D1552"/>
    <w:rsid w:val="023C0E43"/>
    <w:rsid w:val="03BC2B62"/>
    <w:rsid w:val="03F11DDA"/>
    <w:rsid w:val="041122F1"/>
    <w:rsid w:val="055532AD"/>
    <w:rsid w:val="057B4035"/>
    <w:rsid w:val="05AE2502"/>
    <w:rsid w:val="05E165C2"/>
    <w:rsid w:val="068D06E4"/>
    <w:rsid w:val="06E6231D"/>
    <w:rsid w:val="07401BA1"/>
    <w:rsid w:val="08C873BE"/>
    <w:rsid w:val="09ED39B0"/>
    <w:rsid w:val="0A09076D"/>
    <w:rsid w:val="0A4A7606"/>
    <w:rsid w:val="0A9D715D"/>
    <w:rsid w:val="0B24037F"/>
    <w:rsid w:val="0BA469BE"/>
    <w:rsid w:val="0C997530"/>
    <w:rsid w:val="0CBF7A63"/>
    <w:rsid w:val="0CEB684F"/>
    <w:rsid w:val="0E0816FB"/>
    <w:rsid w:val="0E155D23"/>
    <w:rsid w:val="0FE11616"/>
    <w:rsid w:val="10763E9B"/>
    <w:rsid w:val="121543F0"/>
    <w:rsid w:val="14091AFB"/>
    <w:rsid w:val="14B93FBA"/>
    <w:rsid w:val="14DA4A7D"/>
    <w:rsid w:val="1634273D"/>
    <w:rsid w:val="16CF0C74"/>
    <w:rsid w:val="172D1EAF"/>
    <w:rsid w:val="17381C6C"/>
    <w:rsid w:val="17B17959"/>
    <w:rsid w:val="18175A3A"/>
    <w:rsid w:val="1923419C"/>
    <w:rsid w:val="197700AE"/>
    <w:rsid w:val="1A8F6DB5"/>
    <w:rsid w:val="1AB55F89"/>
    <w:rsid w:val="1B0E5593"/>
    <w:rsid w:val="1BFD7EFA"/>
    <w:rsid w:val="1CA55911"/>
    <w:rsid w:val="1CC73663"/>
    <w:rsid w:val="1D2A2655"/>
    <w:rsid w:val="1DF81DF2"/>
    <w:rsid w:val="1E432412"/>
    <w:rsid w:val="1EC65FB1"/>
    <w:rsid w:val="1FBA2E37"/>
    <w:rsid w:val="211D76FF"/>
    <w:rsid w:val="21CA5416"/>
    <w:rsid w:val="2237674F"/>
    <w:rsid w:val="224A2D7A"/>
    <w:rsid w:val="22B5048B"/>
    <w:rsid w:val="230B67CB"/>
    <w:rsid w:val="23352E19"/>
    <w:rsid w:val="234A0AF1"/>
    <w:rsid w:val="236E1275"/>
    <w:rsid w:val="24184AB2"/>
    <w:rsid w:val="245B5354"/>
    <w:rsid w:val="25B57001"/>
    <w:rsid w:val="25FA65AC"/>
    <w:rsid w:val="264F3A1D"/>
    <w:rsid w:val="266917DD"/>
    <w:rsid w:val="27CF5747"/>
    <w:rsid w:val="290F43CC"/>
    <w:rsid w:val="297D74A1"/>
    <w:rsid w:val="299169FB"/>
    <w:rsid w:val="2AC20B63"/>
    <w:rsid w:val="2AE827FA"/>
    <w:rsid w:val="2BB26D09"/>
    <w:rsid w:val="2D74179A"/>
    <w:rsid w:val="2DC274BC"/>
    <w:rsid w:val="2E1409C7"/>
    <w:rsid w:val="2E245EDE"/>
    <w:rsid w:val="2ECE42C1"/>
    <w:rsid w:val="2F0747E3"/>
    <w:rsid w:val="2F2F45A9"/>
    <w:rsid w:val="2F3C0ED0"/>
    <w:rsid w:val="2FD220F5"/>
    <w:rsid w:val="2FE33184"/>
    <w:rsid w:val="301F5739"/>
    <w:rsid w:val="304333D2"/>
    <w:rsid w:val="323B673D"/>
    <w:rsid w:val="33FC2073"/>
    <w:rsid w:val="35494C2F"/>
    <w:rsid w:val="36D80324"/>
    <w:rsid w:val="37725A7C"/>
    <w:rsid w:val="37F108AB"/>
    <w:rsid w:val="387333CA"/>
    <w:rsid w:val="3A876708"/>
    <w:rsid w:val="3B893F47"/>
    <w:rsid w:val="3C7E3245"/>
    <w:rsid w:val="3E6A4C19"/>
    <w:rsid w:val="3EA73D2E"/>
    <w:rsid w:val="3EED1F91"/>
    <w:rsid w:val="3F754C12"/>
    <w:rsid w:val="400A2FE1"/>
    <w:rsid w:val="40983E9F"/>
    <w:rsid w:val="44322D1D"/>
    <w:rsid w:val="44813CAF"/>
    <w:rsid w:val="44991154"/>
    <w:rsid w:val="45CC5F91"/>
    <w:rsid w:val="46565354"/>
    <w:rsid w:val="46DD4D34"/>
    <w:rsid w:val="47385F96"/>
    <w:rsid w:val="477463BC"/>
    <w:rsid w:val="478851BF"/>
    <w:rsid w:val="479F493E"/>
    <w:rsid w:val="485009AD"/>
    <w:rsid w:val="48552C8E"/>
    <w:rsid w:val="48971FF0"/>
    <w:rsid w:val="48D60749"/>
    <w:rsid w:val="49885354"/>
    <w:rsid w:val="4ADE2CB5"/>
    <w:rsid w:val="4AFF537E"/>
    <w:rsid w:val="4C4977A8"/>
    <w:rsid w:val="4C5B183F"/>
    <w:rsid w:val="4CA32097"/>
    <w:rsid w:val="4CB91FE1"/>
    <w:rsid w:val="4DD66FAF"/>
    <w:rsid w:val="4E3A6034"/>
    <w:rsid w:val="4F016809"/>
    <w:rsid w:val="4F3B1395"/>
    <w:rsid w:val="4FDD62D6"/>
    <w:rsid w:val="50502604"/>
    <w:rsid w:val="5082405D"/>
    <w:rsid w:val="52843537"/>
    <w:rsid w:val="528B1967"/>
    <w:rsid w:val="52913912"/>
    <w:rsid w:val="53F05AB3"/>
    <w:rsid w:val="543D3316"/>
    <w:rsid w:val="56D33BA2"/>
    <w:rsid w:val="57857097"/>
    <w:rsid w:val="57D71414"/>
    <w:rsid w:val="57DE1812"/>
    <w:rsid w:val="57E25F87"/>
    <w:rsid w:val="589441DC"/>
    <w:rsid w:val="596F7F85"/>
    <w:rsid w:val="5A582BC7"/>
    <w:rsid w:val="5A920CBA"/>
    <w:rsid w:val="5AC73F4B"/>
    <w:rsid w:val="5AED159E"/>
    <w:rsid w:val="5BAD7659"/>
    <w:rsid w:val="5BD32C3A"/>
    <w:rsid w:val="5C8145A9"/>
    <w:rsid w:val="5CA03716"/>
    <w:rsid w:val="5E1D7AEE"/>
    <w:rsid w:val="5E293ED3"/>
    <w:rsid w:val="5E740BA6"/>
    <w:rsid w:val="5FE63965"/>
    <w:rsid w:val="60260182"/>
    <w:rsid w:val="615E318F"/>
    <w:rsid w:val="629E4346"/>
    <w:rsid w:val="62CC7E38"/>
    <w:rsid w:val="63F14878"/>
    <w:rsid w:val="642C0167"/>
    <w:rsid w:val="656658F4"/>
    <w:rsid w:val="660C6F4D"/>
    <w:rsid w:val="66725A18"/>
    <w:rsid w:val="66772B30"/>
    <w:rsid w:val="6686131F"/>
    <w:rsid w:val="66EA5A3C"/>
    <w:rsid w:val="675317A5"/>
    <w:rsid w:val="699B2CF5"/>
    <w:rsid w:val="69A3533E"/>
    <w:rsid w:val="69CA0F0B"/>
    <w:rsid w:val="69EA41FA"/>
    <w:rsid w:val="6A884B42"/>
    <w:rsid w:val="6BBA244A"/>
    <w:rsid w:val="6BE000B8"/>
    <w:rsid w:val="6D867776"/>
    <w:rsid w:val="6D9D14D9"/>
    <w:rsid w:val="6E6015C6"/>
    <w:rsid w:val="6E614CEE"/>
    <w:rsid w:val="6E9D5D14"/>
    <w:rsid w:val="6F4403E7"/>
    <w:rsid w:val="6FDA1EAC"/>
    <w:rsid w:val="7061191F"/>
    <w:rsid w:val="707F7D02"/>
    <w:rsid w:val="710A6AF7"/>
    <w:rsid w:val="713242FC"/>
    <w:rsid w:val="71405FB7"/>
    <w:rsid w:val="71C719D5"/>
    <w:rsid w:val="725F11A0"/>
    <w:rsid w:val="72974C5C"/>
    <w:rsid w:val="73F371F3"/>
    <w:rsid w:val="74087911"/>
    <w:rsid w:val="74666D0E"/>
    <w:rsid w:val="759A5F4E"/>
    <w:rsid w:val="75D20E7C"/>
    <w:rsid w:val="76934890"/>
    <w:rsid w:val="76962537"/>
    <w:rsid w:val="76D6625A"/>
    <w:rsid w:val="77E00C26"/>
    <w:rsid w:val="77E86122"/>
    <w:rsid w:val="78C30048"/>
    <w:rsid w:val="79B32792"/>
    <w:rsid w:val="7A8619F1"/>
    <w:rsid w:val="7A9109D2"/>
    <w:rsid w:val="7AAD7B18"/>
    <w:rsid w:val="7B9A0CC6"/>
    <w:rsid w:val="7C367523"/>
    <w:rsid w:val="7CB86009"/>
    <w:rsid w:val="7D0E317C"/>
    <w:rsid w:val="7DC132DF"/>
    <w:rsid w:val="7DD171A5"/>
    <w:rsid w:val="7E757AE0"/>
    <w:rsid w:val="7F5A2357"/>
    <w:rsid w:val="7F5A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5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5"/>
    <w:semiHidden/>
    <w:unhideWhenUsed/>
    <w:qFormat/>
    <w:uiPriority w:val="99"/>
    <w:rPr>
      <w:rFonts w:ascii="宋体" w:eastAsia="宋体"/>
      <w:sz w:val="18"/>
      <w:szCs w:val="18"/>
    </w:rPr>
  </w:style>
  <w:style w:type="paragraph" w:styleId="11">
    <w:name w:val="Body Text 3"/>
    <w:basedOn w:val="1"/>
    <w:link w:val="47"/>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Emphasis"/>
    <w:basedOn w:val="22"/>
    <w:qFormat/>
    <w:uiPriority w:val="20"/>
  </w:style>
  <w:style w:type="character" w:styleId="26">
    <w:name w:val="Hyperlink"/>
    <w:basedOn w:val="22"/>
    <w:unhideWhenUsed/>
    <w:qFormat/>
    <w:uiPriority w:val="99"/>
    <w:rPr>
      <w:color w:val="000000"/>
      <w:u w:val="none"/>
    </w:rPr>
  </w:style>
  <w:style w:type="character" w:customStyle="1" w:styleId="28">
    <w:name w:val="标题 1 Char"/>
    <w:basedOn w:val="22"/>
    <w:link w:val="4"/>
    <w:qFormat/>
    <w:uiPriority w:val="0"/>
    <w:rPr>
      <w:rFonts w:ascii="Calibri" w:hAnsi="Calibri" w:eastAsia="宋体" w:cs="Times New Roman"/>
      <w:b/>
      <w:bCs/>
      <w:kern w:val="44"/>
      <w:sz w:val="44"/>
      <w:szCs w:val="44"/>
    </w:rPr>
  </w:style>
  <w:style w:type="character" w:customStyle="1" w:styleId="29">
    <w:name w:val="标题 2 Char"/>
    <w:basedOn w:val="22"/>
    <w:link w:val="5"/>
    <w:qFormat/>
    <w:uiPriority w:val="0"/>
    <w:rPr>
      <w:rFonts w:ascii="Arial" w:hAnsi="Arial" w:eastAsia="黑体" w:cs="Times New Roman"/>
      <w:b/>
      <w:bCs/>
      <w:kern w:val="0"/>
      <w:sz w:val="32"/>
      <w:szCs w:val="32"/>
    </w:rPr>
  </w:style>
  <w:style w:type="character" w:customStyle="1" w:styleId="30">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2"/>
    <w:link w:val="7"/>
    <w:qFormat/>
    <w:uiPriority w:val="0"/>
    <w:rPr>
      <w:rFonts w:ascii="Arial" w:hAnsi="Arial" w:eastAsia="黑体" w:cs="Times New Roman"/>
      <w:b/>
      <w:bCs/>
      <w:kern w:val="0"/>
      <w:sz w:val="28"/>
      <w:szCs w:val="28"/>
    </w:rPr>
  </w:style>
  <w:style w:type="character" w:customStyle="1" w:styleId="32">
    <w:name w:val="纯文本 Char"/>
    <w:basedOn w:val="22"/>
    <w:link w:val="14"/>
    <w:qFormat/>
    <w:uiPriority w:val="0"/>
    <w:rPr>
      <w:rFonts w:eastAsia="宋体"/>
      <w:sz w:val="24"/>
    </w:rPr>
  </w:style>
  <w:style w:type="character" w:customStyle="1" w:styleId="33">
    <w:name w:val="日期 Char"/>
    <w:basedOn w:val="22"/>
    <w:link w:val="15"/>
    <w:qFormat/>
    <w:uiPriority w:val="99"/>
  </w:style>
  <w:style w:type="character" w:customStyle="1" w:styleId="34">
    <w:name w:val="页脚 Char"/>
    <w:basedOn w:val="22"/>
    <w:link w:val="17"/>
    <w:qFormat/>
    <w:uiPriority w:val="99"/>
    <w:rPr>
      <w:sz w:val="18"/>
      <w:szCs w:val="18"/>
    </w:rPr>
  </w:style>
  <w:style w:type="character" w:customStyle="1" w:styleId="35">
    <w:name w:val="页眉 Char"/>
    <w:basedOn w:val="22"/>
    <w:link w:val="18"/>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2"/>
    <w:link w:val="11"/>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2"/>
    <w:link w:val="3"/>
    <w:qFormat/>
    <w:uiPriority w:val="99"/>
  </w:style>
  <w:style w:type="character" w:customStyle="1" w:styleId="52">
    <w:name w:val="正文首行缩进 Char"/>
    <w:basedOn w:val="51"/>
    <w:link w:val="2"/>
    <w:qFormat/>
    <w:uiPriority w:val="0"/>
    <w:rPr>
      <w:rFonts w:ascii="宋体" w:hAnsi="Times New Roman" w:eastAsia="宋体" w:cs="Times New Roman"/>
      <w:kern w:val="0"/>
      <w:sz w:val="34"/>
      <w:szCs w:val="20"/>
    </w:rPr>
  </w:style>
  <w:style w:type="character" w:customStyle="1" w:styleId="53">
    <w:name w:val="HTML 预设格式 Char"/>
    <w:basedOn w:val="22"/>
    <w:link w:val="20"/>
    <w:semiHidden/>
    <w:qFormat/>
    <w:uiPriority w:val="99"/>
    <w:rPr>
      <w:rFonts w:ascii="宋体" w:hAnsi="宋体" w:eastAsia="宋体" w:cs="宋体"/>
      <w:kern w:val="0"/>
      <w:sz w:val="24"/>
      <w:szCs w:val="24"/>
    </w:rPr>
  </w:style>
  <w:style w:type="character" w:customStyle="1" w:styleId="54">
    <w:name w:val="标题 2 Char1"/>
    <w:basedOn w:val="22"/>
    <w:link w:val="5"/>
    <w:qFormat/>
    <w:uiPriority w:val="0"/>
    <w:rPr>
      <w:rFonts w:ascii="Arial" w:hAnsi="Arial" w:eastAsia="黑体" w:cs="Times New Roman"/>
      <w:b/>
      <w:bCs/>
      <w:kern w:val="0"/>
      <w:sz w:val="32"/>
      <w:szCs w:val="32"/>
    </w:rPr>
  </w:style>
  <w:style w:type="character" w:customStyle="1" w:styleId="55">
    <w:name w:val="hover25"/>
    <w:basedOn w:val="22"/>
    <w:qFormat/>
    <w:uiPriority w:val="0"/>
  </w:style>
  <w:style w:type="character" w:customStyle="1" w:styleId="56">
    <w:name w:val="green"/>
    <w:basedOn w:val="22"/>
    <w:qFormat/>
    <w:uiPriority w:val="0"/>
    <w:rPr>
      <w:color w:val="66AE00"/>
      <w:sz w:val="18"/>
      <w:szCs w:val="18"/>
    </w:rPr>
  </w:style>
  <w:style w:type="character" w:customStyle="1" w:styleId="57">
    <w:name w:val="green1"/>
    <w:basedOn w:val="22"/>
    <w:qFormat/>
    <w:uiPriority w:val="0"/>
    <w:rPr>
      <w:color w:val="66AE00"/>
      <w:sz w:val="18"/>
      <w:szCs w:val="18"/>
    </w:rPr>
  </w:style>
  <w:style w:type="character" w:customStyle="1" w:styleId="58">
    <w:name w:val="red"/>
    <w:basedOn w:val="22"/>
    <w:qFormat/>
    <w:uiPriority w:val="0"/>
    <w:rPr>
      <w:color w:val="FF0000"/>
      <w:sz w:val="18"/>
      <w:szCs w:val="18"/>
    </w:rPr>
  </w:style>
  <w:style w:type="character" w:customStyle="1" w:styleId="59">
    <w:name w:val="red1"/>
    <w:basedOn w:val="22"/>
    <w:qFormat/>
    <w:uiPriority w:val="0"/>
    <w:rPr>
      <w:color w:val="FF0000"/>
      <w:sz w:val="18"/>
      <w:szCs w:val="18"/>
    </w:rPr>
  </w:style>
  <w:style w:type="character" w:customStyle="1" w:styleId="60">
    <w:name w:val="red2"/>
    <w:basedOn w:val="22"/>
    <w:qFormat/>
    <w:uiPriority w:val="0"/>
    <w:rPr>
      <w:color w:val="FF0000"/>
    </w:rPr>
  </w:style>
  <w:style w:type="character" w:customStyle="1" w:styleId="61">
    <w:name w:val="blue"/>
    <w:basedOn w:val="22"/>
    <w:qFormat/>
    <w:uiPriority w:val="0"/>
    <w:rPr>
      <w:color w:val="0371C6"/>
      <w:sz w:val="21"/>
      <w:szCs w:val="21"/>
    </w:rPr>
  </w:style>
  <w:style w:type="character" w:customStyle="1" w:styleId="62">
    <w:name w:val="right"/>
    <w:basedOn w:val="22"/>
    <w:qFormat/>
    <w:uiPriority w:val="0"/>
    <w:rPr>
      <w:color w:val="999999"/>
      <w:sz w:val="18"/>
      <w:szCs w:val="18"/>
    </w:rPr>
  </w:style>
  <w:style w:type="character" w:customStyle="1" w:styleId="63">
    <w:name w:val="gb-jt"/>
    <w:basedOn w:val="22"/>
    <w:qFormat/>
    <w:uiPriority w:val="0"/>
  </w:style>
  <w:style w:type="paragraph" w:customStyle="1" w:styleId="64">
    <w:name w:val="Table Paragraph"/>
    <w:basedOn w:val="1"/>
    <w:qFormat/>
    <w:uiPriority w:val="1"/>
    <w:rPr>
      <w:rFonts w:ascii="宋体" w:hAnsi="宋体" w:cs="宋体"/>
      <w:lang w:val="zh-CN" w:bidi="zh-CN"/>
    </w:rPr>
  </w:style>
  <w:style w:type="character" w:customStyle="1" w:styleId="65">
    <w:name w:val="文档结构图 Char"/>
    <w:basedOn w:val="22"/>
    <w:link w:val="10"/>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60</Pages>
  <Words>5228</Words>
  <Characters>29800</Characters>
  <Lines>248</Lines>
  <Paragraphs>69</Paragraphs>
  <TotalTime>10</TotalTime>
  <ScaleCrop>false</ScaleCrop>
  <LinksUpToDate>false</LinksUpToDate>
  <CharactersWithSpaces>34959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2018-12-12T01:11:00Z</dcterms:created>
  <dc:creator>许昌市公共资源交易中心:孟莉</dc:creator>
  <cp:lastModifiedBy>Z.</cp:lastModifiedBy>
  <cp:lastPrinted>2019-01-02T01:07:00Z</cp:lastPrinted>
  <dcterms:modified xsi:type="dcterms:W3CDTF">2019-01-08T02:26:16Z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