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jc w:val="center"/>
        <w:rPr>
          <w:rFonts w:hint="eastAsia"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中国邮政集团公司河南省禹州市分公司职工家属院“三供一业”供水改造工程项目</w:t>
      </w:r>
      <w:r>
        <w:rPr>
          <w:rFonts w:hint="eastAsia" w:asciiTheme="majorEastAsia" w:hAnsiTheme="majorEastAsia" w:eastAsiaTheme="majorEastAsia" w:cstheme="majorEastAsia"/>
          <w:b/>
          <w:sz w:val="44"/>
          <w:szCs w:val="44"/>
          <w:highlight w:val="none"/>
          <w:lang w:eastAsia="zh-CN"/>
        </w:rPr>
        <w:t>二次</w:t>
      </w:r>
    </w:p>
    <w:p>
      <w:pPr>
        <w:spacing w:line="240" w:lineRule="auto"/>
        <w:ind w:firstLine="0"/>
        <w:jc w:val="center"/>
        <w:rPr>
          <w:rFonts w:hint="eastAsia"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竞争性谈判公告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恒信咨询管理有限公司受禹州市豫资城乡建设发展有限公司的委托，就“中国邮政集团公司河南省禹州市分公司职工家属院‘三供一业’供水改造工程项目”进行二次竞争性谈判采购，欢迎符合条件的供应商参加本项目二次谈判活动。</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rPr>
        <w:t>一、项目基本情况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1.1采购人：禹州市豫资城乡建设发展有限公司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1.2采购编号：YZCG-DL2019003-1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1.3项目名称：中国邮政集团公司河南省禹州市分公司职工家属院“三供一业”供水改造工程项目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1.4采购需求：中国邮政集团公司河南省禹州市分公司职工家属院供水改造</w:t>
      </w:r>
    </w:p>
    <w:p>
      <w:pPr>
        <w:keepNext w:val="0"/>
        <w:keepLines w:val="0"/>
        <w:pageBreakBefore w:val="0"/>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1.5资金来源：自筹资金</w:t>
      </w:r>
    </w:p>
    <w:p>
      <w:pPr>
        <w:keepNext w:val="0"/>
        <w:keepLines w:val="0"/>
        <w:pageBreakBefore w:val="0"/>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1.6采购预算：211596.75元</w:t>
      </w:r>
    </w:p>
    <w:p>
      <w:pPr>
        <w:keepNext w:val="0"/>
        <w:keepLines w:val="0"/>
        <w:pageBreakBefore w:val="0"/>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1.7计划工期：40日历天</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rPr>
        <w:t>二、需要落实的政府采购政策</w:t>
      </w:r>
    </w:p>
    <w:p>
      <w:pPr>
        <w:keepNext w:val="0"/>
        <w:keepLines w:val="0"/>
        <w:pageBreakBefore w:val="0"/>
        <w:widowControl w:val="0"/>
        <w:shd w:val="clear" w:color="auto" w:fill="FFFFFF"/>
        <w:kinsoku w:val="0"/>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本项目落实节约能源、保护环境、扶持不发达地区和少数民族地区、促进中小企业、监狱企业发展等政府采购政策。</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lang w:eastAsia="zh-CN"/>
        </w:rPr>
        <w:t>三、</w:t>
      </w:r>
      <w:r>
        <w:rPr>
          <w:rFonts w:hint="eastAsia" w:ascii="黑体" w:hAnsi="黑体" w:eastAsia="黑体" w:cs="Arial"/>
          <w:color w:val="000000"/>
          <w:kern w:val="0"/>
          <w:sz w:val="32"/>
          <w:szCs w:val="32"/>
          <w:highlight w:val="none"/>
        </w:rPr>
        <w:t>供应商资格要求：</w:t>
      </w:r>
    </w:p>
    <w:p>
      <w:pPr>
        <w:keepNext w:val="0"/>
        <w:keepLines w:val="0"/>
        <w:pageBreakBefore w:val="0"/>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3.1符合《政府采购法》第二十二条之规定。</w:t>
      </w:r>
    </w:p>
    <w:p>
      <w:pPr>
        <w:keepNext w:val="0"/>
        <w:keepLines w:val="0"/>
        <w:pageBreakBefore w:val="0"/>
        <w:kinsoku/>
        <w:wordWrap/>
        <w:overflowPunct/>
        <w:autoSpaceDE/>
        <w:autoSpaceDN/>
        <w:bidi w:val="0"/>
        <w:spacing w:beforeAutospacing="0" w:afterAutospacing="0" w:line="360" w:lineRule="auto"/>
        <w:ind w:firstLine="640" w:firstLineChars="200"/>
        <w:jc w:val="left"/>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3.2具备市政公用工程施工总承包叁级及以上资质，且具有有效的安全生产许可证；</w:t>
      </w:r>
    </w:p>
    <w:p>
      <w:pPr>
        <w:keepNext w:val="0"/>
        <w:keepLines w:val="0"/>
        <w:pageBreakBefore w:val="0"/>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3.3拟派项目经理须具备市政公用工程专业贰级及以上注册建造师执业资格并具有有效的安全生产考核合格证，且未担任其他在施建设工程项目的项目经理；</w:t>
      </w:r>
    </w:p>
    <w:p>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3.4未被列入信用中国网站（www.creditchina.gov.cn）的</w:t>
      </w:r>
      <w:r>
        <w:rPr>
          <w:rFonts w:hint="eastAsia" w:ascii="仿宋" w:hAnsi="仿宋" w:eastAsia="仿宋" w:cs="Arial"/>
          <w:color w:val="000000"/>
          <w:kern w:val="0"/>
          <w:sz w:val="32"/>
          <w:szCs w:val="32"/>
          <w:highlight w:val="none"/>
          <w:lang w:val="zh-CN" w:eastAsia="zh-CN" w:bidi="ar-SA"/>
        </w:rPr>
        <w:t>“失信被执行人”</w:t>
      </w:r>
      <w:r>
        <w:rPr>
          <w:rFonts w:hint="eastAsia" w:ascii="仿宋" w:hAnsi="仿宋" w:eastAsia="仿宋" w:cs="Arial"/>
          <w:color w:val="000000"/>
          <w:kern w:val="0"/>
          <w:sz w:val="32"/>
          <w:szCs w:val="32"/>
          <w:highlight w:val="none"/>
          <w:lang w:val="en-US" w:eastAsia="zh-CN" w:bidi="ar-SA"/>
        </w:rPr>
        <w:t>“重大税收违法案件当事人名单”、中国政府采购网站（www.ccgp.gov.cn）的“政府采购严重违法失信行为记录名单”、</w:t>
      </w:r>
      <w:r>
        <w:rPr>
          <w:rFonts w:hint="eastAsia" w:ascii="仿宋" w:hAnsi="仿宋" w:eastAsia="仿宋" w:cs="Arial"/>
          <w:color w:val="000000"/>
          <w:kern w:val="0"/>
          <w:sz w:val="32"/>
          <w:szCs w:val="32"/>
          <w:highlight w:val="none"/>
          <w:lang w:val="zh-CN" w:eastAsia="zh-CN" w:bidi="ar-SA"/>
        </w:rPr>
        <w:t>国家企业信用公示系统网站（www.gsxt.gov.cn）“严重违法失信企业名单（黑名单）”</w:t>
      </w:r>
      <w:r>
        <w:rPr>
          <w:rFonts w:hint="eastAsia" w:ascii="仿宋" w:hAnsi="仿宋" w:eastAsia="仿宋" w:cs="Arial"/>
          <w:color w:val="000000"/>
          <w:kern w:val="0"/>
          <w:sz w:val="32"/>
          <w:szCs w:val="32"/>
          <w:highlight w:val="none"/>
          <w:lang w:val="en-US" w:eastAsia="zh-CN" w:bidi="ar-SA"/>
        </w:rPr>
        <w:t>等。</w:t>
      </w: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3.5委托代理人为本单位在职员工（须提供本公司为其缴纳社会保险的证明）。</w:t>
      </w:r>
    </w:p>
    <w:p>
      <w:pPr>
        <w:keepNext w:val="0"/>
        <w:keepLines w:val="0"/>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3.6本项目不接受联合体参加。</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rPr>
        <w:t>四、谈判文件的获取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4.1持CA数字认证证书，</w:t>
      </w:r>
      <w:r>
        <w:rPr>
          <w:rFonts w:hint="eastAsia" w:ascii="仿宋" w:hAnsi="仿宋" w:eastAsia="仿宋" w:cs="Arial"/>
          <w:color w:val="000000"/>
          <w:kern w:val="0"/>
          <w:sz w:val="32"/>
          <w:szCs w:val="32"/>
          <w:highlight w:val="none"/>
          <w:lang w:val="zh-CN" w:eastAsia="zh-CN" w:bidi="ar-SA"/>
        </w:rPr>
        <w:t>登录</w:t>
      </w:r>
      <w:r>
        <w:rPr>
          <w:rFonts w:hint="eastAsia" w:ascii="仿宋" w:hAnsi="仿宋" w:eastAsia="仿宋" w:cs="Arial"/>
          <w:color w:val="000000"/>
          <w:kern w:val="0"/>
          <w:sz w:val="32"/>
          <w:szCs w:val="32"/>
          <w:highlight w:val="none"/>
          <w:lang w:val="en-US" w:eastAsia="zh-CN" w:bidi="ar-SA"/>
        </w:rPr>
        <w:t>全国公共资源交易平台（河南省·许昌市）“系统用户注册”入口:“</w:t>
      </w:r>
      <w:r>
        <w:rPr>
          <w:rFonts w:hint="eastAsia" w:ascii="仿宋" w:hAnsi="仿宋" w:eastAsia="仿宋" w:cs="Arial"/>
          <w:color w:val="000000"/>
          <w:kern w:val="0"/>
          <w:sz w:val="32"/>
          <w:szCs w:val="32"/>
          <w:highlight w:val="none"/>
          <w:lang w:val="en-US" w:eastAsia="zh-CN" w:bidi="ar-SA"/>
        </w:rPr>
        <w:fldChar w:fldCharType="begin"/>
      </w:r>
      <w:r>
        <w:rPr>
          <w:rFonts w:hint="eastAsia" w:ascii="仿宋" w:hAnsi="仿宋" w:eastAsia="仿宋" w:cs="Arial"/>
          <w:color w:val="000000"/>
          <w:kern w:val="0"/>
          <w:sz w:val="32"/>
          <w:szCs w:val="32"/>
          <w:highlight w:val="none"/>
          <w:lang w:val="en-US" w:eastAsia="zh-CN" w:bidi="ar-SA"/>
        </w:rPr>
        <w:instrText xml:space="preserve"> HYPERLINK "http://221.14.6.70:8088/ggzy/eps/public/RegistAllJcxx.html" </w:instrText>
      </w:r>
      <w:r>
        <w:rPr>
          <w:rFonts w:hint="eastAsia" w:ascii="仿宋" w:hAnsi="仿宋" w:eastAsia="仿宋" w:cs="Arial"/>
          <w:color w:val="000000"/>
          <w:kern w:val="0"/>
          <w:sz w:val="32"/>
          <w:szCs w:val="32"/>
          <w:highlight w:val="none"/>
          <w:lang w:val="en-US" w:eastAsia="zh-CN" w:bidi="ar-SA"/>
        </w:rPr>
        <w:fldChar w:fldCharType="separate"/>
      </w:r>
      <w:r>
        <w:rPr>
          <w:rFonts w:hint="eastAsia" w:ascii="仿宋" w:hAnsi="仿宋" w:eastAsia="仿宋" w:cs="Arial"/>
          <w:color w:val="000000"/>
          <w:kern w:val="0"/>
          <w:sz w:val="32"/>
          <w:szCs w:val="32"/>
          <w:highlight w:val="none"/>
          <w:lang w:val="zh-CN" w:eastAsia="zh-CN" w:bidi="ar-SA"/>
        </w:rPr>
        <w:t>http://221.14.6.70:8088/ggzy/eps/public/RegistAllJcxx.html</w:t>
      </w:r>
      <w:r>
        <w:rPr>
          <w:rFonts w:hint="eastAsia" w:ascii="仿宋" w:hAnsi="仿宋" w:eastAsia="仿宋" w:cs="Arial"/>
          <w:color w:val="000000"/>
          <w:kern w:val="0"/>
          <w:sz w:val="32"/>
          <w:szCs w:val="32"/>
          <w:highlight w:val="none"/>
          <w:lang w:val="zh-CN" w:eastAsia="zh-CN" w:bidi="ar-SA"/>
        </w:rPr>
        <w:fldChar w:fldCharType="end"/>
      </w:r>
      <w:r>
        <w:rPr>
          <w:rFonts w:hint="eastAsia" w:ascii="仿宋" w:hAnsi="仿宋" w:eastAsia="仿宋" w:cs="Arial"/>
          <w:color w:val="000000"/>
          <w:kern w:val="0"/>
          <w:sz w:val="32"/>
          <w:szCs w:val="32"/>
          <w:highlight w:val="none"/>
          <w:lang w:val="en-US" w:eastAsia="zh-CN" w:bidi="ar-SA"/>
        </w:rPr>
        <w:t>”进行免费注册登记（详见全国公共资源交易平台（河南省·许昌市）“常见问题解答-诚信库网上注册相关资料下载”）；</w:t>
      </w:r>
    </w:p>
    <w:p>
      <w:pPr>
        <w:keepNext w:val="0"/>
        <w:keepLines w:val="0"/>
        <w:pageBreakBefore w:val="0"/>
        <w:shd w:val="clear" w:color="auto" w:fill="FFFFFF"/>
        <w:kinsoku/>
        <w:wordWrap/>
        <w:overflowPunct/>
        <w:topLine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4.2在响应文件递交截止时间前登录</w:t>
      </w:r>
      <w:r>
        <w:rPr>
          <w:rFonts w:hint="eastAsia" w:ascii="仿宋" w:hAnsi="仿宋" w:eastAsia="仿宋" w:cs="Arial"/>
          <w:color w:val="000000"/>
          <w:kern w:val="0"/>
          <w:sz w:val="32"/>
          <w:szCs w:val="32"/>
          <w:highlight w:val="none"/>
          <w:lang w:val="en-US" w:eastAsia="zh-CN" w:bidi="ar-SA"/>
        </w:rPr>
        <w:fldChar w:fldCharType="begin"/>
      </w:r>
      <w:r>
        <w:rPr>
          <w:rFonts w:hint="eastAsia" w:ascii="仿宋" w:hAnsi="仿宋" w:eastAsia="仿宋" w:cs="Arial"/>
          <w:color w:val="000000"/>
          <w:kern w:val="0"/>
          <w:sz w:val="32"/>
          <w:szCs w:val="32"/>
          <w:highlight w:val="none"/>
          <w:lang w:val="en-US" w:eastAsia="zh-CN" w:bidi="ar-SA"/>
        </w:rPr>
        <w:instrText xml:space="preserve"> HYPERLINK "http://221.14.6.70:8088/ggzy/" </w:instrText>
      </w:r>
      <w:r>
        <w:rPr>
          <w:rFonts w:hint="eastAsia" w:ascii="仿宋" w:hAnsi="仿宋" w:eastAsia="仿宋" w:cs="Arial"/>
          <w:color w:val="000000"/>
          <w:kern w:val="0"/>
          <w:sz w:val="32"/>
          <w:szCs w:val="32"/>
          <w:highlight w:val="none"/>
          <w:lang w:val="en-US" w:eastAsia="zh-CN" w:bidi="ar-SA"/>
        </w:rPr>
        <w:fldChar w:fldCharType="separate"/>
      </w:r>
      <w:r>
        <w:rPr>
          <w:rFonts w:hint="eastAsia" w:ascii="仿宋" w:hAnsi="仿宋" w:eastAsia="仿宋" w:cs="Arial"/>
          <w:color w:val="000000"/>
          <w:kern w:val="0"/>
          <w:sz w:val="32"/>
          <w:szCs w:val="32"/>
          <w:highlight w:val="none"/>
          <w:lang w:val="en-US" w:eastAsia="zh-CN" w:bidi="ar-SA"/>
        </w:rPr>
        <w:t>http://221.14.6.70:8088/ggzy/</w:t>
      </w:r>
      <w:r>
        <w:rPr>
          <w:rFonts w:hint="eastAsia" w:ascii="仿宋" w:hAnsi="仿宋" w:eastAsia="仿宋" w:cs="Arial"/>
          <w:color w:val="000000"/>
          <w:kern w:val="0"/>
          <w:sz w:val="32"/>
          <w:szCs w:val="32"/>
          <w:highlight w:val="none"/>
          <w:lang w:val="en-US" w:eastAsia="zh-CN" w:bidi="ar-SA"/>
        </w:rPr>
        <w:fldChar w:fldCharType="end"/>
      </w:r>
      <w:r>
        <w:rPr>
          <w:rFonts w:hint="eastAsia" w:ascii="仿宋" w:hAnsi="仿宋" w:eastAsia="仿宋" w:cs="Arial"/>
          <w:color w:val="000000"/>
          <w:kern w:val="0"/>
          <w:sz w:val="32"/>
          <w:szCs w:val="32"/>
          <w:highlight w:val="none"/>
          <w:lang w:val="en-US" w:eastAsia="zh-CN" w:bidi="ar-SA"/>
        </w:rPr>
        <w:t>，自行下载谈判文件（详见全国公共资源交易平台（河南省·许昌市）“常见问题解答-交易系统操作手册”）。</w:t>
      </w:r>
    </w:p>
    <w:p>
      <w:pPr>
        <w:keepNext w:val="0"/>
        <w:keepLines w:val="0"/>
        <w:pageBreakBefore w:val="0"/>
        <w:shd w:val="clear" w:color="auto" w:fill="FFFFFF"/>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4.3谈判文件每份售价人民币500元，于递交响应文件时缴纳给招标代理机构，售后不退。</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rPr>
        <w:t>五、响应文件的递交及谈判事宜</w:t>
      </w:r>
    </w:p>
    <w:p>
      <w:pPr>
        <w:keepNext w:val="0"/>
        <w:keepLines w:val="0"/>
        <w:pageBreakBefore w:val="0"/>
        <w:shd w:val="clear" w:color="auto" w:fill="FFFFFF"/>
        <w:kinsoku/>
        <w:wordWrap/>
        <w:overflowPunct/>
        <w:autoSpaceDE/>
        <w:autoSpaceDN/>
        <w:bidi w:val="0"/>
        <w:spacing w:beforeAutospacing="0" w:afterAutospacing="0" w:line="360" w:lineRule="auto"/>
        <w:ind w:left="319" w:leftChars="152" w:firstLine="320" w:firstLineChars="1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5.1响应文件的递交截止时间及谈判时间：2019年2月26日09:00（北京时间），逾期送达或不符合规定的投标文件不予接受。</w:t>
      </w:r>
    </w:p>
    <w:p>
      <w:pPr>
        <w:keepNext w:val="0"/>
        <w:keepLines w:val="0"/>
        <w:pageBreakBefore w:val="0"/>
        <w:shd w:val="clear" w:color="auto" w:fill="FFFFFF"/>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 xml:space="preserve">5.2响应文件递交的地点及谈判地点 ：禹州市公共资源交易中心第一开标室（禹州市行政服务中心楼9楼） </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rPr>
        <w:t>六、发布公告的媒介</w:t>
      </w:r>
    </w:p>
    <w:p>
      <w:pPr>
        <w:keepNext w:val="0"/>
        <w:keepLines w:val="0"/>
        <w:pageBreakBefore w:val="0"/>
        <w:shd w:val="clear" w:color="auto" w:fill="FFFFFF"/>
        <w:kinsoku/>
        <w:wordWrap/>
        <w:overflowPunct/>
        <w:topLine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本公告同时在全国公共资源交易平台（河南省·许昌市）、河南省电子招标投标公共服务平台上发布。</w:t>
      </w:r>
    </w:p>
    <w:p>
      <w:pPr>
        <w:pStyle w:val="6"/>
        <w:keepNext w:val="0"/>
        <w:keepLines w:val="0"/>
        <w:pageBreakBefore w:val="0"/>
        <w:shd w:val="clear" w:color="auto" w:fill="FFFFFF"/>
        <w:kinsoku/>
        <w:wordWrap/>
        <w:overflowPunct/>
        <w:autoSpaceDE/>
        <w:autoSpaceDN/>
        <w:bidi w:val="0"/>
        <w:spacing w:beforeAutospacing="0" w:afterAutospacing="0" w:line="360" w:lineRule="auto"/>
        <w:contextualSpacing/>
        <w:textAlignment w:val="auto"/>
        <w:rPr>
          <w:rFonts w:cs="仿宋_GB2312"/>
          <w:b/>
          <w:highlight w:val="none"/>
        </w:rPr>
      </w:pPr>
      <w:r>
        <w:rPr>
          <w:rFonts w:hint="eastAsia" w:ascii="黑体" w:hAnsi="黑体" w:eastAsia="黑体" w:cs="Arial"/>
          <w:color w:val="000000"/>
          <w:kern w:val="0"/>
          <w:sz w:val="32"/>
          <w:szCs w:val="32"/>
          <w:highlight w:val="none"/>
          <w:lang w:val="en-US" w:eastAsia="zh-CN" w:bidi="ar-SA"/>
        </w:rPr>
        <w:t>七、联系方式</w:t>
      </w:r>
      <w:r>
        <w:rPr>
          <w:rFonts w:hint="eastAsia" w:cs="仿宋_GB2312"/>
          <w:b/>
          <w:highlight w:val="none"/>
        </w:rPr>
        <w:tab/>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采 购 人：禹州市豫资城乡建设发展有限公司</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联 系 人：王先生</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lang w:val="en-US" w:eastAsia="zh-CN"/>
        </w:rPr>
      </w:pPr>
      <w:r>
        <w:rPr>
          <w:rFonts w:hint="eastAsia" w:ascii="仿宋" w:hAnsi="仿宋" w:eastAsia="仿宋" w:cs="Arial"/>
          <w:color w:val="000000"/>
          <w:sz w:val="32"/>
          <w:szCs w:val="32"/>
          <w:highlight w:val="none"/>
          <w:lang w:eastAsia="zh-CN"/>
        </w:rPr>
        <w:t>地</w:t>
      </w:r>
      <w:r>
        <w:rPr>
          <w:rFonts w:hint="eastAsia" w:ascii="仿宋" w:hAnsi="仿宋" w:eastAsia="仿宋" w:cs="Arial"/>
          <w:color w:val="000000"/>
          <w:sz w:val="32"/>
          <w:szCs w:val="32"/>
          <w:highlight w:val="none"/>
          <w:lang w:val="en-US" w:eastAsia="zh-CN"/>
        </w:rPr>
        <w:t xml:space="preserve">  </w:t>
      </w:r>
      <w:r>
        <w:rPr>
          <w:rFonts w:hint="eastAsia" w:ascii="仿宋" w:hAnsi="仿宋" w:eastAsia="仿宋" w:cs="Arial"/>
          <w:color w:val="000000"/>
          <w:sz w:val="32"/>
          <w:szCs w:val="32"/>
          <w:highlight w:val="none"/>
          <w:lang w:eastAsia="zh-CN"/>
        </w:rPr>
        <w:t>址：禹州市建设路</w:t>
      </w:r>
      <w:r>
        <w:rPr>
          <w:rFonts w:hint="eastAsia" w:ascii="仿宋" w:hAnsi="仿宋" w:eastAsia="仿宋" w:cs="Arial"/>
          <w:color w:val="000000"/>
          <w:sz w:val="32"/>
          <w:szCs w:val="32"/>
          <w:highlight w:val="none"/>
          <w:lang w:val="en-US" w:eastAsia="zh-CN"/>
        </w:rPr>
        <w:t>3号</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 xml:space="preserve">联系电话：0374-8116691 </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采购代理机构：恒信咨询管理有限公司</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 xml:space="preserve">地 </w:t>
      </w:r>
      <w:r>
        <w:rPr>
          <w:rFonts w:hint="eastAsia" w:ascii="仿宋" w:hAnsi="仿宋" w:eastAsia="仿宋" w:cs="Arial"/>
          <w:color w:val="000000"/>
          <w:sz w:val="32"/>
          <w:szCs w:val="32"/>
          <w:highlight w:val="none"/>
          <w:lang w:val="en-US" w:eastAsia="zh-CN"/>
        </w:rPr>
        <w:t xml:space="preserve"> </w:t>
      </w:r>
      <w:r>
        <w:rPr>
          <w:rFonts w:hint="eastAsia" w:ascii="仿宋" w:hAnsi="仿宋" w:eastAsia="仿宋" w:cs="Arial"/>
          <w:color w:val="000000"/>
          <w:sz w:val="32"/>
          <w:szCs w:val="32"/>
          <w:highlight w:val="none"/>
        </w:rPr>
        <w:t>址：河南省郑州市电厂路河南省国家大学科技园（东区）16号楼B座6楼</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lang w:eastAsia="zh-CN"/>
        </w:rPr>
      </w:pPr>
      <w:r>
        <w:rPr>
          <w:rFonts w:hint="eastAsia" w:ascii="仿宋" w:hAnsi="仿宋" w:eastAsia="仿宋" w:cs="Arial"/>
          <w:color w:val="000000"/>
          <w:sz w:val="32"/>
          <w:szCs w:val="32"/>
          <w:highlight w:val="none"/>
          <w:lang w:eastAsia="zh-CN"/>
        </w:rPr>
        <w:t>联</w:t>
      </w:r>
      <w:r>
        <w:rPr>
          <w:rFonts w:hint="eastAsia" w:ascii="仿宋" w:hAnsi="仿宋" w:eastAsia="仿宋" w:cs="Arial"/>
          <w:color w:val="000000"/>
          <w:sz w:val="32"/>
          <w:szCs w:val="32"/>
          <w:highlight w:val="none"/>
          <w:lang w:val="en-US" w:eastAsia="zh-CN"/>
        </w:rPr>
        <w:t xml:space="preserve"> </w:t>
      </w:r>
      <w:r>
        <w:rPr>
          <w:rFonts w:hint="eastAsia" w:ascii="仿宋" w:hAnsi="仿宋" w:eastAsia="仿宋" w:cs="Arial"/>
          <w:color w:val="000000"/>
          <w:sz w:val="32"/>
          <w:szCs w:val="32"/>
          <w:highlight w:val="none"/>
          <w:lang w:eastAsia="zh-CN"/>
        </w:rPr>
        <w:t>系</w:t>
      </w:r>
      <w:r>
        <w:rPr>
          <w:rFonts w:hint="eastAsia" w:ascii="仿宋" w:hAnsi="仿宋" w:eastAsia="仿宋" w:cs="Arial"/>
          <w:color w:val="000000"/>
          <w:sz w:val="32"/>
          <w:szCs w:val="32"/>
          <w:highlight w:val="none"/>
          <w:lang w:val="en-US" w:eastAsia="zh-CN"/>
        </w:rPr>
        <w:t xml:space="preserve"> </w:t>
      </w:r>
      <w:r>
        <w:rPr>
          <w:rFonts w:hint="eastAsia" w:ascii="仿宋" w:hAnsi="仿宋" w:eastAsia="仿宋" w:cs="Arial"/>
          <w:color w:val="000000"/>
          <w:sz w:val="32"/>
          <w:szCs w:val="32"/>
          <w:highlight w:val="none"/>
          <w:lang w:eastAsia="zh-CN"/>
        </w:rPr>
        <w:t>人：董先生</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联系电话：0374-2766699  0371-86688490</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监督单位：禹州市财政局国有资产监督管理办公室</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电    话：0374-8119226</w:t>
      </w:r>
      <w:bookmarkStart w:id="0" w:name="_GoBack"/>
      <w:bookmarkEnd w:id="0"/>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jc w:val="right"/>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lang w:val="en-US" w:eastAsia="zh-CN"/>
        </w:rPr>
        <w:t>2019</w:t>
      </w:r>
      <w:r>
        <w:rPr>
          <w:rFonts w:hint="eastAsia" w:ascii="仿宋" w:hAnsi="仿宋" w:eastAsia="仿宋" w:cs="Arial"/>
          <w:color w:val="000000"/>
          <w:sz w:val="32"/>
          <w:szCs w:val="32"/>
          <w:highlight w:val="none"/>
        </w:rPr>
        <w:t>年</w:t>
      </w:r>
      <w:r>
        <w:rPr>
          <w:rFonts w:hint="eastAsia" w:ascii="仿宋" w:hAnsi="仿宋" w:eastAsia="仿宋" w:cs="Arial"/>
          <w:color w:val="000000"/>
          <w:sz w:val="32"/>
          <w:szCs w:val="32"/>
          <w:highlight w:val="none"/>
          <w:lang w:val="en-US" w:eastAsia="zh-CN"/>
        </w:rPr>
        <w:t>1</w:t>
      </w:r>
      <w:r>
        <w:rPr>
          <w:rFonts w:hint="eastAsia" w:ascii="仿宋" w:hAnsi="仿宋" w:eastAsia="仿宋" w:cs="Arial"/>
          <w:color w:val="000000"/>
          <w:sz w:val="32"/>
          <w:szCs w:val="32"/>
          <w:highlight w:val="none"/>
        </w:rPr>
        <w:t>月</w:t>
      </w:r>
      <w:r>
        <w:rPr>
          <w:rFonts w:hint="eastAsia" w:ascii="仿宋" w:hAnsi="仿宋" w:eastAsia="仿宋" w:cs="Arial"/>
          <w:color w:val="000000"/>
          <w:sz w:val="32"/>
          <w:szCs w:val="32"/>
          <w:highlight w:val="none"/>
          <w:lang w:val="en-US" w:eastAsia="zh-CN"/>
        </w:rPr>
        <w:t>29</w:t>
      </w:r>
      <w:r>
        <w:rPr>
          <w:rFonts w:hint="eastAsia" w:ascii="仿宋" w:hAnsi="仿宋" w:eastAsia="仿宋" w:cs="Arial"/>
          <w:color w:val="000000"/>
          <w:sz w:val="32"/>
          <w:szCs w:val="32"/>
          <w:highlight w:val="none"/>
        </w:rPr>
        <w:t>日</w:t>
      </w:r>
    </w:p>
    <w:sectPr>
      <w:footerReference r:id="rId3" w:type="default"/>
      <w:pgSz w:w="11906" w:h="16838"/>
      <w:pgMar w:top="1440" w:right="1474" w:bottom="1440" w:left="1797" w:header="709" w:footer="709" w:gutter="0"/>
      <w:pgNumType w:fmt="decimal" w:start="1"/>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5E26DA"/>
    <w:rsid w:val="00020F02"/>
    <w:rsid w:val="00046C7A"/>
    <w:rsid w:val="00252F65"/>
    <w:rsid w:val="00323B43"/>
    <w:rsid w:val="00332D79"/>
    <w:rsid w:val="003D37D8"/>
    <w:rsid w:val="004358AB"/>
    <w:rsid w:val="005178AF"/>
    <w:rsid w:val="005B3CDF"/>
    <w:rsid w:val="005E26DA"/>
    <w:rsid w:val="00606AE8"/>
    <w:rsid w:val="0063415A"/>
    <w:rsid w:val="00664B2D"/>
    <w:rsid w:val="008107AF"/>
    <w:rsid w:val="008B7726"/>
    <w:rsid w:val="00994E4E"/>
    <w:rsid w:val="00A473EC"/>
    <w:rsid w:val="00B704F7"/>
    <w:rsid w:val="00BB05B7"/>
    <w:rsid w:val="00BB425A"/>
    <w:rsid w:val="00D01D68"/>
    <w:rsid w:val="00DC32B0"/>
    <w:rsid w:val="00EA3BE4"/>
    <w:rsid w:val="00EE5175"/>
    <w:rsid w:val="05481E2F"/>
    <w:rsid w:val="0BA8018F"/>
    <w:rsid w:val="0CFA57C8"/>
    <w:rsid w:val="0D5036C7"/>
    <w:rsid w:val="0D677361"/>
    <w:rsid w:val="0FCA4B14"/>
    <w:rsid w:val="11BA05A2"/>
    <w:rsid w:val="136150CB"/>
    <w:rsid w:val="141C387A"/>
    <w:rsid w:val="16BF3980"/>
    <w:rsid w:val="177D526F"/>
    <w:rsid w:val="18E773CC"/>
    <w:rsid w:val="1B580F5D"/>
    <w:rsid w:val="1D1918CE"/>
    <w:rsid w:val="21E82CF5"/>
    <w:rsid w:val="21F02FC0"/>
    <w:rsid w:val="2306161A"/>
    <w:rsid w:val="233B4707"/>
    <w:rsid w:val="237078FE"/>
    <w:rsid w:val="26736F61"/>
    <w:rsid w:val="29B64B68"/>
    <w:rsid w:val="2B9A2FC4"/>
    <w:rsid w:val="2D08784A"/>
    <w:rsid w:val="2FC324C2"/>
    <w:rsid w:val="3496185B"/>
    <w:rsid w:val="372E15B0"/>
    <w:rsid w:val="37493889"/>
    <w:rsid w:val="37EA1784"/>
    <w:rsid w:val="3A943CD1"/>
    <w:rsid w:val="3BB93BE1"/>
    <w:rsid w:val="400C6E86"/>
    <w:rsid w:val="40BA23A4"/>
    <w:rsid w:val="40C50402"/>
    <w:rsid w:val="411320EA"/>
    <w:rsid w:val="41C71E6D"/>
    <w:rsid w:val="423A1CA3"/>
    <w:rsid w:val="4450614B"/>
    <w:rsid w:val="46D07437"/>
    <w:rsid w:val="49D91920"/>
    <w:rsid w:val="4D0C4417"/>
    <w:rsid w:val="4F144EF0"/>
    <w:rsid w:val="52F31C4D"/>
    <w:rsid w:val="55D40A53"/>
    <w:rsid w:val="594E3F69"/>
    <w:rsid w:val="59EF40D9"/>
    <w:rsid w:val="59F6481E"/>
    <w:rsid w:val="5A0D0534"/>
    <w:rsid w:val="5C142D80"/>
    <w:rsid w:val="5C3B2EA4"/>
    <w:rsid w:val="5F0B2759"/>
    <w:rsid w:val="5F81048B"/>
    <w:rsid w:val="612912D7"/>
    <w:rsid w:val="6438727A"/>
    <w:rsid w:val="649054C5"/>
    <w:rsid w:val="691B16F2"/>
    <w:rsid w:val="694A4F19"/>
    <w:rsid w:val="698E1B34"/>
    <w:rsid w:val="6BE16FAB"/>
    <w:rsid w:val="6FF91A61"/>
    <w:rsid w:val="72E414EC"/>
    <w:rsid w:val="74FB52FA"/>
    <w:rsid w:val="7FB61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customStyle="1" w:styleId="12">
    <w:name w:val="页眉 Char"/>
    <w:basedOn w:val="7"/>
    <w:link w:val="5"/>
    <w:semiHidden/>
    <w:qFormat/>
    <w:uiPriority w:val="99"/>
    <w:rPr>
      <w:rFonts w:ascii="Times New Roman" w:hAnsi="Times New Roman" w:eastAsia="宋体" w:cs="Times New Roman"/>
      <w:kern w:val="2"/>
      <w:sz w:val="18"/>
      <w:szCs w:val="18"/>
    </w:rPr>
  </w:style>
  <w:style w:type="character" w:customStyle="1" w:styleId="13">
    <w:name w:val="页脚 Char"/>
    <w:basedOn w:val="7"/>
    <w:link w:val="4"/>
    <w:semiHidden/>
    <w:qFormat/>
    <w:uiPriority w:val="99"/>
    <w:rPr>
      <w:rFonts w:ascii="Times New Roman" w:hAnsi="Times New Roman" w:eastAsia="宋体" w:cs="Times New Roman"/>
      <w:kern w:val="2"/>
      <w:sz w:val="18"/>
      <w:szCs w:val="18"/>
    </w:rPr>
  </w:style>
  <w:style w:type="character" w:customStyle="1" w:styleId="14">
    <w:name w:val="blue"/>
    <w:basedOn w:val="7"/>
    <w:qFormat/>
    <w:uiPriority w:val="0"/>
    <w:rPr>
      <w:color w:val="0371C6"/>
      <w:sz w:val="21"/>
      <w:szCs w:val="21"/>
    </w:rPr>
  </w:style>
  <w:style w:type="character" w:customStyle="1" w:styleId="15">
    <w:name w:val="green"/>
    <w:basedOn w:val="7"/>
    <w:qFormat/>
    <w:uiPriority w:val="0"/>
    <w:rPr>
      <w:color w:val="66AE00"/>
      <w:sz w:val="18"/>
      <w:szCs w:val="18"/>
    </w:rPr>
  </w:style>
  <w:style w:type="character" w:customStyle="1" w:styleId="16">
    <w:name w:val="green1"/>
    <w:basedOn w:val="7"/>
    <w:qFormat/>
    <w:uiPriority w:val="0"/>
    <w:rPr>
      <w:color w:val="66AE00"/>
      <w:sz w:val="18"/>
      <w:szCs w:val="18"/>
    </w:rPr>
  </w:style>
  <w:style w:type="character" w:customStyle="1" w:styleId="17">
    <w:name w:val="right"/>
    <w:basedOn w:val="7"/>
    <w:uiPriority w:val="0"/>
    <w:rPr>
      <w:color w:val="999999"/>
      <w:sz w:val="18"/>
      <w:szCs w:val="18"/>
    </w:rPr>
  </w:style>
  <w:style w:type="character" w:customStyle="1" w:styleId="18">
    <w:name w:val="red"/>
    <w:basedOn w:val="7"/>
    <w:qFormat/>
    <w:uiPriority w:val="0"/>
    <w:rPr>
      <w:color w:val="FF0000"/>
      <w:sz w:val="18"/>
      <w:szCs w:val="18"/>
    </w:rPr>
  </w:style>
  <w:style w:type="character" w:customStyle="1" w:styleId="19">
    <w:name w:val="red1"/>
    <w:basedOn w:val="7"/>
    <w:qFormat/>
    <w:uiPriority w:val="0"/>
    <w:rPr>
      <w:color w:val="FF0000"/>
      <w:sz w:val="18"/>
      <w:szCs w:val="18"/>
    </w:rPr>
  </w:style>
  <w:style w:type="character" w:customStyle="1" w:styleId="20">
    <w:name w:val="red2"/>
    <w:basedOn w:val="7"/>
    <w:qFormat/>
    <w:uiPriority w:val="0"/>
    <w:rPr>
      <w:color w:val="CC0000"/>
    </w:rPr>
  </w:style>
  <w:style w:type="character" w:customStyle="1" w:styleId="21">
    <w:name w:val="red3"/>
    <w:basedOn w:val="7"/>
    <w:qFormat/>
    <w:uiPriority w:val="0"/>
    <w:rPr>
      <w:color w:val="FF0000"/>
    </w:rPr>
  </w:style>
  <w:style w:type="character" w:customStyle="1" w:styleId="22">
    <w:name w:val="hover25"/>
    <w:basedOn w:val="7"/>
    <w:uiPriority w:val="0"/>
  </w:style>
  <w:style w:type="character" w:customStyle="1" w:styleId="23">
    <w:name w:val="gb-j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226</Words>
  <Characters>1289</Characters>
  <Lines>10</Lines>
  <Paragraphs>3</Paragraphs>
  <TotalTime>1</TotalTime>
  <ScaleCrop>false</ScaleCrop>
  <LinksUpToDate>false</LinksUpToDate>
  <CharactersWithSpaces>1512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2018-11-29T02:07:00Z</dcterms:created>
  <dc:creator>User</dc:creator>
  <cp:lastModifiedBy>Administrator</cp:lastModifiedBy>
  <dcterms:modified xsi:type="dcterms:W3CDTF">2019-01-29T03:30:58Z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