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/>
          <w:b/>
          <w:sz w:val="44"/>
          <w:lang w:val="en-US"/>
        </w:rPr>
      </w:pP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G2018380禹州市文化广电新闻出版局370平米数字全媒体高清演播厅设备器材采购项目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jc w:val="both"/>
        <w:rPr>
          <w:rFonts w:hint="eastAsia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禹州市文化广电新闻出版局370平米数字全媒体高清演播厅设备器材采购项目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G2018380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9: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948.5508万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strike w:val="0"/>
          <w:dstrike w:val="0"/>
        </w:rPr>
      </w:pP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招标公告刊登的媒体：《中国政府采购网》、《河南省政府采购网》、《全国公共资源交易平台（河南省·许昌市）》发布等。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郑州中豫视频科技有限公司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8935800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北京维奥思创视频科技有限公司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9032395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郑州科迪视频科技有限公司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9212627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河南新星数码科技有限公司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8524721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郑州中豫视频科技有限公司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北京维奥思创视频科技有限公司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郑州科迪视频科技有限公司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河南新星数码科技有限公司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  <w:color w:val="FF0000"/>
        </w:rPr>
      </w:pP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</w:rPr>
        <w:t>通过资格审查的投标人均通过符合性审查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3"/>
        <w:tblpPr w:leftFromText="182" w:rightFromText="182" w:vertAnchor="text" w:horzAnchor="page" w:tblpX="1845" w:tblpY="199"/>
        <w:tblOverlap w:val="never"/>
        <w:tblW w:w="8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71"/>
        <w:gridCol w:w="735"/>
        <w:gridCol w:w="1564"/>
        <w:gridCol w:w="925"/>
        <w:gridCol w:w="775"/>
        <w:gridCol w:w="1279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475" w:type="dxa"/>
            <w:gridSpan w:val="8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郑州中豫视频科技有限公司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spacing w:line="200" w:lineRule="atLeast"/>
              <w:jc w:val="both"/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871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商务部分（17分）</w:t>
            </w:r>
          </w:p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79" w:type="dxa"/>
            <w:gridSpan w:val="3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技术部分（33分）</w:t>
            </w:r>
          </w:p>
        </w:tc>
        <w:tc>
          <w:tcPr>
            <w:tcW w:w="1270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line="240" w:lineRule="exact"/>
              <w:jc w:val="both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投标人业绩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售后服务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14分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赵晓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47.70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27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郑志军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47.70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27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陈新芳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47.70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27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杨盼盼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47.70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27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李国有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47.70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27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5926" w:type="dxa"/>
            <w:gridSpan w:val="6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仿宋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郑州中豫视频科技有限公司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评审得分：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87.70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</w:tr>
    </w:tbl>
    <w:p/>
    <w:tbl>
      <w:tblPr>
        <w:tblStyle w:val="3"/>
        <w:tblpPr w:leftFromText="182" w:rightFromText="182" w:vertAnchor="text" w:horzAnchor="page" w:tblpX="1845" w:tblpY="199"/>
        <w:tblOverlap w:val="never"/>
        <w:tblW w:w="8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71"/>
        <w:gridCol w:w="735"/>
        <w:gridCol w:w="1564"/>
        <w:gridCol w:w="925"/>
        <w:gridCol w:w="775"/>
        <w:gridCol w:w="1279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475" w:type="dxa"/>
            <w:gridSpan w:val="8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北京维奥思创视频科技有限公司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spacing w:line="200" w:lineRule="atLeast"/>
              <w:jc w:val="both"/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871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商务部分（17分）</w:t>
            </w:r>
          </w:p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79" w:type="dxa"/>
            <w:gridSpan w:val="3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技术部分（33分）</w:t>
            </w:r>
          </w:p>
        </w:tc>
        <w:tc>
          <w:tcPr>
            <w:tcW w:w="1270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line="240" w:lineRule="exact"/>
              <w:jc w:val="both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投标人业绩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售后服务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14分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赵晓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47.19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郑志军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47.19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陈新芳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47.19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杨盼盼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47.19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李国有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47.19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5926" w:type="dxa"/>
            <w:gridSpan w:val="6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仿宋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北京维奥思创视频科技有限公司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评审得分：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81.19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</w:tr>
    </w:tbl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27" w:leftChars="0"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</w:p>
    <w:tbl>
      <w:tblPr>
        <w:tblStyle w:val="3"/>
        <w:tblpPr w:leftFromText="182" w:rightFromText="182" w:vertAnchor="text" w:horzAnchor="page" w:tblpX="1845" w:tblpY="199"/>
        <w:tblOverlap w:val="never"/>
        <w:tblW w:w="8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71"/>
        <w:gridCol w:w="735"/>
        <w:gridCol w:w="1564"/>
        <w:gridCol w:w="925"/>
        <w:gridCol w:w="775"/>
        <w:gridCol w:w="1279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475" w:type="dxa"/>
            <w:gridSpan w:val="8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郑州科迪视频科技有限公司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spacing w:line="200" w:lineRule="atLeast"/>
              <w:jc w:val="both"/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871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商务部分（17分）</w:t>
            </w:r>
          </w:p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79" w:type="dxa"/>
            <w:gridSpan w:val="3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技术部分（33分）</w:t>
            </w:r>
          </w:p>
        </w:tc>
        <w:tc>
          <w:tcPr>
            <w:tcW w:w="1270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line="240" w:lineRule="exact"/>
              <w:jc w:val="both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投标人业绩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售后服务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14分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赵晓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46.27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郑志军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46.27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77.27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陈新芳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46.27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77.27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杨盼盼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46.27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李国有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46.27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5926" w:type="dxa"/>
            <w:gridSpan w:val="6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仿宋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郑州科迪视频科技有限公司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评审得分：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77.87分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tbl>
      <w:tblPr>
        <w:tblStyle w:val="3"/>
        <w:tblpPr w:leftFromText="182" w:rightFromText="182" w:vertAnchor="text" w:horzAnchor="page" w:tblpX="1845" w:tblpY="199"/>
        <w:tblOverlap w:val="never"/>
        <w:tblW w:w="8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71"/>
        <w:gridCol w:w="735"/>
        <w:gridCol w:w="1564"/>
        <w:gridCol w:w="925"/>
        <w:gridCol w:w="775"/>
        <w:gridCol w:w="1279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475" w:type="dxa"/>
            <w:gridSpan w:val="8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河南新星数码科技有限公司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spacing w:line="200" w:lineRule="atLeast"/>
              <w:jc w:val="both"/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871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商务部分（17分）</w:t>
            </w:r>
          </w:p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79" w:type="dxa"/>
            <w:gridSpan w:val="3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技术部分（33分）</w:t>
            </w:r>
          </w:p>
        </w:tc>
        <w:tc>
          <w:tcPr>
            <w:tcW w:w="1270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line="240" w:lineRule="exact"/>
              <w:jc w:val="both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投标人业绩</w:t>
            </w:r>
          </w:p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售后服务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14分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127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赵晓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22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郑志军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22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陈新芳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22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杨盼盼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22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李国有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50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22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5926" w:type="dxa"/>
            <w:gridSpan w:val="6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 w:eastAsia="仿宋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河南新星数码科技有限公司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评审得分：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4"/>
          <w:szCs w:val="24"/>
          <w:lang w:val="en-US" w:eastAsia="zh-CN"/>
        </w:rPr>
        <w:t>郑州中豫视频科技有限公司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郑州市金水区花园北路与连霍高速交叉口河南电视台8号演播厅407、409号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樊乾坤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371--65982928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8935800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320" w:firstLineChars="1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4"/>
          <w:szCs w:val="24"/>
          <w:lang w:val="en-US" w:eastAsia="zh-CN"/>
        </w:rPr>
        <w:t>北京维奥思创视频科技有限公司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北京市海淀区双清路3号35004室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丁志远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62381598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9032395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4"/>
          <w:szCs w:val="24"/>
          <w:lang w:val="en-US" w:eastAsia="zh-CN"/>
        </w:rPr>
        <w:t>河南新星数码科技有限公司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郑州市金水区东风路28号院28号楼712号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殷洪宇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371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65992264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8524721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组长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评标委员会成员: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2019年1月28日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E2A18B"/>
    <w:multiLevelType w:val="singleLevel"/>
    <w:tmpl w:val="A7E2A18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8F280BF"/>
    <w:multiLevelType w:val="singleLevel"/>
    <w:tmpl w:val="A8F280B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299E359"/>
    <w:multiLevelType w:val="singleLevel"/>
    <w:tmpl w:val="B299E3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EE70664"/>
    <w:multiLevelType w:val="singleLevel"/>
    <w:tmpl w:val="6EE7066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D02A4"/>
    <w:rsid w:val="17D926FA"/>
    <w:rsid w:val="182C1275"/>
    <w:rsid w:val="1F9828E6"/>
    <w:rsid w:val="2ED67925"/>
    <w:rsid w:val="42A668D7"/>
    <w:rsid w:val="463B1FB6"/>
    <w:rsid w:val="49C25719"/>
    <w:rsid w:val="4F1F1FB5"/>
    <w:rsid w:val="52282E4E"/>
    <w:rsid w:val="5DE74906"/>
    <w:rsid w:val="6BC7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uiPriority w:val="0"/>
  </w:style>
  <w:style w:type="character" w:customStyle="1" w:styleId="15">
    <w:name w:val="gb-jt"/>
    <w:basedOn w:val="4"/>
    <w:uiPriority w:val="0"/>
  </w:style>
  <w:style w:type="character" w:customStyle="1" w:styleId="16">
    <w:name w:val="blue"/>
    <w:basedOn w:val="4"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24</cp:lastModifiedBy>
  <cp:lastPrinted>2019-01-25T15:56:00Z</cp:lastPrinted>
  <dcterms:modified xsi:type="dcterms:W3CDTF">2019-01-28T07:38:34Z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