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禹州市畜牧局日处理20吨病死畜禽</w:t>
      </w:r>
    </w:p>
    <w:p>
      <w:pPr>
        <w:jc w:val="center"/>
        <w:rPr>
          <w:rFonts w:ascii="黑体" w:hAnsi="黑体" w:eastAsia="黑体" w:cs="黑体"/>
          <w:color w:val="000000"/>
          <w:sz w:val="44"/>
          <w:szCs w:val="44"/>
        </w:rPr>
      </w:pPr>
      <w:r>
        <w:rPr>
          <w:rFonts w:hint="eastAsia" w:ascii="黑体" w:hAnsi="黑体" w:eastAsia="黑体" w:cs="黑体"/>
          <w:color w:val="000000"/>
          <w:sz w:val="44"/>
          <w:szCs w:val="44"/>
          <w:lang w:val="en-US" w:eastAsia="zh-CN"/>
        </w:rPr>
        <w:t>无害化处理设备购置及安装项目（二次）</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禹州市畜牧局</w:t>
      </w:r>
    </w:p>
    <w:p>
      <w:pPr>
        <w:ind w:firstLine="1285" w:firstLineChars="400"/>
        <w:rPr>
          <w:rFonts w:ascii="仿宋" w:hAnsi="仿宋" w:eastAsia="仿宋" w:cs="仿宋"/>
          <w:b/>
          <w:bCs/>
          <w:color w:val="000000"/>
          <w:sz w:val="32"/>
          <w:szCs w:val="32"/>
          <w:lang w:val="en-US"/>
        </w:rPr>
      </w:pPr>
      <w:r>
        <w:rPr>
          <w:rFonts w:hint="eastAsia" w:ascii="仿宋" w:hAnsi="仿宋" w:eastAsia="仿宋" w:cs="仿宋"/>
          <w:b/>
          <w:bCs/>
          <w:color w:val="000000"/>
          <w:sz w:val="32"/>
          <w:szCs w:val="32"/>
        </w:rPr>
        <w:t>采购编号： YZCG-</w:t>
      </w:r>
      <w:r>
        <w:rPr>
          <w:rFonts w:hint="eastAsia" w:ascii="仿宋" w:hAnsi="仿宋" w:eastAsia="仿宋" w:cs="仿宋"/>
          <w:b/>
          <w:bCs/>
          <w:color w:val="000000"/>
          <w:sz w:val="32"/>
          <w:szCs w:val="32"/>
          <w:lang w:val="en-US" w:eastAsia="zh-CN"/>
        </w:rPr>
        <w:t>G2018372-1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val="en-US"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ascii="仿宋" w:hAnsi="仿宋" w:eastAsia="仿宋" w:cs="仿宋"/>
          <w:color w:val="000000"/>
          <w:shd w:val="clear" w:color="auto" w:fill="FFFFFF"/>
        </w:rPr>
      </w:pPr>
    </w:p>
    <w:p>
      <w:pPr>
        <w:jc w:val="center"/>
        <w:rPr>
          <w:rFonts w:hint="eastAsia" w:ascii="黑体" w:hAnsi="黑体" w:eastAsia="黑体" w:cs="黑体"/>
          <w:bCs/>
          <w:color w:val="000000"/>
          <w:sz w:val="44"/>
          <w:szCs w:val="44"/>
          <w:shd w:val="clear" w:color="auto" w:fill="FFFFFF"/>
          <w:lang w:val="en-US" w:eastAsia="zh-CN"/>
        </w:rPr>
      </w:pPr>
      <w:r>
        <w:rPr>
          <w:rFonts w:hint="eastAsia" w:ascii="黑体" w:hAnsi="黑体" w:eastAsia="黑体" w:cs="黑体"/>
          <w:bCs/>
          <w:color w:val="000000"/>
          <w:sz w:val="44"/>
          <w:szCs w:val="44"/>
          <w:shd w:val="clear" w:color="auto" w:fill="FFFFFF"/>
          <w:lang w:val="en-US" w:eastAsia="zh-CN"/>
        </w:rPr>
        <w:t>禹州市畜牧局日处理20吨病死畜禽</w:t>
      </w:r>
    </w:p>
    <w:p>
      <w:pPr>
        <w:jc w:val="center"/>
        <w:rPr>
          <w:rFonts w:ascii="黑体" w:hAnsi="黑体" w:eastAsia="黑体" w:cs="黑体"/>
          <w:color w:val="000000"/>
          <w:sz w:val="44"/>
          <w:szCs w:val="44"/>
        </w:rPr>
      </w:pPr>
      <w:r>
        <w:rPr>
          <w:rFonts w:hint="eastAsia" w:ascii="黑体" w:hAnsi="黑体" w:eastAsia="黑体" w:cs="黑体"/>
          <w:bCs/>
          <w:color w:val="000000"/>
          <w:sz w:val="44"/>
          <w:szCs w:val="44"/>
          <w:shd w:val="clear" w:color="auto" w:fill="FFFFFF"/>
          <w:lang w:val="en-US" w:eastAsia="zh-CN"/>
        </w:rPr>
        <w:t>无害化处理设备购置及安装项目（二次）</w:t>
      </w:r>
    </w:p>
    <w:p>
      <w:pPr>
        <w:spacing w:line="600" w:lineRule="exact"/>
        <w:jc w:val="center"/>
        <w:rPr>
          <w:rFonts w:ascii="宋体" w:hAnsi="宋体" w:eastAsia="宋体" w:cs="宋体"/>
          <w:b/>
          <w:sz w:val="44"/>
          <w:szCs w:val="44"/>
        </w:rPr>
      </w:pPr>
      <w:r>
        <w:rPr>
          <w:rFonts w:hint="eastAsia" w:ascii="宋体" w:hAnsi="宋体" w:eastAsia="宋体" w:cs="宋体"/>
          <w:b/>
          <w:sz w:val="44"/>
          <w:szCs w:val="44"/>
        </w:rPr>
        <w:t>招  标  公  告</w:t>
      </w:r>
    </w:p>
    <w:p>
      <w:pPr>
        <w:autoSpaceDE w:val="0"/>
        <w:spacing w:line="4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val="en-US" w:eastAsia="zh-CN"/>
        </w:rPr>
        <w:t>畜牧</w:t>
      </w:r>
      <w:r>
        <w:rPr>
          <w:rFonts w:hint="eastAsia" w:ascii="仿宋" w:hAnsi="仿宋" w:eastAsia="仿宋" w:cs="仿宋_GB2312"/>
          <w:sz w:val="32"/>
          <w:szCs w:val="32"/>
        </w:rPr>
        <w:t>局的委托，就“</w:t>
      </w:r>
      <w:r>
        <w:rPr>
          <w:rFonts w:hint="eastAsia" w:ascii="仿宋" w:hAnsi="仿宋" w:eastAsia="仿宋" w:cs="仿宋_GB2312"/>
          <w:sz w:val="32"/>
          <w:szCs w:val="32"/>
          <w:lang w:val="en-US" w:eastAsia="zh-CN"/>
        </w:rPr>
        <w:t>禹州市畜牧局日处理20吨病死畜禽无害化处理设备购置及安装项目（二次）</w:t>
      </w:r>
      <w:r>
        <w:rPr>
          <w:rFonts w:hint="eastAsia" w:ascii="仿宋" w:hAnsi="仿宋" w:eastAsia="仿宋" w:cs="仿宋_GB2312"/>
          <w:sz w:val="32"/>
          <w:szCs w:val="32"/>
        </w:rPr>
        <w:t>”进行公开招标，欢迎合格的投标人前来投标。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采购人：禹州市</w:t>
      </w:r>
      <w:r>
        <w:rPr>
          <w:rFonts w:hint="eastAsia" w:ascii="仿宋" w:hAnsi="仿宋" w:eastAsia="仿宋" w:cs="仿宋_GB2312"/>
          <w:sz w:val="32"/>
          <w:szCs w:val="32"/>
          <w:shd w:val="clear" w:color="auto" w:fill="FFFFFF"/>
          <w:lang w:val="en-US" w:eastAsia="zh-CN"/>
        </w:rPr>
        <w:t>畜牧</w:t>
      </w:r>
      <w:r>
        <w:rPr>
          <w:rFonts w:hint="eastAsia" w:ascii="仿宋" w:hAnsi="仿宋" w:eastAsia="仿宋" w:cs="仿宋_GB2312"/>
          <w:sz w:val="32"/>
          <w:szCs w:val="32"/>
          <w:shd w:val="clear" w:color="auto" w:fill="FFFFFF"/>
        </w:rPr>
        <w:t>局</w:t>
      </w:r>
    </w:p>
    <w:p>
      <w:pPr>
        <w:widowControl/>
        <w:numPr>
          <w:ilvl w:val="0"/>
          <w:numId w:val="6"/>
        </w:numPr>
        <w:shd w:val="clear" w:color="auto" w:fill="FFFFFF"/>
        <w:autoSpaceDE w:val="0"/>
        <w:spacing w:line="400" w:lineRule="exact"/>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项目名称：</w:t>
      </w:r>
      <w:r>
        <w:rPr>
          <w:rFonts w:hint="eastAsia" w:ascii="仿宋" w:hAnsi="仿宋" w:eastAsia="仿宋" w:cs="Arial"/>
          <w:color w:val="000000"/>
          <w:kern w:val="0"/>
          <w:sz w:val="32"/>
          <w:szCs w:val="32"/>
          <w:shd w:val="clear" w:color="auto" w:fill="FFFFFF"/>
          <w:lang w:val="en-US" w:eastAsia="zh-CN"/>
        </w:rPr>
        <w:t>禹州市畜牧局日处理20吨病死畜禽无害化处理设备购置及安装项目（二次）</w:t>
      </w:r>
    </w:p>
    <w:p>
      <w:pPr>
        <w:widowControl/>
        <w:shd w:val="clear" w:color="auto" w:fill="FFFFFF"/>
        <w:autoSpaceDE w:val="0"/>
        <w:spacing w:line="400" w:lineRule="exact"/>
        <w:ind w:left="481"/>
        <w:jc w:val="left"/>
        <w:rPr>
          <w:rFonts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rPr>
        <w:t>3、采购编号：</w:t>
      </w:r>
      <w:r>
        <w:rPr>
          <w:rFonts w:hint="eastAsia" w:ascii="仿宋" w:hAnsi="仿宋" w:eastAsia="仿宋" w:cs="仿宋_GB2312"/>
          <w:sz w:val="32"/>
          <w:szCs w:val="32"/>
          <w:shd w:val="clear" w:color="auto" w:fill="FFFFFF"/>
        </w:rPr>
        <w:t>YZCG-</w:t>
      </w:r>
      <w:r>
        <w:rPr>
          <w:rFonts w:hint="eastAsia" w:ascii="仿宋" w:hAnsi="仿宋" w:eastAsia="仿宋" w:cs="仿宋_GB2312"/>
          <w:sz w:val="32"/>
          <w:szCs w:val="32"/>
          <w:shd w:val="clear" w:color="auto" w:fill="FFFFFF"/>
          <w:lang w:val="en-US" w:eastAsia="zh-CN"/>
        </w:rPr>
        <w:t>G2018372-1</w:t>
      </w:r>
    </w:p>
    <w:p>
      <w:pPr>
        <w:widowControl/>
        <w:shd w:val="clear" w:color="auto" w:fill="FFFFFF"/>
        <w:autoSpaceDE w:val="0"/>
        <w:spacing w:line="400" w:lineRule="exact"/>
        <w:ind w:firstLine="482"/>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w:t>
      </w:r>
      <w:r>
        <w:rPr>
          <w:rFonts w:hint="eastAsia" w:ascii="仿宋" w:hAnsi="仿宋" w:eastAsia="仿宋" w:cs="Arial"/>
          <w:color w:val="000000"/>
          <w:kern w:val="0"/>
          <w:sz w:val="32"/>
          <w:szCs w:val="32"/>
          <w:shd w:val="clear" w:color="auto" w:fill="FFFFFF"/>
          <w:lang w:val="en-US" w:eastAsia="zh-CN"/>
        </w:rPr>
        <w:t>20吨病死畜禽无害化处理设备购置及安装</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w:t>
      </w:r>
      <w:r>
        <w:rPr>
          <w:rFonts w:hint="eastAsia" w:ascii="仿宋" w:hAnsi="仿宋" w:eastAsia="仿宋" w:cs="Arial"/>
          <w:color w:val="000000"/>
          <w:kern w:val="0"/>
          <w:sz w:val="32"/>
          <w:szCs w:val="32"/>
          <w:shd w:val="clear" w:color="auto" w:fill="FFFFFF"/>
          <w:lang w:val="en-US" w:eastAsia="zh-CN"/>
        </w:rPr>
        <w:t>350</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w:t>
      </w:r>
      <w:r>
        <w:rPr>
          <w:rFonts w:hint="eastAsia" w:ascii="仿宋" w:hAnsi="仿宋" w:eastAsia="仿宋" w:cs="仿宋_GB2312"/>
          <w:sz w:val="32"/>
          <w:szCs w:val="32"/>
          <w:shd w:val="clear" w:color="auto" w:fill="FFFFFF"/>
          <w:lang w:val="en-US" w:eastAsia="zh-CN"/>
        </w:rPr>
        <w:t>350</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shd w:val="clear" w:color="auto" w:fill="FFFFFF"/>
          <w:lang w:val="en-US" w:eastAsia="zh-CN"/>
        </w:rPr>
        <w:t>招标</w:t>
      </w:r>
      <w:r>
        <w:rPr>
          <w:rFonts w:hint="eastAsia" w:ascii="仿宋" w:hAnsi="仿宋" w:eastAsia="仿宋" w:cs="Arial"/>
          <w:color w:val="000000"/>
          <w:kern w:val="0"/>
          <w:sz w:val="32"/>
          <w:szCs w:val="32"/>
          <w:shd w:val="clear" w:color="auto" w:fill="FFFFFF"/>
        </w:rPr>
        <w:t>文件）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widowControl/>
        <w:shd w:val="clear" w:color="auto" w:fill="FFFFFF"/>
        <w:autoSpaceDE w:val="0"/>
        <w:spacing w:line="400" w:lineRule="exact"/>
        <w:ind w:left="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1、符合《政府采购法》第二十二条之规定，具有独立法人资格及相应的经营范围（以营业执照）；</w:t>
      </w:r>
    </w:p>
    <w:p>
      <w:pPr>
        <w:autoSpaceDE w:val="0"/>
        <w:spacing w:line="400" w:lineRule="exact"/>
        <w:ind w:left="319" w:leftChars="152" w:firstLine="160" w:firstLineChars="50"/>
        <w:rPr>
          <w:rFonts w:ascii="仿宋" w:hAnsi="仿宋" w:eastAsia="仿宋" w:cs="仿宋_GB2312"/>
          <w:sz w:val="32"/>
          <w:szCs w:val="32"/>
        </w:rPr>
      </w:pPr>
      <w:r>
        <w:rPr>
          <w:rFonts w:hint="eastAsia" w:ascii="仿宋" w:hAnsi="仿宋" w:eastAsia="仿宋" w:cs="仿宋_GB2312"/>
          <w:sz w:val="32"/>
          <w:szCs w:val="32"/>
        </w:rPr>
        <w:t>2、被委托人是须是本单位职工，须提供公司为本人缴纳社会保险证明；</w:t>
      </w:r>
    </w:p>
    <w:p>
      <w:pPr>
        <w:autoSpaceDE w:val="0"/>
        <w:spacing w:line="4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4"/>
          <w:rFonts w:hint="eastAsia" w:ascii="仿宋" w:hAnsi="仿宋" w:eastAsia="仿宋" w:cs="宋体"/>
          <w:sz w:val="32"/>
          <w:szCs w:val="32"/>
        </w:rPr>
        <w:t>http://221.14.6.70:8088/ggzy/eps/public/RegistAllJcxx.html</w:t>
      </w:r>
      <w:r>
        <w:rPr>
          <w:rStyle w:val="24"/>
          <w:rFonts w:hint="eastAsia" w:ascii="仿宋" w:hAnsi="仿宋" w:eastAsia="仿宋" w:cs="宋体"/>
          <w:sz w:val="32"/>
          <w:szCs w:val="32"/>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4"/>
          <w:rFonts w:hint="eastAsia" w:ascii="仿宋" w:hAnsi="仿宋" w:eastAsia="仿宋" w:cs="宋体"/>
          <w:sz w:val="32"/>
          <w:szCs w:val="32"/>
        </w:rPr>
        <w:t>http://221.14.6.70:8088/ggzy/</w:t>
      </w:r>
      <w:r>
        <w:rPr>
          <w:rStyle w:val="24"/>
          <w:rFonts w:hint="eastAsia" w:ascii="仿宋" w:hAnsi="仿宋" w:eastAsia="仿宋" w:cs="宋体"/>
          <w:sz w:val="32"/>
          <w:szCs w:val="32"/>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4、招标文件每份售价人民币200元，于递交投标文件时缴纳给采购代理机构，售后不退。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五、投标截止时间、开标时间及地点：</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lang w:val="en-US" w:eastAsia="zh-CN"/>
        </w:rPr>
        <w:t>2019</w:t>
      </w:r>
      <w:r>
        <w:rPr>
          <w:rFonts w:hint="eastAsia" w:ascii="仿宋" w:hAnsi="仿宋" w:eastAsia="仿宋" w:cs="Arial"/>
          <w:color w:val="000000"/>
          <w:kern w:val="0"/>
          <w:sz w:val="32"/>
          <w:szCs w:val="32"/>
          <w:shd w:val="clear" w:color="auto" w:fill="FFFFFF"/>
        </w:rPr>
        <w:t>年</w:t>
      </w:r>
      <w:r>
        <w:rPr>
          <w:rFonts w:hint="eastAsia" w:ascii="仿宋" w:hAnsi="仿宋" w:eastAsia="仿宋" w:cs="Arial"/>
          <w:color w:val="000000"/>
          <w:kern w:val="0"/>
          <w:sz w:val="32"/>
          <w:szCs w:val="32"/>
          <w:shd w:val="clear" w:color="auto" w:fill="FFFFFF"/>
          <w:lang w:val="en-US" w:eastAsia="zh-CN"/>
        </w:rPr>
        <w:t>2</w:t>
      </w:r>
      <w:r>
        <w:rPr>
          <w:rFonts w:hint="eastAsia" w:ascii="仿宋" w:hAnsi="仿宋" w:eastAsia="仿宋" w:cs="Arial"/>
          <w:color w:val="000000"/>
          <w:kern w:val="0"/>
          <w:sz w:val="32"/>
          <w:szCs w:val="32"/>
          <w:shd w:val="clear" w:color="auto" w:fill="FFFFFF"/>
        </w:rPr>
        <w:t>月</w:t>
      </w:r>
      <w:r>
        <w:rPr>
          <w:rFonts w:hint="eastAsia" w:ascii="仿宋" w:hAnsi="仿宋" w:eastAsia="仿宋" w:cs="Arial"/>
          <w:color w:val="000000"/>
          <w:kern w:val="0"/>
          <w:sz w:val="32"/>
          <w:szCs w:val="32"/>
          <w:shd w:val="clear" w:color="auto" w:fill="FFFFFF"/>
          <w:lang w:val="en-US" w:eastAsia="zh-CN"/>
        </w:rPr>
        <w:t>22</w:t>
      </w:r>
      <w:r>
        <w:rPr>
          <w:rFonts w:hint="eastAsia" w:ascii="仿宋" w:hAnsi="仿宋" w:eastAsia="仿宋" w:cs="Arial"/>
          <w:color w:val="000000"/>
          <w:kern w:val="0"/>
          <w:sz w:val="32"/>
          <w:szCs w:val="32"/>
          <w:shd w:val="clear" w:color="auto" w:fill="FFFFFF"/>
        </w:rPr>
        <w:t>日</w:t>
      </w:r>
      <w:r>
        <w:rPr>
          <w:rFonts w:hint="eastAsia" w:ascii="仿宋" w:hAnsi="仿宋" w:eastAsia="仿宋" w:cs="Arial"/>
          <w:color w:val="000000"/>
          <w:kern w:val="0"/>
          <w:sz w:val="32"/>
          <w:szCs w:val="32"/>
          <w:shd w:val="clear" w:color="auto" w:fill="FFFFFF"/>
          <w:lang w:val="en-US" w:eastAsia="zh-CN"/>
        </w:rPr>
        <w:t>9:00</w:t>
      </w:r>
      <w:r>
        <w:rPr>
          <w:rFonts w:hint="eastAsia" w:ascii="仿宋" w:hAnsi="仿宋" w:eastAsia="仿宋" w:cs="Arial"/>
          <w:color w:val="000000"/>
          <w:kern w:val="0"/>
          <w:sz w:val="32"/>
          <w:szCs w:val="32"/>
          <w:shd w:val="clear" w:color="auto" w:fill="FFFFFF"/>
        </w:rPr>
        <w:t>（北京时间），逾期送达或不符合规定的投标文件不予接受。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（一）代理机构：禹州市政府采购中心</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地址：</w:t>
      </w:r>
      <w:r>
        <w:rPr>
          <w:rFonts w:hint="eastAsia" w:ascii="仿宋" w:hAnsi="仿宋" w:eastAsia="仿宋" w:cs="仿宋_GB2312"/>
          <w:sz w:val="32"/>
          <w:szCs w:val="32"/>
          <w:shd w:val="clear" w:color="auto" w:fill="FFFFFF"/>
        </w:rPr>
        <w:t>禹州市行政服务中心楼917房间</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联系人：</w:t>
      </w:r>
      <w:r>
        <w:rPr>
          <w:rFonts w:hint="eastAsia" w:ascii="仿宋" w:hAnsi="仿宋" w:eastAsia="仿宋" w:cs="Arial"/>
          <w:color w:val="000000"/>
          <w:kern w:val="0"/>
          <w:sz w:val="32"/>
          <w:szCs w:val="32"/>
          <w:shd w:val="clear" w:color="auto" w:fill="FFFFFF"/>
          <w:lang w:val="en-US" w:eastAsia="zh-CN"/>
        </w:rPr>
        <w:t>李女士</w:t>
      </w:r>
      <w:r>
        <w:rPr>
          <w:rFonts w:hint="eastAsia" w:ascii="仿宋" w:hAnsi="仿宋" w:eastAsia="仿宋" w:cs="Arial"/>
          <w:color w:val="000000"/>
          <w:kern w:val="0"/>
          <w:sz w:val="32"/>
          <w:szCs w:val="32"/>
          <w:shd w:val="clear" w:color="auto" w:fill="FFFFFF"/>
        </w:rPr>
        <w:t xml:space="preserve">  联系电话：</w:t>
      </w:r>
      <w:r>
        <w:rPr>
          <w:rFonts w:hint="eastAsia" w:ascii="仿宋" w:hAnsi="仿宋" w:eastAsia="仿宋" w:cs="仿宋"/>
          <w:color w:val="000000"/>
          <w:kern w:val="0"/>
          <w:sz w:val="32"/>
          <w:szCs w:val="32"/>
          <w:shd w:val="clear" w:color="auto" w:fill="FFFFFF"/>
        </w:rPr>
        <w:t>0374-2077111</w:t>
      </w:r>
    </w:p>
    <w:p>
      <w:pPr>
        <w:widowControl/>
        <w:shd w:val="clear" w:color="auto" w:fill="FFFFFF"/>
        <w:spacing w:line="525" w:lineRule="atLeast"/>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采购单位：禹州市畜牧局</w:t>
      </w:r>
    </w:p>
    <w:p>
      <w:pPr>
        <w:widowControl/>
        <w:shd w:val="clear" w:color="auto" w:fill="FFFFFF"/>
        <w:spacing w:line="525" w:lineRule="atLeast"/>
        <w:ind w:firstLine="320" w:firstLineChars="1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单位地址：禹州市</w:t>
      </w:r>
      <w:r>
        <w:rPr>
          <w:rFonts w:hint="eastAsia" w:ascii="仿宋" w:hAnsi="仿宋" w:eastAsia="仿宋" w:cs="宋体"/>
          <w:color w:val="000000"/>
          <w:kern w:val="0"/>
          <w:sz w:val="32"/>
          <w:szCs w:val="32"/>
          <w:lang w:val="en-US" w:eastAsia="zh-CN"/>
        </w:rPr>
        <w:t>禹王大道</w:t>
      </w:r>
    </w:p>
    <w:p>
      <w:pPr>
        <w:widowControl/>
        <w:shd w:val="clear" w:color="auto" w:fill="FFFFFF"/>
        <w:spacing w:line="525" w:lineRule="atLeast"/>
        <w:ind w:firstLine="320" w:firstLineChars="1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联系人姓名：</w:t>
      </w:r>
      <w:r>
        <w:rPr>
          <w:rFonts w:hint="eastAsia" w:ascii="仿宋" w:hAnsi="仿宋" w:eastAsia="仿宋" w:cs="宋体"/>
          <w:color w:val="000000"/>
          <w:kern w:val="0"/>
          <w:sz w:val="32"/>
          <w:szCs w:val="32"/>
          <w:lang w:val="en-US" w:eastAsia="zh-CN"/>
        </w:rPr>
        <w:t>马女士</w:t>
      </w:r>
      <w:r>
        <w:rPr>
          <w:rFonts w:hint="eastAsia" w:ascii="宋体" w:hAnsi="宋体" w:eastAsia="仿宋" w:cs="宋体"/>
          <w:color w:val="000000"/>
          <w:kern w:val="0"/>
          <w:sz w:val="32"/>
          <w:szCs w:val="32"/>
        </w:rPr>
        <w:t>     </w:t>
      </w:r>
      <w:r>
        <w:rPr>
          <w:rFonts w:hint="eastAsia" w:ascii="仿宋" w:hAnsi="仿宋" w:eastAsia="仿宋" w:cs="宋体"/>
          <w:color w:val="000000"/>
          <w:kern w:val="0"/>
          <w:sz w:val="32"/>
          <w:szCs w:val="32"/>
        </w:rPr>
        <w:t>联系电话：</w:t>
      </w:r>
      <w:r>
        <w:rPr>
          <w:rFonts w:hint="eastAsia" w:ascii="仿宋" w:hAnsi="仿宋" w:eastAsia="仿宋" w:cs="宋体"/>
          <w:color w:val="000000"/>
          <w:kern w:val="0"/>
          <w:sz w:val="32"/>
          <w:szCs w:val="32"/>
          <w:lang w:val="en-US" w:eastAsia="zh-CN"/>
        </w:rPr>
        <w:t>15137408128</w:t>
      </w:r>
    </w:p>
    <w:p>
      <w:pPr>
        <w:autoSpaceDE w:val="0"/>
        <w:spacing w:line="40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 xml:space="preserve">    </w:t>
      </w:r>
    </w:p>
    <w:p>
      <w:pPr>
        <w:autoSpaceDE w:val="0"/>
        <w:spacing w:line="400" w:lineRule="exact"/>
        <w:ind w:firstLine="2720" w:firstLineChars="850"/>
        <w:jc w:val="right"/>
        <w:rPr>
          <w:rFonts w:hAnsi="宋体"/>
          <w:b/>
          <w:sz w:val="28"/>
          <w:szCs w:val="28"/>
        </w:rPr>
      </w:pPr>
      <w:r>
        <w:rPr>
          <w:rFonts w:hint="eastAsia" w:ascii="仿宋" w:hAnsi="仿宋" w:eastAsia="仿宋" w:cs="仿宋_GB2312"/>
          <w:sz w:val="32"/>
          <w:szCs w:val="32"/>
        </w:rPr>
        <w:t>2018年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本设备是病死动物无害化处理的主体设备</w:t>
      </w:r>
      <w:r>
        <w:rPr>
          <w:rFonts w:hint="eastAsia" w:ascii="仿宋" w:hAnsi="仿宋" w:eastAsia="仿宋" w:cs="宋体"/>
          <w:color w:val="000000"/>
          <w:kern w:val="0"/>
          <w:sz w:val="32"/>
          <w:szCs w:val="32"/>
          <w:lang w:eastAsia="zh-CN"/>
        </w:rPr>
        <w:t>，项目完成后，可满足日无害化处理</w:t>
      </w:r>
      <w:r>
        <w:rPr>
          <w:rFonts w:hint="eastAsia" w:ascii="仿宋" w:hAnsi="仿宋" w:eastAsia="仿宋" w:cs="宋体"/>
          <w:color w:val="000000"/>
          <w:kern w:val="0"/>
          <w:sz w:val="32"/>
          <w:szCs w:val="32"/>
          <w:lang w:val="en-US" w:eastAsia="zh-CN"/>
        </w:rPr>
        <w:t>20吨病死畜禽。</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5"/>
        <w:tblW w:w="74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70"/>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0" w:type="dxa"/>
            <w:vAlign w:val="center"/>
          </w:tcPr>
          <w:p>
            <w:pPr>
              <w:jc w:val="center"/>
              <w:rPr>
                <w:rFonts w:hint="eastAsia"/>
              </w:rPr>
            </w:pPr>
            <w:r>
              <w:rPr>
                <w:rFonts w:hint="eastAsia"/>
              </w:rPr>
              <w:t>序号</w:t>
            </w:r>
          </w:p>
        </w:tc>
        <w:tc>
          <w:tcPr>
            <w:tcW w:w="4170" w:type="dxa"/>
            <w:vAlign w:val="center"/>
          </w:tcPr>
          <w:p>
            <w:pPr>
              <w:jc w:val="center"/>
              <w:rPr>
                <w:rFonts w:hint="eastAsia"/>
              </w:rPr>
            </w:pPr>
            <w:r>
              <w:rPr>
                <w:rFonts w:hint="eastAsia"/>
              </w:rPr>
              <w:t>设  备  名  称</w:t>
            </w:r>
          </w:p>
        </w:tc>
        <w:tc>
          <w:tcPr>
            <w:tcW w:w="1185" w:type="dxa"/>
            <w:vAlign w:val="center"/>
          </w:tcPr>
          <w:p>
            <w:pPr>
              <w:jc w:val="center"/>
              <w:rPr>
                <w:rFonts w:hint="eastAsia"/>
              </w:rPr>
            </w:pPr>
            <w:r>
              <w:rPr>
                <w:rFonts w:hint="eastAsia"/>
              </w:rPr>
              <w:t>数  量</w:t>
            </w:r>
          </w:p>
        </w:tc>
        <w:tc>
          <w:tcPr>
            <w:tcW w:w="1185" w:type="dxa"/>
            <w:vAlign w:val="center"/>
          </w:tcPr>
          <w:p>
            <w:pPr>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1</w:t>
            </w:r>
          </w:p>
        </w:tc>
        <w:tc>
          <w:tcPr>
            <w:tcW w:w="4170" w:type="dxa"/>
            <w:vAlign w:val="center"/>
          </w:tcPr>
          <w:p>
            <w:pPr>
              <w:jc w:val="center"/>
              <w:rPr>
                <w:rFonts w:hint="eastAsia"/>
              </w:rPr>
            </w:pPr>
            <w:r>
              <w:rPr>
                <w:rFonts w:hint="eastAsia"/>
                <w:sz w:val="24"/>
              </w:rPr>
              <w:t>进料破碎系统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2</w:t>
            </w:r>
          </w:p>
        </w:tc>
        <w:tc>
          <w:tcPr>
            <w:tcW w:w="4170" w:type="dxa"/>
            <w:vAlign w:val="center"/>
          </w:tcPr>
          <w:p>
            <w:pPr>
              <w:jc w:val="center"/>
              <w:rPr>
                <w:rFonts w:hint="eastAsia"/>
              </w:rPr>
            </w:pPr>
            <w:r>
              <w:rPr>
                <w:rFonts w:hint="eastAsia"/>
                <w:sz w:val="24"/>
              </w:rPr>
              <w:t>高温灭菌干化系统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00" w:type="dxa"/>
            <w:vAlign w:val="center"/>
          </w:tcPr>
          <w:p>
            <w:pPr>
              <w:jc w:val="center"/>
              <w:rPr>
                <w:rFonts w:hint="eastAsia" w:eastAsia="宋体"/>
                <w:lang w:val="en-US" w:eastAsia="zh-CN"/>
              </w:rPr>
            </w:pPr>
            <w:r>
              <w:rPr>
                <w:rFonts w:hint="eastAsia"/>
                <w:lang w:val="en-US" w:eastAsia="zh-CN"/>
              </w:rPr>
              <w:t>3</w:t>
            </w:r>
          </w:p>
        </w:tc>
        <w:tc>
          <w:tcPr>
            <w:tcW w:w="4170" w:type="dxa"/>
            <w:vAlign w:val="center"/>
          </w:tcPr>
          <w:p>
            <w:pPr>
              <w:jc w:val="center"/>
              <w:rPr>
                <w:rFonts w:hint="eastAsia"/>
              </w:rPr>
            </w:pPr>
            <w:r>
              <w:rPr>
                <w:rFonts w:hint="eastAsia"/>
                <w:sz w:val="24"/>
              </w:rPr>
              <w:t>渣、油处理系统</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4</w:t>
            </w:r>
          </w:p>
        </w:tc>
        <w:tc>
          <w:tcPr>
            <w:tcW w:w="4170" w:type="dxa"/>
            <w:vAlign w:val="center"/>
          </w:tcPr>
          <w:p>
            <w:pPr>
              <w:jc w:val="center"/>
              <w:rPr>
                <w:rFonts w:hint="eastAsia"/>
                <w:sz w:val="24"/>
              </w:rPr>
            </w:pPr>
            <w:r>
              <w:rPr>
                <w:rFonts w:hint="eastAsia"/>
                <w:sz w:val="24"/>
              </w:rPr>
              <w:t>给排水管（阀）、油管（阀）及保温</w:t>
            </w:r>
          </w:p>
        </w:tc>
        <w:tc>
          <w:tcPr>
            <w:tcW w:w="1185" w:type="dxa"/>
            <w:vAlign w:val="center"/>
          </w:tcPr>
          <w:p>
            <w:pPr>
              <w:jc w:val="center"/>
              <w:rPr>
                <w:rFonts w:hint="eastAsia" w:ascii="宋体" w:hAnsi="宋体"/>
              </w:rPr>
            </w:pPr>
            <w:r>
              <w:rPr>
                <w:rFonts w:hint="eastAsia" w:ascii="宋体" w:hAnsi="宋体"/>
              </w:rPr>
              <w:t>1套</w:t>
            </w:r>
          </w:p>
        </w:tc>
        <w:tc>
          <w:tcPr>
            <w:tcW w:w="1185" w:type="dxa"/>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00" w:type="dxa"/>
            <w:vAlign w:val="center"/>
          </w:tcPr>
          <w:p>
            <w:pPr>
              <w:jc w:val="center"/>
              <w:rPr>
                <w:rFonts w:hint="eastAsia" w:eastAsia="宋体"/>
                <w:lang w:val="en-US" w:eastAsia="zh-CN"/>
              </w:rPr>
            </w:pPr>
            <w:r>
              <w:rPr>
                <w:rFonts w:hint="eastAsia"/>
                <w:lang w:val="en-US" w:eastAsia="zh-CN"/>
              </w:rPr>
              <w:t>5</w:t>
            </w:r>
          </w:p>
        </w:tc>
        <w:tc>
          <w:tcPr>
            <w:tcW w:w="4170" w:type="dxa"/>
            <w:vAlign w:val="center"/>
          </w:tcPr>
          <w:p>
            <w:pPr>
              <w:ind w:firstLine="480"/>
              <w:jc w:val="center"/>
              <w:rPr>
                <w:rFonts w:hint="eastAsia"/>
                <w:sz w:val="24"/>
              </w:rPr>
            </w:pPr>
            <w:r>
              <w:rPr>
                <w:rFonts w:hint="eastAsia"/>
                <w:sz w:val="24"/>
              </w:rPr>
              <w:t>集中控制及电气系统</w:t>
            </w:r>
          </w:p>
        </w:tc>
        <w:tc>
          <w:tcPr>
            <w:tcW w:w="1185" w:type="dxa"/>
            <w:vAlign w:val="center"/>
          </w:tcPr>
          <w:p>
            <w:pPr>
              <w:jc w:val="center"/>
              <w:rPr>
                <w:rFonts w:hint="eastAsia"/>
              </w:rPr>
            </w:pPr>
            <w:r>
              <w:rPr>
                <w:rFonts w:hint="eastAsia"/>
              </w:rPr>
              <w:t>1套</w:t>
            </w:r>
          </w:p>
        </w:tc>
        <w:tc>
          <w:tcPr>
            <w:tcW w:w="1185" w:type="dxa"/>
            <w:vAlign w:val="center"/>
          </w:tcPr>
          <w:p>
            <w:pPr>
              <w:jc w:val="center"/>
              <w:rPr>
                <w:rFonts w:hint="eastAsia"/>
              </w:rPr>
            </w:pPr>
          </w:p>
        </w:tc>
      </w:tr>
    </w:tbl>
    <w:p>
      <w:pPr>
        <w:spacing w:line="360" w:lineRule="auto"/>
        <w:ind w:right="28"/>
        <w:rPr>
          <w:rFonts w:ascii="仿宋" w:hAnsi="仿宋" w:eastAsia="仿宋" w:cs="仿宋"/>
          <w:sz w:val="24"/>
          <w:szCs w:val="24"/>
        </w:rPr>
      </w:pPr>
    </w:p>
    <w:tbl>
      <w:tblPr>
        <w:tblStyle w:val="25"/>
        <w:tblW w:w="9357" w:type="dxa"/>
        <w:jc w:val="center"/>
        <w:tblInd w:w="0" w:type="dxa"/>
        <w:tblLayout w:type="fixed"/>
        <w:tblCellMar>
          <w:top w:w="0" w:type="dxa"/>
          <w:left w:w="10" w:type="dxa"/>
          <w:bottom w:w="0" w:type="dxa"/>
          <w:right w:w="10" w:type="dxa"/>
        </w:tblCellMar>
      </w:tblPr>
      <w:tblGrid>
        <w:gridCol w:w="671"/>
        <w:gridCol w:w="1976"/>
        <w:gridCol w:w="4384"/>
        <w:gridCol w:w="709"/>
        <w:gridCol w:w="567"/>
        <w:gridCol w:w="1050"/>
      </w:tblGrid>
      <w:tr>
        <w:tblPrEx>
          <w:tblLayout w:type="fixed"/>
          <w:tblCellMar>
            <w:top w:w="0" w:type="dxa"/>
            <w:left w:w="10" w:type="dxa"/>
            <w:bottom w:w="0" w:type="dxa"/>
            <w:right w:w="10" w:type="dxa"/>
          </w:tblCellMar>
        </w:tblPrEx>
        <w:trPr>
          <w:trHeight w:val="45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货物名称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型号、规格及参数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单位</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产地</w:t>
            </w:r>
          </w:p>
        </w:tc>
      </w:tr>
      <w:tr>
        <w:tblPrEx>
          <w:tblLayout w:type="fixed"/>
          <w:tblCellMar>
            <w:top w:w="0" w:type="dxa"/>
            <w:left w:w="10" w:type="dxa"/>
            <w:bottom w:w="0" w:type="dxa"/>
            <w:right w:w="10" w:type="dxa"/>
          </w:tblCellMar>
        </w:tblPrEx>
        <w:trPr>
          <w:trHeight w:val="418"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120" w:firstLineChars="50"/>
              <w:rPr>
                <w:rFonts w:hint="eastAsia" w:ascii="仿宋" w:hAnsi="仿宋" w:eastAsia="仿宋" w:cs="仿宋"/>
                <w:b/>
                <w:sz w:val="24"/>
                <w:szCs w:val="24"/>
              </w:rPr>
            </w:pPr>
            <w:r>
              <w:rPr>
                <w:rFonts w:hint="eastAsia" w:ascii="仿宋" w:hAnsi="仿宋" w:eastAsia="仿宋" w:cs="仿宋"/>
                <w:b/>
                <w:sz w:val="24"/>
                <w:szCs w:val="24"/>
              </w:rPr>
              <w:t>一、原料提升、储存、预破碎处理、输送系统</w:t>
            </w:r>
          </w:p>
        </w:tc>
      </w:tr>
      <w:tr>
        <w:tblPrEx>
          <w:tblLayout w:type="fixed"/>
          <w:tblCellMar>
            <w:top w:w="0" w:type="dxa"/>
            <w:left w:w="10" w:type="dxa"/>
            <w:bottom w:w="0" w:type="dxa"/>
            <w:right w:w="10" w:type="dxa"/>
          </w:tblCellMar>
        </w:tblPrEx>
        <w:trPr>
          <w:trHeight w:val="90"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原料仓</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容积：20立方； 材质：碳钢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11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预碎机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 有废气收集口220法兰对接</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动刀和定刀、刀头采用合金钢</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材质：碳钢   主电机动力：22KW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97"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送料液压站</w:t>
            </w:r>
          </w:p>
        </w:tc>
        <w:tc>
          <w:tcPr>
            <w:tcW w:w="4384" w:type="dxa"/>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主动力：10.5KW          </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93"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输料装置</w:t>
            </w:r>
          </w:p>
        </w:tc>
        <w:tc>
          <w:tcPr>
            <w:tcW w:w="4384" w:type="dxa"/>
            <w:tcBorders>
              <w:top w:val="single" w:color="auto" w:sz="6" w:space="0"/>
              <w:left w:val="single" w:color="auto" w:sz="6" w:space="0"/>
              <w:bottom w:val="single" w:color="auto" w:sz="4" w:space="0"/>
              <w:right w:val="single" w:color="auto" w:sz="6" w:space="0"/>
            </w:tcBorders>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 含料斗一个</w:t>
            </w:r>
            <w:r>
              <w:rPr>
                <w:rFonts w:hint="eastAsia" w:ascii="仿宋" w:hAnsi="仿宋" w:eastAsia="仿宋" w:cs="仿宋"/>
                <w:sz w:val="24"/>
                <w:szCs w:val="24"/>
                <w:lang w:eastAsia="zh-CN"/>
              </w:rPr>
              <w:t>，</w:t>
            </w:r>
            <w:r>
              <w:rPr>
                <w:rFonts w:hint="eastAsia" w:ascii="仿宋" w:hAnsi="仿宋" w:eastAsia="仿宋" w:cs="仿宋"/>
                <w:sz w:val="24"/>
                <w:szCs w:val="24"/>
              </w:rPr>
              <w:t>材质：碳钢</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70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阀门、管道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阀门（国标）</w:t>
            </w:r>
          </w:p>
          <w:p>
            <w:pPr>
              <w:autoSpaceDE w:val="0"/>
              <w:autoSpaceDN w:val="0"/>
              <w:adjustRightInd w:val="0"/>
              <w:spacing w:line="276"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管道为国标无缝管</w:t>
            </w:r>
            <w:r>
              <w:rPr>
                <w:rFonts w:hint="eastAsia" w:ascii="仿宋" w:hAnsi="仿宋" w:eastAsia="仿宋" w:cs="仿宋"/>
                <w:sz w:val="24"/>
                <w:szCs w:val="24"/>
              </w:rPr>
              <w:t>φ127壁厚4mm</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color w:val="000000"/>
                <w:sz w:val="24"/>
                <w:szCs w:val="24"/>
              </w:rPr>
            </w:pPr>
          </w:p>
        </w:tc>
      </w:tr>
      <w:tr>
        <w:tblPrEx>
          <w:tblLayout w:type="fixed"/>
          <w:tblCellMar>
            <w:top w:w="0" w:type="dxa"/>
            <w:left w:w="10" w:type="dxa"/>
            <w:bottom w:w="0" w:type="dxa"/>
            <w:right w:w="10" w:type="dxa"/>
          </w:tblCellMar>
        </w:tblPrEx>
        <w:trPr>
          <w:trHeight w:val="80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预碎机平台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主体用5×10槽钢，承重点用8×16槽钢</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表面用花纹防滑板组成，材质为碳钢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72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塑壳式断路器、漏电断路器、交流接触器、热过载继电器、指示灯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01"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66"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zh-CN"/>
              </w:rPr>
              <w:t>二、高温灭菌干化系统</w:t>
            </w:r>
          </w:p>
        </w:tc>
      </w:tr>
      <w:tr>
        <w:tblPrEx>
          <w:tblLayout w:type="fixed"/>
          <w:tblCellMar>
            <w:top w:w="0" w:type="dxa"/>
            <w:left w:w="10" w:type="dxa"/>
            <w:bottom w:w="0" w:type="dxa"/>
            <w:right w:w="10" w:type="dxa"/>
          </w:tblCellMar>
        </w:tblPrEx>
        <w:trPr>
          <w:trHeight w:val="532" w:hRule="atLeast"/>
          <w:jc w:val="center"/>
        </w:trPr>
        <w:tc>
          <w:tcPr>
            <w:tcW w:w="6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高温干化机</w:t>
            </w:r>
          </w:p>
        </w:tc>
        <w:tc>
          <w:tcPr>
            <w:tcW w:w="4384" w:type="dxa"/>
            <w:tcBorders>
              <w:top w:val="single" w:color="auto" w:sz="6" w:space="0"/>
              <w:left w:val="single" w:color="auto" w:sz="6" w:space="0"/>
              <w:bottom w:val="single" w:color="auto" w:sz="4" w:space="0"/>
              <w:right w:val="single" w:color="auto" w:sz="6"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内心轴直径160的国标无缝碳钢 厚：20mm</w:t>
            </w:r>
          </w:p>
          <w:p>
            <w:pPr>
              <w:rPr>
                <w:rFonts w:hint="eastAsia" w:ascii="仿宋" w:hAnsi="仿宋" w:eastAsia="仿宋" w:cs="仿宋"/>
                <w:sz w:val="24"/>
                <w:szCs w:val="24"/>
              </w:rPr>
            </w:pPr>
            <w:r>
              <w:rPr>
                <w:rFonts w:hint="eastAsia" w:ascii="仿宋" w:hAnsi="仿宋" w:eastAsia="仿宋" w:cs="仿宋"/>
                <w:sz w:val="24"/>
                <w:szCs w:val="24"/>
              </w:rPr>
              <w:t>外套导热油夹层 尺寸70mm×200mm</w:t>
            </w:r>
          </w:p>
          <w:p>
            <w:pPr>
              <w:rPr>
                <w:rFonts w:hint="eastAsia" w:ascii="仿宋" w:hAnsi="仿宋" w:eastAsia="仿宋" w:cs="仿宋"/>
                <w:sz w:val="24"/>
                <w:szCs w:val="24"/>
              </w:rPr>
            </w:pPr>
            <w:r>
              <w:rPr>
                <w:rFonts w:hint="eastAsia" w:ascii="仿宋" w:hAnsi="仿宋" w:eastAsia="仿宋" w:cs="仿宋"/>
                <w:sz w:val="24"/>
                <w:szCs w:val="24"/>
              </w:rPr>
              <w:t xml:space="preserve">外套用直径600mm，板厚20mm组合体材质：碳钢  </w:t>
            </w:r>
          </w:p>
          <w:p>
            <w:pPr>
              <w:rPr>
                <w:rFonts w:hint="eastAsia" w:ascii="仿宋" w:hAnsi="仿宋" w:eastAsia="仿宋" w:cs="仿宋"/>
                <w:color w:val="FF0000"/>
                <w:sz w:val="24"/>
                <w:szCs w:val="24"/>
              </w:rPr>
            </w:pPr>
            <w:r>
              <w:rPr>
                <w:rFonts w:hint="eastAsia" w:ascii="仿宋" w:hAnsi="仿宋" w:eastAsia="仿宋" w:cs="仿宋"/>
                <w:sz w:val="24"/>
                <w:szCs w:val="24"/>
              </w:rPr>
              <w:t>干化机长度：6000mm，含出料绞笼2个。</w:t>
            </w:r>
          </w:p>
          <w:p>
            <w:pPr>
              <w:jc w:val="left"/>
              <w:rPr>
                <w:rFonts w:hint="eastAsia" w:ascii="仿宋" w:hAnsi="仿宋" w:eastAsia="仿宋" w:cs="仿宋"/>
                <w:sz w:val="24"/>
                <w:szCs w:val="24"/>
              </w:rPr>
            </w:pPr>
            <w:r>
              <w:rPr>
                <w:rFonts w:hint="eastAsia" w:ascii="仿宋" w:hAnsi="仿宋" w:eastAsia="仿宋" w:cs="仿宋"/>
                <w:sz w:val="24"/>
                <w:szCs w:val="24"/>
              </w:rPr>
              <w:t xml:space="preserve">配套动力：3kw电动机；           </w:t>
            </w:r>
          </w:p>
          <w:p>
            <w:pPr>
              <w:jc w:val="left"/>
              <w:rPr>
                <w:rFonts w:hint="eastAsia" w:ascii="仿宋" w:hAnsi="仿宋" w:eastAsia="仿宋" w:cs="仿宋"/>
                <w:sz w:val="24"/>
                <w:szCs w:val="24"/>
              </w:rPr>
            </w:pPr>
            <w:r>
              <w:rPr>
                <w:rFonts w:hint="eastAsia" w:ascii="仿宋" w:hAnsi="仿宋" w:eastAsia="仿宋" w:cs="仿宋"/>
                <w:sz w:val="24"/>
                <w:szCs w:val="24"/>
              </w:rPr>
              <w:t>导热油阀门：DN80  4套  铸钢</w:t>
            </w: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4</w:t>
            </w:r>
          </w:p>
        </w:tc>
        <w:tc>
          <w:tcPr>
            <w:tcW w:w="1050"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273" w:hRule="atLeast"/>
          <w:jc w:val="center"/>
        </w:trPr>
        <w:tc>
          <w:tcPr>
            <w:tcW w:w="67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9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匀速缓存总成灭菌罐总成</w:t>
            </w:r>
          </w:p>
        </w:tc>
        <w:tc>
          <w:tcPr>
            <w:tcW w:w="438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含匀速器、疏水传输带</w:t>
            </w:r>
          </w:p>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材质：碳钢</w:t>
            </w:r>
          </w:p>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动力：1.5kw电动机、0.75kw电动机 </w:t>
            </w:r>
          </w:p>
        </w:tc>
        <w:tc>
          <w:tcPr>
            <w:tcW w:w="70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567"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50"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000000"/>
                <w:sz w:val="24"/>
                <w:szCs w:val="24"/>
              </w:rPr>
            </w:pPr>
          </w:p>
        </w:tc>
      </w:tr>
      <w:tr>
        <w:tblPrEx>
          <w:tblLayout w:type="fixed"/>
          <w:tblCellMar>
            <w:top w:w="0" w:type="dxa"/>
            <w:left w:w="10" w:type="dxa"/>
            <w:bottom w:w="0" w:type="dxa"/>
            <w:right w:w="10" w:type="dxa"/>
          </w:tblCellMar>
        </w:tblPrEx>
        <w:trPr>
          <w:trHeight w:val="69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塑壳式断路器、漏电断路器、交流接触器、热过载继电器、指示灯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5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54"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rPr>
            </w:pPr>
            <w:r>
              <w:rPr>
                <w:rFonts w:hint="eastAsia" w:ascii="仿宋" w:hAnsi="仿宋" w:eastAsia="仿宋" w:cs="仿宋"/>
                <w:b/>
                <w:sz w:val="24"/>
                <w:szCs w:val="24"/>
              </w:rPr>
              <w:t>三、渣、油处理系统</w:t>
            </w:r>
          </w:p>
        </w:tc>
      </w:tr>
      <w:tr>
        <w:tblPrEx>
          <w:tblLayout w:type="fixed"/>
          <w:tblCellMar>
            <w:top w:w="0" w:type="dxa"/>
            <w:left w:w="10" w:type="dxa"/>
            <w:bottom w:w="0" w:type="dxa"/>
            <w:right w:w="10" w:type="dxa"/>
          </w:tblCellMar>
        </w:tblPrEx>
        <w:trPr>
          <w:trHeight w:val="65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净化油箱</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容积：0.4m³；材质：碳钢</w:t>
            </w:r>
          </w:p>
          <w:p>
            <w:pPr>
              <w:jc w:val="left"/>
              <w:rPr>
                <w:rFonts w:hint="eastAsia" w:ascii="仿宋" w:hAnsi="仿宋" w:eastAsia="仿宋" w:cs="仿宋"/>
                <w:sz w:val="24"/>
                <w:szCs w:val="24"/>
              </w:rPr>
            </w:pPr>
            <w:r>
              <w:rPr>
                <w:rFonts w:hint="eastAsia" w:ascii="仿宋" w:hAnsi="仿宋" w:eastAsia="仿宋" w:cs="仿宋"/>
                <w:sz w:val="24"/>
                <w:szCs w:val="24"/>
              </w:rPr>
              <w:t xml:space="preserve">出油口直径60mm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37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压榨机总成</w:t>
            </w:r>
          </w:p>
        </w:tc>
        <w:tc>
          <w:tcPr>
            <w:tcW w:w="4384"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外套直径600mm，板厚18mm，材质：MN钢</w:t>
            </w:r>
          </w:p>
          <w:p>
            <w:pPr>
              <w:jc w:val="left"/>
              <w:rPr>
                <w:rFonts w:hint="eastAsia" w:ascii="仿宋" w:hAnsi="仿宋" w:eastAsia="仿宋" w:cs="仿宋"/>
                <w:sz w:val="24"/>
                <w:szCs w:val="24"/>
              </w:rPr>
            </w:pPr>
            <w:r>
              <w:rPr>
                <w:rFonts w:hint="eastAsia" w:ascii="仿宋" w:hAnsi="仿宋" w:eastAsia="仿宋" w:cs="仿宋"/>
                <w:sz w:val="24"/>
                <w:szCs w:val="24"/>
              </w:rPr>
              <w:t xml:space="preserve">内推板直径600mm，板厚32mm，材质MN钢   </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内推油缸缸径250mm，活杆直径120mm，</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 xml:space="preserve">推力：200吨     </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 xml:space="preserve"> 有废气收集口220法兰对接</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9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压榨机液压站</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配套动力10.5kw电动机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33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压榨机出料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主轴直径108mm，厚6mm，材质：碳钢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外套直径270mm，厚5mm，材质：碳钢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68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螺旋榨油机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材质：碳钢   </w:t>
            </w:r>
          </w:p>
          <w:p>
            <w:pPr>
              <w:spacing w:line="276" w:lineRule="auto"/>
              <w:rPr>
                <w:rFonts w:hint="eastAsia" w:ascii="仿宋" w:hAnsi="仿宋" w:eastAsia="仿宋" w:cs="仿宋"/>
                <w:sz w:val="24"/>
                <w:szCs w:val="24"/>
              </w:rPr>
            </w:pPr>
            <w:r>
              <w:rPr>
                <w:rFonts w:hint="eastAsia" w:ascii="仿宋" w:hAnsi="仿宋" w:eastAsia="仿宋" w:cs="仿宋"/>
                <w:sz w:val="24"/>
                <w:szCs w:val="24"/>
              </w:rPr>
              <w:t>配套总动力：51KW  有废气收集口220法兰对接</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29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榨油机出料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 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主轴直径108mm，厚6mm，材质：碳钢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外套直径270mm，厚5mm，材质：碳钢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60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榨油机储油箱</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容积：0.4m³；材质：碳钢</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 xml:space="preserve">出油口直径60mm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45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皮带电子秤</w:t>
            </w:r>
          </w:p>
        </w:tc>
        <w:tc>
          <w:tcPr>
            <w:tcW w:w="4384"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设不锈钢密封罩及废气收集口</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18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皮带电子秤出料</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螺旋输送机</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 全密封输送</w:t>
            </w:r>
          </w:p>
          <w:p>
            <w:pPr>
              <w:spacing w:line="276" w:lineRule="auto"/>
              <w:rPr>
                <w:rFonts w:hint="eastAsia" w:ascii="仿宋" w:hAnsi="仿宋" w:eastAsia="仿宋" w:cs="仿宋"/>
                <w:sz w:val="24"/>
                <w:szCs w:val="24"/>
              </w:rPr>
            </w:pPr>
            <w:r>
              <w:rPr>
                <w:rFonts w:hint="eastAsia" w:ascii="仿宋" w:hAnsi="仿宋" w:eastAsia="仿宋" w:cs="仿宋"/>
                <w:sz w:val="24"/>
                <w:szCs w:val="24"/>
              </w:rPr>
              <w:t>主轴直径89mm，厚8mm，材质：碳钢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壳体直径270mm，厚度6mm，材质：碳钢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配套动力：4kw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82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油渣分离机总成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 w:hAnsi="仿宋" w:eastAsia="仿宋" w:cs="仿宋"/>
                <w:sz w:val="24"/>
                <w:szCs w:val="24"/>
                <w:lang w:val="zh-CN"/>
              </w:rPr>
            </w:pPr>
            <w:r>
              <w:rPr>
                <w:rFonts w:hint="eastAsia" w:ascii="仿宋" w:hAnsi="仿宋" w:eastAsia="仿宋" w:cs="仿宋"/>
                <w:sz w:val="24"/>
                <w:szCs w:val="24"/>
                <w:lang w:val="zh-CN"/>
              </w:rPr>
              <w:t>材质：碳钢</w:t>
            </w:r>
          </w:p>
          <w:p>
            <w:pPr>
              <w:autoSpaceDE w:val="0"/>
              <w:autoSpaceDN w:val="0"/>
              <w:adjustRightInd w:val="0"/>
              <w:jc w:val="left"/>
              <w:rPr>
                <w:rFonts w:hint="eastAsia" w:ascii="仿宋" w:hAnsi="仿宋" w:eastAsia="仿宋" w:cs="仿宋"/>
                <w:sz w:val="24"/>
                <w:szCs w:val="24"/>
                <w:lang w:val="zh-CN"/>
              </w:rPr>
            </w:pPr>
            <w:r>
              <w:rPr>
                <w:rFonts w:hint="eastAsia" w:ascii="仿宋" w:hAnsi="仿宋" w:eastAsia="仿宋" w:cs="仿宋"/>
                <w:sz w:val="24"/>
                <w:szCs w:val="24"/>
                <w:lang w:val="zh-CN"/>
              </w:rPr>
              <w:t>含油渣分离机一台、出油齿轮泵一台、操作平台一套</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962"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毛油搅拌罐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材料：碳钢，容积：0.8m³</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含加热器、液位计各一套</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配套动力：1.5kw电动机 </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111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成品油储油罐</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容积：20立方，罐体厚度4mm，材质：碳钢，内设加热管，国标无缝钢管</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含一台出油齿轮泵  </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外置保温层，设油位显示装置，安全护栏登高梯。</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815"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密封成品料仓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容积：6m×5m×3m，底板6mm，进出口处用5×5角钢焊接，拦油防止外流。</w:t>
            </w:r>
          </w:p>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顶部设φ200物料臭气收集管口（法兰式）</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输油管道</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材质：碳钢，国标无缝管</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56"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阀门、仪表、</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弯头、法兰</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材质：铸铁、铸钢等（国标）</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5"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控制柜</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lang w:val="zh-CN"/>
              </w:rPr>
              <w:t>主电器元件为正泰品牌（</w:t>
            </w:r>
            <w:r>
              <w:rPr>
                <w:rFonts w:hint="eastAsia" w:ascii="仿宋" w:hAnsi="仿宋" w:eastAsia="仿宋" w:cs="仿宋"/>
                <w:sz w:val="24"/>
                <w:szCs w:val="24"/>
              </w:rPr>
              <w:t>塑壳式断路器、漏电断路器、交流接触器、热过载继电器、指示灯</w:t>
            </w:r>
            <w:r>
              <w:rPr>
                <w:rFonts w:hint="eastAsia" w:ascii="仿宋" w:hAnsi="仿宋" w:eastAsia="仿宋" w:cs="仿宋"/>
                <w:sz w:val="24"/>
                <w:szCs w:val="24"/>
                <w:lang w:val="zh-CN"/>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01"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电缆、线管、桥架</w:t>
            </w:r>
          </w:p>
        </w:tc>
        <w:tc>
          <w:tcPr>
            <w:tcW w:w="4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国标橡胶电缆3+1</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466" w:hRule="atLeast"/>
          <w:jc w:val="center"/>
        </w:trPr>
        <w:tc>
          <w:tcPr>
            <w:tcW w:w="9357" w:type="dxa"/>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en-US" w:eastAsia="zh-CN"/>
              </w:rPr>
              <w:t>四</w:t>
            </w:r>
            <w:r>
              <w:rPr>
                <w:rFonts w:hint="eastAsia" w:ascii="仿宋" w:hAnsi="仿宋" w:eastAsia="仿宋" w:cs="仿宋"/>
                <w:b/>
                <w:sz w:val="24"/>
                <w:szCs w:val="24"/>
                <w:lang w:val="zh-CN"/>
              </w:rPr>
              <w:t>、废气处理系统</w:t>
            </w:r>
          </w:p>
        </w:tc>
      </w:tr>
      <w:tr>
        <w:tblPrEx>
          <w:tblLayout w:type="fixed"/>
          <w:tblCellMar>
            <w:top w:w="0" w:type="dxa"/>
            <w:left w:w="10" w:type="dxa"/>
            <w:bottom w:w="0" w:type="dxa"/>
            <w:right w:w="10" w:type="dxa"/>
          </w:tblCellMar>
        </w:tblPrEx>
        <w:trPr>
          <w:trHeight w:val="1084"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冷凝器</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外形尺寸1.5米×1.5米×6米，厚5mm，</w:t>
            </w:r>
          </w:p>
          <w:p>
            <w:pPr>
              <w:spacing w:line="276" w:lineRule="auto"/>
              <w:rPr>
                <w:rFonts w:hint="eastAsia" w:ascii="仿宋" w:hAnsi="仿宋" w:eastAsia="仿宋" w:cs="仿宋"/>
                <w:sz w:val="24"/>
                <w:szCs w:val="24"/>
              </w:rPr>
            </w:pPr>
            <w:r>
              <w:rPr>
                <w:rFonts w:hint="eastAsia" w:ascii="仿宋" w:hAnsi="仿宋" w:eastAsia="仿宋" w:cs="仿宋"/>
                <w:sz w:val="24"/>
                <w:szCs w:val="24"/>
              </w:rPr>
              <w:t>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内置直径60mm散热管80根，材质：热镀管</w:t>
            </w:r>
            <w:r>
              <w:rPr>
                <w:rFonts w:hint="eastAsia" w:ascii="仿宋" w:hAnsi="仿宋" w:eastAsia="仿宋" w:cs="仿宋"/>
                <w:sz w:val="24"/>
                <w:szCs w:val="24"/>
                <w:lang w:eastAsia="zh-CN"/>
              </w:rPr>
              <w:t>，</w:t>
            </w:r>
            <w:r>
              <w:rPr>
                <w:rFonts w:hint="eastAsia" w:ascii="仿宋" w:hAnsi="仿宋" w:eastAsia="仿宋" w:cs="仿宋"/>
                <w:sz w:val="24"/>
                <w:szCs w:val="24"/>
              </w:rPr>
              <w:t>含底座一套，材质：碳钢</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677"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负压站</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含7.5kw真空泵2台，材质：不锈钢  山东迈威</w:t>
            </w:r>
          </w:p>
          <w:p>
            <w:pPr>
              <w:spacing w:line="276" w:lineRule="auto"/>
              <w:rPr>
                <w:rFonts w:hint="eastAsia" w:ascii="仿宋" w:hAnsi="仿宋" w:eastAsia="仿宋" w:cs="仿宋"/>
                <w:sz w:val="24"/>
                <w:szCs w:val="24"/>
              </w:rPr>
            </w:pPr>
            <w:r>
              <w:rPr>
                <w:rFonts w:hint="eastAsia" w:ascii="仿宋" w:hAnsi="仿宋" w:eastAsia="仿宋" w:cs="仿宋"/>
                <w:sz w:val="24"/>
                <w:szCs w:val="24"/>
              </w:rPr>
              <w:t>含进气水洗罐一台    材质：热镀板</w:t>
            </w:r>
          </w:p>
          <w:p>
            <w:pPr>
              <w:spacing w:line="276" w:lineRule="auto"/>
              <w:rPr>
                <w:rFonts w:hint="eastAsia" w:ascii="仿宋" w:hAnsi="仿宋" w:eastAsia="仿宋" w:cs="仿宋"/>
                <w:sz w:val="24"/>
                <w:szCs w:val="24"/>
              </w:rPr>
            </w:pPr>
            <w:r>
              <w:rPr>
                <w:rFonts w:hint="eastAsia" w:ascii="仿宋" w:hAnsi="仿宋" w:eastAsia="仿宋" w:cs="仿宋"/>
                <w:sz w:val="24"/>
                <w:szCs w:val="24"/>
              </w:rPr>
              <w:t>含出气水洗罐一台    材质：热镀板</w:t>
            </w:r>
          </w:p>
          <w:p>
            <w:pPr>
              <w:spacing w:line="276" w:lineRule="auto"/>
              <w:rPr>
                <w:rFonts w:hint="eastAsia" w:ascii="仿宋" w:hAnsi="仿宋" w:eastAsia="仿宋" w:cs="仿宋"/>
                <w:sz w:val="24"/>
                <w:szCs w:val="24"/>
              </w:rPr>
            </w:pPr>
            <w:r>
              <w:rPr>
                <w:rFonts w:hint="eastAsia" w:ascii="仿宋" w:hAnsi="仿宋" w:eastAsia="仿宋" w:cs="仿宋"/>
                <w:sz w:val="24"/>
                <w:szCs w:val="24"/>
              </w:rPr>
              <w:t>含底座一套          材质：碳钢</w:t>
            </w:r>
          </w:p>
          <w:p>
            <w:pPr>
              <w:spacing w:line="276" w:lineRule="auto"/>
              <w:rPr>
                <w:rFonts w:hint="eastAsia" w:ascii="仿宋" w:hAnsi="仿宋" w:eastAsia="仿宋" w:cs="仿宋"/>
                <w:sz w:val="24"/>
                <w:szCs w:val="24"/>
              </w:rPr>
            </w:pPr>
            <w:r>
              <w:rPr>
                <w:rFonts w:hint="eastAsia" w:ascii="仿宋" w:hAnsi="仿宋" w:eastAsia="仿宋" w:cs="仿宋"/>
                <w:sz w:val="24"/>
                <w:szCs w:val="24"/>
              </w:rPr>
              <w:t>含包装箱体一套      材质：碳钢板</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20" w:lineRule="exact"/>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70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9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冷却塔</w:t>
            </w:r>
          </w:p>
        </w:tc>
        <w:tc>
          <w:tcPr>
            <w:tcW w:w="4384" w:type="dxa"/>
            <w:tcBorders>
              <w:top w:val="single" w:color="auto" w:sz="6" w:space="0"/>
              <w:left w:val="single" w:color="auto" w:sz="6" w:space="0"/>
              <w:bottom w:val="single" w:color="auto" w:sz="6" w:space="0"/>
              <w:right w:val="single" w:color="auto" w:sz="6"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color w:val="000000"/>
                <w:sz w:val="24"/>
                <w:szCs w:val="24"/>
              </w:rPr>
              <w:t>KFN-100m</w:t>
            </w:r>
            <w:r>
              <w:rPr>
                <w:rFonts w:hint="eastAsia" w:ascii="仿宋" w:hAnsi="仿宋" w:eastAsia="仿宋" w:cs="仿宋"/>
                <w:color w:val="000000"/>
                <w:sz w:val="24"/>
                <w:szCs w:val="24"/>
                <w:vertAlign w:val="superscript"/>
              </w:rPr>
              <w:t>3</w:t>
            </w:r>
            <w:r>
              <w:rPr>
                <w:rFonts w:hint="eastAsia" w:ascii="仿宋" w:hAnsi="仿宋" w:eastAsia="仿宋" w:cs="仿宋"/>
                <w:sz w:val="24"/>
                <w:szCs w:val="24"/>
              </w:rPr>
              <w:t>/h</w:t>
            </w:r>
            <w:r>
              <w:rPr>
                <w:rFonts w:hint="eastAsia" w:ascii="仿宋" w:hAnsi="仿宋" w:eastAsia="仿宋" w:cs="仿宋"/>
                <w:bCs/>
                <w:kern w:val="36"/>
                <w:sz w:val="24"/>
                <w:szCs w:val="24"/>
              </w:rPr>
              <w:t>逆流式冷却塔</w:t>
            </w:r>
            <w:r>
              <w:rPr>
                <w:rFonts w:hint="eastAsia" w:ascii="仿宋" w:hAnsi="仿宋" w:eastAsia="仿宋" w:cs="仿宋"/>
                <w:sz w:val="24"/>
                <w:szCs w:val="24"/>
              </w:rPr>
              <w:t xml:space="preserve"> </w:t>
            </w:r>
          </w:p>
          <w:p>
            <w:pPr>
              <w:spacing w:line="276" w:lineRule="auto"/>
              <w:rPr>
                <w:rFonts w:hint="eastAsia" w:ascii="仿宋" w:hAnsi="仿宋" w:eastAsia="仿宋" w:cs="仿宋"/>
                <w:sz w:val="24"/>
                <w:szCs w:val="24"/>
              </w:rPr>
            </w:pPr>
            <w:r>
              <w:rPr>
                <w:rFonts w:hint="eastAsia" w:ascii="仿宋" w:hAnsi="仿宋" w:eastAsia="仿宋" w:cs="仿宋"/>
                <w:sz w:val="24"/>
                <w:szCs w:val="24"/>
              </w:rPr>
              <w:t>潜污泵，5.5kw</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与冷凝器配套</w:t>
            </w:r>
          </w:p>
        </w:tc>
      </w:tr>
      <w:tr>
        <w:tblPrEx>
          <w:tblLayout w:type="fixed"/>
          <w:tblCellMar>
            <w:top w:w="0" w:type="dxa"/>
            <w:left w:w="10" w:type="dxa"/>
            <w:bottom w:w="0" w:type="dxa"/>
            <w:right w:w="10" w:type="dxa"/>
          </w:tblCellMar>
        </w:tblPrEx>
        <w:trPr>
          <w:trHeight w:val="678"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输气管道</w:t>
            </w:r>
          </w:p>
        </w:tc>
        <w:tc>
          <w:tcPr>
            <w:tcW w:w="43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材质：热镀管，国标无缝管</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尺寸：直径220，厚6mm</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40" w:hRule="atLeast"/>
          <w:jc w:val="center"/>
        </w:trPr>
        <w:tc>
          <w:tcPr>
            <w:tcW w:w="671"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976"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阀门、仪表、</w:t>
            </w:r>
          </w:p>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弯头、法兰</w:t>
            </w:r>
          </w:p>
        </w:tc>
        <w:tc>
          <w:tcPr>
            <w:tcW w:w="4384"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lang w:val="zh-CN"/>
              </w:rPr>
            </w:pPr>
            <w:r>
              <w:rPr>
                <w:rFonts w:hint="eastAsia" w:ascii="仿宋" w:hAnsi="仿宋" w:eastAsia="仿宋" w:cs="仿宋"/>
                <w:sz w:val="24"/>
                <w:szCs w:val="24"/>
                <w:lang w:val="zh-CN"/>
              </w:rPr>
              <w:t>材质：铸铁、铸钢等（国标）</w:t>
            </w:r>
          </w:p>
        </w:tc>
        <w:tc>
          <w:tcPr>
            <w:tcW w:w="709" w:type="dxa"/>
            <w:tcBorders>
              <w:top w:val="single" w:color="auto" w:sz="6" w:space="0"/>
              <w:left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50" w:type="dxa"/>
            <w:tcBorders>
              <w:top w:val="single" w:color="auto" w:sz="6" w:space="0"/>
              <w:left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r>
        <w:tblPrEx>
          <w:tblLayout w:type="fixed"/>
          <w:tblCellMar>
            <w:top w:w="0" w:type="dxa"/>
            <w:left w:w="10" w:type="dxa"/>
            <w:bottom w:w="0" w:type="dxa"/>
            <w:right w:w="10" w:type="dxa"/>
          </w:tblCellMar>
        </w:tblPrEx>
        <w:trPr>
          <w:trHeight w:val="520" w:hRule="atLeast"/>
          <w:jc w:val="center"/>
        </w:trPr>
        <w:tc>
          <w:tcPr>
            <w:tcW w:w="9357" w:type="dxa"/>
            <w:gridSpan w:val="6"/>
            <w:tcBorders>
              <w:top w:val="single" w:color="auto" w:sz="6" w:space="0"/>
            </w:tcBorders>
            <w:vAlign w:val="center"/>
          </w:tcPr>
          <w:p>
            <w:pPr>
              <w:autoSpaceDE w:val="0"/>
              <w:autoSpaceDN w:val="0"/>
              <w:adjustRightInd w:val="0"/>
              <w:spacing w:line="360" w:lineRule="auto"/>
              <w:jc w:val="left"/>
              <w:rPr>
                <w:rFonts w:hint="eastAsia" w:ascii="仿宋" w:hAnsi="仿宋" w:eastAsia="仿宋" w:cs="仿宋"/>
                <w:b/>
                <w:sz w:val="24"/>
                <w:szCs w:val="24"/>
                <w:lang w:val="zh-CN"/>
              </w:rPr>
            </w:pPr>
          </w:p>
        </w:tc>
      </w:tr>
      <w:tr>
        <w:tblPrEx>
          <w:tblLayout w:type="fixed"/>
          <w:tblCellMar>
            <w:top w:w="0" w:type="dxa"/>
            <w:left w:w="10" w:type="dxa"/>
            <w:bottom w:w="0" w:type="dxa"/>
            <w:right w:w="10" w:type="dxa"/>
          </w:tblCellMar>
        </w:tblPrEx>
        <w:trPr>
          <w:trHeight w:val="520" w:hRule="atLeast"/>
          <w:jc w:val="center"/>
        </w:trPr>
        <w:tc>
          <w:tcPr>
            <w:tcW w:w="9357" w:type="dxa"/>
            <w:gridSpan w:val="6"/>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360" w:lineRule="auto"/>
              <w:ind w:firstLine="241" w:firstLineChars="100"/>
              <w:jc w:val="left"/>
              <w:rPr>
                <w:rFonts w:hint="eastAsia" w:ascii="仿宋" w:hAnsi="仿宋" w:eastAsia="仿宋" w:cs="仿宋"/>
                <w:b/>
                <w:sz w:val="24"/>
                <w:szCs w:val="24"/>
                <w:lang w:val="zh-CN"/>
              </w:rPr>
            </w:pPr>
            <w:r>
              <w:rPr>
                <w:rFonts w:hint="eastAsia" w:ascii="仿宋" w:hAnsi="仿宋" w:eastAsia="仿宋" w:cs="仿宋"/>
                <w:b/>
                <w:sz w:val="24"/>
                <w:szCs w:val="24"/>
                <w:lang w:val="en-US" w:eastAsia="zh-CN"/>
              </w:rPr>
              <w:t>五</w:t>
            </w:r>
            <w:r>
              <w:rPr>
                <w:rFonts w:hint="eastAsia" w:ascii="仿宋" w:hAnsi="仿宋" w:eastAsia="仿宋" w:cs="仿宋"/>
                <w:b/>
                <w:sz w:val="24"/>
                <w:szCs w:val="24"/>
                <w:lang w:val="zh-CN"/>
              </w:rPr>
              <w:t>、其它</w:t>
            </w:r>
          </w:p>
        </w:tc>
      </w:tr>
      <w:tr>
        <w:tblPrEx>
          <w:tblLayout w:type="fixed"/>
          <w:tblCellMar>
            <w:top w:w="0" w:type="dxa"/>
            <w:left w:w="10" w:type="dxa"/>
            <w:bottom w:w="0" w:type="dxa"/>
            <w:right w:w="10" w:type="dxa"/>
          </w:tblCellMar>
        </w:tblPrEx>
        <w:trPr>
          <w:trHeight w:val="1149"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中央控制系统</w:t>
            </w:r>
          </w:p>
        </w:tc>
        <w:tc>
          <w:tcPr>
            <w:tcW w:w="4384" w:type="dxa"/>
            <w:tcBorders>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主电气元件为正泰品牌，</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32英寸显示屏1台，电脑主机1台，专用中控操作桌、椅。</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p>
        </w:tc>
      </w:tr>
      <w:tr>
        <w:tblPrEx>
          <w:tblLayout w:type="fixed"/>
          <w:tblCellMar>
            <w:top w:w="0" w:type="dxa"/>
            <w:left w:w="10" w:type="dxa"/>
            <w:bottom w:w="0" w:type="dxa"/>
            <w:right w:w="10" w:type="dxa"/>
          </w:tblCellMar>
        </w:tblPrEx>
        <w:trPr>
          <w:trHeight w:val="1650" w:hRule="atLeast"/>
          <w:jc w:val="center"/>
        </w:trPr>
        <w:tc>
          <w:tcPr>
            <w:tcW w:w="6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97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积水坑排污泵</w:t>
            </w:r>
          </w:p>
        </w:tc>
        <w:tc>
          <w:tcPr>
            <w:tcW w:w="438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采用</w:t>
            </w:r>
            <w:r>
              <w:rPr>
                <w:rFonts w:hint="eastAsia" w:ascii="仿宋" w:hAnsi="仿宋" w:eastAsia="仿宋" w:cs="仿宋"/>
                <w:sz w:val="24"/>
                <w:szCs w:val="24"/>
                <w:shd w:val="clear" w:color="auto" w:fill="FFFFFF"/>
              </w:rPr>
              <w:t>无堵塞自吸排污泵</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材质：铸铁</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含自动控制1套</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管道ND50接至车间墙外留有接口</w:t>
            </w:r>
          </w:p>
          <w:p>
            <w:pPr>
              <w:autoSpaceDE w:val="0"/>
              <w:autoSpaceDN w:val="0"/>
              <w:adjustRightInd w:val="0"/>
              <w:spacing w:line="276" w:lineRule="auto"/>
              <w:jc w:val="left"/>
              <w:rPr>
                <w:rFonts w:hint="eastAsia" w:ascii="仿宋" w:hAnsi="仿宋" w:eastAsia="仿宋" w:cs="仿宋"/>
                <w:sz w:val="24"/>
                <w:szCs w:val="24"/>
              </w:rPr>
            </w:pPr>
            <w:r>
              <w:rPr>
                <w:rFonts w:hint="eastAsia" w:ascii="仿宋" w:hAnsi="仿宋" w:eastAsia="仿宋" w:cs="仿宋"/>
                <w:sz w:val="24"/>
                <w:szCs w:val="24"/>
              </w:rPr>
              <w:t>适用范围：PH值5-9</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56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240" w:firstLineChars="100"/>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0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jc w:val="center"/>
              <w:rPr>
                <w:rFonts w:hint="eastAsia" w:ascii="仿宋" w:hAnsi="仿宋" w:eastAsia="仿宋" w:cs="仿宋"/>
                <w:sz w:val="24"/>
                <w:szCs w:val="24"/>
              </w:rPr>
            </w:pPr>
          </w:p>
        </w:tc>
      </w:tr>
    </w:tbl>
    <w:p>
      <w:pPr>
        <w:tabs>
          <w:tab w:val="left" w:pos="5963"/>
        </w:tabs>
        <w:spacing w:line="420" w:lineRule="exact"/>
        <w:ind w:firstLine="640" w:firstLineChars="200"/>
        <w:rPr>
          <w:rFonts w:hint="eastAsia" w:ascii="仿宋" w:hAnsi="仿宋" w:eastAsia="仿宋" w:cs="仿宋"/>
          <w:sz w:val="24"/>
          <w:szCs w:val="24"/>
        </w:rPr>
      </w:pPr>
      <w:r>
        <w:rPr>
          <w:rFonts w:hint="eastAsia" w:ascii="仿宋" w:hAnsi="仿宋" w:eastAsia="仿宋" w:cs="仿宋"/>
          <w:color w:val="000000"/>
          <w:kern w:val="0"/>
          <w:sz w:val="32"/>
          <w:szCs w:val="32"/>
        </w:rPr>
        <w:t>（</w:t>
      </w:r>
      <w:r>
        <w:rPr>
          <w:rFonts w:hint="eastAsia" w:ascii="仿宋" w:hAnsi="仿宋" w:eastAsia="仿宋" w:cs="仿宋"/>
          <w:sz w:val="24"/>
          <w:szCs w:val="24"/>
        </w:rPr>
        <w:t>三）采购标的执行标准本设备是病死动物无害化处理的主体设备，应符合农业部：农医发〖2013〗34号《病死动物无害化处理技术规范》的相关要求。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（四）服务标准、期限、效率等要求</w:t>
      </w:r>
      <w:r>
        <w:rPr>
          <w:rFonts w:hint="eastAsia" w:ascii="仿宋" w:hAnsi="仿宋" w:eastAsia="仿宋" w:cs="仿宋"/>
          <w:sz w:val="24"/>
          <w:szCs w:val="24"/>
          <w:lang w:eastAsia="zh-CN"/>
        </w:rPr>
        <w:t>：</w:t>
      </w:r>
      <w:r>
        <w:rPr>
          <w:rFonts w:hint="eastAsia" w:ascii="仿宋" w:hAnsi="仿宋" w:eastAsia="仿宋" w:cs="仿宋"/>
          <w:sz w:val="24"/>
          <w:szCs w:val="24"/>
        </w:rPr>
        <w:t>在处理工艺流程中，物料的转送必须做到污水、气味无泄漏，保证处理现场有良好的环境。设备符合工艺要求，做到能就地、远程控制，尽可能做到较高的自动程度、远程监视。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（五）验收标准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1、按照国家相关标准、行业标准、地方标准或者其他标准、规范验收</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2、按照招标文件要求、投标文件响应和承诺验收；</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（六）采购标的的其他技术、服务等要求</w:t>
      </w:r>
      <w:r>
        <w:rPr>
          <w:rFonts w:hint="eastAsia" w:ascii="仿宋" w:hAnsi="仿宋" w:eastAsia="仿宋" w:cs="仿宋"/>
          <w:sz w:val="24"/>
          <w:szCs w:val="24"/>
          <w:lang w:eastAsia="zh-CN"/>
        </w:rPr>
        <w:t>：</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由中标方负责设备的运送、安装及调试</w:t>
      </w:r>
    </w:p>
    <w:p>
      <w:pPr>
        <w:spacing w:line="360" w:lineRule="auto"/>
        <w:ind w:right="28"/>
        <w:rPr>
          <w:rFonts w:hint="eastAsia" w:ascii="仿宋" w:hAnsi="仿宋" w:eastAsia="仿宋" w:cs="仿宋"/>
          <w:sz w:val="32"/>
          <w:szCs w:val="32"/>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禹州市畜牧局日处理20吨病死畜禽无害化处理设备购置及安装项目（二次）</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项目编号：YZCG-</w:t>
            </w:r>
            <w:r>
              <w:rPr>
                <w:rFonts w:hint="eastAsia" w:cs="仿宋_GB2312" w:asciiTheme="minorEastAsia" w:hAnsiTheme="minorEastAsia"/>
                <w:sz w:val="24"/>
                <w:szCs w:val="24"/>
                <w:lang w:val="en-US" w:eastAsia="zh-CN"/>
              </w:rPr>
              <w:t>G2018372-1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20吨病死畜禽无害化处理设备购置及安装</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禹州市畜牧局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禹州市禹王大道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val="en-US" w:eastAsia="zh-CN"/>
              </w:rPr>
              <w:t>马女士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15137408128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350</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w:t>
            </w:r>
            <w:r>
              <w:rPr>
                <w:rFonts w:hint="eastAsia" w:cs="仿宋_GB2312" w:asciiTheme="minorEastAsia" w:hAnsiTheme="minorEastAsia"/>
                <w:color w:val="FF0000"/>
                <w:sz w:val="24"/>
                <w:szCs w:val="24"/>
                <w:lang w:val="en-US" w:eastAsia="zh-CN"/>
              </w:rPr>
              <w:t>伍</w:t>
            </w:r>
            <w:r>
              <w:rPr>
                <w:rFonts w:hint="eastAsia" w:cs="仿宋_GB2312" w:asciiTheme="minorEastAsia" w:hAnsiTheme="minorEastAsia"/>
                <w:color w:val="FF0000"/>
                <w:sz w:val="24"/>
                <w:szCs w:val="24"/>
                <w:lang w:val="zh-CN"/>
              </w:rPr>
              <w:t>万元（¥ ：</w:t>
            </w:r>
            <w:r>
              <w:rPr>
                <w:rFonts w:hint="eastAsia" w:cs="仿宋_GB2312" w:asciiTheme="minorEastAsia" w:hAnsiTheme="minorEastAsia"/>
                <w:color w:val="FF0000"/>
                <w:sz w:val="24"/>
                <w:szCs w:val="24"/>
                <w:lang w:val="en-US" w:eastAsia="zh-CN"/>
              </w:rPr>
              <w:t>5</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w:t>
            </w:r>
            <w:bookmarkStart w:id="9" w:name="_GoBack"/>
            <w:bookmarkEnd w:id="9"/>
            <w:r>
              <w:rPr>
                <w:rFonts w:hint="eastAsia" w:asciiTheme="minorEastAsia" w:hAnsiTheme="minorEastAsia"/>
                <w:bCs/>
                <w:sz w:val="24"/>
                <w:szCs w:val="24"/>
              </w:rPr>
              <w:t>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6"/>
  </w:num>
  <w:num w:numId="5">
    <w:abstractNumId w:val="0"/>
  </w:num>
  <w:num w:numId="6">
    <w:abstractNumId w:val="4"/>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EC345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B263B8"/>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BC71575"/>
    <w:rsid w:val="6CA9239D"/>
    <w:rsid w:val="6DB975D6"/>
    <w:rsid w:val="6DFC3DF2"/>
    <w:rsid w:val="6E275931"/>
    <w:rsid w:val="6E9D2198"/>
    <w:rsid w:val="6EE066C7"/>
    <w:rsid w:val="6F272507"/>
    <w:rsid w:val="71E53350"/>
    <w:rsid w:val="71FE4216"/>
    <w:rsid w:val="72F404E5"/>
    <w:rsid w:val="73D40348"/>
    <w:rsid w:val="75C55A4B"/>
    <w:rsid w:val="792A5DD1"/>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47</TotalTime>
  <ScaleCrop>false</ScaleCrop>
  <LinksUpToDate>false</LinksUpToDate>
  <CharactersWithSpaces>38749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2019-01-28T06:49:28Z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