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许昌经济技术开发区住房建设城市管理与环境保护局</w:t>
      </w:r>
      <w:bookmarkStart w:id="9" w:name="_GoBack"/>
      <w:r>
        <w:rPr>
          <w:rFonts w:hint="eastAsia" w:asciiTheme="majorEastAsia" w:hAnsiTheme="majorEastAsia" w:eastAsiaTheme="majorEastAsia" w:cstheme="majorEastAsia"/>
          <w:b/>
          <w:bCs/>
          <w:sz w:val="36"/>
          <w:szCs w:val="36"/>
        </w:rPr>
        <w:t>“许昌经济技术产业集聚区周边土壤环境监测”</w:t>
      </w:r>
      <w:bookmarkEnd w:id="9"/>
    </w:p>
    <w:p>
      <w:pPr>
        <w:spacing w:line="600" w:lineRule="auto"/>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政府采购项目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ind w:firstLine="0" w:firstLineChars="0"/>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项目编号：JZFCG-G2018130号</w:t>
      </w:r>
    </w:p>
    <w:p>
      <w:pPr>
        <w:ind w:left="2525" w:leftChars="342" w:hanging="1807" w:hangingChars="5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采购单位：许昌经济技术开发区住房建设城市</w:t>
      </w:r>
    </w:p>
    <w:p>
      <w:pPr>
        <w:ind w:left="1768" w:leftChars="842" w:firstLine="904" w:firstLineChars="2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管理与环境保护局</w:t>
      </w: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代理机构：河南英华咨询有限公司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二〇一八年十二月二十日</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ind w:firstLine="340"/>
      </w:pPr>
    </w:p>
    <w:p>
      <w:pPr>
        <w:pStyle w:val="21"/>
        <w:widowControl/>
        <w:shd w:val="clear" w:color="auto" w:fill="FFFFFF"/>
        <w:spacing w:line="315" w:lineRule="atLeast"/>
        <w:jc w:val="center"/>
        <w:rPr>
          <w:rFonts w:ascii="仿宋_GB2312" w:hAnsi="仿宋_GB2312" w:eastAsia="仿宋_GB2312" w:cs="仿宋_GB2312"/>
          <w:sz w:val="32"/>
          <w:szCs w:val="32"/>
          <w:shd w:val="clear" w:color="auto" w:fill="FFFFFF"/>
        </w:rPr>
      </w:pPr>
      <w:r>
        <w:rPr>
          <w:rFonts w:hint="eastAsia" w:ascii="宋体" w:hAnsi="宋体" w:cs="宋体"/>
          <w:b/>
          <w:sz w:val="36"/>
          <w:szCs w:val="36"/>
          <w:shd w:val="clear" w:color="auto" w:fill="FFFFFF"/>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eastAsiaTheme="minorEastAsia"/>
          <w:shd w:val="clear" w:color="auto" w:fill="FFFFFF"/>
        </w:rPr>
        <w:t>（一）项目名称：“</w:t>
      </w:r>
      <w:r>
        <w:rPr>
          <w:rFonts w:hint="eastAsia" w:ascii="宋体" w:hAnsi="宋体"/>
          <w:u w:val="single"/>
        </w:rPr>
        <w:t>许昌经济技术产业集聚区周边土壤环境监测”政府采购项目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（二）项目编号：JZFCG-G2018130号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21"/>
        <w:widowControl/>
        <w:shd w:val="clear" w:color="auto" w:fill="FFFFFF"/>
        <w:spacing w:line="360" w:lineRule="auto"/>
        <w:ind w:firstLine="420"/>
        <w:contextualSpacing/>
        <w:jc w:val="left"/>
        <w:rPr>
          <w:rFonts w:cs="仿宋" w:asciiTheme="minorEastAsia" w:hAnsiTheme="minorEastAsia" w:eastAsiaTheme="minorEastAsia"/>
          <w:color w:val="000000"/>
        </w:rPr>
      </w:pPr>
      <w:r>
        <w:rPr>
          <w:rFonts w:hint="eastAsia" w:cs="仿宋_GB2312" w:asciiTheme="minorEastAsia" w:hAnsiTheme="minorEastAsia" w:eastAsiaTheme="minorEastAsia"/>
          <w:shd w:val="clear" w:color="auto" w:fill="FFFFFF"/>
        </w:rPr>
        <w:t>（四）采购内容：</w:t>
      </w:r>
      <w:r>
        <w:rPr>
          <w:rFonts w:hint="eastAsia" w:ascii="宋体" w:hAnsi="宋体"/>
          <w:u w:val="single"/>
        </w:rPr>
        <w:t>土壤环境监测</w:t>
      </w:r>
      <w:r>
        <w:rPr>
          <w:rFonts w:hint="eastAsia" w:cs="仿宋" w:asciiTheme="minorEastAsia" w:hAnsiTheme="minorEastAsia" w:eastAsiaTheme="minorEastAsia"/>
          <w:color w:val="000000"/>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（五）预算金额（最高限价）：450000.00元；</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（六）交付（服务、完工）时间 ：一年</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（七）交付（服务、完工）地点：</w:t>
      </w:r>
      <w:r>
        <w:rPr>
          <w:rFonts w:hint="eastAsia" w:ascii="宋体" w:hAnsi="宋体" w:cs="仿宋_GB2312"/>
          <w:shd w:val="clear" w:color="auto" w:fill="FFFFFF"/>
        </w:rPr>
        <w:t>许昌经济技术开发区</w:t>
      </w:r>
      <w:r>
        <w:rPr>
          <w:rFonts w:hint="eastAsia" w:cs="仿宋_GB2312" w:asciiTheme="minorEastAsia" w:hAnsiTheme="minorEastAsia" w:eastAsiaTheme="minorEastAsia"/>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1"/>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（一）具备《政府采购法》第二十二条第一款规定条件并提供相关材料；</w:t>
      </w:r>
    </w:p>
    <w:p>
      <w:pPr>
        <w:pStyle w:val="21"/>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（二）具有省质量监督机构颁发的检验检测机构资质认定证书；</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三</w:t>
      </w:r>
      <w:r>
        <w:rPr>
          <w:rFonts w:hint="eastAsia" w:cs="宋体" w:asciiTheme="minorEastAsia" w:hAnsiTheme="minorEastAsia"/>
          <w:kern w:val="0"/>
        </w:rPr>
        <w:t>）</w:t>
      </w:r>
      <w:r>
        <w:rPr>
          <w:rFonts w:hint="eastAsia" w:cs="仿宋_GB2312" w:asciiTheme="minorEastAsia" w:hAnsiTheme="minorEastAsia" w:eastAsiaTheme="minorEastAsia"/>
          <w:shd w:val="clear" w:color="auto" w:fill="FFFFFF"/>
        </w:rPr>
        <w:t>未被列入“信用中国”网站</w:t>
      </w:r>
      <w:r>
        <w:rPr>
          <w:rFonts w:cs="仿宋_GB2312" w:asciiTheme="minorEastAsia" w:hAnsiTheme="minorEastAsia" w:eastAsiaTheme="minorEastAsia"/>
          <w:shd w:val="clear" w:color="auto" w:fill="FFFFFF"/>
        </w:rPr>
        <w:t>(www.creditchina.gov.cn)</w:t>
      </w:r>
      <w:r>
        <w:rPr>
          <w:rFonts w:hint="eastAsia" w:cs="仿宋_GB2312" w:asciiTheme="minorEastAsia" w:hAnsiTheme="minorEastAsia" w:eastAsiaTheme="minorEastAsia"/>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shd w:val="clear" w:color="auto" w:fill="FFFFFF"/>
        </w:rPr>
        <w:t xml:space="preserve"> (www.ccgp.gov.cn)</w:t>
      </w:r>
      <w:r>
        <w:rPr>
          <w:rFonts w:hint="eastAsia" w:cs="仿宋_GB2312" w:asciiTheme="minorEastAsia" w:hAnsiTheme="minorEastAsia" w:eastAsiaTheme="minorEastAsia"/>
          <w:shd w:val="clear" w:color="auto" w:fill="FFFFFF"/>
        </w:rPr>
        <w:t>政府采购严重违法失信行为记录名单的投标人；“国家企业信用公示系统”网站（</w:t>
      </w:r>
      <w:r>
        <w:rPr>
          <w:rFonts w:cs="仿宋_GB2312" w:asciiTheme="minorEastAsia" w:hAnsiTheme="minorEastAsia" w:eastAsiaTheme="minorEastAsia"/>
          <w:shd w:val="clear" w:color="auto" w:fill="FFFFFF"/>
        </w:rPr>
        <w:t>www.gsxt.gov.cn</w:t>
      </w:r>
      <w:r>
        <w:rPr>
          <w:rFonts w:hint="eastAsia" w:cs="仿宋_GB2312" w:asciiTheme="minorEastAsia" w:hAnsiTheme="minorEastAsia" w:eastAsiaTheme="minorEastAsia"/>
          <w:shd w:val="clear" w:color="auto" w:fill="FFFFFF"/>
        </w:rPr>
        <w:t>）严重违法失信企业名单（黑名单）的投标人；</w:t>
      </w:r>
    </w:p>
    <w:p>
      <w:pPr>
        <w:pStyle w:val="21"/>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ascii="宋体" w:cs="仿宋_GB2312"/>
          <w:color w:val="000000" w:themeColor="text1"/>
          <w:shd w:val="clear" w:color="auto" w:fill="FFFFFF"/>
        </w:rPr>
      </w:pPr>
      <w:r>
        <w:rPr>
          <w:rFonts w:hint="eastAsia" w:ascii="宋体" w:hAnsi="宋体" w:cs="仿宋_GB2312"/>
          <w:color w:val="000000" w:themeColor="text1"/>
          <w:shd w:val="clear" w:color="auto" w:fill="FFFFFF"/>
        </w:rPr>
        <w:t>3、招标文件售价</w:t>
      </w:r>
      <w:r>
        <w:rPr>
          <w:rFonts w:ascii="宋体" w:hAnsi="宋体" w:cs="仿宋_GB2312"/>
          <w:color w:val="000000" w:themeColor="text1"/>
          <w:u w:val="single"/>
          <w:shd w:val="clear" w:color="auto" w:fill="FFFFFF"/>
        </w:rPr>
        <w:t>300</w:t>
      </w:r>
      <w:r>
        <w:rPr>
          <w:rFonts w:hint="eastAsia" w:ascii="宋体" w:hAnsi="宋体" w:cs="仿宋_GB2312"/>
          <w:color w:val="000000" w:themeColor="text1"/>
          <w:shd w:val="clear" w:color="auto" w:fill="FFFFFF"/>
        </w:rPr>
        <w:t>元</w:t>
      </w:r>
      <w:r>
        <w:rPr>
          <w:rFonts w:ascii="宋体" w:hAnsi="宋体" w:cs="仿宋_GB2312"/>
          <w:color w:val="000000" w:themeColor="text1"/>
          <w:shd w:val="clear" w:color="auto" w:fill="FFFFFF"/>
        </w:rPr>
        <w:t>/</w:t>
      </w:r>
      <w:r>
        <w:rPr>
          <w:rFonts w:hint="eastAsia" w:ascii="宋体" w:hAnsi="宋体" w:cs="仿宋_GB2312"/>
          <w:color w:val="000000" w:themeColor="text1"/>
          <w:shd w:val="clear" w:color="auto" w:fill="FFFFFF"/>
        </w:rPr>
        <w:t>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（一）投标截止及开标时间：2019年</w:t>
      </w:r>
      <w:r>
        <w:rPr>
          <w:rFonts w:hint="eastAsia" w:cs="仿宋_GB2312" w:asciiTheme="minorEastAsia" w:hAnsiTheme="minorEastAsia" w:eastAsiaTheme="minorEastAsia"/>
          <w:u w:val="single"/>
        </w:rPr>
        <w:t xml:space="preserve"> 01 </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rPr>
        <w:t xml:space="preserve"> 14 </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rPr>
        <w:t xml:space="preserve"> 09 </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rPr>
        <w:t xml:space="preserve"> 30 </w:t>
      </w:r>
      <w:r>
        <w:rPr>
          <w:rFonts w:hint="eastAsia" w:cs="仿宋_GB2312" w:asciiTheme="minorEastAsia" w:hAnsiTheme="minorEastAsia" w:eastAsiaTheme="minorEastAsia"/>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rPr>
        <w:t xml:space="preserve">  四 </w:t>
      </w:r>
      <w:r>
        <w:rPr>
          <w:rFonts w:hint="eastAsia" w:cs="仿宋_GB2312" w:asciiTheme="minorEastAsia" w:hAnsiTheme="minorEastAsia" w:eastAsiaTheme="minorEastAsia"/>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spacing w:line="360" w:lineRule="auto"/>
        <w:ind w:firstLine="482" w:firstLineChars="200"/>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b/>
          <w:bCs/>
          <w:sz w:val="24"/>
          <w:szCs w:val="24"/>
          <w:shd w:val="clear" w:color="auto" w:fill="FFFFFF"/>
        </w:rPr>
        <w:t>中国·许昌</w:t>
      </w:r>
      <w:r>
        <w:rPr>
          <w:rFonts w:hint="eastAsia" w:cs="黑体" w:asciiTheme="minorEastAsia" w:hAnsiTheme="minorEastAsia"/>
          <w:b/>
          <w:bCs/>
          <w:sz w:val="24"/>
          <w:szCs w:val="24"/>
          <w:shd w:val="clear" w:color="auto" w:fill="FFFFFF"/>
        </w:rPr>
        <w:t xml:space="preserve"> </w:t>
      </w:r>
      <w:r>
        <w:rPr>
          <w:rFonts w:cs="黑体" w:asciiTheme="minorEastAsia" w:hAnsiTheme="minorEastAsia"/>
          <w:b/>
          <w:bCs/>
          <w:sz w:val="24"/>
          <w:szCs w:val="24"/>
          <w:shd w:val="clear" w:color="auto" w:fill="FFFFFF"/>
        </w:rPr>
        <w:t>许昌市政府网</w:t>
      </w:r>
      <w:r>
        <w:rPr>
          <w:rFonts w:cs="黑体" w:asciiTheme="minorEastAsia" w:hAnsiTheme="minorEastAsia"/>
          <w:b/>
          <w:bCs/>
          <w:sz w:val="24"/>
          <w:szCs w:val="24"/>
          <w:shd w:val="clear" w:color="auto" w:fill="FFFFFF"/>
        </w:rPr>
        <w:fldChar w:fldCharType="end"/>
      </w:r>
      <w:r>
        <w:rPr>
          <w:rFonts w:hint="eastAsia" w:cs="黑体" w:asciiTheme="minorEastAsia" w:hAnsiTheme="minorEastAsia"/>
          <w:b/>
          <w:bCs/>
          <w:sz w:val="24"/>
          <w:szCs w:val="24"/>
          <w:shd w:val="clear" w:color="auto" w:fill="FFFFFF"/>
        </w:rPr>
        <w:t>》、《全国公共资源交易平台（河南省·许昌市）》发布。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w:t>
      </w:r>
      <w:r>
        <w:rPr>
          <w:rFonts w:cs="仿宋_GB2312" w:asciiTheme="minorEastAsia" w:hAnsiTheme="minorEastAsia" w:eastAsiaTheme="minorEastAsia"/>
        </w:rPr>
        <w:t>5</w:t>
      </w:r>
      <w:r>
        <w:rPr>
          <w:rFonts w:hint="eastAsia" w:cs="仿宋_GB2312" w:asciiTheme="minorEastAsia" w:hAnsiTheme="minorEastAsia" w:eastAsiaTheme="minorEastAsia"/>
        </w:rPr>
        <w:t>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tabs>
          <w:tab w:val="left" w:pos="7245"/>
        </w:tabs>
        <w:spacing w:line="360" w:lineRule="auto"/>
        <w:ind w:firstLine="360" w:firstLineChars="150"/>
        <w:jc w:val="left"/>
        <w:rPr>
          <w:rFonts w:ascii="宋体" w:hAnsi="宋体"/>
          <w:bCs/>
          <w:sz w:val="24"/>
          <w:szCs w:val="24"/>
        </w:rPr>
      </w:pPr>
      <w:r>
        <w:rPr>
          <w:rFonts w:hint="eastAsia" w:cs="仿宋_GB2312" w:asciiTheme="minorEastAsia" w:hAnsiTheme="minorEastAsia"/>
          <w:sz w:val="24"/>
          <w:szCs w:val="24"/>
        </w:rPr>
        <w:t>采购人：</w:t>
      </w:r>
      <w:r>
        <w:rPr>
          <w:rFonts w:hint="eastAsia" w:ascii="宋体" w:hAnsi="宋体" w:eastAsia="宋体" w:cs="Times New Roman"/>
          <w:bCs/>
          <w:sz w:val="24"/>
          <w:szCs w:val="24"/>
        </w:rPr>
        <w:t>许昌经济技术开发区住房建设城市管理与环境保护局</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w:t>
      </w:r>
      <w:r>
        <w:rPr>
          <w:rFonts w:cs="仿宋_GB2312" w:asciiTheme="minorEastAsia" w:hAnsiTheme="minorEastAsia" w:eastAsiaTheme="minorEastAsia"/>
        </w:rPr>
        <w:t>许昌市瑞祥路中段</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联系人：许武磊      </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联系电话：0374-8583323</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代理机构：河南英华咨询有限公司 </w:t>
      </w:r>
    </w:p>
    <w:p>
      <w:pPr>
        <w:spacing w:line="360" w:lineRule="auto"/>
        <w:ind w:left="359" w:leftChars="171" w:firstLine="120" w:firstLineChars="50"/>
        <w:rPr>
          <w:rFonts w:hAnsi="宋体"/>
          <w:sz w:val="24"/>
          <w:szCs w:val="24"/>
        </w:rPr>
      </w:pPr>
      <w:r>
        <w:rPr>
          <w:rFonts w:hint="eastAsia" w:cs="仿宋_GB2312" w:asciiTheme="minorEastAsia" w:hAnsiTheme="minorEastAsia"/>
          <w:sz w:val="24"/>
          <w:szCs w:val="24"/>
        </w:rPr>
        <w:t>地 址：</w:t>
      </w:r>
      <w:r>
        <w:rPr>
          <w:rFonts w:hint="eastAsia" w:ascii="宋体" w:hAnsi="宋体" w:eastAsia="宋体" w:cs="Times New Roman"/>
          <w:sz w:val="24"/>
          <w:szCs w:val="24"/>
        </w:rPr>
        <w:t>郑州市西三</w:t>
      </w:r>
      <w:r>
        <w:rPr>
          <w:rFonts w:hint="eastAsia" w:ascii="Calibri" w:hAnsi="宋体" w:eastAsia="宋体" w:cs="Times New Roman"/>
          <w:sz w:val="24"/>
          <w:szCs w:val="24"/>
        </w:rPr>
        <w:t>环河南省国家大学科技园东区16号楼C座21层</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联系人：李女士              </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联系电话：13569490382</w:t>
      </w:r>
    </w:p>
    <w:p>
      <w:pPr>
        <w:spacing w:line="360" w:lineRule="auto"/>
        <w:rPr>
          <w:rFonts w:asciiTheme="minorEastAsia" w:hAnsiTheme="minorEastAsia"/>
          <w:sz w:val="24"/>
          <w:szCs w:val="24"/>
        </w:rPr>
      </w:pPr>
    </w:p>
    <w:p>
      <w:pPr>
        <w:spacing w:line="360" w:lineRule="auto"/>
        <w:rPr>
          <w:rFonts w:cs="仿宋_GB2312" w:asciiTheme="minorEastAsia" w:hAnsiTheme="minorEastAsia"/>
          <w:sz w:val="24"/>
          <w:szCs w:val="24"/>
          <w:shd w:val="clear" w:color="auto" w:fill="FFFFFF"/>
        </w:rPr>
      </w:pPr>
    </w:p>
    <w:p>
      <w:pPr>
        <w:autoSpaceDE w:val="0"/>
        <w:autoSpaceDN w:val="0"/>
        <w:adjustRightInd w:val="0"/>
        <w:spacing w:line="700" w:lineRule="exact"/>
        <w:ind w:left="4545" w:leftChars="50" w:hanging="4440" w:hangingChars="185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ascii="宋体" w:hAnsi="宋体" w:eastAsia="宋体" w:cs="仿宋_GB2312"/>
          <w:bCs/>
          <w:sz w:val="24"/>
          <w:szCs w:val="24"/>
        </w:rPr>
        <w:t>许昌经济技术开发区住房建设城市管理与环境保护局</w:t>
      </w:r>
      <w:r>
        <w:rPr>
          <w:rFonts w:hint="eastAsia" w:cs="仿宋_GB2312" w:asciiTheme="minorEastAsia" w:hAnsiTheme="minorEastAsia"/>
          <w:sz w:val="24"/>
          <w:szCs w:val="24"/>
        </w:rPr>
        <w:t xml:space="preserve">                              二〇一八年十二月 二十 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和法人电子签章。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rPr>
          <w:rFonts w:cs="仿宋_GB2312" w:asciiTheme="minorEastAsia" w:hAnsiTheme="minorEastAsia"/>
          <w:sz w:val="24"/>
          <w:szCs w:val="24"/>
        </w:rPr>
      </w:pPr>
    </w:p>
    <w:p>
      <w:pPr>
        <w:pStyle w:val="2"/>
        <w:ind w:firstLine="340"/>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9"/>
        <w:numPr>
          <w:ilvl w:val="0"/>
          <w:numId w:val="5"/>
        </w:numPr>
        <w:spacing w:line="600" w:lineRule="exact"/>
        <w:ind w:firstLineChars="0"/>
        <w:rPr>
          <w:rFonts w:ascii="宋体" w:hAnsi="宋体" w:cs="宋体"/>
          <w:sz w:val="24"/>
          <w:szCs w:val="24"/>
        </w:rPr>
      </w:pPr>
      <w:r>
        <w:rPr>
          <w:rFonts w:hint="eastAsia" w:cs="黑体" w:asciiTheme="minorEastAsia" w:hAnsiTheme="minorEastAsia"/>
          <w:b/>
          <w:bCs/>
          <w:color w:val="000000"/>
          <w:sz w:val="24"/>
          <w:szCs w:val="24"/>
          <w:shd w:val="clear" w:color="auto" w:fill="FFFFFF"/>
        </w:rPr>
        <w:t>本项目需实现的功能或者目标：</w:t>
      </w:r>
    </w:p>
    <w:p>
      <w:pPr>
        <w:pStyle w:val="39"/>
        <w:spacing w:line="600" w:lineRule="exact"/>
        <w:ind w:left="482" w:firstLine="0" w:firstLineChars="0"/>
        <w:rPr>
          <w:rFonts w:cs="黑体" w:asciiTheme="minorEastAsia" w:hAnsiTheme="minorEastAsia"/>
          <w:color w:val="000000"/>
          <w:sz w:val="24"/>
          <w:szCs w:val="24"/>
          <w:shd w:val="clear" w:color="auto" w:fill="FFFFFF"/>
        </w:rPr>
      </w:pPr>
      <w:r>
        <w:rPr>
          <w:rFonts w:hint="eastAsia" w:cs="黑体" w:asciiTheme="minorEastAsia" w:hAnsiTheme="minorEastAsia"/>
          <w:color w:val="000000"/>
          <w:sz w:val="24"/>
          <w:szCs w:val="24"/>
          <w:shd w:val="clear" w:color="auto" w:fill="FFFFFF"/>
        </w:rPr>
        <w:t>通过公开招标的方式确定1家土壤监测企业，开展为期一年的许昌经济技术开发</w:t>
      </w:r>
    </w:p>
    <w:p>
      <w:pPr>
        <w:pStyle w:val="39"/>
        <w:spacing w:line="600" w:lineRule="exact"/>
        <w:ind w:firstLine="0" w:firstLineChars="0"/>
        <w:rPr>
          <w:rFonts w:ascii="宋体" w:hAnsi="宋体" w:cs="宋体"/>
          <w:sz w:val="24"/>
          <w:szCs w:val="24"/>
        </w:rPr>
      </w:pPr>
      <w:r>
        <w:rPr>
          <w:rFonts w:hint="eastAsia" w:cs="黑体" w:asciiTheme="minorEastAsia" w:hAnsiTheme="minorEastAsia"/>
          <w:color w:val="000000"/>
          <w:sz w:val="24"/>
          <w:szCs w:val="24"/>
          <w:shd w:val="clear" w:color="auto" w:fill="FFFFFF"/>
        </w:rPr>
        <w:t>区产业</w:t>
      </w:r>
      <w:r>
        <w:rPr>
          <w:rFonts w:hint="eastAsia" w:cs="仿宋" w:asciiTheme="minorEastAsia" w:hAnsiTheme="minorEastAsia"/>
          <w:color w:val="000000"/>
          <w:sz w:val="24"/>
          <w:szCs w:val="24"/>
        </w:rPr>
        <w:t>集聚区周边土壤环境监测服务。</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二、服务的标准、期限、效率等要求</w:t>
      </w:r>
    </w:p>
    <w:tbl>
      <w:tblPr>
        <w:tblStyle w:val="27"/>
        <w:tblW w:w="9464" w:type="dxa"/>
        <w:tblInd w:w="0" w:type="dxa"/>
        <w:tblLayout w:type="fixed"/>
        <w:tblCellMar>
          <w:top w:w="0" w:type="dxa"/>
          <w:left w:w="108" w:type="dxa"/>
          <w:bottom w:w="0" w:type="dxa"/>
          <w:right w:w="108" w:type="dxa"/>
        </w:tblCellMar>
      </w:tblPr>
      <w:tblGrid>
        <w:gridCol w:w="799"/>
        <w:gridCol w:w="709"/>
        <w:gridCol w:w="5971"/>
        <w:gridCol w:w="1985"/>
      </w:tblGrid>
      <w:tr>
        <w:tblPrEx>
          <w:tblLayout w:type="fixed"/>
          <w:tblCellMar>
            <w:top w:w="0" w:type="dxa"/>
            <w:left w:w="108" w:type="dxa"/>
            <w:bottom w:w="0" w:type="dxa"/>
            <w:right w:w="108" w:type="dxa"/>
          </w:tblCellMar>
        </w:tblPrEx>
        <w:trPr>
          <w:trHeight w:val="549" w:hRule="atLeast"/>
        </w:trPr>
        <w:tc>
          <w:tcPr>
            <w:tcW w:w="79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项目名称</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时限要求</w:t>
            </w:r>
          </w:p>
        </w:tc>
        <w:tc>
          <w:tcPr>
            <w:tcW w:w="5971"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采购需求</w:t>
            </w:r>
          </w:p>
        </w:tc>
        <w:tc>
          <w:tcPr>
            <w:tcW w:w="1985"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工作要求</w:t>
            </w:r>
          </w:p>
        </w:tc>
      </w:tr>
      <w:tr>
        <w:tblPrEx>
          <w:tblLayout w:type="fixed"/>
          <w:tblCellMar>
            <w:top w:w="0" w:type="dxa"/>
            <w:left w:w="108" w:type="dxa"/>
            <w:bottom w:w="0" w:type="dxa"/>
            <w:right w:w="108" w:type="dxa"/>
          </w:tblCellMar>
        </w:tblPrEx>
        <w:trPr>
          <w:trHeight w:val="3300" w:hRule="atLeast"/>
        </w:trPr>
        <w:tc>
          <w:tcPr>
            <w:tcW w:w="79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cs="仿宋" w:asciiTheme="minorEastAsia" w:hAnsiTheme="minorEastAsia"/>
                <w:color w:val="000000"/>
                <w:sz w:val="24"/>
                <w:szCs w:val="24"/>
              </w:rPr>
            </w:pPr>
            <w:r>
              <w:rPr>
                <w:rFonts w:hint="eastAsia" w:ascii="宋体" w:hAnsi="宋体"/>
              </w:rPr>
              <w:t>土壤环境监测</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cs="仿宋" w:asciiTheme="minorEastAsia" w:hAnsiTheme="minorEastAsia"/>
                <w:color w:val="000000"/>
                <w:sz w:val="24"/>
                <w:szCs w:val="24"/>
              </w:rPr>
            </w:pPr>
            <w:r>
              <w:rPr>
                <w:rFonts w:hint="eastAsia" w:cs="仿宋" w:asciiTheme="minorEastAsia" w:hAnsiTheme="minorEastAsia"/>
                <w:color w:val="000000"/>
                <w:sz w:val="24"/>
                <w:szCs w:val="24"/>
              </w:rPr>
              <w:t>一年</w:t>
            </w:r>
          </w:p>
        </w:tc>
        <w:tc>
          <w:tcPr>
            <w:tcW w:w="5971" w:type="dxa"/>
            <w:tcBorders>
              <w:top w:val="single" w:color="auto" w:sz="6" w:space="0"/>
              <w:left w:val="single" w:color="auto" w:sz="6" w:space="0"/>
              <w:bottom w:val="single" w:color="auto" w:sz="6" w:space="0"/>
              <w:right w:val="single" w:color="auto" w:sz="6" w:space="0"/>
              <w:tl2br w:val="nil"/>
              <w:tr2bl w:val="nil"/>
            </w:tcBorders>
          </w:tcPr>
          <w:p>
            <w:pPr>
              <w:spacing w:line="360" w:lineRule="auto"/>
              <w:jc w:val="left"/>
              <w:rPr>
                <w:rFonts w:cs="仿宋" w:asciiTheme="minorEastAsia" w:hAnsiTheme="minorEastAsia"/>
                <w:color w:val="000000"/>
                <w:sz w:val="24"/>
                <w:szCs w:val="24"/>
              </w:rPr>
            </w:pPr>
            <w:r>
              <w:rPr>
                <w:rFonts w:hint="eastAsia" w:cs="仿宋" w:asciiTheme="minorEastAsia" w:hAnsiTheme="minorEastAsia"/>
                <w:color w:val="000000"/>
                <w:sz w:val="24"/>
                <w:szCs w:val="24"/>
              </w:rPr>
              <w:t>1、编制开发区</w:t>
            </w:r>
            <w:r>
              <w:rPr>
                <w:rFonts w:hint="eastAsia" w:cs="黑体" w:asciiTheme="minorEastAsia" w:hAnsiTheme="minorEastAsia"/>
                <w:color w:val="000000"/>
                <w:sz w:val="24"/>
                <w:szCs w:val="24"/>
                <w:shd w:val="clear" w:color="auto" w:fill="FFFFFF"/>
              </w:rPr>
              <w:t>产业</w:t>
            </w:r>
            <w:r>
              <w:rPr>
                <w:rFonts w:hint="eastAsia" w:cs="仿宋" w:asciiTheme="minorEastAsia" w:hAnsiTheme="minorEastAsia"/>
                <w:color w:val="000000"/>
                <w:sz w:val="24"/>
                <w:szCs w:val="24"/>
              </w:rPr>
              <w:t>集聚区周边土壤环境监测方案。</w:t>
            </w:r>
          </w:p>
          <w:p>
            <w:pPr>
              <w:spacing w:line="360" w:lineRule="auto"/>
              <w:jc w:val="left"/>
              <w:rPr>
                <w:rFonts w:cs="仿宋" w:asciiTheme="minorEastAsia" w:hAnsiTheme="minorEastAsia"/>
                <w:color w:val="000000"/>
                <w:sz w:val="24"/>
                <w:szCs w:val="24"/>
              </w:rPr>
            </w:pPr>
            <w:r>
              <w:rPr>
                <w:rFonts w:hint="eastAsia" w:cs="仿宋" w:asciiTheme="minorEastAsia" w:hAnsiTheme="minorEastAsia"/>
                <w:color w:val="000000"/>
                <w:sz w:val="24"/>
                <w:szCs w:val="24"/>
              </w:rPr>
              <w:t>2、对开发区</w:t>
            </w:r>
            <w:r>
              <w:rPr>
                <w:rFonts w:hint="eastAsia" w:cs="黑体" w:asciiTheme="minorEastAsia" w:hAnsiTheme="minorEastAsia"/>
                <w:color w:val="000000"/>
                <w:sz w:val="24"/>
                <w:szCs w:val="24"/>
                <w:shd w:val="clear" w:color="auto" w:fill="FFFFFF"/>
              </w:rPr>
              <w:t>产业</w:t>
            </w:r>
            <w:r>
              <w:rPr>
                <w:rFonts w:hint="eastAsia" w:cs="仿宋" w:asciiTheme="minorEastAsia" w:hAnsiTheme="minorEastAsia"/>
                <w:color w:val="000000"/>
                <w:sz w:val="24"/>
                <w:szCs w:val="24"/>
              </w:rPr>
              <w:t>集聚区周边土壤环境监测，开展1次基础点位监测，测定pH值、阳离子交换量、有机质、镉、汞、铅、砷、铬、铜、锌、镍、六六六、滴滴涕、多环芳烃等。</w:t>
            </w:r>
          </w:p>
          <w:p>
            <w:pPr>
              <w:spacing w:line="360" w:lineRule="auto"/>
              <w:jc w:val="left"/>
              <w:rPr>
                <w:rFonts w:cs="仿宋" w:asciiTheme="minorEastAsia" w:hAnsiTheme="minorEastAsia"/>
                <w:color w:val="000000"/>
                <w:sz w:val="24"/>
                <w:szCs w:val="24"/>
              </w:rPr>
            </w:pPr>
            <w:r>
              <w:rPr>
                <w:rFonts w:hint="eastAsia" w:cs="仿宋" w:asciiTheme="minorEastAsia" w:hAnsiTheme="minorEastAsia"/>
                <w:color w:val="000000"/>
                <w:sz w:val="24"/>
                <w:szCs w:val="24"/>
              </w:rPr>
              <w:t>3、按照环保部门及相关监测要求，提供检测报告。采样过程中，样品留存、备份以及提供监测全过程控制报告等。针对异常情况，向管理部门提供建设性建议。</w:t>
            </w:r>
          </w:p>
          <w:p>
            <w:pPr>
              <w:spacing w:line="360" w:lineRule="auto"/>
              <w:jc w:val="left"/>
              <w:rPr>
                <w:rFonts w:cs="仿宋" w:asciiTheme="minorEastAsia" w:hAnsiTheme="minorEastAsia"/>
                <w:color w:val="000000"/>
                <w:sz w:val="24"/>
                <w:szCs w:val="24"/>
              </w:rPr>
            </w:pPr>
            <w:r>
              <w:rPr>
                <w:rFonts w:hint="eastAsia" w:cs="仿宋" w:asciiTheme="minorEastAsia" w:hAnsiTheme="minorEastAsia"/>
                <w:color w:val="000000"/>
                <w:sz w:val="24"/>
                <w:szCs w:val="24"/>
              </w:rPr>
              <w:t>4、提供本年度</w:t>
            </w:r>
            <w:r>
              <w:rPr>
                <w:rFonts w:hint="eastAsia" w:cs="黑体" w:asciiTheme="minorEastAsia" w:hAnsiTheme="minorEastAsia"/>
                <w:color w:val="000000"/>
                <w:sz w:val="24"/>
                <w:szCs w:val="24"/>
                <w:shd w:val="clear" w:color="auto" w:fill="FFFFFF"/>
              </w:rPr>
              <w:t>产业</w:t>
            </w:r>
            <w:r>
              <w:rPr>
                <w:rFonts w:hint="eastAsia" w:cs="仿宋" w:asciiTheme="minorEastAsia" w:hAnsiTheme="minorEastAsia"/>
                <w:color w:val="000000"/>
                <w:sz w:val="24"/>
                <w:szCs w:val="24"/>
              </w:rPr>
              <w:t>集聚区周边土壤环境分析报告。</w:t>
            </w:r>
          </w:p>
          <w:p>
            <w:pPr>
              <w:spacing w:line="360" w:lineRule="auto"/>
              <w:jc w:val="left"/>
              <w:rPr>
                <w:rFonts w:cs="仿宋" w:asciiTheme="minorEastAsia" w:hAnsiTheme="minorEastAsia"/>
                <w:color w:val="000000"/>
                <w:sz w:val="24"/>
                <w:szCs w:val="24"/>
              </w:rPr>
            </w:pPr>
            <w:r>
              <w:rPr>
                <w:rFonts w:hint="eastAsia" w:cs="仿宋" w:asciiTheme="minorEastAsia" w:hAnsiTheme="minorEastAsia"/>
                <w:color w:val="000000"/>
                <w:sz w:val="24"/>
                <w:szCs w:val="24"/>
              </w:rPr>
              <w:t>5、有资质采样人员协助区级和上级环保部门质量核查、抽查、抽样等相关事宜。</w:t>
            </w:r>
          </w:p>
          <w:p>
            <w:pPr>
              <w:spacing w:line="360" w:lineRule="auto"/>
              <w:jc w:val="left"/>
              <w:rPr>
                <w:rFonts w:cs="仿宋" w:asciiTheme="minorEastAsia" w:hAnsiTheme="minorEastAsia"/>
                <w:color w:val="000000"/>
                <w:sz w:val="24"/>
                <w:szCs w:val="24"/>
              </w:rPr>
            </w:pPr>
            <w:r>
              <w:rPr>
                <w:rFonts w:hint="eastAsia" w:cs="仿宋" w:asciiTheme="minorEastAsia" w:hAnsiTheme="minorEastAsia"/>
                <w:color w:val="000000"/>
                <w:sz w:val="24"/>
                <w:szCs w:val="24"/>
              </w:rPr>
              <w:t>6、环保部门交办的其他工作。</w:t>
            </w:r>
          </w:p>
        </w:tc>
        <w:tc>
          <w:tcPr>
            <w:tcW w:w="1985" w:type="dxa"/>
            <w:tcBorders>
              <w:top w:val="single" w:color="auto" w:sz="6" w:space="0"/>
              <w:left w:val="single" w:color="auto" w:sz="6" w:space="0"/>
              <w:bottom w:val="single" w:color="auto" w:sz="6" w:space="0"/>
              <w:right w:val="single" w:color="auto" w:sz="6" w:space="0"/>
              <w:tl2br w:val="nil"/>
              <w:tr2bl w:val="nil"/>
            </w:tcBorders>
          </w:tcPr>
          <w:p>
            <w:pPr>
              <w:spacing w:line="360" w:lineRule="auto"/>
              <w:jc w:val="left"/>
              <w:rPr>
                <w:rFonts w:cs="仿宋" w:asciiTheme="minorEastAsia" w:hAnsiTheme="minorEastAsia"/>
                <w:color w:val="000000"/>
                <w:sz w:val="24"/>
                <w:szCs w:val="24"/>
              </w:rPr>
            </w:pPr>
            <w:r>
              <w:rPr>
                <w:rFonts w:hint="eastAsia" w:cs="仿宋" w:asciiTheme="minorEastAsia" w:hAnsiTheme="minorEastAsia"/>
                <w:color w:val="000000"/>
                <w:sz w:val="24"/>
                <w:szCs w:val="24"/>
              </w:rPr>
              <w:t>包括人工采样、实验室分析、专家咨询、检测报告编制；土壤环境分析报告编制等。</w:t>
            </w:r>
          </w:p>
        </w:tc>
      </w:tr>
      <w:tr>
        <w:tblPrEx>
          <w:tblLayout w:type="fixed"/>
          <w:tblCellMar>
            <w:top w:w="0" w:type="dxa"/>
            <w:left w:w="108" w:type="dxa"/>
            <w:bottom w:w="0" w:type="dxa"/>
            <w:right w:w="108" w:type="dxa"/>
          </w:tblCellMar>
        </w:tblPrEx>
        <w:trPr>
          <w:trHeight w:val="573" w:hRule="atLeast"/>
        </w:trPr>
        <w:tc>
          <w:tcPr>
            <w:tcW w:w="9464"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360" w:lineRule="auto"/>
              <w:jc w:val="center"/>
              <w:rPr>
                <w:rFonts w:cs="仿宋" w:asciiTheme="minorEastAsia" w:hAnsiTheme="minorEastAsia"/>
                <w:color w:val="000000"/>
                <w:sz w:val="24"/>
                <w:szCs w:val="24"/>
              </w:rPr>
            </w:pPr>
            <w:r>
              <w:rPr>
                <w:rFonts w:hint="eastAsia" w:cs="仿宋" w:asciiTheme="minorEastAsia" w:hAnsiTheme="minorEastAsia"/>
                <w:color w:val="000000"/>
                <w:sz w:val="24"/>
                <w:szCs w:val="24"/>
              </w:rPr>
              <w:t>报告份数要求：纸质版一式两份，电子版一份。</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本表中所列采购需求及工作要求为最低要求，不允许负偏离，否则将承担其投标被视为非实质性响应投标的风险。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三、验收标准</w:t>
      </w:r>
    </w:p>
    <w:p>
      <w:pPr>
        <w:spacing w:line="35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由采购人成立验收小组,按照采购合同的约定对中标人履约情况进行验收。验收时,按照国家相关标准、行业标准、地方标准或者其他标准、规范、招标文件要求、投标文件响应和承诺及采购合同的约定对每一项技术、服务、安全标准的履约情况进行确认。验收结束后,出具验收书,列明各项标准的验收情况及项目总体评价,由验收双方共同签署。</w:t>
      </w:r>
    </w:p>
    <w:p>
      <w:pPr>
        <w:widowControl/>
        <w:shd w:val="clear" w:color="auto" w:fill="FFFFFF"/>
        <w:spacing w:line="35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四、资金支付</w:t>
      </w:r>
    </w:p>
    <w:p>
      <w:pPr>
        <w:spacing w:line="35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lang w:val="zh-CN"/>
        </w:rPr>
        <w:t>1、支付方式：</w:t>
      </w:r>
      <w:r>
        <w:rPr>
          <w:rFonts w:hint="eastAsia" w:cs="仿宋_GB2312" w:asciiTheme="minorEastAsia" w:hAnsiTheme="minorEastAsia"/>
          <w:sz w:val="24"/>
          <w:szCs w:val="24"/>
          <w:lang w:val="zh-CN"/>
        </w:rPr>
        <w:t>银行转账</w:t>
      </w:r>
    </w:p>
    <w:p>
      <w:pPr>
        <w:spacing w:line="35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2、支付时间及条件：合同签订后3个工作日内支付总合同价款30%费用；待年度检测报告、分析报告等相关材料提交完毕后一个月内支付合同价款50%费用；项目完工后一年内支付合同价款20%费用。</w:t>
      </w:r>
    </w:p>
    <w:p>
      <w:pPr>
        <w:adjustRightInd w:val="0"/>
        <w:snapToGrid w:val="0"/>
        <w:spacing w:line="350" w:lineRule="auto"/>
        <w:ind w:firstLine="482" w:firstLineChars="200"/>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五、其他要求</w:t>
      </w:r>
    </w:p>
    <w:p>
      <w:pPr>
        <w:snapToGrid w:val="0"/>
        <w:spacing w:line="35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1、招标文件中所列要求为最低要求，对招标文件中没有列出而对本项目必不可少的其他要求，供应商必须给予实现，</w:t>
      </w:r>
      <w:r>
        <w:rPr>
          <w:rFonts w:hint="eastAsia" w:ascii="宋体" w:hAnsi="宋体" w:eastAsia="宋体" w:cs="Times New Roman"/>
          <w:b/>
          <w:sz w:val="24"/>
          <w:szCs w:val="24"/>
        </w:rPr>
        <w:t>否则为无效投标。</w:t>
      </w:r>
    </w:p>
    <w:p>
      <w:pPr>
        <w:widowControl/>
        <w:shd w:val="clear" w:color="auto" w:fill="FFFFFF"/>
        <w:snapToGrid w:val="0"/>
        <w:spacing w:line="350" w:lineRule="auto"/>
        <w:ind w:firstLine="480" w:firstLineChars="200"/>
        <w:jc w:val="left"/>
        <w:rPr>
          <w:rFonts w:ascii="宋体" w:hAnsi="宋体" w:eastAsia="宋体" w:cs="Times New Roman"/>
          <w:bCs/>
          <w:kern w:val="0"/>
          <w:sz w:val="24"/>
          <w:szCs w:val="24"/>
        </w:rPr>
      </w:pPr>
      <w:r>
        <w:rPr>
          <w:rFonts w:hint="eastAsia" w:ascii="宋体" w:hAnsi="宋体"/>
          <w:bCs/>
          <w:kern w:val="0"/>
          <w:sz w:val="24"/>
          <w:szCs w:val="24"/>
        </w:rPr>
        <w:t>2</w:t>
      </w:r>
      <w:r>
        <w:rPr>
          <w:rFonts w:hint="eastAsia" w:ascii="宋体" w:hAnsi="宋体" w:eastAsia="宋体" w:cs="Times New Roman"/>
          <w:bCs/>
          <w:kern w:val="0"/>
          <w:sz w:val="24"/>
          <w:szCs w:val="24"/>
        </w:rPr>
        <w:t>、在项目实施过程中所需的交通工具、测评工具及耗材等经费均由中标人自行负责。</w:t>
      </w:r>
    </w:p>
    <w:p>
      <w:pPr>
        <w:widowControl/>
        <w:shd w:val="clear" w:color="auto" w:fill="FFFFFF"/>
        <w:snapToGrid w:val="0"/>
        <w:spacing w:line="350" w:lineRule="auto"/>
        <w:ind w:firstLine="480" w:firstLineChars="200"/>
        <w:jc w:val="left"/>
        <w:rPr>
          <w:rFonts w:cs="Times New Roman" w:asciiTheme="minorEastAsia" w:hAnsiTheme="minorEastAsia"/>
          <w:bCs/>
          <w:kern w:val="0"/>
          <w:sz w:val="24"/>
          <w:szCs w:val="24"/>
        </w:rPr>
      </w:pPr>
      <w:r>
        <w:rPr>
          <w:rFonts w:hint="eastAsia" w:asciiTheme="minorEastAsia" w:hAnsiTheme="minorEastAsia"/>
          <w:bCs/>
          <w:kern w:val="0"/>
          <w:sz w:val="24"/>
          <w:szCs w:val="24"/>
        </w:rPr>
        <w:t>3</w:t>
      </w:r>
      <w:r>
        <w:rPr>
          <w:rFonts w:hint="eastAsia" w:cs="Times New Roman" w:asciiTheme="minorEastAsia" w:hAnsiTheme="minorEastAsia"/>
          <w:bCs/>
          <w:kern w:val="0"/>
          <w:sz w:val="24"/>
          <w:szCs w:val="24"/>
        </w:rPr>
        <w:t>、中标人负责组织资料收集、现场踏勘、本底监测、报告编写印刷、图件制作、电子文本、光盘制作等。</w:t>
      </w:r>
    </w:p>
    <w:p>
      <w:pPr>
        <w:pStyle w:val="2"/>
        <w:spacing w:after="0"/>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4、投标人拟派项目班子配备中，至少含有一名环保类高级工程师，</w:t>
      </w:r>
      <w:r>
        <w:rPr>
          <w:rFonts w:hint="eastAsia" w:asciiTheme="minorEastAsia" w:hAnsiTheme="minorEastAsia" w:eastAsiaTheme="minorEastAsia"/>
          <w:b/>
          <w:sz w:val="24"/>
          <w:szCs w:val="24"/>
        </w:rPr>
        <w:t>否则为无效投标。</w:t>
      </w:r>
    </w:p>
    <w:p>
      <w:pPr>
        <w:autoSpaceDE w:val="0"/>
        <w:autoSpaceDN w:val="0"/>
        <w:adjustRightInd w:val="0"/>
        <w:snapToGrid w:val="0"/>
        <w:spacing w:line="350" w:lineRule="auto"/>
        <w:ind w:firstLine="470" w:firstLineChars="196"/>
        <w:rPr>
          <w:rFonts w:ascii="宋体" w:hAnsi="Calibri" w:eastAsia="宋体" w:cs="宋体"/>
          <w:b/>
          <w:sz w:val="24"/>
          <w:szCs w:val="24"/>
          <w:lang w:val="zh-CN"/>
        </w:rPr>
      </w:pPr>
      <w:r>
        <w:rPr>
          <w:rFonts w:hint="eastAsia" w:cs="宋体" w:asciiTheme="minorEastAsia" w:hAnsiTheme="minorEastAsia"/>
          <w:sz w:val="24"/>
          <w:szCs w:val="24"/>
        </w:rPr>
        <w:t>5、</w:t>
      </w:r>
      <w:r>
        <w:rPr>
          <w:rFonts w:hint="eastAsia" w:cs="宋体" w:asciiTheme="minorEastAsia" w:hAnsiTheme="minorEastAsia"/>
          <w:sz w:val="24"/>
          <w:szCs w:val="24"/>
          <w:lang w:val="zh-CN"/>
        </w:rPr>
        <w:t>投标人应就该项目完整投标，</w:t>
      </w:r>
      <w:r>
        <w:rPr>
          <w:rFonts w:hint="eastAsia" w:ascii="宋体" w:hAnsi="Calibri" w:eastAsia="宋体" w:cs="宋体"/>
          <w:b/>
          <w:sz w:val="24"/>
          <w:szCs w:val="24"/>
          <w:lang w:val="zh-CN"/>
        </w:rPr>
        <w:t>否则为无效投标。</w:t>
      </w:r>
    </w:p>
    <w:p>
      <w:pPr>
        <w:autoSpaceDE w:val="0"/>
        <w:autoSpaceDN w:val="0"/>
        <w:adjustRightInd w:val="0"/>
        <w:snapToGrid w:val="0"/>
        <w:spacing w:line="350" w:lineRule="auto"/>
        <w:ind w:firstLine="470" w:firstLineChars="196"/>
        <w:rPr>
          <w:rFonts w:ascii="宋体" w:hAnsi="宋体" w:eastAsia="宋体" w:cs="Times New Roman"/>
          <w:sz w:val="24"/>
          <w:szCs w:val="24"/>
        </w:rPr>
      </w:pPr>
      <w:r>
        <w:rPr>
          <w:rFonts w:hint="eastAsia" w:ascii="宋体" w:cs="宋体"/>
          <w:bCs/>
          <w:sz w:val="24"/>
          <w:szCs w:val="24"/>
        </w:rPr>
        <w:t>6</w:t>
      </w:r>
      <w:r>
        <w:rPr>
          <w:rFonts w:hint="eastAsia" w:ascii="宋体" w:hAnsi="Calibri" w:eastAsia="宋体" w:cs="宋体"/>
          <w:bCs/>
          <w:sz w:val="24"/>
          <w:szCs w:val="24"/>
        </w:rPr>
        <w:t>、</w:t>
      </w:r>
      <w:r>
        <w:rPr>
          <w:rFonts w:hint="eastAsia" w:ascii="宋体" w:hAnsi="宋体" w:eastAsia="宋体" w:cs="Times New Roman"/>
          <w:sz w:val="24"/>
          <w:szCs w:val="24"/>
        </w:rPr>
        <w:t>本项目为交钥匙工程。</w:t>
      </w:r>
    </w:p>
    <w:p>
      <w:pPr>
        <w:autoSpaceDE w:val="0"/>
        <w:autoSpaceDN w:val="0"/>
        <w:adjustRightInd w:val="0"/>
        <w:snapToGrid w:val="0"/>
        <w:spacing w:line="360" w:lineRule="auto"/>
        <w:ind w:firstLine="480" w:firstLineChars="200"/>
        <w:rPr>
          <w:rFonts w:ascii="宋体" w:hAnsi="宋体" w:eastAsia="宋体" w:cs="Times New Roman"/>
          <w:b/>
          <w:sz w:val="24"/>
          <w:szCs w:val="24"/>
        </w:rPr>
      </w:pPr>
      <w:r>
        <w:rPr>
          <w:rFonts w:hint="eastAsia" w:ascii="宋体" w:hAnsi="宋体"/>
          <w:sz w:val="24"/>
          <w:szCs w:val="24"/>
        </w:rPr>
        <w:t>7</w:t>
      </w:r>
      <w:r>
        <w:rPr>
          <w:rFonts w:hint="eastAsia" w:ascii="宋体" w:hAnsi="宋体" w:eastAsia="宋体" w:cs="Times New Roman"/>
          <w:sz w:val="24"/>
          <w:szCs w:val="24"/>
        </w:rPr>
        <w:t>、采购预算：</w:t>
      </w:r>
      <w:r>
        <w:rPr>
          <w:rFonts w:hint="eastAsia" w:ascii="宋体" w:hAnsi="宋体"/>
          <w:sz w:val="24"/>
          <w:szCs w:val="24"/>
        </w:rPr>
        <w:t>450000.00元</w:t>
      </w:r>
      <w:r>
        <w:rPr>
          <w:rFonts w:hint="eastAsia" w:ascii="宋体" w:hAnsi="宋体" w:eastAsia="宋体" w:cs="Times New Roman"/>
          <w:sz w:val="24"/>
          <w:szCs w:val="24"/>
        </w:rPr>
        <w:t>，</w:t>
      </w:r>
      <w:r>
        <w:rPr>
          <w:rFonts w:hint="eastAsia" w:ascii="宋体" w:hAnsi="宋体" w:eastAsia="宋体" w:cs="Times New Roman"/>
          <w:b/>
          <w:sz w:val="24"/>
          <w:szCs w:val="24"/>
        </w:rPr>
        <w:t>超出者为无效投标。</w:t>
      </w:r>
    </w:p>
    <w:p>
      <w:pPr>
        <w:autoSpaceDE w:val="0"/>
        <w:autoSpaceDN w:val="0"/>
        <w:adjustRightInd w:val="0"/>
        <w:snapToGrid w:val="0"/>
        <w:spacing w:line="360" w:lineRule="auto"/>
        <w:ind w:firstLine="723" w:firstLineChars="20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firstLine="482" w:firstLineChars="200"/>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ind w:left="1200" w:hanging="1200" w:hangingChars="500"/>
              <w:jc w:val="left"/>
              <w:rPr>
                <w:rFonts w:cs="仿宋_GB2312" w:asciiTheme="minorEastAsia" w:hAnsiTheme="minorEastAsia"/>
                <w:b/>
                <w:bCs/>
                <w:sz w:val="24"/>
                <w:szCs w:val="24"/>
                <w:shd w:val="clear" w:color="auto" w:fill="FFFFFF"/>
              </w:rPr>
            </w:pPr>
            <w:r>
              <w:rPr>
                <w:rFonts w:hint="eastAsia" w:cs="仿宋_GB2312" w:asciiTheme="minorEastAsia" w:hAnsiTheme="minorEastAsia"/>
                <w:sz w:val="24"/>
                <w:szCs w:val="24"/>
              </w:rPr>
              <w:t>项目名称：“许昌经济技术产业集聚区周边土壤环境监测”政府采购项目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项目编号：JZFCG-G2018130号</w:t>
            </w:r>
          </w:p>
          <w:p>
            <w:pPr>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 w:asciiTheme="minorEastAsia" w:hAnsiTheme="minorEastAsia"/>
                <w:color w:val="000000"/>
                <w:sz w:val="24"/>
                <w:szCs w:val="24"/>
              </w:rPr>
              <w:t>土壤环境监测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bCs/>
                <w:sz w:val="24"/>
                <w:szCs w:val="24"/>
                <w:u w:val="single"/>
              </w:rPr>
            </w:pPr>
            <w:r>
              <w:rPr>
                <w:rFonts w:hint="eastAsia" w:cs="仿宋_GB2312" w:asciiTheme="minorEastAsia" w:hAnsiTheme="minorEastAsia"/>
                <w:sz w:val="24"/>
                <w:szCs w:val="24"/>
              </w:rPr>
              <w:t>采购人：</w:t>
            </w:r>
            <w:r>
              <w:rPr>
                <w:rFonts w:hint="eastAsia" w:ascii="宋体" w:hAnsi="宋体" w:eastAsia="宋体" w:cs="仿宋_GB2312"/>
                <w:bCs/>
                <w:sz w:val="24"/>
                <w:szCs w:val="24"/>
              </w:rPr>
              <w:t>许昌经济技术开发区住房建设城市管理与环境保护局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w:t>
            </w:r>
            <w:r>
              <w:rPr>
                <w:rFonts w:cs="仿宋_GB2312" w:asciiTheme="minorEastAsia" w:hAnsiTheme="minorEastAsia"/>
                <w:sz w:val="24"/>
                <w:szCs w:val="24"/>
              </w:rPr>
              <w:t>许昌市瑞祥路中段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联系人：许武磊      联系电话：0374-8583323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代理机构：河南英华咨询有限公司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址：郑州市西三环河南省国家大学科技园东区16号楼C座21层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联系人：李女士       联系电话：13569490382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宋体" w:asciiTheme="minorEastAsia" w:hAnsiTheme="minorEastAsia"/>
                <w:b/>
                <w:sz w:val="24"/>
                <w:szCs w:val="24"/>
              </w:rPr>
            </w:pPr>
            <w:r>
              <w:rPr>
                <w:rFonts w:hint="eastAsia" w:cs="宋体" w:asciiTheme="minorEastAsia" w:hAnsiTheme="minorEastAsia"/>
                <w:b/>
                <w:sz w:val="24"/>
                <w:szCs w:val="24"/>
              </w:rPr>
              <w:t>二、省级及以上质量监督机构颁发的检验检测机构资质认定证书；</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三、财务状况报告相关材料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1、2017</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四、依法缴纳税收相关材料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六、履行合同所必须的设备和专业技术能力的证明材料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七、</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sz w:val="24"/>
              </w:rPr>
              <w:t>450000.00</w:t>
            </w:r>
            <w:r>
              <w:rPr>
                <w:rFonts w:hint="eastAsia" w:cs="宋体" w:asciiTheme="minorEastAsia" w:hAnsiTheme="minorEastAsia"/>
                <w:bCs/>
                <w:sz w:val="24"/>
                <w:szCs w:val="24"/>
                <w:lang w:val="zh-CN"/>
              </w:rPr>
              <w:t>元，超出最高限价的投标作无效标处理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2019年01月14日09时30分（北京时间）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四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金额：玖仟元（¥9000.00元）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w:t>
            </w:r>
            <w:r>
              <w:rPr>
                <w:rFonts w:hint="eastAsia" w:cs="宋体" w:asciiTheme="minorEastAsia" w:hAnsiTheme="minorEastAsia"/>
                <w:sz w:val="24"/>
                <w:szCs w:val="24"/>
              </w:rPr>
              <w:t xml:space="preserve"> </w:t>
            </w:r>
            <w:r>
              <w:rPr>
                <w:rFonts w:cs="宋体" w:asciiTheme="minorEastAsia" w:hAnsiTheme="minorEastAsia"/>
                <w:sz w:val="24"/>
                <w:szCs w:val="24"/>
              </w:rPr>
              <w:t>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1</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1</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电子投标文件：按招标文件要求加盖电子印章和法人电子签章。</w:t>
            </w:r>
          </w:p>
          <w:p>
            <w:pPr>
              <w:autoSpaceDE w:val="0"/>
              <w:autoSpaceDN w:val="0"/>
              <w:adjustRightInd w:val="0"/>
              <w:spacing w:line="420" w:lineRule="exact"/>
              <w:rPr>
                <w:rFonts w:cs="仿宋_GB2312"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ascii="新宋体" w:hAnsi="新宋体" w:eastAsia="新宋体" w:cs="新宋体"/>
                <w:bCs/>
                <w:color w:val="000000" w:themeColor="text1"/>
                <w:sz w:val="24"/>
                <w:szCs w:val="24"/>
                <w:lang w:val="zh-CN"/>
              </w:rPr>
            </w:pPr>
            <w:r>
              <w:rPr>
                <w:rFonts w:hint="eastAsia" w:ascii="新宋体" w:hAnsi="新宋体" w:eastAsia="新宋体" w:cs="新宋体"/>
                <w:b/>
                <w:bCs/>
                <w:color w:val="000000" w:themeColor="text1"/>
                <w:sz w:val="24"/>
                <w:szCs w:val="24"/>
                <w:lang w:val="zh-CN"/>
              </w:rPr>
              <w:t>□</w:t>
            </w:r>
            <w:r>
              <w:rPr>
                <w:rFonts w:hint="eastAsia" w:ascii="新宋体" w:hAnsi="新宋体" w:eastAsia="新宋体" w:cs="新宋体"/>
                <w:bCs/>
                <w:color w:val="000000" w:themeColor="text1"/>
                <w:sz w:val="24"/>
                <w:szCs w:val="24"/>
                <w:lang w:val="zh-CN"/>
              </w:rPr>
              <w:t>不收取</w:t>
            </w:r>
          </w:p>
          <w:p>
            <w:pPr>
              <w:autoSpaceDE w:val="0"/>
              <w:autoSpaceDN w:val="0"/>
              <w:spacing w:line="360" w:lineRule="auto"/>
              <w:contextualSpacing/>
              <w:rPr>
                <w:rFonts w:ascii="宋体" w:hAnsi="宋体" w:eastAsia="宋体" w:cs="宋体"/>
                <w:bCs/>
                <w:color w:val="000000" w:themeColor="text1"/>
                <w:sz w:val="24"/>
                <w:szCs w:val="24"/>
                <w:lang w:val="zh-CN"/>
              </w:rPr>
            </w:pPr>
            <w:r>
              <w:rPr>
                <w:rFonts w:hint="eastAsia" w:ascii="新宋体" w:hAnsi="新宋体" w:eastAsia="新宋体" w:cs="新宋体"/>
                <w:b/>
                <w:color w:val="000000" w:themeColor="text1"/>
                <w:kern w:val="0"/>
                <w:sz w:val="24"/>
                <w:szCs w:val="24"/>
                <w:lang w:val="zh-CN"/>
              </w:rPr>
              <w:fldChar w:fldCharType="begin"/>
            </w:r>
            <w:r>
              <w:rPr>
                <w:rFonts w:hint="eastAsia" w:ascii="新宋体" w:hAnsi="新宋体" w:eastAsia="新宋体" w:cs="新宋体"/>
                <w:b/>
                <w:color w:val="000000" w:themeColor="text1"/>
                <w:kern w:val="0"/>
                <w:sz w:val="24"/>
                <w:szCs w:val="24"/>
                <w:lang w:val="zh-CN"/>
              </w:rPr>
              <w:instrText xml:space="preserve"> eq \o\ac(</w:instrText>
            </w:r>
            <w:r>
              <w:rPr>
                <w:rFonts w:hint="eastAsia" w:ascii="新宋体" w:hAnsi="新宋体" w:eastAsia="新宋体" w:cs="新宋体"/>
                <w:b/>
                <w:color w:val="000000" w:themeColor="text1"/>
                <w:kern w:val="0"/>
                <w:position w:val="-4"/>
                <w:sz w:val="36"/>
                <w:szCs w:val="24"/>
                <w:lang w:val="zh-CN"/>
              </w:rPr>
              <w:instrText xml:space="preserve">□</w:instrText>
            </w:r>
            <w:r>
              <w:rPr>
                <w:rFonts w:hint="eastAsia" w:ascii="新宋体" w:hAnsi="新宋体" w:eastAsia="新宋体" w:cs="新宋体"/>
                <w:b/>
                <w:color w:val="000000" w:themeColor="text1"/>
                <w:kern w:val="0"/>
                <w:sz w:val="24"/>
                <w:szCs w:val="24"/>
                <w:lang w:val="zh-CN"/>
              </w:rPr>
              <w:instrText xml:space="preserve">,√)</w:instrText>
            </w:r>
            <w:r>
              <w:rPr>
                <w:rFonts w:hint="eastAsia" w:ascii="新宋体" w:hAnsi="新宋体" w:eastAsia="新宋体" w:cs="新宋体"/>
                <w:b/>
                <w:color w:val="000000" w:themeColor="text1"/>
                <w:kern w:val="0"/>
                <w:sz w:val="24"/>
                <w:szCs w:val="24"/>
                <w:lang w:val="zh-CN"/>
              </w:rPr>
              <w:fldChar w:fldCharType="end"/>
            </w:r>
            <w:r>
              <w:rPr>
                <w:rFonts w:hint="eastAsia" w:ascii="新宋体" w:hAnsi="新宋体" w:eastAsia="新宋体" w:cs="新宋体"/>
                <w:bCs/>
                <w:color w:val="000000" w:themeColor="text1"/>
                <w:sz w:val="24"/>
                <w:szCs w:val="24"/>
                <w:lang w:val="zh-CN"/>
              </w:rPr>
              <w:t>收取中标人。</w:t>
            </w:r>
            <w:r>
              <w:rPr>
                <w:rFonts w:hint="eastAsia" w:ascii="新宋体" w:hAnsi="新宋体" w:eastAsia="新宋体" w:cs="新宋体"/>
                <w:b/>
                <w:bCs/>
                <w:color w:val="000000" w:themeColor="text1"/>
                <w:sz w:val="24"/>
                <w:szCs w:val="24"/>
                <w:lang w:val="zh-CN"/>
              </w:rPr>
              <w:t>□</w:t>
            </w:r>
            <w:r>
              <w:rPr>
                <w:rFonts w:hint="eastAsia" w:ascii="新宋体" w:hAnsi="新宋体" w:eastAsia="新宋体" w:cs="新宋体"/>
                <w:bCs/>
                <w:color w:val="000000" w:themeColor="text1"/>
                <w:sz w:val="24"/>
                <w:szCs w:val="24"/>
                <w:lang w:val="zh-CN"/>
              </w:rPr>
              <w:t>收取采购人。</w:t>
            </w:r>
            <w:r>
              <w:rPr>
                <w:rFonts w:hint="eastAsia" w:ascii="新宋体" w:hAnsi="新宋体" w:eastAsia="新宋体" w:cs="新宋体"/>
                <w:color w:val="000000" w:themeColor="text1"/>
                <w:sz w:val="24"/>
                <w:szCs w:val="24"/>
              </w:rPr>
              <w:t>收取标准:中标合同金额的</w:t>
            </w:r>
            <w:r>
              <w:rPr>
                <w:rFonts w:hint="eastAsia" w:ascii="新宋体" w:hAnsi="新宋体" w:eastAsia="新宋体" w:cs="新宋体"/>
                <w:color w:val="000000" w:themeColor="text1"/>
                <w:sz w:val="24"/>
                <w:szCs w:val="24"/>
                <w:u w:val="single"/>
              </w:rPr>
              <w:t>1.5</w:t>
            </w:r>
            <w:r>
              <w:rPr>
                <w:rFonts w:hint="eastAsia" w:ascii="新宋体" w:hAnsi="新宋体" w:eastAsia="新宋体" w:cs="新宋体"/>
                <w:color w:val="000000" w:themeColor="text1"/>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0374-2968027，邮箱：jzb2968027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投标人投标时须提供加密电子投标文件、备份文件（使用电子介质存储）、纸质投标文件。投标人资质、业绩、荣誉及相关人员证明材料等资料原件开标现场根据招标文件要求提供。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1"/>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w:t>
      </w:r>
      <w:r>
        <w:rPr>
          <w:rFonts w:cs="宋体" w:asciiTheme="minorEastAsia" w:hAnsiTheme="minorEastAsia"/>
          <w:kern w:val="0"/>
        </w:rPr>
        <w:t xml:space="preserve"> </w:t>
      </w:r>
      <w:r>
        <w:rPr>
          <w:rFonts w:hint="eastAsia" w:cs="宋体" w:asciiTheme="minorEastAsia" w:hAnsiTheme="minorEastAsia"/>
          <w:kern w:val="0"/>
        </w:rPr>
        <w:t>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电子投标文件应按招标文件要求加盖投标人电子印章和法人电子签章或授权代表电子印章。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5"/>
        <w:spacing w:line="360" w:lineRule="auto"/>
        <w:rPr>
          <w:rFonts w:ascii="宋体" w:hAnsi="宋体" w:cs="宋体"/>
          <w:szCs w:val="24"/>
        </w:rPr>
      </w:pPr>
      <w:r>
        <w:rPr>
          <w:rFonts w:hint="eastAsia" w:cs="仿宋_GB2312" w:asciiTheme="minorEastAsia" w:hAnsiTheme="minorEastAsia"/>
          <w:szCs w:val="24"/>
          <w:lang w:val="zh-CN"/>
        </w:rPr>
        <w:t>30.3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szCs w:val="24"/>
        </w:rPr>
      </w:pPr>
      <w:r>
        <w:rPr>
          <w:rFonts w:hint="eastAsia" w:ascii="宋体" w:hAnsi="宋体" w:cs="宋体"/>
          <w:szCs w:val="24"/>
        </w:rPr>
        <w:t>（一）提供虚假材料谋取中标、成交的；</w:t>
      </w:r>
    </w:p>
    <w:p>
      <w:pPr>
        <w:pStyle w:val="15"/>
        <w:spacing w:line="360" w:lineRule="auto"/>
        <w:rPr>
          <w:rFonts w:ascii="宋体" w:hAnsi="宋体" w:cs="宋体"/>
          <w:szCs w:val="24"/>
        </w:rPr>
      </w:pPr>
      <w:r>
        <w:rPr>
          <w:rFonts w:hint="eastAsia" w:ascii="宋体" w:hAnsi="宋体" w:cs="宋体"/>
          <w:szCs w:val="24"/>
        </w:rPr>
        <w:t>（二）采取不正当手段诋毁、排挤其他供应商的；</w:t>
      </w:r>
    </w:p>
    <w:p>
      <w:pPr>
        <w:pStyle w:val="15"/>
        <w:spacing w:line="360" w:lineRule="auto"/>
        <w:rPr>
          <w:rFonts w:ascii="宋体" w:hAnsi="宋体" w:cs="宋体"/>
          <w:szCs w:val="24"/>
        </w:rPr>
      </w:pPr>
      <w:r>
        <w:rPr>
          <w:rFonts w:hint="eastAsia" w:ascii="宋体" w:hAnsi="宋体" w:cs="宋体"/>
          <w:szCs w:val="24"/>
        </w:rPr>
        <w:t>（三）与采购人、其他供应商或者采购代理机构恶意串通的；</w:t>
      </w:r>
    </w:p>
    <w:p>
      <w:pPr>
        <w:pStyle w:val="15"/>
        <w:spacing w:line="360" w:lineRule="auto"/>
        <w:rPr>
          <w:rFonts w:ascii="宋体" w:hAnsi="宋体" w:cs="宋体"/>
          <w:szCs w:val="24"/>
        </w:rPr>
      </w:pPr>
      <w:r>
        <w:rPr>
          <w:rFonts w:hint="eastAsia" w:ascii="宋体" w:hAnsi="宋体" w:cs="宋体"/>
          <w:szCs w:val="24"/>
        </w:rPr>
        <w:t>（四）向采购人、采购代理机构行贿或者提供其他不正当利益的；</w:t>
      </w:r>
    </w:p>
    <w:p>
      <w:pPr>
        <w:pStyle w:val="15"/>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5"/>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5"/>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sz w:val="24"/>
          <w:szCs w:val="24"/>
        </w:rPr>
        <w:t>42. 其他</w:t>
      </w:r>
    </w:p>
    <w:p>
      <w:pPr>
        <w:tabs>
          <w:tab w:val="left" w:pos="1260"/>
        </w:tabs>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sz w:val="24"/>
                <w:szCs w:val="24"/>
              </w:rPr>
              <w:t>3</w:t>
            </w:r>
            <w:r>
              <w:rPr>
                <w:rFonts w:hint="eastAsia" w:asciiTheme="minorEastAsia" w:hAnsiTheme="minorEastAsia"/>
                <w:bCs/>
                <w:sz w:val="24"/>
                <w:szCs w:val="24"/>
              </w:rPr>
              <w:t>、</w:t>
            </w:r>
            <w:r>
              <w:rPr>
                <w:rFonts w:hint="eastAsia" w:cs="宋体" w:asciiTheme="minorEastAsia" w:hAnsiTheme="minorEastAsia"/>
                <w:b/>
                <w:sz w:val="24"/>
                <w:szCs w:val="24"/>
              </w:rPr>
              <w:t>省级及以上质量监督机构颁发的检验检测机构资质认定证书；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4、财务状况报告相关材料</w:t>
            </w:r>
          </w:p>
          <w:p>
            <w:pPr>
              <w:spacing w:line="360" w:lineRule="auto"/>
              <w:rPr>
                <w:rFonts w:asciiTheme="minorEastAsia" w:hAnsiTheme="minorEastAsia"/>
                <w:b/>
                <w:sz w:val="24"/>
                <w:szCs w:val="24"/>
              </w:rPr>
            </w:pPr>
            <w:r>
              <w:rPr>
                <w:rFonts w:hint="eastAsia" w:asciiTheme="minorEastAsia" w:hAnsiTheme="minorEastAsia"/>
                <w:bCs/>
                <w:sz w:val="24"/>
                <w:szCs w:val="24"/>
              </w:rPr>
              <w:t>（1）2017年度的财务报告；或基本开户银行出具的资信证明；或财政部门认可的政府采购专业担保机构的证明文件和担保机构出具的投标担保函。（法人投标提供。法人包括企业法人、机关法人、事业单位法人和社会团体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6、依法缴纳社会保障资金的证明材料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相关设备的购置发票、相关专业技术人员职称证书或者投标人相关承诺函或声明</w:t>
            </w:r>
            <w:r>
              <w:rPr>
                <w:rFonts w:hint="eastAsia" w:cs="宋体" w:asciiTheme="minorEastAsia" w:hAnsiTheme="minorEastAsia"/>
                <w:kern w:val="0"/>
                <w:sz w:val="24"/>
                <w:szCs w:val="24"/>
              </w:rPr>
              <w:t>（格式自拟）</w:t>
            </w:r>
            <w:r>
              <w:rPr>
                <w:rFonts w:hint="eastAsia" w:asciiTheme="minorEastAsia" w:hAnsi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spacing w:line="360" w:lineRule="auto"/>
        <w:ind w:right="420" w:rightChars="200" w:firstLine="480" w:firstLineChars="200"/>
        <w:contextualSpacing/>
        <w:rPr>
          <w:rFonts w:ascii="宋体" w:cs="仿宋_GB2312"/>
          <w:color w:val="000000" w:themeColor="text1"/>
          <w:sz w:val="24"/>
          <w:szCs w:val="24"/>
          <w:lang w:val="zh-CN"/>
        </w:rPr>
      </w:pPr>
      <w:r>
        <w:rPr>
          <w:rFonts w:hint="eastAsia" w:ascii="宋体" w:hAnsi="宋体" w:cs="仿宋_GB2312"/>
          <w:color w:val="000000" w:themeColor="text1"/>
          <w:sz w:val="24"/>
          <w:szCs w:val="24"/>
          <w:lang w:val="zh-CN"/>
        </w:rPr>
        <w:t>（三）资格审查中所涉及到的证书及材料，均须在电子投标文件中提供原件扫描件（或图片）。</w:t>
      </w: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体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评标办法及标准（综合评分法）</w:t>
      </w:r>
    </w:p>
    <w:tbl>
      <w:tblPr>
        <w:tblStyle w:val="27"/>
        <w:tblpPr w:leftFromText="180" w:rightFromText="180" w:vertAnchor="text" w:horzAnchor="margin" w:tblpY="177"/>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310"/>
        <w:gridCol w:w="632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84" w:type="dxa"/>
            <w:tcBorders>
              <w:top w:val="single" w:color="auto" w:sz="4" w:space="0"/>
              <w:left w:val="single" w:color="auto" w:sz="4" w:space="0"/>
              <w:bottom w:val="single" w:color="auto" w:sz="4" w:space="0"/>
              <w:right w:val="single" w:color="auto" w:sz="4" w:space="0"/>
            </w:tcBorders>
            <w:vAlign w:val="center"/>
          </w:tcPr>
          <w:p>
            <w:pPr>
              <w:spacing w:after="100" w:afterAutospacing="1" w:line="360" w:lineRule="auto"/>
              <w:jc w:val="center"/>
              <w:rPr>
                <w:rFonts w:cs="宋体" w:asciiTheme="minorEastAsia" w:hAnsiTheme="minorEastAsia"/>
                <w:sz w:val="24"/>
                <w:szCs w:val="24"/>
              </w:rPr>
            </w:pPr>
            <w:r>
              <w:rPr>
                <w:rFonts w:hint="eastAsia" w:cs="宋体" w:asciiTheme="minorEastAsia" w:hAnsiTheme="minorEastAsia"/>
                <w:sz w:val="24"/>
                <w:szCs w:val="24"/>
              </w:rPr>
              <w:t>分值构成</w:t>
            </w:r>
          </w:p>
        </w:tc>
        <w:tc>
          <w:tcPr>
            <w:tcW w:w="850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sz w:val="24"/>
                <w:szCs w:val="24"/>
              </w:rPr>
            </w:pPr>
            <w:r>
              <w:rPr>
                <w:rFonts w:hint="eastAsia" w:cs="宋体" w:asciiTheme="minorEastAsia" w:hAnsiTheme="minorEastAsia"/>
                <w:sz w:val="24"/>
                <w:szCs w:val="24"/>
              </w:rPr>
              <w:t>价格分值：10分；商务部分：58分；技术部分：32分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84" w:type="dxa"/>
            <w:tcBorders>
              <w:top w:val="single" w:color="auto" w:sz="4" w:space="0"/>
              <w:left w:val="single" w:color="auto" w:sz="4" w:space="0"/>
              <w:bottom w:val="single" w:color="auto" w:sz="4" w:space="0"/>
              <w:right w:val="single" w:color="auto" w:sz="4" w:space="0"/>
            </w:tcBorders>
            <w:vAlign w:val="center"/>
          </w:tcPr>
          <w:p>
            <w:pPr>
              <w:spacing w:after="100" w:afterAutospacing="1" w:line="360" w:lineRule="auto"/>
              <w:jc w:val="center"/>
              <w:rPr>
                <w:rFonts w:asciiTheme="minorEastAsia" w:hAnsiTheme="minorEastAsia"/>
                <w:b/>
                <w:sz w:val="24"/>
                <w:szCs w:val="24"/>
              </w:rPr>
            </w:pPr>
            <w:r>
              <w:rPr>
                <w:rFonts w:hint="eastAsia" w:asciiTheme="minorEastAsia" w:hAnsiTheme="minorEastAsia"/>
                <w:b/>
                <w:sz w:val="24"/>
                <w:szCs w:val="24"/>
              </w:rPr>
              <w:t>评分因素</w:t>
            </w:r>
          </w:p>
        </w:tc>
        <w:tc>
          <w:tcPr>
            <w:tcW w:w="1310" w:type="dxa"/>
            <w:tcBorders>
              <w:top w:val="single" w:color="auto" w:sz="4" w:space="0"/>
              <w:left w:val="single" w:color="auto" w:sz="4" w:space="0"/>
              <w:bottom w:val="single" w:color="auto" w:sz="4" w:space="0"/>
              <w:right w:val="single" w:color="auto" w:sz="4" w:space="0"/>
            </w:tcBorders>
            <w:vAlign w:val="center"/>
          </w:tcPr>
          <w:p>
            <w:pPr>
              <w:spacing w:after="100" w:afterAutospacing="1" w:line="360" w:lineRule="auto"/>
              <w:jc w:val="center"/>
              <w:rPr>
                <w:rFonts w:asciiTheme="minorEastAsia" w:hAnsiTheme="minorEastAsia"/>
                <w:b/>
                <w:sz w:val="24"/>
                <w:szCs w:val="24"/>
              </w:rPr>
            </w:pPr>
            <w:r>
              <w:rPr>
                <w:rFonts w:hint="eastAsia" w:asciiTheme="minorEastAsia" w:hAnsiTheme="minorEastAsia"/>
                <w:b/>
                <w:sz w:val="24"/>
                <w:szCs w:val="24"/>
              </w:rPr>
              <w:t>评分内容</w:t>
            </w:r>
          </w:p>
        </w:tc>
        <w:tc>
          <w:tcPr>
            <w:tcW w:w="6321" w:type="dxa"/>
            <w:tcBorders>
              <w:top w:val="single" w:color="auto" w:sz="4" w:space="0"/>
              <w:left w:val="single" w:color="auto" w:sz="4" w:space="0"/>
              <w:bottom w:val="single" w:color="auto" w:sz="4" w:space="0"/>
              <w:right w:val="single" w:color="auto" w:sz="4" w:space="0"/>
            </w:tcBorders>
            <w:vAlign w:val="center"/>
          </w:tcPr>
          <w:p>
            <w:pPr>
              <w:spacing w:after="100" w:afterAutospacing="1" w:line="360" w:lineRule="auto"/>
              <w:jc w:val="center"/>
              <w:rPr>
                <w:rFonts w:asciiTheme="minorEastAsia" w:hAnsiTheme="minorEastAsia"/>
                <w:b/>
                <w:sz w:val="24"/>
                <w:szCs w:val="24"/>
              </w:rPr>
            </w:pPr>
            <w:r>
              <w:rPr>
                <w:rFonts w:hint="eastAsia" w:asciiTheme="minorEastAsia" w:hAnsiTheme="minorEastAsia"/>
                <w:b/>
                <w:sz w:val="24"/>
                <w:szCs w:val="24"/>
              </w:rPr>
              <w:t>评分标准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报价部分（10分）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满足招标文件要求所有投标方价格最低的投标报价为评标基准价，其价格分为满分。</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其他投标方的价格分统一按照下列公式计算：</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投标报价得分</w:t>
            </w:r>
            <w:r>
              <w:rPr>
                <w:rFonts w:cs="Times New Roman" w:asciiTheme="minorEastAsia" w:hAnsiTheme="minorEastAsia"/>
                <w:sz w:val="24"/>
                <w:szCs w:val="24"/>
              </w:rPr>
              <w:t>=(</w:t>
            </w:r>
            <w:r>
              <w:rPr>
                <w:rFonts w:hint="eastAsia" w:cs="Times New Roman" w:asciiTheme="minorEastAsia" w:hAnsiTheme="minorEastAsia"/>
                <w:sz w:val="24"/>
                <w:szCs w:val="24"/>
              </w:rPr>
              <w:t>评标基准价／投标报价</w:t>
            </w:r>
            <w:r>
              <w:rPr>
                <w:rFonts w:cs="Times New Roman" w:asciiTheme="minorEastAsia" w:hAnsiTheme="minorEastAsia"/>
                <w:sz w:val="24"/>
                <w:szCs w:val="24"/>
              </w:rPr>
              <w:t>)</w:t>
            </w:r>
            <w:r>
              <w:rPr>
                <w:rFonts w:hint="eastAsia" w:cs="Times New Roman" w:asciiTheme="minorEastAsia" w:hAnsiTheme="minorEastAsia"/>
                <w:sz w:val="24"/>
                <w:szCs w:val="24"/>
              </w:rPr>
              <w:t>×10</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4"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商务部分</w:t>
            </w:r>
          </w:p>
          <w:p>
            <w:pPr>
              <w:spacing w:line="360" w:lineRule="auto"/>
              <w:jc w:val="center"/>
              <w:rPr>
                <w:rFonts w:asciiTheme="minorEastAsia" w:hAnsiTheme="minorEastAsia"/>
                <w:sz w:val="24"/>
                <w:szCs w:val="24"/>
              </w:rPr>
            </w:pPr>
            <w:r>
              <w:rPr>
                <w:rFonts w:hint="eastAsia" w:asciiTheme="minorEastAsia" w:hAnsiTheme="minorEastAsia"/>
                <w:sz w:val="24"/>
                <w:szCs w:val="24"/>
              </w:rPr>
              <w:t>（58分）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信誉</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 w:val="24"/>
                <w:szCs w:val="24"/>
              </w:rPr>
            </w:pPr>
            <w:r>
              <w:rPr>
                <w:rFonts w:hint="eastAsia" w:ascii="宋体" w:hAnsi="宋体" w:eastAsia="宋体"/>
                <w:sz w:val="24"/>
                <w:szCs w:val="24"/>
              </w:rPr>
              <w:t>1.投标人获得环保企业信用资质AAA级评价的得3分，没有不得分；</w:t>
            </w:r>
          </w:p>
          <w:p>
            <w:pPr>
              <w:spacing w:line="360" w:lineRule="auto"/>
              <w:jc w:val="left"/>
              <w:rPr>
                <w:rFonts w:ascii="宋体" w:hAnsi="宋体" w:eastAsia="宋体"/>
                <w:sz w:val="24"/>
                <w:szCs w:val="24"/>
              </w:rPr>
            </w:pPr>
            <w:r>
              <w:rPr>
                <w:rFonts w:hint="eastAsia"/>
                <w:sz w:val="24"/>
                <w:szCs w:val="24"/>
              </w:rPr>
              <w:t>注：评审时提供证书原件，否则不得分。</w:t>
            </w:r>
          </w:p>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2.投标人提供工商企业信用信息公示报告【国家企业信用信息公示系统http//www.gsxt.gov.cn包括基础信息、行政许可信息、行政处罚信息、列入经营异常名录信息、列入严重违法失信企业名单（黑名单）信息】，无不良信息者，得3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4"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投标方实力</w:t>
            </w:r>
          </w:p>
        </w:tc>
        <w:tc>
          <w:tcPr>
            <w:tcW w:w="6321"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rPr>
                <w:rFonts w:ascii="宋体" w:hAnsi="宋体" w:eastAsia="宋体"/>
                <w:sz w:val="24"/>
                <w:szCs w:val="24"/>
              </w:rPr>
            </w:pPr>
            <w:r>
              <w:rPr>
                <w:rFonts w:hint="eastAsia" w:ascii="宋体" w:hAnsi="宋体" w:eastAsia="宋体"/>
                <w:sz w:val="24"/>
                <w:szCs w:val="24"/>
              </w:rPr>
              <w:t>投标人获得中国环境科学学会团体会员的得3分，没有不得分；</w:t>
            </w:r>
          </w:p>
          <w:p>
            <w:pPr>
              <w:numPr>
                <w:ilvl w:val="0"/>
                <w:numId w:val="6"/>
              </w:numPr>
              <w:spacing w:line="360" w:lineRule="auto"/>
              <w:rPr>
                <w:rFonts w:cs="Times New Roman" w:asciiTheme="minorEastAsia" w:hAnsiTheme="minorEastAsia"/>
                <w:sz w:val="24"/>
                <w:szCs w:val="24"/>
              </w:rPr>
            </w:pPr>
            <w:r>
              <w:rPr>
                <w:rFonts w:hint="eastAsia" w:ascii="宋体" w:hAnsi="宋体" w:eastAsia="宋体"/>
                <w:sz w:val="24"/>
                <w:szCs w:val="24"/>
              </w:rPr>
              <w:t>投标人获得中国环境保护协会会员单位的得3分，没有不得分；</w:t>
            </w:r>
          </w:p>
          <w:p>
            <w:pPr>
              <w:pStyle w:val="2"/>
              <w:spacing w:after="0" w:line="360" w:lineRule="auto"/>
              <w:ind w:firstLine="0" w:firstLineChars="0"/>
              <w:rPr>
                <w:rFonts w:hAnsi="宋体"/>
                <w:sz w:val="24"/>
                <w:szCs w:val="24"/>
              </w:rPr>
            </w:pPr>
            <w:r>
              <w:rPr>
                <w:rFonts w:hint="eastAsia" w:hAnsi="宋体"/>
                <w:sz w:val="24"/>
                <w:szCs w:val="24"/>
              </w:rPr>
              <w:t>3.投标人获得中国企业发展促进委员会和中国名牌产品质量管理中心认定的中国知名品牌荣誉证书的得3分，没有不得分。</w:t>
            </w:r>
          </w:p>
          <w:p>
            <w:pPr>
              <w:pStyle w:val="2"/>
              <w:spacing w:after="0" w:line="360" w:lineRule="auto"/>
              <w:ind w:firstLine="0" w:firstLineChars="0"/>
            </w:pPr>
            <w:r>
              <w:rPr>
                <w:rFonts w:hint="eastAsia" w:hAnsi="宋体" w:cs="宋体"/>
                <w:sz w:val="24"/>
              </w:rPr>
              <w:t>4.投标人具有质量管理体系认证证书的得3分，没有不得分；</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注：评审时需提供证书原件或会员标志牌原件（备查）。</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4" w:type="dxa"/>
            <w:vMerge w:val="continue"/>
            <w:tcBorders>
              <w:left w:val="single" w:color="auto" w:sz="4" w:space="0"/>
              <w:right w:val="single" w:color="auto" w:sz="4" w:space="0"/>
            </w:tcBorders>
            <w:vAlign w:val="center"/>
          </w:tcPr>
          <w:p>
            <w:pPr>
              <w:spacing w:line="360" w:lineRule="auto"/>
              <w:rPr>
                <w:rFonts w:asciiTheme="minorEastAsia" w:hAnsiTheme="minorEastAsia"/>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项目负责人</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拟派项目负责人具有</w:t>
            </w:r>
            <w:r>
              <w:rPr>
                <w:rFonts w:hint="eastAsia"/>
                <w:color w:val="292B2C"/>
                <w:sz w:val="24"/>
                <w:szCs w:val="24"/>
                <w:shd w:val="clear" w:color="auto" w:fill="FFFFFF"/>
              </w:rPr>
              <w:t>相关专业</w:t>
            </w:r>
            <w:r>
              <w:rPr>
                <w:rFonts w:hint="eastAsia"/>
                <w:sz w:val="24"/>
                <w:szCs w:val="24"/>
              </w:rPr>
              <w:t>高级职称的，得3分；具有</w:t>
            </w:r>
            <w:r>
              <w:rPr>
                <w:rFonts w:hint="eastAsia"/>
                <w:color w:val="292B2C"/>
                <w:sz w:val="24"/>
                <w:szCs w:val="24"/>
                <w:shd w:val="clear" w:color="auto" w:fill="FFFFFF"/>
              </w:rPr>
              <w:t>相关专业</w:t>
            </w:r>
            <w:r>
              <w:rPr>
                <w:rFonts w:hint="eastAsia"/>
                <w:sz w:val="24"/>
                <w:szCs w:val="24"/>
              </w:rPr>
              <w:t>中级职称的，得1分；</w:t>
            </w:r>
          </w:p>
          <w:p>
            <w:pPr>
              <w:spacing w:line="360" w:lineRule="auto"/>
              <w:rPr>
                <w:rFonts w:ascii="宋体"/>
                <w:sz w:val="24"/>
                <w:szCs w:val="24"/>
              </w:rPr>
            </w:pPr>
            <w:r>
              <w:rPr>
                <w:rFonts w:hint="eastAsia"/>
                <w:sz w:val="24"/>
                <w:szCs w:val="24"/>
              </w:rPr>
              <w:t>注：</w:t>
            </w:r>
            <w:r>
              <w:rPr>
                <w:rFonts w:hint="eastAsia" w:ascii="宋体" w:hAnsi="宋体"/>
                <w:sz w:val="24"/>
                <w:szCs w:val="24"/>
              </w:rPr>
              <w:t>评审时需提供项目负责人专业技术证书原件和社保证明原件，否则不得分。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4" w:type="dxa"/>
            <w:vMerge w:val="continue"/>
            <w:tcBorders>
              <w:left w:val="single" w:color="auto" w:sz="4" w:space="0"/>
              <w:right w:val="single" w:color="auto" w:sz="4" w:space="0"/>
            </w:tcBorders>
            <w:vAlign w:val="center"/>
          </w:tcPr>
          <w:p>
            <w:pPr>
              <w:spacing w:line="360" w:lineRule="auto"/>
              <w:rPr>
                <w:rFonts w:asciiTheme="minorEastAsia" w:hAnsiTheme="minorEastAsia"/>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项目人员配备</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rPr>
              <w:t>1.</w:t>
            </w:r>
            <w:r>
              <w:rPr>
                <w:rFonts w:hint="eastAsia" w:ascii="宋体" w:hAnsi="宋体"/>
                <w:sz w:val="24"/>
                <w:szCs w:val="24"/>
              </w:rPr>
              <w:t>投标人</w:t>
            </w:r>
            <w:r>
              <w:rPr>
                <w:rFonts w:hint="eastAsia"/>
                <w:sz w:val="24"/>
                <w:szCs w:val="24"/>
              </w:rPr>
              <w:t>拟派项目工作人员</w:t>
            </w:r>
            <w:r>
              <w:rPr>
                <w:rFonts w:hint="eastAsia" w:ascii="宋体" w:hAnsi="宋体"/>
                <w:sz w:val="24"/>
                <w:szCs w:val="24"/>
              </w:rPr>
              <w:t>中</w:t>
            </w:r>
            <w:r>
              <w:rPr>
                <w:rFonts w:hint="eastAsia" w:cs="仿宋_GB2312" w:asciiTheme="minorEastAsia" w:hAnsiTheme="minorEastAsia"/>
                <w:bCs/>
                <w:color w:val="000000" w:themeColor="text1"/>
                <w:sz w:val="24"/>
                <w:szCs w:val="24"/>
                <w:lang w:val="zh-CN"/>
              </w:rPr>
              <w:t>具有省质量技术监督机构颁发的检验检测机构资质认定内审员证书的，每有一个得</w:t>
            </w:r>
            <w:r>
              <w:rPr>
                <w:rFonts w:hint="eastAsia" w:cs="仿宋_GB2312" w:asciiTheme="minorEastAsia" w:hAnsiTheme="minorEastAsia"/>
                <w:bCs/>
                <w:color w:val="000000" w:themeColor="text1"/>
                <w:sz w:val="24"/>
                <w:szCs w:val="24"/>
              </w:rPr>
              <w:t>2分，本项最多得6</w:t>
            </w:r>
            <w:r>
              <w:rPr>
                <w:rFonts w:hint="eastAsia" w:cs="仿宋_GB2312" w:asciiTheme="minorEastAsia" w:hAnsiTheme="minorEastAsia"/>
                <w:bCs/>
                <w:color w:val="000000" w:themeColor="text1"/>
                <w:sz w:val="24"/>
                <w:szCs w:val="24"/>
                <w:lang w:val="zh-CN"/>
              </w:rPr>
              <w:t>分；</w:t>
            </w:r>
          </w:p>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rPr>
              <w:t>2.</w:t>
            </w:r>
            <w:r>
              <w:rPr>
                <w:rFonts w:hint="eastAsia"/>
                <w:sz w:val="24"/>
                <w:szCs w:val="24"/>
              </w:rPr>
              <w:t>拟派项目工作人员具有国家环境监测总站颁发的环境保护验收监测人员培训合格证书的，每有一个得3分</w:t>
            </w:r>
            <w:r>
              <w:rPr>
                <w:rFonts w:hint="eastAsia" w:cs="仿宋_GB2312" w:asciiTheme="minorEastAsia" w:hAnsiTheme="minorEastAsia"/>
                <w:bCs/>
                <w:color w:val="000000" w:themeColor="text1"/>
                <w:sz w:val="24"/>
                <w:szCs w:val="24"/>
                <w:lang w:val="zh-CN"/>
              </w:rPr>
              <w:t>，本项最多得</w:t>
            </w:r>
            <w:r>
              <w:rPr>
                <w:rFonts w:hint="eastAsia" w:cs="仿宋_GB2312" w:asciiTheme="minorEastAsia" w:hAnsiTheme="minorEastAsia"/>
                <w:bCs/>
                <w:color w:val="000000" w:themeColor="text1"/>
                <w:sz w:val="24"/>
                <w:szCs w:val="24"/>
              </w:rPr>
              <w:t>6分</w:t>
            </w:r>
            <w:r>
              <w:rPr>
                <w:rFonts w:hint="eastAsia" w:cs="仿宋_GB2312" w:asciiTheme="minorEastAsia" w:hAnsiTheme="minorEastAsia"/>
                <w:bCs/>
                <w:color w:val="000000" w:themeColor="text1"/>
                <w:sz w:val="24"/>
                <w:szCs w:val="24"/>
                <w:lang w:val="zh-CN"/>
              </w:rPr>
              <w:t>；</w:t>
            </w:r>
          </w:p>
          <w:p>
            <w:pPr>
              <w:spacing w:line="360" w:lineRule="auto"/>
              <w:rPr>
                <w:rFonts w:cs="仿宋_GB2312" w:asciiTheme="minorEastAsia" w:hAnsiTheme="minorEastAsia"/>
                <w:bCs/>
                <w:color w:val="000000" w:themeColor="text1"/>
                <w:sz w:val="24"/>
                <w:szCs w:val="24"/>
                <w:lang w:val="zh-CN"/>
              </w:rPr>
            </w:pPr>
            <w:r>
              <w:rPr>
                <w:rFonts w:hint="eastAsia"/>
                <w:sz w:val="24"/>
                <w:szCs w:val="24"/>
              </w:rPr>
              <w:t>注：</w:t>
            </w:r>
            <w:r>
              <w:rPr>
                <w:rFonts w:hint="eastAsia" w:ascii="宋体" w:hAnsi="宋体"/>
                <w:sz w:val="24"/>
                <w:szCs w:val="24"/>
              </w:rPr>
              <w:t>评审时需提供项目拟派工作人员相关专业技术证书原件及社保证明原件，</w:t>
            </w:r>
            <w:r>
              <w:rPr>
                <w:rFonts w:hint="eastAsia" w:cs="仿宋_GB2312" w:asciiTheme="minorEastAsia" w:hAnsiTheme="minorEastAsia"/>
                <w:bCs/>
                <w:color w:val="000000" w:themeColor="text1"/>
                <w:sz w:val="24"/>
                <w:szCs w:val="24"/>
                <w:lang w:val="zh-CN"/>
              </w:rPr>
              <w:t>否则不得分。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4" w:type="dxa"/>
            <w:vMerge w:val="continue"/>
            <w:tcBorders>
              <w:left w:val="single" w:color="auto" w:sz="4" w:space="0"/>
              <w:right w:val="single" w:color="auto" w:sz="4" w:space="0"/>
            </w:tcBorders>
            <w:vAlign w:val="center"/>
          </w:tcPr>
          <w:p>
            <w:pPr>
              <w:spacing w:line="360" w:lineRule="auto"/>
              <w:rPr>
                <w:rFonts w:asciiTheme="minorEastAsia" w:hAnsiTheme="minorEastAsia"/>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asciiTheme="minorEastAsia" w:hAnsiTheme="minorEastAsia"/>
                <w:sz w:val="24"/>
                <w:szCs w:val="24"/>
              </w:rPr>
            </w:pPr>
            <w:r>
              <w:rPr>
                <w:rFonts w:hint="eastAsia" w:cs="仿宋_GB2312" w:asciiTheme="minorEastAsia" w:hAnsiTheme="minorEastAsia"/>
                <w:bCs/>
                <w:color w:val="000000" w:themeColor="text1"/>
                <w:sz w:val="24"/>
                <w:szCs w:val="24"/>
                <w:lang w:val="zh-CN"/>
              </w:rPr>
              <w:t>业绩</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投标人提供自2015年1月份(以合同签订日期为准)以来承担类似项目金额在</w:t>
            </w:r>
            <w:r>
              <w:rPr>
                <w:rFonts w:hint="eastAsia" w:cs="仿宋_GB2312" w:asciiTheme="minorEastAsia" w:hAnsiTheme="minorEastAsia"/>
                <w:bCs/>
                <w:color w:val="000000" w:themeColor="text1"/>
                <w:sz w:val="24"/>
                <w:szCs w:val="24"/>
              </w:rPr>
              <w:t>40万元及以上</w:t>
            </w:r>
            <w:r>
              <w:rPr>
                <w:rFonts w:hint="eastAsia" w:cs="仿宋_GB2312" w:asciiTheme="minorEastAsia" w:hAnsiTheme="minorEastAsia"/>
                <w:bCs/>
                <w:color w:val="000000" w:themeColor="text1"/>
                <w:sz w:val="24"/>
                <w:szCs w:val="24"/>
                <w:lang w:val="zh-CN"/>
              </w:rPr>
              <w:t>的，每份合同得</w:t>
            </w:r>
            <w:r>
              <w:rPr>
                <w:rFonts w:hint="eastAsia" w:cs="仿宋_GB2312" w:asciiTheme="minorEastAsia" w:hAnsiTheme="minorEastAsia"/>
                <w:bCs/>
                <w:color w:val="000000" w:themeColor="text1"/>
                <w:sz w:val="24"/>
                <w:szCs w:val="24"/>
              </w:rPr>
              <w:t>5</w:t>
            </w:r>
            <w:r>
              <w:rPr>
                <w:rFonts w:hint="eastAsia" w:cs="仿宋_GB2312" w:asciiTheme="minorEastAsia" w:hAnsiTheme="minorEastAsia"/>
                <w:bCs/>
                <w:color w:val="000000" w:themeColor="text1"/>
                <w:sz w:val="24"/>
                <w:szCs w:val="24"/>
                <w:lang w:val="zh-CN"/>
              </w:rPr>
              <w:t>分，最高得10分。注：</w:t>
            </w:r>
            <w:r>
              <w:rPr>
                <w:rFonts w:hint="eastAsia" w:cs="Times New Roman" w:asciiTheme="minorEastAsia" w:hAnsiTheme="minorEastAsia"/>
                <w:sz w:val="24"/>
                <w:szCs w:val="24"/>
              </w:rPr>
              <w:t>评审时需提供</w:t>
            </w:r>
            <w:r>
              <w:rPr>
                <w:rFonts w:hint="eastAsia" w:asciiTheme="minorEastAsia" w:hAnsiTheme="minorEastAsia"/>
                <w:sz w:val="24"/>
                <w:szCs w:val="24"/>
              </w:rPr>
              <w:t>合同</w:t>
            </w:r>
            <w:r>
              <w:rPr>
                <w:rFonts w:hint="eastAsia" w:cs="Times New Roman" w:asciiTheme="minorEastAsia" w:hAnsiTheme="minorEastAsia"/>
                <w:sz w:val="24"/>
                <w:szCs w:val="24"/>
              </w:rPr>
              <w:t>原件，时间和金额</w:t>
            </w:r>
            <w:r>
              <w:rPr>
                <w:rFonts w:hint="eastAsia" w:cs="仿宋_GB2312" w:asciiTheme="minorEastAsia" w:hAnsiTheme="minorEastAsia"/>
                <w:bCs/>
                <w:color w:val="000000" w:themeColor="text1"/>
                <w:sz w:val="24"/>
                <w:szCs w:val="24"/>
                <w:lang w:val="zh-CN"/>
              </w:rPr>
              <w:t>以合同签订为准；不能证明其时间或金额的，应提供中标通知书或委托方出具的证明资料。</w:t>
            </w:r>
          </w:p>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
                <w:color w:val="000000" w:themeColor="text1"/>
                <w:sz w:val="24"/>
                <w:szCs w:val="24"/>
                <w:lang w:val="zh-CN"/>
              </w:rPr>
              <w:t>类似项目：指土壤、水资源、大气等环境</w:t>
            </w:r>
            <w:r>
              <w:rPr>
                <w:rFonts w:hint="eastAsia" w:cs="仿宋_GB2312" w:asciiTheme="minorEastAsia" w:hAnsiTheme="minorEastAsia"/>
                <w:b/>
                <w:bCs/>
                <w:sz w:val="24"/>
                <w:szCs w:val="24"/>
                <w:shd w:val="clear" w:color="auto" w:fill="FFFFFF"/>
              </w:rPr>
              <w:t>监测类</w:t>
            </w:r>
            <w:r>
              <w:rPr>
                <w:rFonts w:hint="eastAsia" w:cs="仿宋_GB2312" w:asciiTheme="minorEastAsia" w:hAnsiTheme="minorEastAsia"/>
                <w:b/>
                <w:color w:val="000000" w:themeColor="text1"/>
                <w:sz w:val="24"/>
                <w:szCs w:val="24"/>
                <w:lang w:val="zh-CN"/>
              </w:rPr>
              <w:t>项目。</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4" w:type="dxa"/>
            <w:vMerge w:val="continue"/>
            <w:tcBorders>
              <w:left w:val="single" w:color="auto" w:sz="4" w:space="0"/>
              <w:right w:val="single" w:color="auto" w:sz="4" w:space="0"/>
            </w:tcBorders>
            <w:vAlign w:val="center"/>
          </w:tcPr>
          <w:p>
            <w:pPr>
              <w:spacing w:line="360" w:lineRule="auto"/>
              <w:rPr>
                <w:rFonts w:asciiTheme="minorEastAsia" w:hAnsiTheme="minorEastAsia"/>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投标文件的</w:t>
            </w:r>
          </w:p>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规范程度</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1、投标文件的编制符合招标文件的规定，装订整齐规范的，得</w:t>
            </w:r>
            <w:r>
              <w:rPr>
                <w:rFonts w:hint="eastAsia" w:cs="仿宋_GB2312" w:asciiTheme="minorEastAsia" w:hAnsiTheme="minorEastAsia"/>
                <w:bCs/>
                <w:color w:val="000000" w:themeColor="text1"/>
                <w:sz w:val="24"/>
                <w:szCs w:val="24"/>
              </w:rPr>
              <w:t>2</w:t>
            </w:r>
            <w:r>
              <w:rPr>
                <w:rFonts w:hint="eastAsia" w:cs="仿宋_GB2312" w:asciiTheme="minorEastAsia" w:hAnsiTheme="minorEastAsia"/>
                <w:bCs/>
                <w:color w:val="000000" w:themeColor="text1"/>
                <w:sz w:val="24"/>
                <w:szCs w:val="24"/>
                <w:lang w:val="zh-CN"/>
              </w:rPr>
              <w:t>分；不满足不得分。</w:t>
            </w:r>
          </w:p>
          <w:p>
            <w:pPr>
              <w:spacing w:line="360" w:lineRule="auto"/>
              <w:rPr>
                <w:rFonts w:cs="仿宋_GB2312" w:asciiTheme="minorEastAsia" w:hAnsiTheme="minorEastAsia"/>
                <w:b/>
                <w:color w:val="000000" w:themeColor="text1"/>
                <w:sz w:val="24"/>
                <w:szCs w:val="24"/>
                <w:lang w:val="zh-CN"/>
              </w:rPr>
            </w:pPr>
            <w:r>
              <w:rPr>
                <w:rFonts w:hint="eastAsia" w:cs="仿宋_GB2312" w:asciiTheme="minorEastAsia" w:hAnsiTheme="minorEastAsia"/>
                <w:bCs/>
                <w:color w:val="000000" w:themeColor="text1"/>
                <w:sz w:val="24"/>
                <w:szCs w:val="24"/>
                <w:lang w:val="zh-CN"/>
              </w:rPr>
              <w:t>2、投标人编制投标文件逻辑严紧、描述规范、无文字错误的，得</w:t>
            </w:r>
            <w:r>
              <w:rPr>
                <w:rFonts w:hint="eastAsia" w:cs="仿宋_GB2312" w:asciiTheme="minorEastAsia" w:hAnsiTheme="minorEastAsia"/>
                <w:bCs/>
                <w:color w:val="000000" w:themeColor="text1"/>
                <w:sz w:val="24"/>
                <w:szCs w:val="24"/>
              </w:rPr>
              <w:t>3</w:t>
            </w:r>
            <w:r>
              <w:rPr>
                <w:rFonts w:hint="eastAsia" w:cs="仿宋_GB2312" w:asciiTheme="minorEastAsia" w:hAnsiTheme="minorEastAsia"/>
                <w:bCs/>
                <w:color w:val="000000" w:themeColor="text1"/>
                <w:sz w:val="24"/>
                <w:szCs w:val="24"/>
                <w:lang w:val="zh-CN"/>
              </w:rPr>
              <w:t>分；不满足不得分。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4" w:type="dxa"/>
            <w:vMerge w:val="continue"/>
            <w:tcBorders>
              <w:left w:val="single" w:color="auto" w:sz="4" w:space="0"/>
              <w:right w:val="single" w:color="auto" w:sz="4" w:space="0"/>
            </w:tcBorders>
            <w:vAlign w:val="center"/>
          </w:tcPr>
          <w:p>
            <w:pPr>
              <w:spacing w:line="360" w:lineRule="auto"/>
              <w:rPr>
                <w:rFonts w:asciiTheme="minorEastAsia" w:hAnsiTheme="minorEastAsia"/>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lang w:val="zh-CN"/>
              </w:rPr>
              <w:t>服务计划及承诺</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1.评标委员会根据各供应商编制的服务计划进行对比打分。好，</w:t>
            </w:r>
            <w:r>
              <w:rPr>
                <w:rFonts w:hint="eastAsia" w:cs="仿宋_GB2312" w:asciiTheme="minorEastAsia" w:hAnsiTheme="minorEastAsia"/>
                <w:bCs/>
                <w:color w:val="000000" w:themeColor="text1"/>
                <w:sz w:val="24"/>
                <w:szCs w:val="24"/>
              </w:rPr>
              <w:t>5</w:t>
            </w:r>
            <w:r>
              <w:rPr>
                <w:rFonts w:hint="eastAsia" w:cs="仿宋_GB2312" w:asciiTheme="minorEastAsia" w:hAnsiTheme="minorEastAsia"/>
                <w:bCs/>
                <w:color w:val="000000" w:themeColor="text1"/>
                <w:sz w:val="24"/>
                <w:szCs w:val="24"/>
                <w:lang w:val="zh-CN"/>
              </w:rPr>
              <w:t>分；较好，</w:t>
            </w:r>
            <w:r>
              <w:rPr>
                <w:rFonts w:hint="eastAsia" w:cs="仿宋_GB2312" w:asciiTheme="minorEastAsia" w:hAnsiTheme="minorEastAsia"/>
                <w:bCs/>
                <w:color w:val="000000" w:themeColor="text1"/>
                <w:sz w:val="24"/>
                <w:szCs w:val="24"/>
              </w:rPr>
              <w:t>3</w:t>
            </w:r>
            <w:r>
              <w:rPr>
                <w:rFonts w:hint="eastAsia" w:cs="仿宋_GB2312" w:asciiTheme="minorEastAsia" w:hAnsiTheme="minorEastAsia"/>
                <w:bCs/>
                <w:color w:val="000000" w:themeColor="text1"/>
                <w:sz w:val="24"/>
                <w:szCs w:val="24"/>
                <w:lang w:val="zh-CN"/>
              </w:rPr>
              <w:t>分；一般，2分。缺项得0分。</w:t>
            </w:r>
          </w:p>
          <w:p>
            <w:pPr>
              <w:spacing w:line="360" w:lineRule="auto"/>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2.评标委员会根据各供应商做出的各项服务承诺，从其承诺的内容区分档次打分。好，</w:t>
            </w:r>
            <w:r>
              <w:rPr>
                <w:rFonts w:hint="eastAsia" w:cs="仿宋_GB2312" w:asciiTheme="minorEastAsia" w:hAnsiTheme="minorEastAsia"/>
                <w:bCs/>
                <w:color w:val="000000" w:themeColor="text1"/>
                <w:sz w:val="24"/>
                <w:szCs w:val="24"/>
              </w:rPr>
              <w:t>5</w:t>
            </w:r>
            <w:r>
              <w:rPr>
                <w:rFonts w:hint="eastAsia" w:cs="仿宋_GB2312" w:asciiTheme="minorEastAsia" w:hAnsiTheme="minorEastAsia"/>
                <w:bCs/>
                <w:color w:val="000000" w:themeColor="text1"/>
                <w:sz w:val="24"/>
                <w:szCs w:val="24"/>
                <w:lang w:val="zh-CN"/>
              </w:rPr>
              <w:t>分；较好，</w:t>
            </w:r>
            <w:r>
              <w:rPr>
                <w:rFonts w:hint="eastAsia" w:cs="仿宋_GB2312" w:asciiTheme="minorEastAsia" w:hAnsiTheme="minorEastAsia"/>
                <w:bCs/>
                <w:color w:val="000000" w:themeColor="text1"/>
                <w:sz w:val="24"/>
                <w:szCs w:val="24"/>
              </w:rPr>
              <w:t>3</w:t>
            </w:r>
            <w:r>
              <w:rPr>
                <w:rFonts w:hint="eastAsia" w:cs="仿宋_GB2312" w:asciiTheme="minorEastAsia" w:hAnsiTheme="minorEastAsia"/>
                <w:bCs/>
                <w:color w:val="000000" w:themeColor="text1"/>
                <w:sz w:val="24"/>
                <w:szCs w:val="24"/>
                <w:lang w:val="zh-CN"/>
              </w:rPr>
              <w:t>分；一般，2分。缺项得0分。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4" w:type="dxa"/>
            <w:vMerge w:val="restart"/>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技术部分</w:t>
            </w:r>
          </w:p>
          <w:p>
            <w:pPr>
              <w:spacing w:line="360" w:lineRule="auto"/>
              <w:jc w:val="center"/>
              <w:rPr>
                <w:rFonts w:asciiTheme="minorEastAsia" w:hAnsiTheme="minorEastAsia"/>
                <w:sz w:val="24"/>
                <w:szCs w:val="24"/>
              </w:rPr>
            </w:pPr>
            <w:r>
              <w:rPr>
                <w:rFonts w:hint="eastAsia" w:asciiTheme="minorEastAsia" w:hAnsiTheme="minorEastAsia"/>
                <w:sz w:val="24"/>
                <w:szCs w:val="24"/>
              </w:rPr>
              <w:t>（32分）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asciiTheme="minorEastAsia" w:hAnsiTheme="minorEastAsia"/>
                <w:sz w:val="24"/>
                <w:szCs w:val="24"/>
              </w:rPr>
            </w:pPr>
            <w:r>
              <w:rPr>
                <w:rFonts w:hint="eastAsia" w:cs="仿宋_GB2312" w:asciiTheme="minorEastAsia" w:hAnsiTheme="minorEastAsia"/>
                <w:bCs/>
                <w:color w:val="000000" w:themeColor="text1"/>
                <w:sz w:val="24"/>
                <w:szCs w:val="24"/>
                <w:lang w:val="zh-CN"/>
              </w:rPr>
              <w:t>对招标文件的响应程度</w:t>
            </w:r>
          </w:p>
        </w:tc>
        <w:tc>
          <w:tcPr>
            <w:tcW w:w="632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cs="仿宋_GB2312" w:asciiTheme="minorEastAsia" w:hAnsiTheme="minorEastAsia"/>
                <w:bCs/>
                <w:color w:val="000000" w:themeColor="text1"/>
                <w:sz w:val="24"/>
                <w:szCs w:val="24"/>
                <w:lang w:val="zh-CN"/>
              </w:rPr>
            </w:pPr>
            <w:r>
              <w:rPr>
                <w:rFonts w:hint="eastAsia" w:cs="仿宋_GB2312" w:asciiTheme="minorEastAsia" w:hAnsiTheme="minorEastAsia"/>
                <w:bCs/>
                <w:color w:val="000000" w:themeColor="text1"/>
                <w:sz w:val="24"/>
                <w:szCs w:val="24"/>
                <w:lang w:val="zh-CN"/>
              </w:rPr>
              <w:t>综合比较对招标文件技术要求的响应程度，未实质性响应的为无效投标。</w:t>
            </w:r>
          </w:p>
          <w:p>
            <w:pPr>
              <w:spacing w:line="360" w:lineRule="auto"/>
              <w:ind w:firstLine="240" w:firstLineChars="100"/>
              <w:rPr>
                <w:rFonts w:cs="Times New Roman" w:asciiTheme="minorEastAsia" w:hAnsiTheme="minorEastAsia"/>
                <w:sz w:val="24"/>
                <w:szCs w:val="24"/>
              </w:rPr>
            </w:pPr>
            <w:r>
              <w:rPr>
                <w:rFonts w:hint="eastAsia" w:cs="仿宋_GB2312" w:asciiTheme="minorEastAsia" w:hAnsiTheme="minorEastAsia"/>
                <w:bCs/>
                <w:color w:val="000000" w:themeColor="text1"/>
                <w:sz w:val="24"/>
                <w:szCs w:val="24"/>
                <w:lang w:val="zh-CN"/>
              </w:rPr>
              <w:t>完全响应者得7-10分，有相关描述者得3-7分，不提供者不得分，本项最高得10分。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4"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sz w:val="24"/>
                <w:szCs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项目实施方案</w:t>
            </w:r>
          </w:p>
        </w:tc>
        <w:tc>
          <w:tcPr>
            <w:tcW w:w="63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sz w:val="24"/>
                <w:szCs w:val="24"/>
              </w:rPr>
            </w:pPr>
            <w:r>
              <w:rPr>
                <w:rFonts w:hint="eastAsia" w:asciiTheme="minorEastAsia" w:hAnsiTheme="minorEastAsia"/>
                <w:sz w:val="24"/>
                <w:szCs w:val="24"/>
              </w:rPr>
              <w:t>（1）方案重点、难点突出，解决方案科学、合理（1-6分）；</w:t>
            </w:r>
          </w:p>
          <w:p>
            <w:pPr>
              <w:snapToGrid w:val="0"/>
              <w:spacing w:line="360" w:lineRule="auto"/>
              <w:rPr>
                <w:rFonts w:asciiTheme="minorEastAsia" w:hAnsiTheme="minorEastAsia"/>
                <w:sz w:val="24"/>
                <w:szCs w:val="24"/>
              </w:rPr>
            </w:pPr>
            <w:r>
              <w:rPr>
                <w:rFonts w:hint="eastAsia" w:asciiTheme="minorEastAsia" w:hAnsiTheme="minorEastAsia"/>
                <w:sz w:val="24"/>
                <w:szCs w:val="24"/>
              </w:rPr>
              <w:t>（2）检测、抽检方式科学、准确、切实可行（1-6分）；</w:t>
            </w:r>
          </w:p>
          <w:p>
            <w:pPr>
              <w:snapToGrid w:val="0"/>
              <w:spacing w:line="360" w:lineRule="auto"/>
              <w:rPr>
                <w:rFonts w:asciiTheme="minorEastAsia" w:hAnsiTheme="minorEastAsia"/>
                <w:sz w:val="24"/>
                <w:szCs w:val="24"/>
              </w:rPr>
            </w:pPr>
            <w:r>
              <w:rPr>
                <w:rFonts w:hint="eastAsia" w:asciiTheme="minorEastAsia" w:hAnsiTheme="minorEastAsia"/>
                <w:sz w:val="24"/>
                <w:szCs w:val="24"/>
              </w:rPr>
              <w:t>（3）方案内容详细、完整、全面（1-6分）；</w:t>
            </w:r>
          </w:p>
          <w:p>
            <w:pPr>
              <w:snapToGrid w:val="0"/>
              <w:spacing w:line="360" w:lineRule="auto"/>
              <w:rPr>
                <w:rFonts w:asciiTheme="minorEastAsia" w:hAnsiTheme="minorEastAsia"/>
                <w:sz w:val="24"/>
                <w:szCs w:val="24"/>
              </w:rPr>
            </w:pPr>
            <w:r>
              <w:rPr>
                <w:rFonts w:hint="eastAsia" w:asciiTheme="minorEastAsia" w:hAnsiTheme="minorEastAsia"/>
                <w:sz w:val="24"/>
                <w:szCs w:val="24"/>
              </w:rPr>
              <w:t>（4）实施方案的安排优于项目需求（1-4分）；</w:t>
            </w:r>
          </w:p>
          <w:p>
            <w:pPr>
              <w:snapToGrid w:val="0"/>
              <w:spacing w:line="360" w:lineRule="auto"/>
              <w:ind w:firstLine="480" w:firstLineChars="200"/>
              <w:rPr>
                <w:rFonts w:asciiTheme="minorEastAsia" w:hAnsiTheme="minorEastAsia"/>
                <w:sz w:val="24"/>
                <w:szCs w:val="24"/>
              </w:rPr>
            </w:pPr>
            <w:r>
              <w:rPr>
                <w:rFonts w:hint="eastAsia" w:cs="Arial" w:asciiTheme="minorEastAsia" w:hAnsiTheme="minorEastAsia"/>
                <w:sz w:val="24"/>
                <w:szCs w:val="24"/>
              </w:rPr>
              <w:t>评标委员会依据各投标人实施方案的详实程度对各投标人进行横向比较后在上述规定的分值区间内进行打分，如有缺项，则该项为零分）。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22</w:t>
            </w:r>
          </w:p>
        </w:tc>
      </w:tr>
    </w:tbl>
    <w:p>
      <w:pPr>
        <w:spacing w:line="360" w:lineRule="auto"/>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326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宋体" w:hAnsi="宋体"/>
                <w:b/>
                <w:sz w:val="24"/>
                <w:szCs w:val="24"/>
                <w:lang w:val="en-GB"/>
              </w:rPr>
            </w:pPr>
            <w:r>
              <w:rPr>
                <w:rFonts w:hint="eastAsia" w:ascii="宋体" w:hAnsi="宋体"/>
                <w:b/>
                <w:sz w:val="24"/>
                <w:szCs w:val="24"/>
                <w:lang w:val="en-GB"/>
              </w:rPr>
              <w:t>序号</w:t>
            </w:r>
          </w:p>
        </w:tc>
        <w:tc>
          <w:tcPr>
            <w:tcW w:w="2835" w:type="dxa"/>
            <w:vAlign w:val="center"/>
          </w:tcPr>
          <w:p>
            <w:pPr>
              <w:spacing w:line="360" w:lineRule="auto"/>
              <w:jc w:val="center"/>
              <w:rPr>
                <w:rFonts w:ascii="宋体" w:hAnsi="宋体"/>
                <w:b/>
                <w:sz w:val="24"/>
                <w:szCs w:val="24"/>
                <w:lang w:val="en-GB"/>
              </w:rPr>
            </w:pPr>
            <w:r>
              <w:rPr>
                <w:rFonts w:hint="eastAsia" w:ascii="宋体" w:hAnsi="宋体"/>
                <w:b/>
                <w:sz w:val="24"/>
                <w:szCs w:val="24"/>
                <w:lang w:val="en-GB"/>
              </w:rPr>
              <w:t>情形</w:t>
            </w:r>
          </w:p>
        </w:tc>
        <w:tc>
          <w:tcPr>
            <w:tcW w:w="3261" w:type="dxa"/>
            <w:vAlign w:val="center"/>
          </w:tcPr>
          <w:p>
            <w:pPr>
              <w:spacing w:line="360" w:lineRule="auto"/>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976" w:type="dxa"/>
            <w:vAlign w:val="center"/>
          </w:tcPr>
          <w:p>
            <w:pPr>
              <w:spacing w:line="360" w:lineRule="auto"/>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09" w:type="dxa"/>
            <w:vAlign w:val="center"/>
          </w:tcPr>
          <w:p>
            <w:pPr>
              <w:spacing w:line="360" w:lineRule="auto"/>
              <w:jc w:val="center"/>
              <w:rPr>
                <w:rFonts w:ascii="宋体" w:hAnsi="宋体"/>
                <w:b/>
                <w:sz w:val="24"/>
                <w:szCs w:val="24"/>
                <w:lang w:val="en-GB"/>
              </w:rPr>
            </w:pPr>
            <w:r>
              <w:rPr>
                <w:rFonts w:hint="eastAsia" w:ascii="宋体" w:hAnsi="宋体"/>
                <w:b/>
                <w:sz w:val="24"/>
                <w:szCs w:val="24"/>
                <w:lang w:val="en-GB"/>
              </w:rPr>
              <w:t>1</w:t>
            </w:r>
          </w:p>
        </w:tc>
        <w:tc>
          <w:tcPr>
            <w:tcW w:w="2835" w:type="dxa"/>
            <w:vAlign w:val="center"/>
          </w:tcPr>
          <w:p>
            <w:pPr>
              <w:spacing w:line="360" w:lineRule="auto"/>
              <w:jc w:val="center"/>
              <w:rPr>
                <w:rFonts w:ascii="宋体" w:hAnsi="宋体"/>
                <w:sz w:val="24"/>
                <w:szCs w:val="24"/>
                <w:lang w:val="en-GB"/>
              </w:rPr>
            </w:pPr>
            <w:r>
              <w:rPr>
                <w:rFonts w:hint="eastAsia" w:ascii="宋体" w:hAnsi="宋体"/>
                <w:sz w:val="24"/>
                <w:szCs w:val="24"/>
                <w:lang w:val="en-GB"/>
              </w:rPr>
              <w:t>非联合体投标人</w:t>
            </w:r>
          </w:p>
          <w:p>
            <w:pPr>
              <w:spacing w:line="360" w:lineRule="auto"/>
              <w:jc w:val="center"/>
              <w:rPr>
                <w:rFonts w:ascii="宋体" w:hAnsi="宋体"/>
                <w:b/>
                <w:sz w:val="24"/>
                <w:szCs w:val="24"/>
                <w:lang w:val="en-GB"/>
              </w:rPr>
            </w:pPr>
            <w:r>
              <w:rPr>
                <w:rFonts w:hint="eastAsia" w:ascii="宋体" w:hAnsi="宋体"/>
                <w:sz w:val="24"/>
                <w:szCs w:val="24"/>
                <w:lang w:val="en-GB"/>
              </w:rPr>
              <w:t>（投标人须为中小企业）</w:t>
            </w:r>
          </w:p>
        </w:tc>
        <w:tc>
          <w:tcPr>
            <w:tcW w:w="3261" w:type="dxa"/>
            <w:vAlign w:val="center"/>
          </w:tcPr>
          <w:p>
            <w:pPr>
              <w:spacing w:line="360" w:lineRule="auto"/>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976" w:type="dxa"/>
            <w:vMerge w:val="restart"/>
            <w:shd w:val="clear" w:color="auto" w:fill="auto"/>
            <w:vAlign w:val="center"/>
          </w:tcPr>
          <w:p>
            <w:pPr>
              <w:spacing w:line="360" w:lineRule="auto"/>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spacing w:line="360" w:lineRule="auto"/>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09" w:type="dxa"/>
            <w:vAlign w:val="center"/>
          </w:tcPr>
          <w:p>
            <w:pPr>
              <w:spacing w:line="360" w:lineRule="auto"/>
              <w:jc w:val="center"/>
              <w:rPr>
                <w:rFonts w:ascii="宋体" w:hAnsi="宋体"/>
                <w:b/>
                <w:sz w:val="24"/>
                <w:szCs w:val="24"/>
                <w:lang w:val="en-GB"/>
              </w:rPr>
            </w:pPr>
            <w:r>
              <w:rPr>
                <w:rFonts w:hint="eastAsia" w:ascii="宋体" w:hAnsi="宋体"/>
                <w:b/>
                <w:sz w:val="24"/>
                <w:szCs w:val="24"/>
                <w:lang w:val="en-GB"/>
              </w:rPr>
              <w:t>2</w:t>
            </w:r>
          </w:p>
        </w:tc>
        <w:tc>
          <w:tcPr>
            <w:tcW w:w="2835" w:type="dxa"/>
            <w:vAlign w:val="center"/>
          </w:tcPr>
          <w:p>
            <w:pPr>
              <w:spacing w:line="360" w:lineRule="auto"/>
              <w:jc w:val="center"/>
              <w:rPr>
                <w:rFonts w:ascii="宋体" w:hAnsi="宋体"/>
                <w:b/>
                <w:sz w:val="24"/>
                <w:szCs w:val="24"/>
              </w:rPr>
            </w:pPr>
            <w:r>
              <w:rPr>
                <w:rFonts w:hint="eastAsia" w:ascii="宋体" w:hAnsi="宋体"/>
                <w:sz w:val="24"/>
                <w:szCs w:val="24"/>
                <w:lang w:val="en-GB"/>
              </w:rPr>
              <w:t>联合体各方均为小型、微型企业</w:t>
            </w:r>
          </w:p>
        </w:tc>
        <w:tc>
          <w:tcPr>
            <w:tcW w:w="3261" w:type="dxa"/>
            <w:vAlign w:val="center"/>
          </w:tcPr>
          <w:p>
            <w:pPr>
              <w:spacing w:line="360" w:lineRule="auto"/>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spacing w:line="360" w:lineRule="auto"/>
              <w:jc w:val="center"/>
              <w:rPr>
                <w:rFonts w:ascii="宋体" w:hAnsi="宋体"/>
                <w:b/>
                <w:sz w:val="24"/>
                <w:szCs w:val="24"/>
                <w:lang w:val="en-GB"/>
              </w:rPr>
            </w:pPr>
            <w:r>
              <w:rPr>
                <w:rFonts w:hint="eastAsia" w:ascii="宋体" w:hAnsi="宋体"/>
                <w:sz w:val="24"/>
                <w:szCs w:val="24"/>
              </w:rPr>
              <w:t>（不再享受序号3的价格折扣）</w:t>
            </w:r>
          </w:p>
        </w:tc>
        <w:tc>
          <w:tcPr>
            <w:tcW w:w="2976" w:type="dxa"/>
            <w:vMerge w:val="continue"/>
            <w:shd w:val="clear" w:color="auto" w:fill="auto"/>
          </w:tcPr>
          <w:p>
            <w:pPr>
              <w:spacing w:line="360" w:lineRule="auto"/>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09" w:type="dxa"/>
            <w:vAlign w:val="center"/>
          </w:tcPr>
          <w:p>
            <w:pPr>
              <w:spacing w:line="360" w:lineRule="auto"/>
              <w:jc w:val="center"/>
              <w:rPr>
                <w:rFonts w:ascii="宋体" w:hAnsi="宋体"/>
                <w:b/>
                <w:sz w:val="24"/>
                <w:szCs w:val="24"/>
                <w:lang w:val="en-GB"/>
              </w:rPr>
            </w:pPr>
            <w:r>
              <w:rPr>
                <w:rFonts w:hint="eastAsia" w:ascii="宋体" w:hAnsi="宋体"/>
                <w:b/>
                <w:sz w:val="24"/>
                <w:szCs w:val="24"/>
                <w:lang w:val="en-GB"/>
              </w:rPr>
              <w:t>3</w:t>
            </w:r>
          </w:p>
        </w:tc>
        <w:tc>
          <w:tcPr>
            <w:tcW w:w="2835" w:type="dxa"/>
            <w:vAlign w:val="center"/>
          </w:tcPr>
          <w:p>
            <w:pPr>
              <w:spacing w:line="360" w:lineRule="auto"/>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3261" w:type="dxa"/>
            <w:vAlign w:val="center"/>
          </w:tcPr>
          <w:p>
            <w:pPr>
              <w:spacing w:line="360" w:lineRule="auto"/>
              <w:jc w:val="center"/>
              <w:rPr>
                <w:rFonts w:ascii="宋体" w:hAnsi="宋体"/>
                <w:sz w:val="24"/>
                <w:szCs w:val="24"/>
                <w:lang w:val="en-GB"/>
              </w:rPr>
            </w:pPr>
            <w:r>
              <w:rPr>
                <w:rFonts w:hint="eastAsia" w:ascii="宋体" w:hAnsi="宋体"/>
                <w:sz w:val="24"/>
                <w:szCs w:val="24"/>
                <w:lang w:val="en-GB"/>
              </w:rPr>
              <w:t>对联合体总金额扣除</w:t>
            </w:r>
          </w:p>
          <w:p>
            <w:pPr>
              <w:spacing w:line="360" w:lineRule="auto"/>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976" w:type="dxa"/>
            <w:shd w:val="clear" w:color="auto" w:fill="auto"/>
            <w:vAlign w:val="center"/>
          </w:tcPr>
          <w:p>
            <w:pPr>
              <w:spacing w:line="360" w:lineRule="auto"/>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spacing w:line="360" w:lineRule="auto"/>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09" w:type="dxa"/>
            <w:vAlign w:val="center"/>
          </w:tcPr>
          <w:p>
            <w:pPr>
              <w:spacing w:line="360" w:lineRule="auto"/>
              <w:jc w:val="center"/>
              <w:rPr>
                <w:rFonts w:ascii="宋体" w:hAnsi="宋体"/>
                <w:b/>
                <w:sz w:val="24"/>
                <w:szCs w:val="24"/>
                <w:lang w:val="en-GB"/>
              </w:rPr>
            </w:pPr>
            <w:r>
              <w:rPr>
                <w:rFonts w:hint="eastAsia" w:ascii="宋体" w:hAnsi="宋体"/>
                <w:b/>
                <w:sz w:val="24"/>
                <w:szCs w:val="24"/>
                <w:lang w:val="en-GB"/>
              </w:rPr>
              <w:t>4</w:t>
            </w:r>
          </w:p>
        </w:tc>
        <w:tc>
          <w:tcPr>
            <w:tcW w:w="2835" w:type="dxa"/>
            <w:vAlign w:val="center"/>
          </w:tcPr>
          <w:p>
            <w:pPr>
              <w:spacing w:line="360" w:lineRule="auto"/>
              <w:jc w:val="center"/>
              <w:rPr>
                <w:rFonts w:ascii="宋体" w:hAnsi="宋体"/>
                <w:sz w:val="24"/>
                <w:szCs w:val="24"/>
                <w:lang w:val="en-GB"/>
              </w:rPr>
            </w:pPr>
            <w:r>
              <w:rPr>
                <w:rFonts w:hint="eastAsia" w:ascii="宋体" w:hAnsi="宋体"/>
                <w:sz w:val="24"/>
                <w:szCs w:val="24"/>
                <w:lang w:val="en-GB"/>
              </w:rPr>
              <w:t>监狱企业</w:t>
            </w:r>
          </w:p>
        </w:tc>
        <w:tc>
          <w:tcPr>
            <w:tcW w:w="3261" w:type="dxa"/>
            <w:vAlign w:val="center"/>
          </w:tcPr>
          <w:p>
            <w:pPr>
              <w:spacing w:line="360" w:lineRule="auto"/>
              <w:jc w:val="center"/>
              <w:rPr>
                <w:rFonts w:ascii="宋体" w:hAnsi="宋体"/>
                <w:sz w:val="24"/>
                <w:szCs w:val="24"/>
                <w:lang w:val="en-GB"/>
              </w:rPr>
            </w:pPr>
            <w:r>
              <w:rPr>
                <w:rFonts w:hint="eastAsia" w:ascii="宋体" w:hAnsi="宋体"/>
                <w:sz w:val="24"/>
                <w:szCs w:val="24"/>
                <w:lang w:val="en-GB"/>
              </w:rPr>
              <w:t>视同小型、微型企业</w:t>
            </w:r>
          </w:p>
          <w:p>
            <w:pPr>
              <w:spacing w:line="360" w:lineRule="auto"/>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976" w:type="dxa"/>
            <w:shd w:val="clear" w:color="auto" w:fill="auto"/>
            <w:vAlign w:val="center"/>
          </w:tcPr>
          <w:p>
            <w:pPr>
              <w:spacing w:line="360" w:lineRule="auto"/>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09" w:type="dxa"/>
            <w:vAlign w:val="center"/>
          </w:tcPr>
          <w:p>
            <w:pPr>
              <w:spacing w:line="360" w:lineRule="auto"/>
              <w:jc w:val="center"/>
              <w:rPr>
                <w:rFonts w:ascii="宋体" w:hAnsi="宋体"/>
                <w:b/>
                <w:sz w:val="24"/>
                <w:szCs w:val="24"/>
                <w:lang w:val="en-GB"/>
              </w:rPr>
            </w:pPr>
            <w:r>
              <w:rPr>
                <w:rFonts w:hint="eastAsia" w:ascii="宋体" w:hAnsi="宋体"/>
                <w:b/>
                <w:sz w:val="24"/>
                <w:szCs w:val="24"/>
                <w:lang w:val="en-GB"/>
              </w:rPr>
              <w:t>5</w:t>
            </w:r>
          </w:p>
        </w:tc>
        <w:tc>
          <w:tcPr>
            <w:tcW w:w="2835" w:type="dxa"/>
            <w:vAlign w:val="center"/>
          </w:tcPr>
          <w:p>
            <w:pPr>
              <w:spacing w:line="360" w:lineRule="auto"/>
              <w:jc w:val="center"/>
              <w:rPr>
                <w:rFonts w:ascii="宋体" w:hAnsi="宋体"/>
                <w:sz w:val="24"/>
                <w:szCs w:val="24"/>
                <w:lang w:val="en-GB"/>
              </w:rPr>
            </w:pPr>
            <w:r>
              <w:rPr>
                <w:rFonts w:hint="eastAsia" w:ascii="宋体" w:hAnsi="宋体"/>
                <w:sz w:val="24"/>
                <w:szCs w:val="24"/>
                <w:lang w:val="en-GB"/>
              </w:rPr>
              <w:t>残疾人福利性单位</w:t>
            </w:r>
          </w:p>
        </w:tc>
        <w:tc>
          <w:tcPr>
            <w:tcW w:w="3261" w:type="dxa"/>
            <w:vAlign w:val="center"/>
          </w:tcPr>
          <w:p>
            <w:pPr>
              <w:spacing w:line="360" w:lineRule="auto"/>
              <w:jc w:val="center"/>
              <w:rPr>
                <w:rFonts w:ascii="宋体" w:hAnsi="宋体"/>
                <w:sz w:val="24"/>
                <w:szCs w:val="24"/>
                <w:lang w:val="en-GB"/>
              </w:rPr>
            </w:pPr>
            <w:r>
              <w:rPr>
                <w:rFonts w:hint="eastAsia" w:ascii="宋体" w:hAnsi="宋体"/>
                <w:sz w:val="24"/>
                <w:szCs w:val="24"/>
                <w:lang w:val="en-GB"/>
              </w:rPr>
              <w:t>视同小型、微型企业</w:t>
            </w:r>
          </w:p>
          <w:p>
            <w:pPr>
              <w:spacing w:line="360" w:lineRule="auto"/>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976" w:type="dxa"/>
            <w:shd w:val="clear" w:color="auto" w:fill="auto"/>
            <w:vAlign w:val="center"/>
          </w:tcPr>
          <w:p>
            <w:pPr>
              <w:spacing w:line="360" w:lineRule="auto"/>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978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检验检测机构资质认定证书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gridSpan w:val="3"/>
            <w:tcBorders>
              <w:top w:val="single" w:color="auto" w:sz="4"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纳税证明（纳税凭据复印件）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rPr>
              <w:t>5</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服务期限（年）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在此提交的投标文件，正本一份，副本一份。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60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1"/>
        <w:spacing w:line="480" w:lineRule="auto"/>
        <w:ind w:firstLine="540" w:firstLineChars="225"/>
        <w:jc w:val="left"/>
        <w:rPr>
          <w:rFonts w:asciiTheme="minorEastAsia" w:hAnsiTheme="minorEastAsia"/>
          <w:szCs w:val="24"/>
        </w:rPr>
      </w:pPr>
    </w:p>
    <w:p>
      <w:pPr>
        <w:pStyle w:val="41"/>
        <w:spacing w:line="480" w:lineRule="auto"/>
        <w:ind w:firstLine="540" w:firstLineChars="225"/>
        <w:jc w:val="left"/>
        <w:rPr>
          <w:rFonts w:asciiTheme="minorEastAsia" w:hAnsiTheme="minorEastAsia"/>
          <w:szCs w:val="24"/>
        </w:rPr>
      </w:pPr>
    </w:p>
    <w:p>
      <w:pPr>
        <w:pStyle w:val="4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4"/>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业绩情况表</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9"/>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服务计划及承诺</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spacing w:line="360" w:lineRule="auto"/>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中小企业声明函</w:t>
      </w:r>
    </w:p>
    <w:p>
      <w:pPr>
        <w:spacing w:line="360" w:lineRule="auto"/>
        <w:jc w:val="center"/>
        <w:rPr>
          <w:rFonts w:ascii="宋体" w:hAnsi="宋体"/>
          <w:b/>
          <w:bCs/>
          <w:sz w:val="24"/>
          <w:szCs w:val="24"/>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2"/>
        <w:ind w:firstLine="340"/>
      </w:pPr>
    </w:p>
    <w:p>
      <w:pPr>
        <w:autoSpaceDE w:val="0"/>
        <w:autoSpaceDN w:val="0"/>
        <w:adjustRightInd w:val="0"/>
        <w:spacing w:line="360" w:lineRule="auto"/>
        <w:jc w:val="center"/>
        <w:outlineLvl w:val="0"/>
        <w:rPr>
          <w:rFonts w:ascii="宋体" w:hAnsi="宋体"/>
          <w:b/>
          <w:bCs/>
          <w:sz w:val="24"/>
          <w:szCs w:val="24"/>
        </w:rPr>
      </w:pPr>
      <w:bookmarkStart w:id="7" w:name="OLE_LINK14"/>
      <w:bookmarkStart w:id="8" w:name="OLE_LINK13"/>
      <w:r>
        <w:rPr>
          <w:rFonts w:hint="eastAsia" w:ascii="宋体" w:hAnsi="宋体"/>
          <w:b/>
          <w:bCs/>
          <w:sz w:val="24"/>
          <w:szCs w:val="24"/>
        </w:rPr>
        <w:t>4.6 残疾人福利性单位声明函</w:t>
      </w:r>
    </w:p>
    <w:bookmarkEnd w:id="7"/>
    <w:bookmarkEnd w:id="8"/>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五、</w:t>
      </w:r>
      <w:r>
        <w:rPr>
          <w:rFonts w:cs="黑体" w:asciiTheme="minorEastAsia" w:hAnsiTheme="minorEastAsia"/>
          <w:b/>
          <w:bCs/>
          <w:sz w:val="24"/>
          <w:szCs w:val="24"/>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sz w:val="24"/>
          <w:szCs w:val="24"/>
        </w:rPr>
      </w:pPr>
      <w:r>
        <w:rPr>
          <w:rFonts w:ascii="宋体" w:hAnsi="宋体"/>
          <w:b/>
          <w:bCs/>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sz w:val="24"/>
          <w:szCs w:val="24"/>
        </w:rPr>
      </w:pPr>
    </w:p>
    <w:p>
      <w:pPr>
        <w:rPr>
          <w:sz w:val="24"/>
          <w:szCs w:val="24"/>
        </w:rPr>
      </w:pPr>
    </w:p>
    <w:p>
      <w:pPr>
        <w:rPr>
          <w:sz w:val="24"/>
          <w:szCs w:val="24"/>
        </w:rPr>
      </w:pPr>
    </w:p>
    <w:p>
      <w:pPr>
        <w:autoSpaceDE w:val="0"/>
        <w:autoSpaceDN w:val="0"/>
        <w:adjustRightInd w:val="0"/>
        <w:spacing w:line="360" w:lineRule="auto"/>
        <w:outlineLvl w:val="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E6F56"/>
    <w:multiLevelType w:val="singleLevel"/>
    <w:tmpl w:val="F61E6F56"/>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50"/>
      <w:suff w:val="nothing"/>
      <w:lvlText w:val="%1、"/>
      <w:lvlJc w:val="left"/>
    </w:lvl>
  </w:abstractNum>
  <w:abstractNum w:abstractNumId="6">
    <w:nsid w:val="78D67BB1"/>
    <w:multiLevelType w:val="multilevel"/>
    <w:tmpl w:val="78D67BB1"/>
    <w:lvl w:ilvl="0" w:tentative="0">
      <w:start w:val="1"/>
      <w:numFmt w:val="none"/>
      <w:lvlText w:val="一、"/>
      <w:lvlJc w:val="left"/>
      <w:pPr>
        <w:ind w:left="1202" w:hanging="720"/>
      </w:pPr>
      <w:rPr>
        <w:rFonts w:hint="default" w:cs="黑体" w:asciiTheme="minorEastAsia" w:hAnsiTheme="minorEastAsia"/>
        <w:b/>
        <w:color w:val="000000"/>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1C11"/>
    <w:rsid w:val="0000220B"/>
    <w:rsid w:val="000028B5"/>
    <w:rsid w:val="00003C00"/>
    <w:rsid w:val="00003D13"/>
    <w:rsid w:val="00006D15"/>
    <w:rsid w:val="00010A8E"/>
    <w:rsid w:val="000159BD"/>
    <w:rsid w:val="00015CB5"/>
    <w:rsid w:val="000167C9"/>
    <w:rsid w:val="00016ECB"/>
    <w:rsid w:val="00020755"/>
    <w:rsid w:val="00021BF1"/>
    <w:rsid w:val="00025E45"/>
    <w:rsid w:val="00026D60"/>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6798F"/>
    <w:rsid w:val="0007046B"/>
    <w:rsid w:val="0007075F"/>
    <w:rsid w:val="00073DCF"/>
    <w:rsid w:val="00077FF3"/>
    <w:rsid w:val="00082C6E"/>
    <w:rsid w:val="00086DE9"/>
    <w:rsid w:val="00092652"/>
    <w:rsid w:val="000936D5"/>
    <w:rsid w:val="00093BD2"/>
    <w:rsid w:val="00094806"/>
    <w:rsid w:val="000B59E9"/>
    <w:rsid w:val="000C05E8"/>
    <w:rsid w:val="000C393F"/>
    <w:rsid w:val="000C4E5E"/>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5ED9"/>
    <w:rsid w:val="001262C8"/>
    <w:rsid w:val="001276EF"/>
    <w:rsid w:val="00140426"/>
    <w:rsid w:val="00141084"/>
    <w:rsid w:val="00141B3F"/>
    <w:rsid w:val="00142385"/>
    <w:rsid w:val="00147B7D"/>
    <w:rsid w:val="00163CBE"/>
    <w:rsid w:val="001645B9"/>
    <w:rsid w:val="00165060"/>
    <w:rsid w:val="00176D2E"/>
    <w:rsid w:val="00177750"/>
    <w:rsid w:val="001829C2"/>
    <w:rsid w:val="00183EF7"/>
    <w:rsid w:val="00185ECD"/>
    <w:rsid w:val="0018761C"/>
    <w:rsid w:val="00191FB3"/>
    <w:rsid w:val="001948F5"/>
    <w:rsid w:val="00195D1B"/>
    <w:rsid w:val="001977EA"/>
    <w:rsid w:val="001A4C92"/>
    <w:rsid w:val="001A70C2"/>
    <w:rsid w:val="001B41AD"/>
    <w:rsid w:val="001B6332"/>
    <w:rsid w:val="001B7057"/>
    <w:rsid w:val="001B7C18"/>
    <w:rsid w:val="001C0F1B"/>
    <w:rsid w:val="001C309B"/>
    <w:rsid w:val="001C6C61"/>
    <w:rsid w:val="001D0627"/>
    <w:rsid w:val="001D1E1B"/>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E1"/>
    <w:rsid w:val="00216728"/>
    <w:rsid w:val="002232E0"/>
    <w:rsid w:val="00223E42"/>
    <w:rsid w:val="00226E6E"/>
    <w:rsid w:val="00235ACF"/>
    <w:rsid w:val="00235E0B"/>
    <w:rsid w:val="00240CA0"/>
    <w:rsid w:val="00243B01"/>
    <w:rsid w:val="00247570"/>
    <w:rsid w:val="00247938"/>
    <w:rsid w:val="0025544A"/>
    <w:rsid w:val="002567BE"/>
    <w:rsid w:val="00257257"/>
    <w:rsid w:val="00263C0C"/>
    <w:rsid w:val="0026422D"/>
    <w:rsid w:val="00264FDB"/>
    <w:rsid w:val="00266A53"/>
    <w:rsid w:val="00266F38"/>
    <w:rsid w:val="00270103"/>
    <w:rsid w:val="002704F0"/>
    <w:rsid w:val="0027728C"/>
    <w:rsid w:val="00281155"/>
    <w:rsid w:val="0028368C"/>
    <w:rsid w:val="00296074"/>
    <w:rsid w:val="002969B1"/>
    <w:rsid w:val="002A00B7"/>
    <w:rsid w:val="002A0347"/>
    <w:rsid w:val="002A18E5"/>
    <w:rsid w:val="002A2449"/>
    <w:rsid w:val="002A5CCE"/>
    <w:rsid w:val="002B2BE8"/>
    <w:rsid w:val="002C08BF"/>
    <w:rsid w:val="002C0C96"/>
    <w:rsid w:val="002D0D13"/>
    <w:rsid w:val="002D4B5D"/>
    <w:rsid w:val="002E3055"/>
    <w:rsid w:val="002E60F6"/>
    <w:rsid w:val="002E7082"/>
    <w:rsid w:val="002E744B"/>
    <w:rsid w:val="002F23DC"/>
    <w:rsid w:val="0030587D"/>
    <w:rsid w:val="0031527C"/>
    <w:rsid w:val="00316537"/>
    <w:rsid w:val="00316973"/>
    <w:rsid w:val="00316D67"/>
    <w:rsid w:val="00324DE2"/>
    <w:rsid w:val="00334874"/>
    <w:rsid w:val="00336815"/>
    <w:rsid w:val="00342375"/>
    <w:rsid w:val="00345108"/>
    <w:rsid w:val="00345E09"/>
    <w:rsid w:val="0035074B"/>
    <w:rsid w:val="00350E1D"/>
    <w:rsid w:val="0035386D"/>
    <w:rsid w:val="00360DAD"/>
    <w:rsid w:val="00365286"/>
    <w:rsid w:val="00365491"/>
    <w:rsid w:val="00365BDD"/>
    <w:rsid w:val="00370DFF"/>
    <w:rsid w:val="00373497"/>
    <w:rsid w:val="00380000"/>
    <w:rsid w:val="003801CA"/>
    <w:rsid w:val="00383277"/>
    <w:rsid w:val="00391CDE"/>
    <w:rsid w:val="00395302"/>
    <w:rsid w:val="003A003C"/>
    <w:rsid w:val="003A02F1"/>
    <w:rsid w:val="003A4C56"/>
    <w:rsid w:val="003B488E"/>
    <w:rsid w:val="003B5BE5"/>
    <w:rsid w:val="003B5F3C"/>
    <w:rsid w:val="003B77FE"/>
    <w:rsid w:val="003C013E"/>
    <w:rsid w:val="003C191A"/>
    <w:rsid w:val="003C669F"/>
    <w:rsid w:val="003D2A39"/>
    <w:rsid w:val="003D6EA0"/>
    <w:rsid w:val="003E4CE5"/>
    <w:rsid w:val="003E5D20"/>
    <w:rsid w:val="003E7330"/>
    <w:rsid w:val="003F635C"/>
    <w:rsid w:val="00400336"/>
    <w:rsid w:val="004040EC"/>
    <w:rsid w:val="00413DEA"/>
    <w:rsid w:val="00414D08"/>
    <w:rsid w:val="00420293"/>
    <w:rsid w:val="00421C7F"/>
    <w:rsid w:val="004224AA"/>
    <w:rsid w:val="00423593"/>
    <w:rsid w:val="00427171"/>
    <w:rsid w:val="00431A4E"/>
    <w:rsid w:val="0043314E"/>
    <w:rsid w:val="00435422"/>
    <w:rsid w:val="00435633"/>
    <w:rsid w:val="00436C3E"/>
    <w:rsid w:val="0043706F"/>
    <w:rsid w:val="00444DF8"/>
    <w:rsid w:val="00447BA9"/>
    <w:rsid w:val="00450B7E"/>
    <w:rsid w:val="004511E4"/>
    <w:rsid w:val="00452FF0"/>
    <w:rsid w:val="00454B40"/>
    <w:rsid w:val="00456AD6"/>
    <w:rsid w:val="00461772"/>
    <w:rsid w:val="0046214B"/>
    <w:rsid w:val="0046220D"/>
    <w:rsid w:val="004661DD"/>
    <w:rsid w:val="004661DE"/>
    <w:rsid w:val="004676F5"/>
    <w:rsid w:val="004713E9"/>
    <w:rsid w:val="00475975"/>
    <w:rsid w:val="00475BC1"/>
    <w:rsid w:val="004765C6"/>
    <w:rsid w:val="00477E2A"/>
    <w:rsid w:val="00481DA1"/>
    <w:rsid w:val="00483BBC"/>
    <w:rsid w:val="00485DA3"/>
    <w:rsid w:val="0049069C"/>
    <w:rsid w:val="00495562"/>
    <w:rsid w:val="004A1281"/>
    <w:rsid w:val="004A35BF"/>
    <w:rsid w:val="004A3D12"/>
    <w:rsid w:val="004A69C6"/>
    <w:rsid w:val="004B6481"/>
    <w:rsid w:val="004C00FF"/>
    <w:rsid w:val="004C15CA"/>
    <w:rsid w:val="004C2318"/>
    <w:rsid w:val="004C3610"/>
    <w:rsid w:val="004D1A38"/>
    <w:rsid w:val="004D61E7"/>
    <w:rsid w:val="004D7FCC"/>
    <w:rsid w:val="004E0CE8"/>
    <w:rsid w:val="004E3BC4"/>
    <w:rsid w:val="004E3FDE"/>
    <w:rsid w:val="004E626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46B8"/>
    <w:rsid w:val="005B6237"/>
    <w:rsid w:val="005C10B0"/>
    <w:rsid w:val="005C2157"/>
    <w:rsid w:val="005C2C3A"/>
    <w:rsid w:val="005D272E"/>
    <w:rsid w:val="005D5852"/>
    <w:rsid w:val="005D5944"/>
    <w:rsid w:val="005D5E11"/>
    <w:rsid w:val="005D77CF"/>
    <w:rsid w:val="005E0D81"/>
    <w:rsid w:val="005E1286"/>
    <w:rsid w:val="005E2C0F"/>
    <w:rsid w:val="005E4F9E"/>
    <w:rsid w:val="005E68E6"/>
    <w:rsid w:val="005E6DCD"/>
    <w:rsid w:val="005F09E9"/>
    <w:rsid w:val="005F3918"/>
    <w:rsid w:val="006010BB"/>
    <w:rsid w:val="00601DC9"/>
    <w:rsid w:val="00603BB7"/>
    <w:rsid w:val="006070B9"/>
    <w:rsid w:val="006211BD"/>
    <w:rsid w:val="00621788"/>
    <w:rsid w:val="00622134"/>
    <w:rsid w:val="00622FF6"/>
    <w:rsid w:val="006341CB"/>
    <w:rsid w:val="00636AAD"/>
    <w:rsid w:val="00637319"/>
    <w:rsid w:val="00642C0A"/>
    <w:rsid w:val="006440D4"/>
    <w:rsid w:val="00644E97"/>
    <w:rsid w:val="00647E0A"/>
    <w:rsid w:val="00650182"/>
    <w:rsid w:val="00651415"/>
    <w:rsid w:val="00651EE4"/>
    <w:rsid w:val="006556E7"/>
    <w:rsid w:val="006612EF"/>
    <w:rsid w:val="006664C7"/>
    <w:rsid w:val="006674B6"/>
    <w:rsid w:val="0066760C"/>
    <w:rsid w:val="00671218"/>
    <w:rsid w:val="00680403"/>
    <w:rsid w:val="00681A9E"/>
    <w:rsid w:val="0068441A"/>
    <w:rsid w:val="00685CAE"/>
    <w:rsid w:val="00687238"/>
    <w:rsid w:val="0069117B"/>
    <w:rsid w:val="006951C7"/>
    <w:rsid w:val="006B3B14"/>
    <w:rsid w:val="006B7399"/>
    <w:rsid w:val="006C33F0"/>
    <w:rsid w:val="006C40EF"/>
    <w:rsid w:val="006C575E"/>
    <w:rsid w:val="006D24FE"/>
    <w:rsid w:val="006D7995"/>
    <w:rsid w:val="006E09B9"/>
    <w:rsid w:val="006E1073"/>
    <w:rsid w:val="006E2C2C"/>
    <w:rsid w:val="006E5294"/>
    <w:rsid w:val="006E69A9"/>
    <w:rsid w:val="006E7D75"/>
    <w:rsid w:val="006F384F"/>
    <w:rsid w:val="006F42BD"/>
    <w:rsid w:val="006F4C1F"/>
    <w:rsid w:val="006F6735"/>
    <w:rsid w:val="00703498"/>
    <w:rsid w:val="00707517"/>
    <w:rsid w:val="00714EA5"/>
    <w:rsid w:val="00715677"/>
    <w:rsid w:val="00716754"/>
    <w:rsid w:val="00723ED1"/>
    <w:rsid w:val="0072488A"/>
    <w:rsid w:val="00727306"/>
    <w:rsid w:val="00727688"/>
    <w:rsid w:val="00730668"/>
    <w:rsid w:val="00736886"/>
    <w:rsid w:val="0073735A"/>
    <w:rsid w:val="007373E3"/>
    <w:rsid w:val="007375DA"/>
    <w:rsid w:val="00737A15"/>
    <w:rsid w:val="00737B3F"/>
    <w:rsid w:val="00742F47"/>
    <w:rsid w:val="00743379"/>
    <w:rsid w:val="007445B8"/>
    <w:rsid w:val="00750A8C"/>
    <w:rsid w:val="0075246E"/>
    <w:rsid w:val="007530A0"/>
    <w:rsid w:val="00754280"/>
    <w:rsid w:val="0075555D"/>
    <w:rsid w:val="00761164"/>
    <w:rsid w:val="007642BA"/>
    <w:rsid w:val="00765E10"/>
    <w:rsid w:val="00771B80"/>
    <w:rsid w:val="00773878"/>
    <w:rsid w:val="00775A7C"/>
    <w:rsid w:val="00775C43"/>
    <w:rsid w:val="00783E4B"/>
    <w:rsid w:val="00784839"/>
    <w:rsid w:val="007938F9"/>
    <w:rsid w:val="007942AC"/>
    <w:rsid w:val="007A05F2"/>
    <w:rsid w:val="007A0F7B"/>
    <w:rsid w:val="007A1777"/>
    <w:rsid w:val="007A219C"/>
    <w:rsid w:val="007A57A5"/>
    <w:rsid w:val="007B14B3"/>
    <w:rsid w:val="007B3355"/>
    <w:rsid w:val="007C13B9"/>
    <w:rsid w:val="007C23FB"/>
    <w:rsid w:val="007C4218"/>
    <w:rsid w:val="007C4D57"/>
    <w:rsid w:val="007C6809"/>
    <w:rsid w:val="007D100D"/>
    <w:rsid w:val="007D2BA0"/>
    <w:rsid w:val="007D37EB"/>
    <w:rsid w:val="007D6EF3"/>
    <w:rsid w:val="007E0791"/>
    <w:rsid w:val="007E2A0C"/>
    <w:rsid w:val="007E503D"/>
    <w:rsid w:val="007F0606"/>
    <w:rsid w:val="007F1CC8"/>
    <w:rsid w:val="007F7141"/>
    <w:rsid w:val="007F7203"/>
    <w:rsid w:val="00802640"/>
    <w:rsid w:val="00804888"/>
    <w:rsid w:val="00810B9A"/>
    <w:rsid w:val="008123F9"/>
    <w:rsid w:val="00813462"/>
    <w:rsid w:val="00814125"/>
    <w:rsid w:val="008147AE"/>
    <w:rsid w:val="00814D8F"/>
    <w:rsid w:val="00815F3D"/>
    <w:rsid w:val="00815F60"/>
    <w:rsid w:val="008219F4"/>
    <w:rsid w:val="00822AC8"/>
    <w:rsid w:val="00827344"/>
    <w:rsid w:val="00827FEC"/>
    <w:rsid w:val="00834D27"/>
    <w:rsid w:val="00845805"/>
    <w:rsid w:val="00847A1F"/>
    <w:rsid w:val="008545BA"/>
    <w:rsid w:val="00856E26"/>
    <w:rsid w:val="008629A1"/>
    <w:rsid w:val="00870DCD"/>
    <w:rsid w:val="00875099"/>
    <w:rsid w:val="008824BB"/>
    <w:rsid w:val="008851BA"/>
    <w:rsid w:val="008868B3"/>
    <w:rsid w:val="00893816"/>
    <w:rsid w:val="00894121"/>
    <w:rsid w:val="00896627"/>
    <w:rsid w:val="008A532F"/>
    <w:rsid w:val="008A735D"/>
    <w:rsid w:val="008B1EBC"/>
    <w:rsid w:val="008B223A"/>
    <w:rsid w:val="008B3760"/>
    <w:rsid w:val="008B4CCA"/>
    <w:rsid w:val="008B62B1"/>
    <w:rsid w:val="008B6376"/>
    <w:rsid w:val="008C0905"/>
    <w:rsid w:val="008C380D"/>
    <w:rsid w:val="008E0022"/>
    <w:rsid w:val="008E36C2"/>
    <w:rsid w:val="008E5EC1"/>
    <w:rsid w:val="008E7034"/>
    <w:rsid w:val="00903C60"/>
    <w:rsid w:val="009106DF"/>
    <w:rsid w:val="00910FBF"/>
    <w:rsid w:val="009130EC"/>
    <w:rsid w:val="00913638"/>
    <w:rsid w:val="00913A56"/>
    <w:rsid w:val="00920741"/>
    <w:rsid w:val="00921467"/>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7E4"/>
    <w:rsid w:val="00973BD1"/>
    <w:rsid w:val="00974710"/>
    <w:rsid w:val="0097554B"/>
    <w:rsid w:val="00976944"/>
    <w:rsid w:val="00977773"/>
    <w:rsid w:val="009908FE"/>
    <w:rsid w:val="00992F1F"/>
    <w:rsid w:val="0099354B"/>
    <w:rsid w:val="00994A8A"/>
    <w:rsid w:val="009A0AC7"/>
    <w:rsid w:val="009A296B"/>
    <w:rsid w:val="009A2BC5"/>
    <w:rsid w:val="009A47E3"/>
    <w:rsid w:val="009A6F91"/>
    <w:rsid w:val="009B3ABA"/>
    <w:rsid w:val="009B6318"/>
    <w:rsid w:val="009C12AB"/>
    <w:rsid w:val="009C35AA"/>
    <w:rsid w:val="009C5225"/>
    <w:rsid w:val="009D0D89"/>
    <w:rsid w:val="009D24B7"/>
    <w:rsid w:val="009E037C"/>
    <w:rsid w:val="009E1FE4"/>
    <w:rsid w:val="009E2AB7"/>
    <w:rsid w:val="009E42B8"/>
    <w:rsid w:val="009E483D"/>
    <w:rsid w:val="009E6006"/>
    <w:rsid w:val="009F1E3A"/>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345E"/>
    <w:rsid w:val="00A57099"/>
    <w:rsid w:val="00A577F4"/>
    <w:rsid w:val="00A630FF"/>
    <w:rsid w:val="00A634C2"/>
    <w:rsid w:val="00A71479"/>
    <w:rsid w:val="00A72BD8"/>
    <w:rsid w:val="00A84EB4"/>
    <w:rsid w:val="00A9002A"/>
    <w:rsid w:val="00A91872"/>
    <w:rsid w:val="00A97F1A"/>
    <w:rsid w:val="00AA0FE4"/>
    <w:rsid w:val="00AA16B6"/>
    <w:rsid w:val="00AA265E"/>
    <w:rsid w:val="00AA7CA4"/>
    <w:rsid w:val="00AB0E1B"/>
    <w:rsid w:val="00AC08E3"/>
    <w:rsid w:val="00AC0D4D"/>
    <w:rsid w:val="00AC5F17"/>
    <w:rsid w:val="00AC62A0"/>
    <w:rsid w:val="00AC6B92"/>
    <w:rsid w:val="00AC7CE4"/>
    <w:rsid w:val="00AD310A"/>
    <w:rsid w:val="00AD43D5"/>
    <w:rsid w:val="00AD5C9F"/>
    <w:rsid w:val="00AE0428"/>
    <w:rsid w:val="00AE43D9"/>
    <w:rsid w:val="00AE7FCD"/>
    <w:rsid w:val="00B0198A"/>
    <w:rsid w:val="00B0200B"/>
    <w:rsid w:val="00B0319F"/>
    <w:rsid w:val="00B06BE5"/>
    <w:rsid w:val="00B11B18"/>
    <w:rsid w:val="00B17370"/>
    <w:rsid w:val="00B2055A"/>
    <w:rsid w:val="00B2067D"/>
    <w:rsid w:val="00B24B86"/>
    <w:rsid w:val="00B30A6C"/>
    <w:rsid w:val="00B40771"/>
    <w:rsid w:val="00B40C7E"/>
    <w:rsid w:val="00B4170E"/>
    <w:rsid w:val="00B63C3B"/>
    <w:rsid w:val="00B64EAB"/>
    <w:rsid w:val="00B65A0E"/>
    <w:rsid w:val="00B66E6E"/>
    <w:rsid w:val="00B72960"/>
    <w:rsid w:val="00B75416"/>
    <w:rsid w:val="00B80243"/>
    <w:rsid w:val="00B80C52"/>
    <w:rsid w:val="00B81C73"/>
    <w:rsid w:val="00B90F7B"/>
    <w:rsid w:val="00B91885"/>
    <w:rsid w:val="00B92457"/>
    <w:rsid w:val="00B95A20"/>
    <w:rsid w:val="00BA1E41"/>
    <w:rsid w:val="00BB1EC0"/>
    <w:rsid w:val="00BB42A7"/>
    <w:rsid w:val="00BB51F6"/>
    <w:rsid w:val="00BB5686"/>
    <w:rsid w:val="00BB6CC2"/>
    <w:rsid w:val="00BC01E9"/>
    <w:rsid w:val="00BC05E7"/>
    <w:rsid w:val="00BC1187"/>
    <w:rsid w:val="00BD0FE7"/>
    <w:rsid w:val="00BD3AFF"/>
    <w:rsid w:val="00BE2FE9"/>
    <w:rsid w:val="00BE764E"/>
    <w:rsid w:val="00BF1DA5"/>
    <w:rsid w:val="00BF21E1"/>
    <w:rsid w:val="00C00538"/>
    <w:rsid w:val="00C06F9E"/>
    <w:rsid w:val="00C07D3A"/>
    <w:rsid w:val="00C1514A"/>
    <w:rsid w:val="00C23622"/>
    <w:rsid w:val="00C36189"/>
    <w:rsid w:val="00C414AD"/>
    <w:rsid w:val="00C430C9"/>
    <w:rsid w:val="00C44D89"/>
    <w:rsid w:val="00C45EEC"/>
    <w:rsid w:val="00C51319"/>
    <w:rsid w:val="00C61122"/>
    <w:rsid w:val="00C638EC"/>
    <w:rsid w:val="00C67423"/>
    <w:rsid w:val="00C7189B"/>
    <w:rsid w:val="00C727B1"/>
    <w:rsid w:val="00C731CA"/>
    <w:rsid w:val="00C75A26"/>
    <w:rsid w:val="00C76728"/>
    <w:rsid w:val="00C857BA"/>
    <w:rsid w:val="00C8587D"/>
    <w:rsid w:val="00C92AEF"/>
    <w:rsid w:val="00C932A1"/>
    <w:rsid w:val="00C956D7"/>
    <w:rsid w:val="00CA0494"/>
    <w:rsid w:val="00CA2C12"/>
    <w:rsid w:val="00CA62C1"/>
    <w:rsid w:val="00CA6695"/>
    <w:rsid w:val="00CB5066"/>
    <w:rsid w:val="00CB5576"/>
    <w:rsid w:val="00CC1121"/>
    <w:rsid w:val="00CC29D0"/>
    <w:rsid w:val="00CC511F"/>
    <w:rsid w:val="00CD4CBE"/>
    <w:rsid w:val="00CD62D7"/>
    <w:rsid w:val="00CD6EFE"/>
    <w:rsid w:val="00CD6F6B"/>
    <w:rsid w:val="00CD7E6D"/>
    <w:rsid w:val="00CE0F39"/>
    <w:rsid w:val="00CE6AB4"/>
    <w:rsid w:val="00CF4F24"/>
    <w:rsid w:val="00CF50D9"/>
    <w:rsid w:val="00D10F92"/>
    <w:rsid w:val="00D11037"/>
    <w:rsid w:val="00D20741"/>
    <w:rsid w:val="00D21019"/>
    <w:rsid w:val="00D215D9"/>
    <w:rsid w:val="00D227B2"/>
    <w:rsid w:val="00D228EB"/>
    <w:rsid w:val="00D23E27"/>
    <w:rsid w:val="00D308CB"/>
    <w:rsid w:val="00D311DE"/>
    <w:rsid w:val="00D31F0B"/>
    <w:rsid w:val="00D35049"/>
    <w:rsid w:val="00D3589B"/>
    <w:rsid w:val="00D409E1"/>
    <w:rsid w:val="00D41B3D"/>
    <w:rsid w:val="00D44821"/>
    <w:rsid w:val="00D4776C"/>
    <w:rsid w:val="00D54C29"/>
    <w:rsid w:val="00D60BC1"/>
    <w:rsid w:val="00D76FAF"/>
    <w:rsid w:val="00D85124"/>
    <w:rsid w:val="00D87AE5"/>
    <w:rsid w:val="00D87CA6"/>
    <w:rsid w:val="00D90CE2"/>
    <w:rsid w:val="00D95770"/>
    <w:rsid w:val="00DA3386"/>
    <w:rsid w:val="00DA70EB"/>
    <w:rsid w:val="00DB4C7C"/>
    <w:rsid w:val="00DB748A"/>
    <w:rsid w:val="00DC5A3D"/>
    <w:rsid w:val="00DD116A"/>
    <w:rsid w:val="00DD1648"/>
    <w:rsid w:val="00DE33E0"/>
    <w:rsid w:val="00DE5E53"/>
    <w:rsid w:val="00E05333"/>
    <w:rsid w:val="00E12AD1"/>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A2A"/>
    <w:rsid w:val="00EB4C15"/>
    <w:rsid w:val="00EB68E7"/>
    <w:rsid w:val="00EC0745"/>
    <w:rsid w:val="00EC2484"/>
    <w:rsid w:val="00EC754E"/>
    <w:rsid w:val="00ED4487"/>
    <w:rsid w:val="00ED4705"/>
    <w:rsid w:val="00ED4AF7"/>
    <w:rsid w:val="00ED6B39"/>
    <w:rsid w:val="00EE0628"/>
    <w:rsid w:val="00EE20E3"/>
    <w:rsid w:val="00EE37D3"/>
    <w:rsid w:val="00EE38E4"/>
    <w:rsid w:val="00EE4741"/>
    <w:rsid w:val="00EE7C81"/>
    <w:rsid w:val="00EF38CD"/>
    <w:rsid w:val="00EF4CE3"/>
    <w:rsid w:val="00EF56E4"/>
    <w:rsid w:val="00EF684F"/>
    <w:rsid w:val="00EF69A2"/>
    <w:rsid w:val="00F01547"/>
    <w:rsid w:val="00F01880"/>
    <w:rsid w:val="00F02DD3"/>
    <w:rsid w:val="00F06A23"/>
    <w:rsid w:val="00F10D53"/>
    <w:rsid w:val="00F12CE8"/>
    <w:rsid w:val="00F13EFD"/>
    <w:rsid w:val="00F14495"/>
    <w:rsid w:val="00F15640"/>
    <w:rsid w:val="00F165A3"/>
    <w:rsid w:val="00F21E3B"/>
    <w:rsid w:val="00F229E2"/>
    <w:rsid w:val="00F26247"/>
    <w:rsid w:val="00F27F81"/>
    <w:rsid w:val="00F30ABD"/>
    <w:rsid w:val="00F3359B"/>
    <w:rsid w:val="00F35C0A"/>
    <w:rsid w:val="00F43428"/>
    <w:rsid w:val="00F437BC"/>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97499"/>
    <w:rsid w:val="00FA5D51"/>
    <w:rsid w:val="00FA64E7"/>
    <w:rsid w:val="00FA774A"/>
    <w:rsid w:val="00FB0DF3"/>
    <w:rsid w:val="00FB6604"/>
    <w:rsid w:val="00FB6D3B"/>
    <w:rsid w:val="00FC0DEB"/>
    <w:rsid w:val="00FC3B66"/>
    <w:rsid w:val="00FC4909"/>
    <w:rsid w:val="00FC4962"/>
    <w:rsid w:val="00FD12DE"/>
    <w:rsid w:val="00FD62FF"/>
    <w:rsid w:val="00FE2F78"/>
    <w:rsid w:val="00FE420F"/>
    <w:rsid w:val="00FE4663"/>
    <w:rsid w:val="00FE61C6"/>
    <w:rsid w:val="00FF4EA4"/>
    <w:rsid w:val="00FF535B"/>
    <w:rsid w:val="04AC1E01"/>
    <w:rsid w:val="189F33F4"/>
    <w:rsid w:val="2BEB43C5"/>
    <w:rsid w:val="2DBB1083"/>
    <w:rsid w:val="39A9558C"/>
    <w:rsid w:val="3BDF4B4C"/>
    <w:rsid w:val="464C5D3D"/>
    <w:rsid w:val="497B5486"/>
    <w:rsid w:val="50F2278B"/>
    <w:rsid w:val="57804F4E"/>
    <w:rsid w:val="72765499"/>
    <w:rsid w:val="78F7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5"/>
    <w:semiHidden/>
    <w:unhideWhenUsed/>
    <w:qFormat/>
    <w:uiPriority w:val="99"/>
    <w:rPr>
      <w:rFonts w:ascii="宋体" w:eastAsia="宋体"/>
      <w:sz w:val="18"/>
      <w:szCs w:val="18"/>
    </w:rPr>
  </w:style>
  <w:style w:type="paragraph" w:styleId="11">
    <w:name w:val="annotation text"/>
    <w:basedOn w:val="1"/>
    <w:semiHidden/>
    <w:unhideWhenUsed/>
    <w:qFormat/>
    <w:uiPriority w:val="99"/>
    <w:pPr>
      <w:jc w:val="left"/>
    </w:pPr>
  </w:style>
  <w:style w:type="paragraph" w:styleId="12">
    <w:name w:val="Body Text 3"/>
    <w:basedOn w:val="1"/>
    <w:link w:val="47"/>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2"/>
    <w:qFormat/>
    <w:uiPriority w:val="0"/>
    <w:rPr>
      <w:rFonts w:eastAsia="宋体"/>
      <w:sz w:val="24"/>
    </w:rPr>
  </w:style>
  <w:style w:type="paragraph" w:styleId="16">
    <w:name w:val="Date"/>
    <w:basedOn w:val="1"/>
    <w:next w:val="1"/>
    <w:link w:val="33"/>
    <w:unhideWhenUsed/>
    <w:qFormat/>
    <w:uiPriority w:val="99"/>
    <w:pPr>
      <w:ind w:left="100" w:leftChars="2500"/>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8">
    <w:name w:val="标题 1 Char"/>
    <w:basedOn w:val="22"/>
    <w:link w:val="4"/>
    <w:qFormat/>
    <w:uiPriority w:val="0"/>
    <w:rPr>
      <w:rFonts w:ascii="Calibri" w:hAnsi="Calibri" w:eastAsia="宋体" w:cs="Times New Roman"/>
      <w:b/>
      <w:bCs/>
      <w:kern w:val="44"/>
      <w:sz w:val="44"/>
      <w:szCs w:val="44"/>
    </w:rPr>
  </w:style>
  <w:style w:type="character" w:customStyle="1" w:styleId="29">
    <w:name w:val="标题 2 Char"/>
    <w:basedOn w:val="22"/>
    <w:link w:val="5"/>
    <w:qFormat/>
    <w:uiPriority w:val="0"/>
    <w:rPr>
      <w:rFonts w:ascii="Arial" w:hAnsi="Arial" w:eastAsia="黑体" w:cs="Times New Roman"/>
      <w:b/>
      <w:bCs/>
      <w:kern w:val="0"/>
      <w:sz w:val="32"/>
      <w:szCs w:val="32"/>
    </w:rPr>
  </w:style>
  <w:style w:type="character" w:customStyle="1" w:styleId="30">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7"/>
    <w:qFormat/>
    <w:uiPriority w:val="0"/>
    <w:rPr>
      <w:rFonts w:ascii="Arial" w:hAnsi="Arial" w:eastAsia="黑体" w:cs="Times New Roman"/>
      <w:b/>
      <w:bCs/>
      <w:kern w:val="0"/>
      <w:sz w:val="28"/>
      <w:szCs w:val="28"/>
    </w:rPr>
  </w:style>
  <w:style w:type="character" w:customStyle="1" w:styleId="32">
    <w:name w:val="纯文本 Char"/>
    <w:basedOn w:val="22"/>
    <w:link w:val="15"/>
    <w:qFormat/>
    <w:uiPriority w:val="0"/>
    <w:rPr>
      <w:rFonts w:eastAsia="宋体"/>
      <w:sz w:val="24"/>
    </w:rPr>
  </w:style>
  <w:style w:type="character" w:customStyle="1" w:styleId="33">
    <w:name w:val="日期 Char"/>
    <w:basedOn w:val="22"/>
    <w:link w:val="16"/>
    <w:qFormat/>
    <w:uiPriority w:val="99"/>
  </w:style>
  <w:style w:type="character" w:customStyle="1" w:styleId="34">
    <w:name w:val="页脚 Char"/>
    <w:basedOn w:val="22"/>
    <w:link w:val="17"/>
    <w:qFormat/>
    <w:uiPriority w:val="99"/>
    <w:rPr>
      <w:sz w:val="18"/>
      <w:szCs w:val="18"/>
    </w:rPr>
  </w:style>
  <w:style w:type="character" w:customStyle="1" w:styleId="35">
    <w:name w:val="页眉 Char"/>
    <w:basedOn w:val="22"/>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link w:val="54"/>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2"/>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2"/>
    <w:link w:val="20"/>
    <w:semiHidden/>
    <w:qFormat/>
    <w:uiPriority w:val="99"/>
    <w:rPr>
      <w:rFonts w:ascii="宋体" w:hAnsi="宋体" w:eastAsia="宋体" w:cs="宋体"/>
      <w:kern w:val="0"/>
      <w:sz w:val="24"/>
      <w:szCs w:val="24"/>
    </w:rPr>
  </w:style>
  <w:style w:type="character" w:customStyle="1" w:styleId="54">
    <w:name w:val="列出段落 Char"/>
    <w:link w:val="38"/>
    <w:qFormat/>
    <w:uiPriority w:val="0"/>
  </w:style>
  <w:style w:type="character" w:customStyle="1" w:styleId="55">
    <w:name w:val="文档结构图 Char"/>
    <w:basedOn w:val="22"/>
    <w:link w:val="10"/>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7790D-D9C0-4AEF-9652-0582755ABF0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67</Pages>
  <Words>5848</Words>
  <Characters>33337</Characters>
  <Lines>277</Lines>
  <Paragraphs>78</Paragraphs>
  <TotalTime>58</TotalTime>
  <ScaleCrop>false</ScaleCrop>
  <LinksUpToDate>false</LinksUpToDate>
  <CharactersWithSpaces>39107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Administrator</cp:lastModifiedBy>
  <cp:lastPrinted>2018-11-29T08:36:00Z</cp:lastPrinted>
  <dcterms:modified xsi:type="dcterms:W3CDTF">2018-12-28T10:14:10Z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