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center"/>
        <w:textAlignment w:val="auto"/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</w:pP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YZCG-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/>
        </w:rPr>
        <w:t>G2018</w:t>
      </w:r>
      <w:r>
        <w:rPr>
          <w:rFonts w:hint="eastAsia" w:ascii="宋体" w:hAnsi="宋体" w:eastAsia="宋体" w:cs="宋体"/>
          <w:b/>
          <w:color w:val="000000"/>
          <w:sz w:val="44"/>
          <w:szCs w:val="44"/>
          <w:u w:val="none"/>
          <w:shd w:val="clear" w:fill="FFFFFF"/>
          <w:lang w:val="en-US" w:eastAsia="zh-CN"/>
        </w:rPr>
        <w:t>379</w:t>
      </w:r>
      <w:r>
        <w:rPr>
          <w:rFonts w:hint="eastAsia"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  <w:lang w:val="en-US" w:eastAsia="zh-CN"/>
        </w:rPr>
        <w:t>禹州市国土资源局采购土地资产估价及土地测绘中介服务机构</w:t>
      </w: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/>
        <w:jc w:val="center"/>
        <w:textAlignment w:val="auto"/>
      </w:pPr>
      <w:r>
        <w:rPr>
          <w:rFonts w:ascii="微软雅黑" w:hAnsi="微软雅黑" w:eastAsia="微软雅黑" w:cs="微软雅黑"/>
          <w:b/>
          <w:color w:val="000000"/>
          <w:sz w:val="44"/>
          <w:szCs w:val="44"/>
          <w:u w:val="none"/>
          <w:shd w:val="clear" w:fill="FFFFFF"/>
        </w:rPr>
        <w:t>评标报告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641"/>
        <w:jc w:val="left"/>
        <w:textAlignment w:val="auto"/>
      </w:pPr>
      <w:r>
        <w:rPr>
          <w:rFonts w:ascii="黑体" w:hAnsi="宋体" w:eastAsia="黑体" w:cs="黑体"/>
          <w:color w:val="000000"/>
          <w:sz w:val="32"/>
          <w:szCs w:val="32"/>
          <w:u w:val="none"/>
          <w:shd w:val="clear" w:fill="FFFFFF"/>
        </w:rPr>
        <w:t>一、项目概况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（一）项目名称：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禹州市国土资源局采购土地资产估价及土地测绘中介服务机构</w:t>
      </w:r>
      <w:r>
        <w:rPr>
          <w:rFonts w:ascii="仿宋" w:hAnsi="仿宋" w:eastAsia="仿宋" w:cs="仿宋"/>
          <w:color w:val="000000"/>
          <w:sz w:val="32"/>
          <w:szCs w:val="32"/>
          <w:u w:val="none"/>
          <w:shd w:val="clear" w:fill="FFFFFF"/>
        </w:rPr>
        <w:t>项目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2" w:beforeAutospacing="0" w:after="0" w:afterAutospacing="0" w:line="240" w:lineRule="auto"/>
        <w:ind w:left="0" w:right="0" w:firstLine="420"/>
        <w:jc w:val="left"/>
        <w:textAlignment w:val="auto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（二）项目编号：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YZCG-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G2018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379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2" w:beforeAutospacing="0" w:after="0" w:afterAutospacing="0" w:line="240" w:lineRule="auto"/>
        <w:ind w:left="0" w:right="0" w:firstLine="420"/>
        <w:jc w:val="left"/>
        <w:textAlignment w:val="auto"/>
        <w:rPr>
          <w:color w:val="FF000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（三）招标公告发布日期：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（四）变更公告发布日期：无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（五）开标日期：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201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年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22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日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9: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0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 xml:space="preserve">（六）采购方式：公开招标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（七）最高限价：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元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（八）评标办法：综合评分法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452" w:beforeAutospacing="0" w:after="0" w:afterAutospacing="0" w:line="240" w:lineRule="auto"/>
        <w:ind w:left="0" w:right="0" w:firstLine="420"/>
        <w:jc w:val="left"/>
        <w:textAlignment w:val="auto"/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（九）资格审查方式：资格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先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审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240" w:lineRule="auto"/>
        <w:ind w:left="0" w:right="0" w:firstLine="640"/>
        <w:jc w:val="left"/>
        <w:textAlignment w:val="auto"/>
        <w:rPr>
          <w:b w:val="0"/>
          <w:i w:val="0"/>
        </w:rPr>
      </w:pPr>
      <w:r>
        <w:rPr>
          <w:rFonts w:hint="eastAsia" w:ascii="仿宋" w:hAnsi="仿宋" w:eastAsia="仿宋" w:cs="仿宋"/>
          <w:b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(十) 招标公告刊登的媒体：中国政府采购网、河南省政府采购网、许昌市政府采购网、许昌市人民政府综合门户网、全国公共资源交易平台（河南省·许昌市）。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> 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二、开标记录及投标报价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="0" w:right="0" w:firstLine="420"/>
        <w:jc w:val="left"/>
        <w:textAlignment w:val="auto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一标段</w:t>
      </w:r>
    </w:p>
    <w:tbl>
      <w:tblPr>
        <w:tblStyle w:val="9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投标报价（%）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郑州市诚信房地产评估咨询有限公司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河南佳源房地产土地评估有限公司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河南宏大地产估计有限公司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河南华晟不动产评估咨询有限公司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河南光明土地评估咨询有限公司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河南恒立房地产估价有限公司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许昌大公不动产评估咨询有限公司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许昌科普不动产评估咨询有限公司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河南华地土地房产评估咨询有限公司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河南淮源土地估价测绘有限公司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河南世纪地产评估测绘有限公司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禹州市金地评估中心（普通合伙）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70.01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河南亚太永信土地房产评估咨询有限公司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郑州鑫泰睿土地评估咨询有限公司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河南名道房地产评估有限公司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郑州光华土地评估有限公司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河南安永房地产评估有限公司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二标段</w:t>
      </w:r>
    </w:p>
    <w:tbl>
      <w:tblPr>
        <w:tblStyle w:val="9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投标报价（%）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河南佳源房地产土地评估有限公司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郑州瑞华联合资产评估事务所（普通合伙）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许昌鼎力联合资产评估事务所（普通合伙）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河南恒立资产评估事务所（普通合伙）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河南正昊资产评估有限公司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河南博为资产评估有限公司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河南兴华资产评估有限公司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河南信则资产评估有限公司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5天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560" w:lineRule="atLeast"/>
        <w:ind w:left="0" w:right="0" w:firstLine="42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三标段</w:t>
      </w:r>
    </w:p>
    <w:tbl>
      <w:tblPr>
        <w:tblStyle w:val="9"/>
        <w:tblW w:w="8748" w:type="dxa"/>
        <w:tblCellSpacing w:w="0" w:type="dxa"/>
        <w:tblInd w:w="-31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8"/>
        <w:gridCol w:w="3867"/>
        <w:gridCol w:w="2133"/>
        <w:gridCol w:w="19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投标人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投标报价（%）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交货期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河南信诚测绘工程有限公司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河南省国土资源调查规划院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禹州市住房和城乡规划建设局测绘队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河南恒旭力创测绘工程有限公司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88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河南辉腾测绘服务有限公司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河南省拓普北斗测绘科技有限公司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河南中州地矿岩土水务有限公司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94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河南自由鹰科技有限公司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河南中地测绘工程有限公司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82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中建国信勘测规划有限公司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许昌钧州煤炭咨询设计研究院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87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河南省创天勘测设计院有限公司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河南省基力勘测有限公司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95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河南省天澜信息科技有限公司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河南大地地理信息测绘院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郑州超图地理信息技术有限公司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河南励图测绘服务有限公司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河南思图信息技术有限公司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81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河南信大测绘科技有限公司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禹州市泓瑞测绘有限公司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河南省文博土地测绘工程有限公司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82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</w:trPr>
        <w:tc>
          <w:tcPr>
            <w:tcW w:w="8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22</w:t>
            </w:r>
          </w:p>
        </w:tc>
        <w:tc>
          <w:tcPr>
            <w:tcW w:w="38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江西省中核测绘院</w:t>
            </w:r>
          </w:p>
        </w:tc>
        <w:tc>
          <w:tcPr>
            <w:tcW w:w="213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80</w:t>
            </w:r>
          </w:p>
        </w:tc>
        <w:tc>
          <w:tcPr>
            <w:tcW w:w="1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color w:val="FF000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3天</w:t>
            </w: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324" w:right="0" w:firstLine="301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资格审查情况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25" w:leftChars="0"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一标段</w:t>
      </w:r>
    </w:p>
    <w:tbl>
      <w:tblPr>
        <w:tblStyle w:val="9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郑州市诚信房地产评估咨询有限公司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河南佳源房地产土地评估有限公司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河南宏大地产估计有限公司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河南华晟不动产评估咨询有限公司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河南光明土地评估咨询有限公司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河南恒立房地产估价有限公司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许昌大公不动产评估咨询有限公司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许昌科普不动产评估咨询有限公司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河南华地土地房产评估咨询有限公司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河南淮源土地估价测绘有限公司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河南世纪地产评估测绘有限公司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禹州市金地评估中心（普通合伙）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河南亚太永信土地房产评估咨询有限公司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郑州鑫泰睿土地评估咨询有限公司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郑州光华土地评估有限公司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河南安永房地产评估有限公司</w:t>
            </w: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25" w:leftChars="0"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二标段</w:t>
      </w:r>
    </w:p>
    <w:tbl>
      <w:tblPr>
        <w:tblStyle w:val="9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河南佳源房地产土地评估有限公司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郑州瑞华联合资产评估事务所（普通合伙）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许昌鼎力联合资产评估事务所（普通合伙）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河南恒立资产评估事务所（普通合伙）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河南博为资产评估有限公司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河南信则资产评估有限公司</w:t>
            </w: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25" w:leftChars="0"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三标段</w:t>
      </w:r>
    </w:p>
    <w:tbl>
      <w:tblPr>
        <w:tblStyle w:val="9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河南信诚测绘工程有限公司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河南省国土资源调查规划院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禹州市住房和城乡规划建设局测绘队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河南恒旭力创测绘工程有限公司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河南辉腾测绘服务有限公司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河南省拓普北斗测绘科技有限公司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河南中州地矿岩土水务有限公司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河南自由鹰科技有限公司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中建国信勘测规划有限公司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许昌钧州煤炭咨询设计研究院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河南省创天勘测设计院有限公司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河南省基力勘测有限公司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河南省天澜信息科技有限公司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河南大地地理信息测绘院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郑州超图地理信息技术有限公司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河南励图测绘服务有限公司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河南思图信息技术有限公司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河南信大测绘科技有限公司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禹州市泓瑞测绘有限公司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河南省文博土地测绘工程有限公司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江西省中核测绘院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四、评审情况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（一）符合性审查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25" w:leftChars="0"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一标段</w:t>
      </w:r>
    </w:p>
    <w:tbl>
      <w:tblPr>
        <w:tblStyle w:val="9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通过符合审查的投标人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郑州市诚信房地产评估咨询有限公司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河南佳源房地产土地评估有限公司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河南宏大地产估计有限公司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河南华晟不动产评估咨询有限公司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河南光明土地评估咨询有限公司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河南恒立房地产估价有限公司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许昌大公不动产评估咨询有限公司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许昌科普不动产评估咨询有限公司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河南华地土地房产评估咨询有限公司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河南淮源土地估价测绘有限公司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河南世纪地产评估测绘有限公司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禹州市金地评估中心（普通合伙）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河南亚太永信土地房产评估咨询有限公司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郑州鑫泰睿土地评估咨询有限公司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郑州光华土地评估有限公司</w:t>
            </w: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25" w:leftChars="0"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二标段</w:t>
      </w:r>
    </w:p>
    <w:tbl>
      <w:tblPr>
        <w:tblStyle w:val="9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通过符合审查的投标人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河南佳源房地产土地评估有限公司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郑州瑞华联合资产评估事务所（普通合伙）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许昌鼎力联合资产评估事务所（普通合伙）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河南恒立资产评估事务所（普通合伙）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河南博为资产评估有限公司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河南信则资产评估有限公司</w:t>
            </w:r>
          </w:p>
        </w:tc>
      </w:tr>
    </w:tbl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25" w:leftChars="0" w:right="0" w:rightChars="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三标段</w:t>
      </w:r>
    </w:p>
    <w:tbl>
      <w:tblPr>
        <w:tblStyle w:val="9"/>
        <w:tblW w:w="8748" w:type="dxa"/>
        <w:tblCellSpacing w:w="0" w:type="dxa"/>
        <w:tblInd w:w="-34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3"/>
        <w:gridCol w:w="7815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通过符合审查的投标人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河南信诚测绘工程有限公司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河南省国土资源调查规划院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禹州市住房和城乡规划建设局测绘队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河南恒旭力创测绘工程有限公司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河南辉腾测绘服务有限公司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河南省拓普北斗测绘科技有限公司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河南中州地矿岩土水务有限公司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河南自由鹰科技有限公司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中建国信勘测规划有限公司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许昌钧州煤炭咨询设计研究院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河南省创天勘测设计院有限公司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河南省基力勘测有限公司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河南省天澜信息科技有限公司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河南大地地理信息测绘院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15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郑州超图地理信息技术有限公司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河南励图测绘服务有限公司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河南信大测绘科技有限公司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18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禹州市泓瑞测绘有限公司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河南省文博土地测绘工程有限公司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20</w:t>
            </w:r>
          </w:p>
        </w:tc>
        <w:tc>
          <w:tcPr>
            <w:tcW w:w="7815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left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江西省中核测绘院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评标委员会审查未通过符合性审查的：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一标段:河南安永房地产评估有限公司，原因：不符合招标文件规定的资格要求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二标段：无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三标段：河南思图信息技术有限公司，原因：投标文件工期不符合招标文件要求。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42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河南信大测绘科技有限公司，原因：投标文件工期不符合招标文件要求。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</w:rPr>
        <w:t>综合比较与评价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一标段</w:t>
      </w:r>
    </w:p>
    <w:tbl>
      <w:tblPr>
        <w:tblStyle w:val="10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494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序号</w:t>
            </w:r>
          </w:p>
        </w:tc>
        <w:tc>
          <w:tcPr>
            <w:tcW w:w="34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投标人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禹州市金地评估中心（普通合伙）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81.29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河南华晟不动产评估咨询有限公司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81.00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河南恒立房地产估价有限公司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81.00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许昌大公不动产评估咨询有限公司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72.29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许昌科普不动产评估咨询有限公司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71.71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郑州鑫泰睿土地评估咨询有限公司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71.29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河南宏大地产估计有限公司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70.71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河南亚太永信土地房产评估咨询有限公司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63.14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河南世纪地产评估测绘有限公司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60.86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河南光明土地评估咨询有限公司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60.86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河南华地土地房产评估咨询有限公司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60.86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河南佳源房地产土地评估有限公司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58.57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郑州光华土地评估有限公司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58.00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14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河南淮源土地估价测绘有限公司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58.00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15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郑州市诚信房地产评估咨询有限公司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49.29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二标段</w:t>
      </w:r>
    </w:p>
    <w:tbl>
      <w:tblPr>
        <w:tblStyle w:val="10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494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序号</w:t>
            </w:r>
          </w:p>
        </w:tc>
        <w:tc>
          <w:tcPr>
            <w:tcW w:w="34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投标人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河南博为资产评估有限公司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78.57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河南恒立资产评估事务所（普通合伙）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77.57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河南信则资产评估有限公司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67.44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许昌鼎力联合资产评估事务所（普通合伙）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62.57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河南佳源房地产土地评估有限公司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61.29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郑州瑞华联合资产评估事务所（普通合伙）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60.43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left="0" w:right="0"/>
        <w:jc w:val="left"/>
        <w:rPr>
          <w:b w:val="0"/>
          <w:i w:val="0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napToGrid w:val="0"/>
        <w:spacing w:before="227" w:beforeAutospacing="0" w:after="0" w:afterAutospacing="0" w:line="360" w:lineRule="auto"/>
        <w:ind w:right="0" w:rightChars="0"/>
        <w:jc w:val="left"/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olor w:val="000000"/>
          <w:sz w:val="32"/>
          <w:szCs w:val="32"/>
          <w:u w:val="none"/>
          <w:shd w:val="clear" w:fill="FFFFFF"/>
          <w:lang w:val="en-US" w:eastAsia="zh-CN"/>
        </w:rPr>
        <w:t>三标段</w:t>
      </w:r>
    </w:p>
    <w:tbl>
      <w:tblPr>
        <w:tblStyle w:val="10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494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序号</w:t>
            </w:r>
          </w:p>
        </w:tc>
        <w:tc>
          <w:tcPr>
            <w:tcW w:w="34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投标人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最终得分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禹州市住房和城乡规划建设局测绘队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91.71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江西省中核测绘院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91.43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河南省文博土地测绘工程有限公司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86.13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河南恒旭力创测绘工程有限公司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85.84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河南励图测绘服务有限公司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84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河南省国土资源调查规划院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81.86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河南省天澜信息科技有限公司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81.71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河南中州地矿岩土水务有限公司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80.53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中建国信勘测规划有限公司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80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河南自由鹰科技有限公司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78.1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河南省拓普北斗测绘科技有限公司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77.43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河南省基力勘测有限公司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77.12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河南辉腾测绘服务有限公司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76.53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14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郑州超图地理信息技术有限公司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73.29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15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河南信诚测绘工程有限公司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65.57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16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许昌钧州煤炭咨询设计研究院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64.73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17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河南省创天勘测设计院有限公司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62.57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18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河南大地地理信息测绘院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57.57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6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19</w:t>
            </w:r>
          </w:p>
        </w:tc>
        <w:tc>
          <w:tcPr>
            <w:tcW w:w="3494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b w:val="0"/>
                <w:i w:val="0"/>
                <w:vertAlign w:val="baseline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禹州市泓瑞测绘有限公司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before="227" w:beforeAutospacing="0" w:after="0" w:afterAutospacing="0" w:line="360" w:lineRule="auto"/>
              <w:ind w:right="0"/>
              <w:jc w:val="center"/>
              <w:rPr>
                <w:rFonts w:hint="eastAsia" w:eastAsiaTheme="minor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53.14</w:t>
            </w:r>
          </w:p>
        </w:tc>
        <w:tc>
          <w:tcPr>
            <w:tcW w:w="2130" w:type="dxa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line="330" w:lineRule="atLeast"/>
              <w:ind w:left="0" w:leftChars="0" w:right="0" w:rightChars="0"/>
              <w:jc w:val="center"/>
              <w:rPr>
                <w:rFonts w:hint="eastAsia"/>
                <w:b w:val="0"/>
                <w:i w:val="0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i w:val="0"/>
                <w:vertAlign w:val="baseline"/>
                <w:lang w:val="en-US" w:eastAsia="zh-CN"/>
              </w:rPr>
              <w:t>19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/>
        </w:rPr>
        <w:t xml:space="preserve">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五、评标委员会推荐中标候选人（或采购人授权确定中标人）情况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按招标文件要求第一标段推荐5家企业入围，名单如下：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禹州市金地评估中心（普通合伙）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</w:pPr>
      <w:r>
        <w:rPr>
          <w:rFonts w:hint="eastAsia"/>
          <w:sz w:val="21"/>
          <w:szCs w:val="21"/>
          <w:lang w:val="en-US" w:eastAsia="zh-CN"/>
        </w:rPr>
        <w:t>河南华晟不动产评估咨询有限公司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</w:pPr>
      <w:r>
        <w:rPr>
          <w:rFonts w:hint="eastAsia"/>
          <w:sz w:val="21"/>
          <w:szCs w:val="21"/>
          <w:lang w:val="en-US" w:eastAsia="zh-CN"/>
        </w:rPr>
        <w:t>河南恒立房地产估价有限公司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</w:pPr>
      <w:r>
        <w:rPr>
          <w:rFonts w:hint="eastAsia"/>
          <w:sz w:val="21"/>
          <w:szCs w:val="21"/>
          <w:lang w:val="en-US" w:eastAsia="zh-CN"/>
        </w:rPr>
        <w:t>许昌大公不动产评估咨询有限公司</w:t>
      </w:r>
    </w:p>
    <w:p>
      <w:pPr>
        <w:pStyle w:val="4"/>
        <w:keepNext w:val="0"/>
        <w:keepLines w:val="0"/>
        <w:widowControl/>
        <w:numPr>
          <w:ilvl w:val="0"/>
          <w:numId w:val="3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</w:pPr>
      <w:r>
        <w:rPr>
          <w:rFonts w:hint="eastAsia"/>
          <w:sz w:val="21"/>
          <w:szCs w:val="21"/>
          <w:lang w:val="en-US" w:eastAsia="zh-CN"/>
        </w:rPr>
        <w:t>许昌科普不动产评估咨询有限公司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按招标文件要求第二标段推荐3家企业入围，名单如下：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河南博为资产评估有限公司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</w:pPr>
      <w:r>
        <w:rPr>
          <w:rFonts w:hint="eastAsia"/>
          <w:sz w:val="21"/>
          <w:szCs w:val="21"/>
          <w:lang w:val="en-US" w:eastAsia="zh-CN"/>
        </w:rPr>
        <w:t>河南恒立资产评估事务所（普通合伙）</w:t>
      </w:r>
    </w:p>
    <w:p>
      <w:pPr>
        <w:pStyle w:val="4"/>
        <w:keepNext w:val="0"/>
        <w:keepLines w:val="0"/>
        <w:widowControl/>
        <w:numPr>
          <w:ilvl w:val="0"/>
          <w:numId w:val="4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</w:pPr>
      <w:r>
        <w:rPr>
          <w:rFonts w:hint="eastAsia"/>
          <w:sz w:val="21"/>
          <w:szCs w:val="21"/>
          <w:lang w:val="en-US" w:eastAsia="zh-CN"/>
        </w:rPr>
        <w:t>河南信则资产评估有限公司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1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按招标文件要求第三标段推荐8家企业入围，名单如下：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禹州市住房和城乡规划建设局测绘队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江西省中核测绘院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河南省文博土地测绘工程有限公司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河南恒旭力创测绘工程有限公司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河南励图测绘服务有限公司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河南省国土资源调查规划院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河南省天澜信息科技有限公司</w:t>
      </w:r>
    </w:p>
    <w:p>
      <w:pPr>
        <w:pStyle w:val="4"/>
        <w:keepNext w:val="0"/>
        <w:keepLines w:val="0"/>
        <w:widowControl/>
        <w:numPr>
          <w:ilvl w:val="0"/>
          <w:numId w:val="5"/>
        </w:numPr>
        <w:suppressLineNumbers w:val="0"/>
        <w:shd w:val="clear" w:fill="FFFFFF"/>
        <w:snapToGrid w:val="0"/>
        <w:spacing w:before="452" w:beforeAutospacing="0" w:after="0" w:afterAutospacing="0" w:line="360" w:lineRule="auto"/>
        <w:ind w:left="630" w:leftChars="0" w:right="0" w:rightChars="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河南中州地矿岩土水务有限公司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六、投标人根据评标委员会要求进行的澄清、说明或者补正：无。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</w:pPr>
      <w:r>
        <w:rPr>
          <w:rFonts w:hint="eastAsia" w:ascii="微软雅黑" w:hAnsi="微软雅黑" w:eastAsia="微软雅黑" w:cs="微软雅黑"/>
          <w:color w:val="333333"/>
          <w:sz w:val="18"/>
          <w:szCs w:val="18"/>
          <w:u w:val="none"/>
          <w:shd w:val="clear" w:fill="FFFFFF"/>
          <w:lang w:val="en-US"/>
        </w:rPr>
        <w:t xml:space="preserve">       </w:t>
      </w: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七、是否存在评标委员会成员更换：无。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八、评标委员会</w:t>
      </w:r>
      <w:bookmarkStart w:id="0" w:name="_GoBack"/>
      <w:bookmarkEnd w:id="0"/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签字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  <w:lang w:val="en-US" w:eastAsia="zh-CN"/>
        </w:rPr>
        <w:t>主任：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640"/>
        <w:jc w:val="lef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  <w:r>
        <w:rPr>
          <w:rFonts w:hint="eastAsia" w:ascii="黑体" w:hAnsi="宋体" w:eastAsia="黑体" w:cs="黑体"/>
          <w:color w:val="000000"/>
          <w:sz w:val="32"/>
          <w:szCs w:val="32"/>
          <w:u w:val="none"/>
          <w:shd w:val="clear" w:fill="FFFFFF"/>
        </w:rPr>
        <w:t>成员名单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</w:t>
      </w: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right"/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</w:pPr>
    </w:p>
    <w:p>
      <w:pPr>
        <w:pStyle w:val="4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right"/>
        <w:rPr>
          <w:rFonts w:hint="eastAsia" w:eastAsia="仿宋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/>
        </w:rPr>
        <w:t>  </w:t>
      </w:r>
      <w:r>
        <w:rPr>
          <w:rFonts w:hint="eastAsia" w:ascii="仿宋" w:hAnsi="仿宋" w:eastAsia="仿宋" w:cs="仿宋"/>
          <w:color w:val="000000"/>
          <w:sz w:val="32"/>
          <w:szCs w:val="32"/>
          <w:u w:val="none"/>
          <w:shd w:val="clear" w:fill="FFFFFF"/>
          <w:lang w:val="en-US" w:eastAsia="zh-CN"/>
        </w:rPr>
        <w:t>2019年1月23日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5E014C"/>
    <w:multiLevelType w:val="singleLevel"/>
    <w:tmpl w:val="8F5E014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07B3036"/>
    <w:multiLevelType w:val="singleLevel"/>
    <w:tmpl w:val="D07B3036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D46044ED"/>
    <w:multiLevelType w:val="singleLevel"/>
    <w:tmpl w:val="D46044ED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FF85F9F8"/>
    <w:multiLevelType w:val="singleLevel"/>
    <w:tmpl w:val="FF85F9F8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0D63C17"/>
    <w:multiLevelType w:val="singleLevel"/>
    <w:tmpl w:val="70D63C1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D04340"/>
    <w:rsid w:val="0E3D02A4"/>
    <w:rsid w:val="172F533F"/>
    <w:rsid w:val="17D926FA"/>
    <w:rsid w:val="1AFF26F6"/>
    <w:rsid w:val="2ED67925"/>
    <w:rsid w:val="366442DD"/>
    <w:rsid w:val="3882021A"/>
    <w:rsid w:val="42A668D7"/>
    <w:rsid w:val="463B1FB6"/>
    <w:rsid w:val="47B81B38"/>
    <w:rsid w:val="5DE7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000000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000000"/>
      <w:u w:val="none"/>
    </w:rPr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red"/>
    <w:basedOn w:val="5"/>
    <w:qFormat/>
    <w:uiPriority w:val="0"/>
    <w:rPr>
      <w:color w:val="FF0000"/>
      <w:sz w:val="18"/>
      <w:szCs w:val="18"/>
    </w:rPr>
  </w:style>
  <w:style w:type="character" w:customStyle="1" w:styleId="12">
    <w:name w:val="red1"/>
    <w:basedOn w:val="5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5"/>
    <w:uiPriority w:val="0"/>
    <w:rPr>
      <w:color w:val="CC0000"/>
    </w:rPr>
  </w:style>
  <w:style w:type="character" w:customStyle="1" w:styleId="14">
    <w:name w:val="red3"/>
    <w:basedOn w:val="5"/>
    <w:qFormat/>
    <w:uiPriority w:val="0"/>
    <w:rPr>
      <w:color w:val="FF0000"/>
    </w:rPr>
  </w:style>
  <w:style w:type="character" w:customStyle="1" w:styleId="15">
    <w:name w:val="green"/>
    <w:basedOn w:val="5"/>
    <w:qFormat/>
    <w:uiPriority w:val="0"/>
    <w:rPr>
      <w:color w:val="66AE00"/>
      <w:sz w:val="18"/>
      <w:szCs w:val="18"/>
    </w:rPr>
  </w:style>
  <w:style w:type="character" w:customStyle="1" w:styleId="16">
    <w:name w:val="green1"/>
    <w:basedOn w:val="5"/>
    <w:uiPriority w:val="0"/>
    <w:rPr>
      <w:color w:val="66AE00"/>
      <w:sz w:val="18"/>
      <w:szCs w:val="18"/>
    </w:rPr>
  </w:style>
  <w:style w:type="character" w:customStyle="1" w:styleId="17">
    <w:name w:val="hover25"/>
    <w:basedOn w:val="5"/>
    <w:uiPriority w:val="0"/>
  </w:style>
  <w:style w:type="character" w:customStyle="1" w:styleId="18">
    <w:name w:val="gb-jt"/>
    <w:basedOn w:val="5"/>
    <w:qFormat/>
    <w:uiPriority w:val="0"/>
  </w:style>
  <w:style w:type="character" w:customStyle="1" w:styleId="19">
    <w:name w:val="blue"/>
    <w:basedOn w:val="5"/>
    <w:qFormat/>
    <w:uiPriority w:val="0"/>
    <w:rPr>
      <w:color w:val="0371C6"/>
      <w:sz w:val="21"/>
      <w:szCs w:val="21"/>
    </w:rPr>
  </w:style>
  <w:style w:type="character" w:customStyle="1" w:styleId="20">
    <w:name w:val="right"/>
    <w:basedOn w:val="5"/>
    <w:qFormat/>
    <w:uiPriority w:val="0"/>
    <w:rPr>
      <w:color w:val="999999"/>
      <w:sz w:val="18"/>
      <w:szCs w:val="18"/>
    </w:rPr>
  </w:style>
  <w:style w:type="character" w:customStyle="1" w:styleId="21">
    <w:name w:val="l_7"/>
    <w:basedOn w:val="5"/>
    <w:uiPriority w:val="0"/>
  </w:style>
  <w:style w:type="character" w:customStyle="1" w:styleId="22">
    <w:name w:val="menutitle10"/>
    <w:basedOn w:val="5"/>
    <w:uiPriority w:val="0"/>
    <w:rPr>
      <w:color w:val="333333"/>
      <w:sz w:val="24"/>
      <w:szCs w:val="24"/>
    </w:rPr>
  </w:style>
  <w:style w:type="character" w:customStyle="1" w:styleId="23">
    <w:name w:val="menutitle11"/>
    <w:basedOn w:val="5"/>
    <w:uiPriority w:val="0"/>
    <w:rPr>
      <w:color w:val="333333"/>
      <w:sz w:val="24"/>
      <w:szCs w:val="24"/>
    </w:rPr>
  </w:style>
  <w:style w:type="character" w:customStyle="1" w:styleId="24">
    <w:name w:val="m-text"/>
    <w:basedOn w:val="5"/>
    <w:uiPriority w:val="0"/>
  </w:style>
  <w:style w:type="character" w:customStyle="1" w:styleId="25">
    <w:name w:val="focus2"/>
    <w:basedOn w:val="5"/>
    <w:uiPriority w:val="0"/>
    <w:rPr>
      <w:b/>
      <w:color w:val="000000"/>
    </w:rPr>
  </w:style>
  <w:style w:type="character" w:customStyle="1" w:styleId="26">
    <w:name w:val="l_15"/>
    <w:basedOn w:val="5"/>
    <w:uiPriority w:val="0"/>
  </w:style>
  <w:style w:type="character" w:customStyle="1" w:styleId="27">
    <w:name w:val="icon_cxktbr"/>
    <w:basedOn w:val="5"/>
    <w:uiPriority w:val="0"/>
  </w:style>
  <w:style w:type="character" w:customStyle="1" w:styleId="28">
    <w:name w:val="close6"/>
    <w:basedOn w:val="5"/>
    <w:uiPriority w:val="0"/>
  </w:style>
  <w:style w:type="character" w:customStyle="1" w:styleId="29">
    <w:name w:val="searchclose"/>
    <w:basedOn w:val="5"/>
    <w:uiPriority w:val="0"/>
  </w:style>
  <w:style w:type="character" w:customStyle="1" w:styleId="30">
    <w:name w:val="icon_lzrz"/>
    <w:basedOn w:val="5"/>
    <w:uiPriority w:val="0"/>
  </w:style>
  <w:style w:type="character" w:customStyle="1" w:styleId="31">
    <w:name w:val="searchopen"/>
    <w:basedOn w:val="5"/>
    <w:uiPriority w:val="0"/>
  </w:style>
  <w:style w:type="character" w:customStyle="1" w:styleId="32">
    <w:name w:val="l_12"/>
    <w:basedOn w:val="5"/>
    <w:uiPriority w:val="0"/>
  </w:style>
  <w:style w:type="character" w:customStyle="1" w:styleId="33">
    <w:name w:val="l_121"/>
    <w:basedOn w:val="5"/>
    <w:uiPriority w:val="0"/>
  </w:style>
  <w:style w:type="character" w:customStyle="1" w:styleId="34">
    <w:name w:val="l_10"/>
    <w:basedOn w:val="5"/>
    <w:uiPriority w:val="0"/>
  </w:style>
  <w:style w:type="character" w:customStyle="1" w:styleId="35">
    <w:name w:val="l_101"/>
    <w:basedOn w:val="5"/>
    <w:uiPriority w:val="0"/>
  </w:style>
  <w:style w:type="character" w:customStyle="1" w:styleId="36">
    <w:name w:val="icon_xzry"/>
    <w:basedOn w:val="5"/>
    <w:uiPriority w:val="0"/>
  </w:style>
  <w:style w:type="character" w:customStyle="1" w:styleId="37">
    <w:name w:val="icon_dljg"/>
    <w:basedOn w:val="5"/>
    <w:uiPriority w:val="0"/>
  </w:style>
  <w:style w:type="character" w:customStyle="1" w:styleId="38">
    <w:name w:val="icon_cxkcyry"/>
    <w:basedOn w:val="5"/>
    <w:uiPriority w:val="0"/>
  </w:style>
  <w:style w:type="character" w:customStyle="1" w:styleId="39">
    <w:name w:val="swapimg4"/>
    <w:basedOn w:val="5"/>
    <w:uiPriority w:val="0"/>
  </w:style>
  <w:style w:type="character" w:customStyle="1" w:styleId="40">
    <w:name w:val="swapimg5"/>
    <w:basedOn w:val="5"/>
    <w:uiPriority w:val="0"/>
  </w:style>
  <w:style w:type="character" w:customStyle="1" w:styleId="41">
    <w:name w:val="icon_gzkj"/>
    <w:basedOn w:val="5"/>
    <w:uiPriority w:val="0"/>
  </w:style>
  <w:style w:type="character" w:customStyle="1" w:styleId="42">
    <w:name w:val="icon_xglc"/>
    <w:basedOn w:val="5"/>
    <w:uiPriority w:val="0"/>
  </w:style>
  <w:style w:type="character" w:customStyle="1" w:styleId="43">
    <w:name w:val="l_8"/>
    <w:basedOn w:val="5"/>
    <w:uiPriority w:val="0"/>
  </w:style>
  <w:style w:type="character" w:customStyle="1" w:styleId="44">
    <w:name w:val="l_81"/>
    <w:basedOn w:val="5"/>
    <w:uiPriority w:val="0"/>
  </w:style>
  <w:style w:type="character" w:customStyle="1" w:styleId="45">
    <w:name w:val="l_5"/>
    <w:basedOn w:val="5"/>
    <w:uiPriority w:val="0"/>
  </w:style>
  <w:style w:type="character" w:customStyle="1" w:styleId="46">
    <w:name w:val="l_51"/>
    <w:basedOn w:val="5"/>
    <w:uiPriority w:val="0"/>
  </w:style>
  <w:style w:type="character" w:customStyle="1" w:styleId="47">
    <w:name w:val="l_0"/>
    <w:basedOn w:val="5"/>
    <w:uiPriority w:val="0"/>
  </w:style>
  <w:style w:type="character" w:customStyle="1" w:styleId="48">
    <w:name w:val="l_01"/>
    <w:basedOn w:val="5"/>
    <w:uiPriority w:val="0"/>
  </w:style>
  <w:style w:type="character" w:customStyle="1" w:styleId="49">
    <w:name w:val="l_1"/>
    <w:basedOn w:val="5"/>
    <w:uiPriority w:val="0"/>
  </w:style>
  <w:style w:type="character" w:customStyle="1" w:styleId="50">
    <w:name w:val="l_11"/>
    <w:basedOn w:val="5"/>
    <w:uiPriority w:val="0"/>
  </w:style>
  <w:style w:type="character" w:customStyle="1" w:styleId="51">
    <w:name w:val="l_2"/>
    <w:basedOn w:val="5"/>
    <w:uiPriority w:val="0"/>
  </w:style>
  <w:style w:type="character" w:customStyle="1" w:styleId="52">
    <w:name w:val="l_21"/>
    <w:basedOn w:val="5"/>
    <w:uiPriority w:val="0"/>
  </w:style>
  <w:style w:type="character" w:customStyle="1" w:styleId="53">
    <w:name w:val="l_3"/>
    <w:basedOn w:val="5"/>
    <w:uiPriority w:val="0"/>
  </w:style>
  <w:style w:type="character" w:customStyle="1" w:styleId="54">
    <w:name w:val="l_31"/>
    <w:basedOn w:val="5"/>
    <w:uiPriority w:val="0"/>
  </w:style>
  <w:style w:type="character" w:customStyle="1" w:styleId="55">
    <w:name w:val="l_4"/>
    <w:basedOn w:val="5"/>
    <w:uiPriority w:val="0"/>
  </w:style>
  <w:style w:type="character" w:customStyle="1" w:styleId="56">
    <w:name w:val="l_41"/>
    <w:basedOn w:val="5"/>
    <w:uiPriority w:val="0"/>
  </w:style>
  <w:style w:type="character" w:customStyle="1" w:styleId="57">
    <w:name w:val="l_6"/>
    <w:basedOn w:val="5"/>
    <w:uiPriority w:val="0"/>
  </w:style>
  <w:style w:type="character" w:customStyle="1" w:styleId="58">
    <w:name w:val="l_61"/>
    <w:basedOn w:val="5"/>
    <w:uiPriority w:val="0"/>
  </w:style>
  <w:style w:type="character" w:customStyle="1" w:styleId="59">
    <w:name w:val="l_9"/>
    <w:basedOn w:val="5"/>
    <w:uiPriority w:val="0"/>
  </w:style>
  <w:style w:type="character" w:customStyle="1" w:styleId="60">
    <w:name w:val="l_91"/>
    <w:basedOn w:val="5"/>
    <w:uiPriority w:val="0"/>
  </w:style>
  <w:style w:type="character" w:customStyle="1" w:styleId="61">
    <w:name w:val="l_111"/>
    <w:basedOn w:val="5"/>
    <w:uiPriority w:val="0"/>
  </w:style>
  <w:style w:type="character" w:customStyle="1" w:styleId="62">
    <w:name w:val="l_112"/>
    <w:basedOn w:val="5"/>
    <w:uiPriority w:val="0"/>
  </w:style>
  <w:style w:type="character" w:customStyle="1" w:styleId="63">
    <w:name w:val="l_13"/>
    <w:basedOn w:val="5"/>
    <w:uiPriority w:val="0"/>
  </w:style>
  <w:style w:type="character" w:customStyle="1" w:styleId="64">
    <w:name w:val="l_131"/>
    <w:basedOn w:val="5"/>
    <w:uiPriority w:val="0"/>
  </w:style>
  <w:style w:type="character" w:customStyle="1" w:styleId="65">
    <w:name w:val="l_14"/>
    <w:basedOn w:val="5"/>
    <w:uiPriority w:val="0"/>
  </w:style>
  <w:style w:type="character" w:customStyle="1" w:styleId="66">
    <w:name w:val="l_141"/>
    <w:basedOn w:val="5"/>
    <w:uiPriority w:val="0"/>
  </w:style>
  <w:style w:type="character" w:customStyle="1" w:styleId="67">
    <w:name w:val="color_cdyy"/>
    <w:basedOn w:val="5"/>
    <w:uiPriority w:val="0"/>
    <w:rPr>
      <w:color w:val="FFFFFF"/>
      <w:bdr w:val="single" w:color="FFFFFF" w:sz="6" w:space="0"/>
    </w:rPr>
  </w:style>
  <w:style w:type="character" w:customStyle="1" w:styleId="68">
    <w:name w:val="l_151"/>
    <w:basedOn w:val="5"/>
    <w:uiPriority w:val="0"/>
  </w:style>
  <w:style w:type="character" w:customStyle="1" w:styleId="69">
    <w:name w:val="l_7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008</cp:lastModifiedBy>
  <cp:lastPrinted>2019-01-22T18:47:27Z</cp:lastPrinted>
  <dcterms:modified xsi:type="dcterms:W3CDTF">2019-01-22T18:48:16Z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