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2"/>
        </w:rPr>
      </w:pPr>
    </w:p>
    <w:p>
      <w:pPr>
        <w:adjustRightInd w:val="0"/>
        <w:snapToGrid w:val="0"/>
        <w:spacing w:line="300" w:lineRule="auto"/>
        <w:jc w:val="center"/>
        <w:rPr>
          <w:rFonts w:ascii="华文中宋" w:hAnsi="华文中宋" w:eastAsia="华文中宋"/>
          <w:sz w:val="22"/>
        </w:rPr>
      </w:pPr>
    </w:p>
    <w:p>
      <w:pPr>
        <w:adjustRightInd w:val="0"/>
        <w:snapToGrid w:val="0"/>
        <w:spacing w:line="360" w:lineRule="auto"/>
        <w:jc w:val="center"/>
        <w:rPr>
          <w:rFonts w:ascii="黑体" w:hAnsi="黑体" w:eastAsia="黑体" w:cs="黑体"/>
          <w:b/>
          <w:bCs/>
          <w:sz w:val="40"/>
          <w:szCs w:val="40"/>
        </w:rPr>
      </w:pPr>
      <w:r>
        <w:rPr>
          <w:rFonts w:hint="eastAsia" w:ascii="黑体" w:hAnsi="黑体" w:eastAsia="黑体" w:cs="黑体"/>
          <w:b/>
          <w:bCs/>
          <w:sz w:val="40"/>
          <w:szCs w:val="40"/>
        </w:rPr>
        <w:t xml:space="preserve">  环保产业园及许昌（魏都）循环产业园</w:t>
      </w:r>
    </w:p>
    <w:p>
      <w:pPr>
        <w:adjustRightInd w:val="0"/>
        <w:snapToGrid w:val="0"/>
        <w:spacing w:line="360" w:lineRule="auto"/>
        <w:jc w:val="center"/>
        <w:rPr>
          <w:rFonts w:ascii="隶书" w:hAnsi="宋体" w:eastAsia="隶书"/>
          <w:b/>
          <w:bCs/>
          <w:sz w:val="48"/>
          <w:szCs w:val="48"/>
        </w:rPr>
      </w:pPr>
      <w:r>
        <w:rPr>
          <w:rFonts w:hint="eastAsia" w:ascii="黑体" w:hAnsi="黑体" w:eastAsia="黑体" w:cs="黑体"/>
          <w:b/>
          <w:bCs/>
          <w:sz w:val="40"/>
          <w:szCs w:val="40"/>
        </w:rPr>
        <w:t>可研报告编制项目</w:t>
      </w:r>
    </w:p>
    <w:p>
      <w:pPr>
        <w:adjustRightInd w:val="0"/>
        <w:snapToGrid w:val="0"/>
        <w:jc w:val="center"/>
        <w:rPr>
          <w:rFonts w:ascii="隶书" w:hAnsi="宋体" w:eastAsia="隶书"/>
          <w:b/>
          <w:bCs/>
          <w:sz w:val="72"/>
          <w:szCs w:val="72"/>
        </w:rPr>
      </w:pPr>
    </w:p>
    <w:p>
      <w:pPr>
        <w:pStyle w:val="15"/>
        <w:ind w:firstLine="240"/>
      </w:pPr>
    </w:p>
    <w:p>
      <w:pPr>
        <w:adjustRightInd w:val="0"/>
        <w:snapToGrid w:val="0"/>
        <w:jc w:val="center"/>
        <w:rPr>
          <w:rFonts w:ascii="楷体" w:hAnsi="楷体" w:eastAsia="楷体" w:cs="楷体"/>
          <w:b/>
          <w:bCs/>
          <w:sz w:val="96"/>
          <w:szCs w:val="96"/>
        </w:rPr>
      </w:pPr>
      <w:r>
        <w:rPr>
          <w:rFonts w:hint="eastAsia" w:ascii="楷体" w:hAnsi="楷体" w:eastAsia="楷体" w:cs="楷体"/>
          <w:b/>
          <w:sz w:val="96"/>
          <w:szCs w:val="96"/>
        </w:rPr>
        <w:t>竞争性</w:t>
      </w:r>
      <w:r>
        <w:rPr>
          <w:rFonts w:hint="eastAsia" w:ascii="楷体" w:hAnsi="楷体" w:eastAsia="楷体" w:cs="楷体"/>
          <w:b/>
          <w:bCs/>
          <w:sz w:val="96"/>
          <w:szCs w:val="96"/>
        </w:rPr>
        <w:t>谈判文件</w:t>
      </w: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r>
        <w:rPr>
          <w:rFonts w:ascii="隶书" w:eastAsia="隶书"/>
          <w:b/>
          <w:bCs/>
          <w:sz w:val="28"/>
        </w:rPr>
        <w:drawing>
          <wp:anchor distT="0" distB="0" distL="114300" distR="114300" simplePos="0" relativeHeight="251659264" behindDoc="1" locked="0" layoutInCell="1" allowOverlap="1">
            <wp:simplePos x="0" y="0"/>
            <wp:positionH relativeFrom="column">
              <wp:posOffset>2373630</wp:posOffset>
            </wp:positionH>
            <wp:positionV relativeFrom="paragraph">
              <wp:posOffset>51435</wp:posOffset>
            </wp:positionV>
            <wp:extent cx="2023110" cy="1483995"/>
            <wp:effectExtent l="19050" t="0" r="0" b="0"/>
            <wp:wrapTight wrapText="bothSides">
              <wp:wrapPolygon>
                <wp:start x="-203" y="0"/>
                <wp:lineTo x="-203" y="21350"/>
                <wp:lineTo x="21559" y="21350"/>
                <wp:lineTo x="2155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stretch>
                      <a:fillRect/>
                    </a:stretch>
                  </pic:blipFill>
                  <pic:spPr>
                    <a:xfrm>
                      <a:off x="0" y="0"/>
                      <a:ext cx="2023110" cy="1483995"/>
                    </a:xfrm>
                    <a:prstGeom prst="rect">
                      <a:avLst/>
                    </a:prstGeom>
                    <a:noFill/>
                    <a:ln w="9525">
                      <a:noFill/>
                    </a:ln>
                  </pic:spPr>
                </pic:pic>
              </a:graphicData>
            </a:graphic>
          </wp:anchor>
        </w:drawing>
      </w: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60" w:lineRule="auto"/>
        <w:rPr>
          <w:rFonts w:ascii="隶书" w:eastAsia="隶书"/>
          <w:b/>
          <w:bCs/>
          <w:sz w:val="28"/>
        </w:rPr>
      </w:pPr>
    </w:p>
    <w:p>
      <w:pPr>
        <w:adjustRightInd w:val="0"/>
        <w:snapToGrid w:val="0"/>
        <w:spacing w:line="360" w:lineRule="auto"/>
        <w:rPr>
          <w:rFonts w:ascii="隶书" w:eastAsia="隶书"/>
          <w:b/>
          <w:bCs/>
          <w:sz w:val="28"/>
        </w:rPr>
      </w:pPr>
    </w:p>
    <w:p>
      <w:pPr>
        <w:adjustRightInd w:val="0"/>
        <w:snapToGrid w:val="0"/>
        <w:spacing w:line="360" w:lineRule="auto"/>
        <w:rPr>
          <w:rFonts w:ascii="隶书" w:eastAsia="隶书"/>
          <w:b/>
          <w:bCs/>
          <w:sz w:val="28"/>
        </w:rPr>
      </w:pPr>
    </w:p>
    <w:p>
      <w:pPr>
        <w:adjustRightInd w:val="0"/>
        <w:snapToGrid w:val="0"/>
        <w:spacing w:line="36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人：许昌魏都产业集聚区管理委员会</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代理机构：永明项目管理有限公司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项目名称：环保产业园及许昌（魏都）循环产业园</w:t>
      </w:r>
    </w:p>
    <w:p>
      <w:pPr>
        <w:adjustRightInd w:val="0"/>
        <w:snapToGrid w:val="0"/>
        <w:spacing w:line="360" w:lineRule="auto"/>
        <w:ind w:firstLine="3092" w:firstLineChars="1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可研报告编制项目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项目编号：JZFCG-T2019006号</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时    间：二〇一九年一月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r>
        <w:rPr>
          <w:rFonts w:hint="eastAsia" w:ascii="华文中宋" w:hAnsi="华文中宋" w:eastAsia="华文中宋"/>
          <w:b/>
          <w:kern w:val="36"/>
          <w:sz w:val="44"/>
          <w:szCs w:val="44"/>
        </w:rPr>
        <w:t>目   录</w:t>
      </w:r>
    </w:p>
    <w:p>
      <w:pPr>
        <w:widowControl/>
        <w:spacing w:line="480" w:lineRule="exact"/>
        <w:ind w:firstLine="720" w:firstLineChars="224"/>
        <w:rPr>
          <w:rFonts w:ascii="黑体" w:hAnsi="华文中宋" w:eastAsia="黑体"/>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ascii="Arial" w:hAnsi="Arial" w:cs="Arial"/>
          <w:sz w:val="24"/>
        </w:rPr>
      </w:pPr>
      <w:r>
        <w:rPr>
          <w:rFonts w:hint="eastAsia" w:ascii="宋体" w:hAnsi="宋体"/>
          <w:b/>
          <w:kern w:val="36"/>
          <w:sz w:val="24"/>
          <w:szCs w:val="24"/>
        </w:rPr>
        <w:br w:type="page"/>
      </w:r>
      <w:r>
        <w:rPr>
          <w:rFonts w:hint="eastAsia" w:ascii="华文中宋" w:hAnsi="华文中宋" w:eastAsia="华文中宋"/>
          <w:b/>
          <w:sz w:val="32"/>
          <w:szCs w:val="32"/>
        </w:rPr>
        <w:t>第</w:t>
      </w:r>
      <w:r>
        <w:rPr>
          <w:rFonts w:ascii="华文中宋" w:hAnsi="华文中宋" w:eastAsia="华文中宋"/>
          <w:b/>
          <w:sz w:val="32"/>
          <w:szCs w:val="32"/>
        </w:rPr>
        <w:t>一章</w:t>
      </w:r>
      <w:r>
        <w:rPr>
          <w:rFonts w:hint="eastAsia" w:ascii="华文中宋" w:hAnsi="华文中宋" w:eastAsia="华文中宋"/>
          <w:b/>
          <w:sz w:val="32"/>
          <w:szCs w:val="32"/>
        </w:rPr>
        <w:t xml:space="preserve"> 竞争性谈判邀请函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永明项目管理有限公司受许昌魏都产业集聚区管理委员会的委托，根据委托协议委托的事项，就“环保产业园及许昌（魏都）循环产业园可研报告编制项目”进行竞争性谈判采购，欢迎合格的供应商参加谈判。</w:t>
      </w:r>
    </w:p>
    <w:p>
      <w:pPr>
        <w:pStyle w:val="31"/>
        <w:shd w:val="clear" w:color="auto" w:fill="FFFFFF"/>
        <w:spacing w:before="0" w:beforeAutospacing="0" w:after="0" w:afterAutospacing="0" w:line="360" w:lineRule="auto"/>
        <w:ind w:firstLine="556"/>
      </w:pPr>
      <w:r>
        <w:rPr>
          <w:rFonts w:hint="eastAsia"/>
          <w:shd w:val="clear" w:color="auto" w:fill="FFFFFF"/>
        </w:rPr>
        <w:t>一、项目基本情况</w:t>
      </w:r>
      <w:bookmarkStart w:id="24" w:name="_GoBack"/>
      <w:bookmarkEnd w:id="24"/>
    </w:p>
    <w:p>
      <w:pPr>
        <w:pStyle w:val="31"/>
        <w:shd w:val="clear" w:color="auto" w:fill="FFFFFF"/>
        <w:spacing w:before="0" w:beforeAutospacing="0" w:after="0" w:afterAutospacing="0" w:line="360" w:lineRule="auto"/>
        <w:ind w:firstLine="556"/>
      </w:pPr>
      <w:r>
        <w:rPr>
          <w:rFonts w:hint="eastAsia"/>
          <w:shd w:val="clear" w:color="auto" w:fill="FFFFFF"/>
        </w:rPr>
        <w:t>（一）项目名称：</w:t>
      </w:r>
      <w:r>
        <w:rPr>
          <w:rFonts w:hint="eastAsia"/>
        </w:rPr>
        <w:t>环保产业园及许昌（魏都）循环产业园可研报告编制项目</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（二）项目编号：JZFCG-T2019006号</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w:t>
      </w:r>
      <w:r>
        <w:rPr>
          <w:rFonts w:hint="eastAsia"/>
        </w:rPr>
        <w:t>：循环经济产业园位于许昌市许繁路中段，占地共计1.18平方公里，计划总投资3亿元，项目共分两期建设：一期主要建设年产10万吨文化用纸生产线；二期新建年产90万吨高档包装纸线、特种纸生产线造纸技术研发中心、保税物流中心等，完善园区内道路、污水处理、供热等相关配套设施。项目全部建成后，预计实现产品年销售收入80亿元，实现税收5亿元，提供就业岗位3000个，年生产能力将达到100万吨，成为河南最大造纸生产基地。环保科技产业园位于S227以东、许禹路以南、西外环以西、阳光大道以北合围区域内，规划占地10.81平方公里，计划总投资20亿元，项目共分两期建设：一期主要建设生活垃圾处理、垃圾焚烧发电项目；二期主要引进新型环保材料、环保科技装备、高端装备、新能源新材料等高新科技产业项目，同步建设实施庞庄棚户区改造、土地收储、标准化厂房建设、生态绿化和配套道路、管网、电力、污水处理等公共基础设施。本项目主要是编制环保产业园及许昌（魏都）循环产业园可行性研究报告。</w:t>
      </w:r>
      <w:r>
        <w:rPr>
          <w:rFonts w:hint="eastAsia"/>
          <w:shd w:val="clear" w:color="auto" w:fill="FFFFFF"/>
        </w:rPr>
        <w:t>（详见竞争性谈判文件要求）</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（四）预算金额：400000.00元；最高限价：400000.00元。</w:t>
      </w:r>
    </w:p>
    <w:p>
      <w:pPr>
        <w:pStyle w:val="23"/>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（五）服务期限 ：自合同签订后15日历天。</w:t>
      </w:r>
    </w:p>
    <w:p>
      <w:pPr>
        <w:pStyle w:val="23"/>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（六）质量标准：合格（符合国家现行的验收规范和标准）。</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（七）交付地点：许昌市腾飞大道与西外环交叉口（</w:t>
      </w:r>
      <w:r>
        <w:rPr>
          <w:rFonts w:hint="eastAsia"/>
        </w:rPr>
        <w:t>许昌魏都产业集聚区管理委员会办公楼</w:t>
      </w:r>
      <w:r>
        <w:rPr>
          <w:rFonts w:hint="eastAsia"/>
          <w:shd w:val="clear" w:color="auto" w:fill="FFFFFF"/>
        </w:rPr>
        <w:t>）。</w:t>
      </w:r>
    </w:p>
    <w:p>
      <w:pPr>
        <w:pStyle w:val="31"/>
        <w:shd w:val="clear" w:color="auto" w:fill="FFFFFF"/>
        <w:spacing w:before="0" w:beforeAutospacing="0" w:after="0" w:afterAutospacing="0" w:line="360" w:lineRule="auto"/>
        <w:ind w:firstLine="562"/>
      </w:pPr>
      <w:r>
        <w:rPr>
          <w:rFonts w:hint="eastAsia"/>
        </w:rPr>
        <w:t>二、需要落实的政府采购政策</w:t>
      </w:r>
    </w:p>
    <w:p>
      <w:pPr>
        <w:pStyle w:val="31"/>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1"/>
        <w:shd w:val="clear" w:color="auto" w:fill="FFFFFF"/>
        <w:spacing w:before="0" w:beforeAutospacing="0" w:after="0" w:afterAutospacing="0" w:line="360" w:lineRule="auto"/>
        <w:ind w:firstLine="556"/>
      </w:pPr>
      <w:r>
        <w:rPr>
          <w:rFonts w:hint="eastAsia"/>
          <w:shd w:val="clear" w:color="auto" w:fill="FFFFFF"/>
        </w:rPr>
        <w:t>三、供应商资格要求</w:t>
      </w:r>
    </w:p>
    <w:p>
      <w:pPr>
        <w:pStyle w:val="3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pPr>
        <w:pStyle w:val="3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3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(三)</w:t>
      </w:r>
      <w:r>
        <w:rPr>
          <w:rFonts w:hint="eastAsia"/>
        </w:rPr>
        <w:t xml:space="preserve"> </w:t>
      </w:r>
      <w:r>
        <w:rPr>
          <w:rFonts w:hint="eastAsia"/>
          <w:shd w:val="clear" w:color="auto" w:fill="FFFFFF"/>
        </w:rPr>
        <w:t>投标人须具备市政公用工程咨询甲级或综合咨询资质。具有良好商业信誉，财务状况良好, 具有履行合同所必需的设备和专业技术能力。</w:t>
      </w:r>
    </w:p>
    <w:p>
      <w:pPr>
        <w:pStyle w:val="31"/>
        <w:shd w:val="clear" w:color="auto" w:fill="FFFFFF"/>
        <w:spacing w:before="0" w:beforeAutospacing="0" w:after="0" w:afterAutospacing="0" w:line="360" w:lineRule="auto"/>
        <w:rPr>
          <w:shd w:val="clear" w:color="auto" w:fill="FFFFFF"/>
        </w:rPr>
      </w:pPr>
      <w:r>
        <w:rPr>
          <w:rFonts w:hint="eastAsia"/>
          <w:shd w:val="clear" w:color="auto" w:fill="FFFFFF"/>
        </w:rPr>
        <w:t xml:space="preserve">   （四）拟派项目负责人须具备注册咨询工程师资格（市政公用工程专业），并提供相关证件。</w:t>
      </w:r>
    </w:p>
    <w:p>
      <w:pPr>
        <w:pStyle w:val="31"/>
        <w:shd w:val="clear" w:color="auto" w:fill="FFFFFF"/>
        <w:spacing w:before="0" w:beforeAutospacing="0" w:after="0" w:afterAutospacing="0" w:line="360" w:lineRule="auto"/>
        <w:rPr>
          <w:shd w:val="clear" w:color="auto" w:fill="FFFFFF"/>
        </w:rPr>
      </w:pPr>
      <w:r>
        <w:rPr>
          <w:rFonts w:hint="eastAsia"/>
          <w:shd w:val="clear" w:color="auto" w:fill="FFFFFF"/>
        </w:rPr>
        <w:t xml:space="preserve">   （五）本项目不接受联合体参加谈判。</w:t>
      </w:r>
    </w:p>
    <w:p>
      <w:pPr>
        <w:pStyle w:val="31"/>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31"/>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31"/>
        <w:shd w:val="clear" w:color="auto" w:fill="FFFFFF"/>
        <w:spacing w:before="0" w:beforeAutospacing="0" w:after="0" w:afterAutospacing="0" w:line="360" w:lineRule="auto"/>
        <w:ind w:firstLine="562"/>
      </w:pPr>
      <w:r>
        <w:rPr>
          <w:rFonts w:hint="eastAsia"/>
          <w:shd w:val="clear" w:color="auto" w:fill="FFFFFF"/>
        </w:rPr>
        <w:t>（一）谈判文件接收截止及谈判时间：2019年1月28日10时30分（北京时间），逾期送达或不符合规定的响应文件不予接受。</w:t>
      </w:r>
    </w:p>
    <w:p>
      <w:pPr>
        <w:pStyle w:val="31"/>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许昌公共资源交易中心开标五室（许昌市龙兴路与竹林路交汇处公共资源交易大厦楼）</w:t>
      </w:r>
      <w:r>
        <w:rPr>
          <w:rFonts w:hint="eastAsia"/>
          <w:shd w:val="clear" w:color="auto" w:fill="FFFFFF"/>
        </w:rPr>
        <w:t>。</w:t>
      </w:r>
    </w:p>
    <w:p>
      <w:pPr>
        <w:pStyle w:val="3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pPr>
        <w:pStyle w:val="3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31"/>
        <w:shd w:val="clear" w:color="auto" w:fill="FFFFFF"/>
        <w:spacing w:before="0" w:beforeAutospacing="0" w:after="0" w:afterAutospacing="0" w:line="360" w:lineRule="auto"/>
        <w:ind w:firstLine="480" w:firstLineChars="200"/>
      </w:pPr>
      <w:r>
        <w:rPr>
          <w:rFonts w:hint="eastAsia"/>
          <w:shd w:val="clear" w:color="auto" w:fill="FFFFFF"/>
        </w:rPr>
        <w:t>八、联系方式</w:t>
      </w:r>
    </w:p>
    <w:p>
      <w:pPr>
        <w:spacing w:afterLines="1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采购人：许昌魏都产业集聚区管理委员会</w:t>
      </w:r>
    </w:p>
    <w:p>
      <w:pPr>
        <w:spacing w:afterLines="1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地 址：许昌市腾飞大道与西外环交叉口</w:t>
      </w:r>
    </w:p>
    <w:p>
      <w:pPr>
        <w:spacing w:afterLines="1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联系人：徐先生             联系电话：13733687779</w:t>
      </w:r>
    </w:p>
    <w:p>
      <w:pPr>
        <w:spacing w:afterLines="1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代理机构：永明项目管理有限公司</w:t>
      </w:r>
    </w:p>
    <w:p>
      <w:pPr>
        <w:spacing w:afterLines="1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地 址：许昌市东城区魏文路与南海街交叉口瑞贝卡和天下</w:t>
      </w:r>
      <w:r>
        <w:rPr>
          <w:rFonts w:hint="eastAsia" w:ascii="宋体" w:hAnsi="宋体" w:cs="宋体"/>
          <w:kern w:val="0"/>
          <w:sz w:val="24"/>
          <w:szCs w:val="24"/>
          <w:shd w:val="clear" w:color="auto" w:fill="FFFFFF"/>
        </w:rPr>
        <w:tab/>
      </w:r>
    </w:p>
    <w:p>
      <w:pPr>
        <w:spacing w:afterLines="1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联系人：冯先生             联系电话：0374-5051770</w:t>
      </w:r>
    </w:p>
    <w:p>
      <w:pPr>
        <w:spacing w:afterLines="100"/>
        <w:jc w:val="righ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许昌魏都产业集聚区管理委员会</w:t>
      </w:r>
    </w:p>
    <w:p>
      <w:pPr>
        <w:spacing w:afterLines="100"/>
        <w:jc w:val="center"/>
        <w:rPr>
          <w:rFonts w:ascii="华文中宋" w:hAnsi="华文中宋" w:eastAsia="华文中宋"/>
          <w:b/>
          <w:sz w:val="32"/>
          <w:szCs w:val="32"/>
        </w:rPr>
      </w:pPr>
      <w:r>
        <w:rPr>
          <w:rFonts w:hint="eastAsia" w:ascii="宋体" w:hAnsi="宋体" w:cs="宋体"/>
          <w:kern w:val="0"/>
          <w:sz w:val="24"/>
          <w:szCs w:val="24"/>
          <w:shd w:val="clear" w:color="auto" w:fill="FFFFFF"/>
        </w:rPr>
        <w:t xml:space="preserve">                                                  二〇一九年一月二十</w:t>
      </w:r>
      <w:r>
        <w:rPr>
          <w:rFonts w:hint="eastAsia" w:ascii="宋体" w:hAnsi="宋体" w:cs="宋体"/>
          <w:kern w:val="0"/>
          <w:sz w:val="24"/>
          <w:szCs w:val="24"/>
          <w:shd w:val="clear" w:color="auto" w:fill="FFFFFF"/>
          <w:lang w:eastAsia="zh-CN"/>
        </w:rPr>
        <w:t>二</w:t>
      </w:r>
      <w:r>
        <w:rPr>
          <w:rFonts w:hint="eastAsia" w:ascii="宋体" w:hAnsi="宋体" w:cs="宋体"/>
          <w:kern w:val="0"/>
          <w:sz w:val="24"/>
          <w:szCs w:val="24"/>
          <w:shd w:val="clear" w:color="auto" w:fill="FFFFFF"/>
        </w:rPr>
        <w:t>日</w:t>
      </w:r>
      <w:r>
        <w:rPr>
          <w:rFonts w:hint="eastAsia" w:ascii="宋体" w:hAnsi="宋体" w:cs="宋体"/>
          <w:kern w:val="0"/>
          <w:sz w:val="24"/>
          <w:szCs w:val="24"/>
          <w:shd w:val="clear" w:color="auto" w:fill="FFFFFF"/>
        </w:rPr>
        <w:br w:type="page"/>
      </w:r>
      <w:r>
        <w:rPr>
          <w:rFonts w:hint="eastAsia" w:ascii="华文中宋" w:hAnsi="华文中宋" w:eastAsia="华文中宋"/>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9"/>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jc w:val="left"/>
              <w:rPr>
                <w:rFonts w:ascii="宋体" w:hAnsi="宋体"/>
                <w:bCs/>
                <w:szCs w:val="21"/>
              </w:rPr>
            </w:pPr>
            <w:r>
              <w:rPr>
                <w:rFonts w:hint="eastAsia" w:ascii="宋体" w:hAnsi="宋体"/>
                <w:bCs/>
                <w:szCs w:val="21"/>
              </w:rPr>
              <w:t>许昌魏都产业集聚区管理委员会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jc w:val="left"/>
              <w:rPr>
                <w:rFonts w:ascii="宋体" w:hAnsi="宋体"/>
                <w:bCs/>
                <w:szCs w:val="21"/>
              </w:rPr>
            </w:pPr>
            <w:r>
              <w:rPr>
                <w:rFonts w:hint="eastAsia" w:ascii="宋体" w:hAnsi="宋体"/>
                <w:bCs/>
                <w:szCs w:val="21"/>
              </w:rPr>
              <w:t>环保产业园及许昌（魏都）循环产业园可研报告编制项目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JZFCG-T2019006号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永明项目管理有限公司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6"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2.满足本谈判文件的规定其他条件，完全响应谈判文件的实质性要求。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1.财政性资金。</w:t>
            </w:r>
          </w:p>
          <w:p>
            <w:pPr>
              <w:spacing w:line="300" w:lineRule="auto"/>
              <w:rPr>
                <w:rFonts w:ascii="宋体" w:hAnsi="宋体" w:cs="宋体"/>
                <w:szCs w:val="21"/>
              </w:rPr>
            </w:pPr>
            <w:r>
              <w:rPr>
                <w:rFonts w:hint="eastAsia" w:ascii="宋体" w:hAnsi="宋体" w:cs="宋体"/>
                <w:bCs/>
                <w:szCs w:val="21"/>
              </w:rPr>
              <w:t>2.预算金额：</w:t>
            </w:r>
            <w:r>
              <w:rPr>
                <w:rFonts w:hint="eastAsia"/>
                <w:shd w:val="clear" w:color="auto" w:fill="FFFFFF"/>
              </w:rPr>
              <w:t>400000.00元；最高限价：400000.00元</w:t>
            </w:r>
            <w:r>
              <w:rPr>
                <w:rFonts w:hint="eastAsia" w:ascii="宋体" w:hAnsi="宋体" w:cs="宋体"/>
                <w:szCs w:val="21"/>
                <w:shd w:val="clear" w:color="auto" w:fill="FFFFFF"/>
              </w:rPr>
              <w:t>。</w:t>
            </w:r>
            <w:r>
              <w:rPr>
                <w:rFonts w:hint="eastAsia" w:ascii="宋体" w:hAnsi="宋体" w:cs="宋体"/>
                <w:bCs/>
                <w:szCs w:val="21"/>
              </w:rPr>
              <w:t xml:space="preserve">报价超出最高限价的为无效报价。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交付地点</w:t>
            </w:r>
          </w:p>
        </w:tc>
        <w:tc>
          <w:tcPr>
            <w:tcW w:w="8061" w:type="dxa"/>
            <w:vAlign w:val="center"/>
          </w:tcPr>
          <w:p>
            <w:pPr>
              <w:spacing w:line="300" w:lineRule="auto"/>
              <w:rPr>
                <w:shd w:val="clear" w:color="auto" w:fill="FFFFFF"/>
              </w:rPr>
            </w:pPr>
            <w:r>
              <w:rPr>
                <w:rFonts w:hint="eastAsia"/>
                <w:shd w:val="clear" w:color="auto" w:fill="FFFFFF"/>
              </w:rPr>
              <w:t>许昌市腾飞大道与西外环交叉口（许昌魏都产业集聚区管理委员会办公楼）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shd w:val="clear" w:color="auto" w:fill="FFFFFF"/>
              </w:rPr>
            </w:pPr>
            <w:r>
              <w:rPr>
                <w:rFonts w:hint="eastAsia"/>
                <w:shd w:val="clear" w:color="auto" w:fill="FFFFFF"/>
              </w:rPr>
              <w:t>循环经济产业园位于许昌市许繁路中段，占地共计1.18平方公里，计划总投资3亿元，项目共分两期建设：一期主要建设年产10万吨文化用纸生产线；二期新建年产90万吨高档包装纸线、特种纸生产线造纸技术研发中心、保税物流中心等，完善园区内道路、污水处理、供热等相关配套设施。项目全部建成后，预计实现产品年销售收入80亿元，实现税收5亿元，提供就业岗位3000个，年生产能力将达到100万吨，成为河南最大造纸生产基地。环保科技产业园位于S227以东、许禹路以南、西外环以西、阳光大道以北合围区域内，规划占地10.81平方公里，计划总投资20亿元，项目共分两期建设：一期主要建设生活垃圾处理、垃圾焚烧发电项目；二期主要引进新型环保材料、环保科技装备、高端装备、新能源新材料等高新科技产业项目，同步建设实施庞庄棚户区改造、土地收储、标准化厂房建设、生态绿化和配套道路、管网、电力、污水处理等公共基础设施。本项目主要是编制环保产业园及许昌（魏都）循环产业园可行性研究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服务期限</w:t>
            </w:r>
          </w:p>
        </w:tc>
        <w:tc>
          <w:tcPr>
            <w:tcW w:w="8061" w:type="dxa"/>
            <w:vAlign w:val="center"/>
          </w:tcPr>
          <w:p>
            <w:pPr>
              <w:spacing w:line="300" w:lineRule="auto"/>
              <w:rPr>
                <w:rFonts w:ascii="宋体" w:hAnsi="宋体" w:cs="宋体"/>
                <w:szCs w:val="21"/>
              </w:rPr>
            </w:pPr>
            <w:r>
              <w:rPr>
                <w:rFonts w:hint="eastAsia" w:ascii="宋体" w:hAnsi="宋体" w:cs="宋体"/>
                <w:kern w:val="0"/>
                <w:sz w:val="24"/>
                <w:szCs w:val="24"/>
                <w:shd w:val="clear" w:color="auto" w:fill="FFFFFF"/>
              </w:rPr>
              <w:t>自合同签订后15日历天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许昌市公共资源交易中心开标五室。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谈判文件接收截止时间及谈判时间：2019年1月28日10时30分(北京时间)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人民币捌仟元整（¥8000.00元）。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ind w:firstLine="210" w:firstLineChars="100"/>
              <w:rPr>
                <w:rFonts w:ascii="宋体" w:hAnsi="宋体" w:cs="宋体"/>
                <w:szCs w:val="21"/>
              </w:rPr>
            </w:pPr>
            <w:r>
              <w:rPr>
                <w:rFonts w:hint="eastAsia" w:ascii="宋体" w:hAnsi="宋体" w:cs="宋体"/>
                <w:szCs w:val="21"/>
                <w:lang w:val="zh-CN"/>
              </w:rPr>
              <w:t>履约保证金</w:t>
            </w:r>
          </w:p>
        </w:tc>
        <w:tc>
          <w:tcPr>
            <w:tcW w:w="8061" w:type="dxa"/>
            <w:vAlign w:val="center"/>
          </w:tcPr>
          <w:p>
            <w:pPr>
              <w:spacing w:line="300" w:lineRule="auto"/>
              <w:rPr>
                <w:rFonts w:ascii="宋体" w:hAnsi="宋体" w:cs="宋体"/>
                <w:szCs w:val="21"/>
                <w:lang w:val="zh-CN"/>
              </w:rPr>
            </w:pPr>
            <w:r>
              <w:rPr>
                <w:rFonts w:hint="eastAsia" w:ascii="宋体" w:hAnsi="宋体" w:cs="宋体"/>
                <w:szCs w:val="21"/>
                <w:lang w:val="zh-CN"/>
              </w:rPr>
              <w:fldChar w:fldCharType="begin"/>
            </w:r>
            <w:r>
              <w:rPr>
                <w:rFonts w:hint="eastAsia" w:ascii="宋体" w:hAnsi="宋体" w:cs="宋体"/>
                <w:szCs w:val="21"/>
                <w:lang w:val="zh-CN"/>
              </w:rPr>
              <w:instrText xml:space="preserve"> eq \o\ac(□,√)</w:instrText>
            </w:r>
            <w:r>
              <w:rPr>
                <w:rFonts w:hint="eastAsia" w:ascii="宋体" w:hAnsi="宋体" w:cs="宋体"/>
                <w:szCs w:val="21"/>
                <w:lang w:val="zh-CN"/>
              </w:rPr>
              <w:fldChar w:fldCharType="end"/>
            </w:r>
            <w:r>
              <w:rPr>
                <w:rFonts w:hint="eastAsia" w:ascii="宋体" w:hAnsi="宋体" w:cs="宋体"/>
                <w:szCs w:val="21"/>
                <w:lang w:val="zh-CN"/>
              </w:rPr>
              <w:t>无要求</w:t>
            </w:r>
          </w:p>
          <w:p>
            <w:pPr>
              <w:spacing w:line="300" w:lineRule="auto"/>
              <w:rPr>
                <w:rFonts w:ascii="宋体" w:hAnsi="宋体" w:cs="宋体"/>
                <w:szCs w:val="21"/>
              </w:rPr>
            </w:pPr>
            <w:r>
              <w:rPr>
                <w:rFonts w:hint="eastAsia" w:ascii="宋体" w:hAnsi="宋体" w:cs="宋体"/>
                <w:szCs w:val="21"/>
                <w:lang w:val="zh-CN"/>
              </w:rPr>
              <w:t>□</w:t>
            </w:r>
            <w:r>
              <w:rPr>
                <w:rFonts w:hint="eastAsia" w:ascii="宋体" w:hAnsi="宋体" w:cs="宋体"/>
                <w:szCs w:val="21"/>
              </w:rPr>
              <w:t>要求提交。履约保证金的数额为合同金额的    %。成交人以支票、汇票、本票或者金融机构、担保机构出具的保函等非现金形式向采购人提交。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numPr>
                <w:ilvl w:val="0"/>
                <w:numId w:val="3"/>
              </w:numPr>
              <w:spacing w:line="300" w:lineRule="auto"/>
              <w:rPr>
                <w:rFonts w:ascii="宋体" w:hAnsi="宋体" w:cs="Arial"/>
                <w:bCs/>
                <w:szCs w:val="21"/>
              </w:rPr>
            </w:pPr>
            <w:r>
              <w:rPr>
                <w:rFonts w:hint="eastAsia" w:ascii="宋体" w:hAnsi="宋体" w:cs="Arial"/>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hAnsi="宋体" w:cs="Arial"/>
                <w:bCs/>
                <w:szCs w:val="21"/>
              </w:rPr>
              <w:t>由成交供应商向代理公司支付，代理服务收费标准按成交金额1.5%。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lang w:val="zh-CN"/>
              </w:rPr>
            </w:pPr>
            <w:r>
              <w:rPr>
                <w:rFonts w:hint="eastAsia" w:ascii="宋体"/>
                <w:lang w:val="zh-CN"/>
              </w:rPr>
              <w:t>资金支付</w:t>
            </w:r>
          </w:p>
          <w:p>
            <w:pPr>
              <w:spacing w:line="300" w:lineRule="auto"/>
              <w:jc w:val="center"/>
              <w:rPr>
                <w:rFonts w:ascii="宋体"/>
              </w:rPr>
            </w:pPr>
          </w:p>
        </w:tc>
        <w:tc>
          <w:tcPr>
            <w:tcW w:w="8061" w:type="dxa"/>
            <w:vAlign w:val="center"/>
          </w:tcPr>
          <w:p>
            <w:pPr>
              <w:spacing w:line="300" w:lineRule="auto"/>
              <w:rPr>
                <w:rFonts w:ascii="宋体" w:hAnsi="宋体" w:cs="Arial"/>
                <w:bCs/>
                <w:szCs w:val="21"/>
                <w:lang w:val="zh-CN"/>
              </w:rPr>
            </w:pPr>
            <w:r>
              <w:rPr>
                <w:rFonts w:hint="eastAsia" w:ascii="宋体" w:hAnsi="宋体" w:cs="Arial"/>
                <w:bCs/>
                <w:szCs w:val="21"/>
                <w:lang w:val="zh-CN"/>
              </w:rPr>
              <w:t>1、支付方式：银行转帐。</w:t>
            </w:r>
          </w:p>
          <w:p>
            <w:pPr>
              <w:spacing w:line="300" w:lineRule="auto"/>
              <w:rPr>
                <w:rFonts w:ascii="宋体" w:hAnsi="宋体" w:cs="Arial"/>
                <w:bCs/>
                <w:szCs w:val="21"/>
              </w:rPr>
            </w:pPr>
            <w:r>
              <w:rPr>
                <w:rFonts w:hint="eastAsia" w:ascii="宋体" w:hAnsi="宋体" w:cs="Arial"/>
                <w:bCs/>
                <w:szCs w:val="21"/>
                <w:lang w:val="zh-CN"/>
              </w:rPr>
              <w:t>2、支付时间及条件：</w:t>
            </w:r>
            <w:r>
              <w:rPr>
                <w:rFonts w:hint="eastAsia" w:ascii="宋体" w:hAnsi="宋体" w:cs="Arial"/>
                <w:bCs/>
                <w:szCs w:val="21"/>
              </w:rPr>
              <w:t>成交人提出可行性研究报告后，采购人向成交人支付本项目合同金额的50%，经发改委审核通过后，采购人向成交人支付合同金额的剩余50%。</w:t>
            </w:r>
          </w:p>
        </w:tc>
      </w:tr>
    </w:tbl>
    <w:p>
      <w:pPr>
        <w:pStyle w:val="15"/>
        <w:ind w:firstLine="0" w:firstLineChars="0"/>
        <w:rPr>
          <w:rFonts w:ascii="华文中宋" w:hAnsi="华文中宋" w:eastAsia="华文中宋"/>
          <w:b/>
          <w:sz w:val="32"/>
          <w:szCs w:val="32"/>
        </w:rPr>
      </w:pPr>
    </w:p>
    <w:p>
      <w:pPr>
        <w:pStyle w:val="15"/>
        <w:ind w:firstLine="0" w:firstLineChars="0"/>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jc w:val="center"/>
        <w:rPr>
          <w:rFonts w:ascii="华文中宋" w:hAnsi="华文中宋" w:eastAsia="华文中宋"/>
          <w:b/>
          <w:sz w:val="32"/>
          <w:szCs w:val="32"/>
        </w:rPr>
      </w:pPr>
      <w:r>
        <w:rPr>
          <w:rFonts w:hint="eastAsia" w:ascii="华文中宋" w:hAnsi="华文中宋" w:eastAsia="华文中宋"/>
          <w:b/>
          <w:sz w:val="32"/>
          <w:szCs w:val="32"/>
        </w:rPr>
        <w:br w:type="page"/>
      </w:r>
      <w:r>
        <w:rPr>
          <w:rFonts w:hint="eastAsia" w:ascii="华文中宋" w:hAnsi="华文中宋" w:eastAsia="华文中宋"/>
          <w:b/>
          <w:sz w:val="32"/>
          <w:szCs w:val="32"/>
        </w:rPr>
        <w:t>第三章  竞争性谈判响应文件内容</w:t>
      </w:r>
    </w:p>
    <w:tbl>
      <w:tblPr>
        <w:tblStyle w:val="39"/>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7.2017年度财务审计报告复印件。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8.投标人须具有独立法人资格；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314645"/>
            <w:bookmarkEnd w:id="3"/>
            <w:bookmarkStart w:id="4" w:name="定位_【循环资格性证明材料】_2012261436"/>
            <w:bookmarkEnd w:id="4"/>
            <w:bookmarkStart w:id="5" w:name="定位_【循环资格性证明材料】_201244141223"/>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谈判供应商认为需要提供的其他相关数据和材料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4.谈判响应文件依据谈判文件的要求提供的各类证明文件，须在谈判响应文件中提供加盖公章的复印件，竞争</w:t>
      </w:r>
      <w:r>
        <w:rPr>
          <w:rFonts w:ascii="宋体" w:hAnsi="宋体" w:cs="Arial"/>
          <w:sz w:val="24"/>
        </w:rPr>
        <w:t>性</w:t>
      </w:r>
      <w:r>
        <w:rPr>
          <w:rFonts w:hint="eastAsia" w:ascii="宋体" w:hAnsi="宋体" w:cs="Arial"/>
          <w:sz w:val="24"/>
        </w:rPr>
        <w:t>谈判现场还须提供“资格性审查材料”1、3、8项与复印件一致的原件查验，否则拒绝其参加谈判。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宋体" w:hAnsi="宋体"/>
          <w:b/>
          <w:sz w:val="24"/>
        </w:rPr>
      </w:pPr>
      <w:r>
        <w:rPr>
          <w:rFonts w:hint="eastAsia" w:ascii="宋体" w:hAnsi="宋体"/>
          <w:kern w:val="0"/>
          <w:sz w:val="24"/>
          <w:szCs w:val="24"/>
        </w:rPr>
        <w:br w:type="page"/>
      </w:r>
      <w:r>
        <w:rPr>
          <w:rFonts w:hint="eastAsia" w:ascii="华文中宋" w:hAnsi="华文中宋" w:eastAsia="华文中宋"/>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循环经济产业园位于许昌市许繁路中段，占地共计1.18平方公里，计划总投资3亿元，项目共分两期建设：一期主要建设年产10万吨文化用纸生产线；二期新建年产90万吨高档包装纸线、特种纸生产线造纸技术研发中心、保税物流中心等，完善园区内道路、污水处理、供热等相关配套设施。项目全部建成后，预计实现产品年销售收入80亿元，实现税收5亿元，提供就业岗位3000个，年生产能力将达到100万吨，成为河南最大造纸生产基地</w:t>
      </w:r>
      <w:r>
        <w:rPr>
          <w:rFonts w:hint="eastAsia" w:cs="宋体"/>
          <w:kern w:val="0"/>
          <w:sz w:val="24"/>
        </w:rPr>
        <w:t>。</w:t>
      </w:r>
      <w:r>
        <w:rPr>
          <w:rFonts w:hint="eastAsia" w:ascii="宋体" w:hAnsi="宋体" w:cs="宋体"/>
          <w:kern w:val="0"/>
          <w:sz w:val="24"/>
        </w:rPr>
        <w:t>环保科技产业园位于S227以东、许禹路以南、西外环以西、阳光大道以北合围区域内，规划占地10.81平方公里，计划总投资20亿元，项目共分两期建设：一期主要建设生活垃圾处理、垃圾焚烧发电项目；二期主要引进新型环保材料、环保科技装备、高端装备、新能源新材料等高新科技产业项目，同步建设实施庞庄棚户区改造、土地收储、标准化厂房建设、生态绿化和配套道路、管网、电力、污水处理等公共基础设施。本项目主要是编制环保产业园及许昌（魏都）循环产业园可行性研究报告。</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1、本谈判文件所列的要求为最低要求，根据提供的项目清单及图纸进行报价，对谈判文件中没有列出的而对本项目必不可少的其他要求，谈判供应商必须给予实现。</w:t>
      </w:r>
    </w:p>
    <w:p>
      <w:pPr>
        <w:pStyle w:val="15"/>
        <w:ind w:firstLine="480" w:firstLineChars="200"/>
        <w:rPr>
          <w:rFonts w:ascii="宋体" w:hAnsi="宋体" w:cs="宋体"/>
          <w:b/>
          <w:szCs w:val="24"/>
        </w:rPr>
      </w:pPr>
      <w:r>
        <w:rPr>
          <w:rFonts w:hint="eastAsia" w:ascii="宋体" w:hAnsi="宋体" w:cs="宋体"/>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宋体" w:hAnsi="宋体" w:cs="宋体"/>
          <w:szCs w:val="24"/>
          <w:lang w:val="zh-CN"/>
        </w:rPr>
        <w:t>任何其他费用</w:t>
      </w:r>
      <w:r>
        <w:rPr>
          <w:rFonts w:hint="eastAsia" w:ascii="宋体" w:hAnsi="宋体" w:cs="宋体"/>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供应商</w:t>
      </w:r>
      <w:r>
        <w:rPr>
          <w:rFonts w:hint="eastAsia" w:ascii="宋体" w:hAnsi="宋体" w:cs="宋体"/>
          <w:sz w:val="24"/>
          <w:szCs w:val="24"/>
        </w:rPr>
        <w:t>须明确保修期，保修期不能低于国家相关标准。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6</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7、</w:t>
      </w:r>
      <w:r>
        <w:rPr>
          <w:rFonts w:hint="eastAsia" w:ascii="宋体" w:hAnsi="宋体" w:cs="宋体"/>
          <w:b/>
          <w:sz w:val="24"/>
          <w:szCs w:val="24"/>
        </w:rPr>
        <w:t>验收标准</w:t>
      </w:r>
      <w:r>
        <w:rPr>
          <w:rFonts w:hint="eastAsia" w:ascii="宋体" w:hAnsi="宋体" w:cs="宋体"/>
          <w:sz w:val="24"/>
          <w:szCs w:val="24"/>
        </w:rPr>
        <w:t>：</w:t>
      </w:r>
      <w:r>
        <w:rPr>
          <w:rFonts w:hint="eastAsia" w:cs="仿宋_GB2312" w:asciiTheme="minorEastAsia" w:hAnsiTheme="minor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hAnsi="宋体" w:cs="宋体"/>
          <w:sz w:val="24"/>
          <w:szCs w:val="24"/>
          <w:lang w:val="zh-CN"/>
        </w:rPr>
        <w:t>。</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spacing w:line="360" w:lineRule="auto"/>
        <w:ind w:firstLine="960" w:firstLineChars="4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支付方式：银行转帐。</w:t>
      </w:r>
    </w:p>
    <w:p>
      <w:pPr>
        <w:widowControl/>
        <w:shd w:val="clear" w:color="auto" w:fill="FFFFFF"/>
        <w:spacing w:line="360" w:lineRule="auto"/>
        <w:ind w:firstLine="960" w:firstLineChars="400"/>
        <w:jc w:val="left"/>
        <w:rPr>
          <w:rFonts w:cs="宋体" w:asciiTheme="majorEastAsia" w:hAnsiTheme="majorEastAsia" w:eastAsiaTheme="majorEastAsia"/>
          <w:kern w:val="0"/>
          <w:sz w:val="24"/>
          <w:szCs w:val="24"/>
        </w:rPr>
      </w:pPr>
      <w:r>
        <w:rPr>
          <w:rFonts w:hint="eastAsia" w:cs="仿宋_GB2312" w:asciiTheme="minorEastAsia" w:hAnsiTheme="minorEastAsia"/>
          <w:sz w:val="24"/>
          <w:szCs w:val="24"/>
          <w:lang w:val="zh-CN"/>
        </w:rPr>
        <w:t>支付时间及条件：</w:t>
      </w:r>
      <w:r>
        <w:rPr>
          <w:rFonts w:hint="eastAsia" w:cs="宋体" w:asciiTheme="majorEastAsia" w:hAnsiTheme="majorEastAsia" w:eastAsiaTheme="majorEastAsia"/>
          <w:kern w:val="0"/>
          <w:sz w:val="24"/>
          <w:szCs w:val="24"/>
        </w:rPr>
        <w:t>成交人提出可行性研究报告后，采购人向成交人支付本项目合同金额的50%，经发改委审核通过后，采购人向成交人支付合同金额的剩余50%。</w:t>
      </w:r>
    </w:p>
    <w:p>
      <w:pPr>
        <w:widowControl/>
        <w:spacing w:line="360" w:lineRule="auto"/>
        <w:ind w:firstLine="641" w:firstLineChars="200"/>
        <w:jc w:val="center"/>
        <w:rPr>
          <w:rFonts w:ascii="宋体" w:hAnsi="宋体" w:cs="宋体"/>
          <w:sz w:val="24"/>
          <w:szCs w:val="24"/>
        </w:rPr>
      </w:pPr>
      <w:r>
        <w:rPr>
          <w:rFonts w:ascii="华文中宋" w:hAnsi="华文中宋" w:eastAsia="华文中宋"/>
          <w:b/>
          <w:sz w:val="32"/>
          <w:szCs w:val="32"/>
        </w:rPr>
        <w:br w:type="page"/>
      </w:r>
      <w:r>
        <w:rPr>
          <w:rFonts w:hint="eastAsia" w:ascii="华文中宋" w:hAnsi="华文中宋" w:eastAsia="华文中宋"/>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15"/>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15"/>
        <w:numPr>
          <w:ilvl w:val="0"/>
          <w:numId w:val="4"/>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15"/>
        <w:numPr>
          <w:ilvl w:val="0"/>
          <w:numId w:val="4"/>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15"/>
        <w:numPr>
          <w:ilvl w:val="0"/>
          <w:numId w:val="4"/>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15"/>
        <w:numPr>
          <w:ilvl w:val="0"/>
          <w:numId w:val="4"/>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1．谈判结束后，谈判小组应当与所有符合要求参加谈判的供应商在规定时间内进行最后报价，采购人从谈判小组提出的成交候选人中根据符合采购需求、质量和服务相等且报价最低的原则确定成交供应商。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4"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5"/>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5"/>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15"/>
        <w:ind w:firstLine="240"/>
      </w:pPr>
    </w:p>
    <w:p>
      <w:pPr>
        <w:spacing w:line="440" w:lineRule="exact"/>
        <w:ind w:firstLine="480" w:firstLineChars="200"/>
        <w:jc w:val="center"/>
        <w:rPr>
          <w:rFonts w:ascii="华文中宋" w:hAnsi="华文中宋" w:eastAsia="华文中宋"/>
          <w:b/>
          <w:sz w:val="32"/>
          <w:szCs w:val="32"/>
        </w:rPr>
      </w:pPr>
      <w:r>
        <w:rPr>
          <w:rFonts w:hint="eastAsia" w:ascii="宋体" w:hAnsi="宋体"/>
          <w:kern w:val="0"/>
          <w:sz w:val="24"/>
          <w:szCs w:val="24"/>
        </w:rPr>
        <w:br w:type="page"/>
      </w:r>
      <w:r>
        <w:rPr>
          <w:rFonts w:hint="eastAsia" w:ascii="华文中宋" w:hAnsi="华文中宋" w:eastAsia="华文中宋"/>
          <w:b/>
          <w:sz w:val="32"/>
          <w:szCs w:val="32"/>
        </w:rPr>
        <w:t>第六章  采购合同专用条款</w:t>
      </w:r>
    </w:p>
    <w:p>
      <w:pPr>
        <w:pStyle w:val="15"/>
        <w:ind w:firstLine="240"/>
      </w:pPr>
    </w:p>
    <w:tbl>
      <w:tblPr>
        <w:tblStyle w:val="39"/>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服务期限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rPr>
            </w:pPr>
            <w:r>
              <w:rPr>
                <w:rFonts w:hint="eastAsia" w:ascii="宋体" w:hAnsi="宋体"/>
                <w:sz w:val="24"/>
              </w:rPr>
              <w:t>1、本项目的服务期限为15日历天。</w:t>
            </w:r>
          </w:p>
          <w:p>
            <w:pPr>
              <w:rPr>
                <w:rFonts w:ascii="宋体" w:hAnsi="宋体"/>
                <w:sz w:val="24"/>
              </w:rPr>
            </w:pPr>
            <w:r>
              <w:rPr>
                <w:rFonts w:hint="eastAsia" w:ascii="宋体" w:hAnsi="宋体"/>
                <w:sz w:val="24"/>
              </w:rPr>
              <w:t>2、供方应在须在规定期限内完成项目可行编制工程并提交成果文件且验收通过。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 xml:space="preserve">  </w:t>
            </w:r>
            <w:r>
              <w:rPr>
                <w:rFonts w:hint="eastAsia" w:ascii="宋体" w:hAnsi="宋体" w:cs="Arial"/>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hAnsi="宋体" w:cs="Arial"/>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（一）支付方式：银行转账</w:t>
            </w:r>
          </w:p>
          <w:p>
            <w:pPr>
              <w:autoSpaceDE w:val="0"/>
              <w:autoSpaceDN w:val="0"/>
              <w:adjustRightInd w:val="0"/>
              <w:jc w:val="left"/>
              <w:rPr>
                <w:rFonts w:ascii="宋体" w:hAnsi="宋体" w:cs="Arial"/>
                <w:sz w:val="24"/>
              </w:rPr>
            </w:pPr>
            <w:r>
              <w:rPr>
                <w:rFonts w:hint="eastAsia" w:ascii="宋体" w:hAnsi="宋体" w:cs="Arial"/>
                <w:sz w:val="24"/>
              </w:rPr>
              <w:t>（二）支付时间及条件：成交人提出可行性研究报告后，采购人向成交人支付本项目合同金额的50%，经发改委审核通过后，采购人向成交人支付合同金额的剩余50%。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（一）本项目需实现的功能或者目标</w:t>
            </w:r>
          </w:p>
          <w:p>
            <w:pPr>
              <w:autoSpaceDE w:val="0"/>
              <w:autoSpaceDN w:val="0"/>
              <w:adjustRightInd w:val="0"/>
              <w:jc w:val="left"/>
              <w:rPr>
                <w:rFonts w:ascii="宋体" w:hAnsi="宋体" w:cs="Arial"/>
                <w:sz w:val="24"/>
              </w:rPr>
            </w:pPr>
            <w:r>
              <w:rPr>
                <w:rFonts w:hint="eastAsia" w:ascii="宋体" w:hAnsi="宋体" w:cs="Arial"/>
                <w:sz w:val="24"/>
              </w:rPr>
              <w:t>编制规划方案并通过规划建设委员会审定；编制可行性研究报告并通过相关部门审批。</w:t>
            </w:r>
          </w:p>
          <w:p>
            <w:pPr>
              <w:autoSpaceDE w:val="0"/>
              <w:autoSpaceDN w:val="0"/>
              <w:adjustRightInd w:val="0"/>
              <w:jc w:val="left"/>
              <w:rPr>
                <w:rFonts w:ascii="宋体" w:hAnsi="宋体" w:cs="Arial"/>
                <w:sz w:val="24"/>
              </w:rPr>
            </w:pPr>
            <w:r>
              <w:rPr>
                <w:rFonts w:hint="eastAsia" w:ascii="宋体" w:hAnsi="宋体" w:cs="Arial"/>
                <w:sz w:val="24"/>
              </w:rPr>
              <w:t>（二）服务机构人员配置</w:t>
            </w:r>
          </w:p>
          <w:p>
            <w:pPr>
              <w:autoSpaceDE w:val="0"/>
              <w:autoSpaceDN w:val="0"/>
              <w:adjustRightInd w:val="0"/>
              <w:jc w:val="left"/>
              <w:rPr>
                <w:rFonts w:ascii="宋体" w:hAnsi="宋体" w:cs="Arial"/>
                <w:sz w:val="24"/>
              </w:rPr>
            </w:pPr>
            <w:r>
              <w:rPr>
                <w:rFonts w:hint="eastAsia" w:ascii="宋体" w:hAnsi="宋体" w:cs="Arial"/>
                <w:sz w:val="24"/>
              </w:rPr>
              <w:t>项目负责人，高级工程师职称，注册咨询师</w:t>
            </w:r>
          </w:p>
          <w:p>
            <w:pPr>
              <w:autoSpaceDE w:val="0"/>
              <w:autoSpaceDN w:val="0"/>
              <w:adjustRightInd w:val="0"/>
              <w:jc w:val="left"/>
              <w:rPr>
                <w:rFonts w:ascii="宋体" w:hAnsi="宋体" w:cs="Arial"/>
                <w:sz w:val="24"/>
              </w:rPr>
            </w:pPr>
            <w:r>
              <w:rPr>
                <w:rFonts w:hint="eastAsia" w:ascii="宋体" w:hAnsi="宋体" w:cs="Arial"/>
                <w:sz w:val="24"/>
              </w:rPr>
              <w:t>技术人员，具有相关项目工作经验</w:t>
            </w:r>
          </w:p>
          <w:p>
            <w:pPr>
              <w:autoSpaceDE w:val="0"/>
              <w:autoSpaceDN w:val="0"/>
              <w:adjustRightInd w:val="0"/>
              <w:jc w:val="left"/>
              <w:rPr>
                <w:rFonts w:ascii="宋体" w:hAnsi="宋体" w:cs="Arial"/>
                <w:sz w:val="24"/>
              </w:rPr>
            </w:pPr>
            <w:r>
              <w:rPr>
                <w:rFonts w:hint="eastAsia" w:ascii="宋体" w:hAnsi="宋体" w:cs="Arial"/>
                <w:sz w:val="24"/>
              </w:rPr>
              <w:t>（三）采购标的执行标准</w:t>
            </w:r>
          </w:p>
          <w:p>
            <w:pPr>
              <w:autoSpaceDE w:val="0"/>
              <w:autoSpaceDN w:val="0"/>
              <w:adjustRightInd w:val="0"/>
              <w:jc w:val="left"/>
              <w:rPr>
                <w:rFonts w:ascii="宋体" w:hAnsi="宋体" w:cs="Arial"/>
                <w:sz w:val="24"/>
              </w:rPr>
            </w:pPr>
            <w:r>
              <w:rPr>
                <w:rFonts w:hint="eastAsia" w:ascii="宋体" w:hAnsi="宋体" w:cs="Arial"/>
                <w:sz w:val="24"/>
              </w:rPr>
              <w:t>符合国家相关技术规范及标准。</w:t>
            </w:r>
          </w:p>
          <w:p>
            <w:pPr>
              <w:autoSpaceDE w:val="0"/>
              <w:autoSpaceDN w:val="0"/>
              <w:adjustRightInd w:val="0"/>
              <w:jc w:val="left"/>
              <w:rPr>
                <w:rFonts w:ascii="宋体" w:hAnsi="宋体" w:cs="Arial"/>
                <w:sz w:val="24"/>
              </w:rPr>
            </w:pPr>
            <w:r>
              <w:rPr>
                <w:rFonts w:hint="eastAsia" w:ascii="宋体" w:hAnsi="宋体" w:cs="Arial"/>
                <w:sz w:val="24"/>
              </w:rPr>
              <w:t>（四）服务标准、期限、效率等要求</w:t>
            </w:r>
          </w:p>
          <w:p>
            <w:pPr>
              <w:autoSpaceDE w:val="0"/>
              <w:autoSpaceDN w:val="0"/>
              <w:adjustRightInd w:val="0"/>
              <w:jc w:val="left"/>
              <w:rPr>
                <w:rFonts w:ascii="宋体" w:hAnsi="宋体" w:cs="Arial"/>
                <w:sz w:val="24"/>
              </w:rPr>
            </w:pPr>
            <w:r>
              <w:rPr>
                <w:rFonts w:hint="eastAsia" w:ascii="宋体" w:hAnsi="宋体" w:cs="Arial"/>
                <w:sz w:val="24"/>
              </w:rPr>
              <w:t>按照采购人要求，编制相关技术文件。</w:t>
            </w:r>
          </w:p>
        </w:tc>
      </w:tr>
    </w:tbl>
    <w:p>
      <w:pPr>
        <w:spacing w:after="50" w:line="320" w:lineRule="exact"/>
        <w:jc w:val="center"/>
        <w:rPr>
          <w:rFonts w:ascii="华文中宋" w:hAnsi="华文中宋" w:eastAsia="华文中宋"/>
          <w:b/>
          <w:sz w:val="32"/>
          <w:szCs w:val="32"/>
        </w:rPr>
      </w:pPr>
      <w:r>
        <w:rPr>
          <w:rFonts w:hint="eastAsia" w:ascii="宋体" w:hAnsi="宋体"/>
          <w:b/>
          <w:sz w:val="24"/>
          <w:szCs w:val="24"/>
        </w:rPr>
        <w:br w:type="page"/>
      </w:r>
      <w:r>
        <w:rPr>
          <w:rFonts w:hint="eastAsia" w:ascii="华文中宋" w:hAnsi="华文中宋" w:eastAsia="华文中宋"/>
          <w:b/>
          <w:sz w:val="32"/>
          <w:szCs w:val="32"/>
        </w:rPr>
        <w:t>第七</w:t>
      </w:r>
      <w:r>
        <w:rPr>
          <w:rFonts w:ascii="华文中宋" w:hAnsi="华文中宋" w:eastAsia="华文中宋"/>
          <w:b/>
          <w:sz w:val="32"/>
          <w:szCs w:val="32"/>
        </w:rPr>
        <w:t>章</w:t>
      </w:r>
      <w:r>
        <w:rPr>
          <w:rFonts w:hint="eastAsia" w:ascii="华文中宋" w:hAnsi="华文中宋" w:eastAsia="华文中宋"/>
          <w:b/>
          <w:sz w:val="32"/>
          <w:szCs w:val="32"/>
        </w:rPr>
        <w:t xml:space="preserve"> 附</w:t>
      </w:r>
      <w:r>
        <w:rPr>
          <w:rFonts w:ascii="华文中宋" w:hAnsi="华文中宋" w:eastAsia="华文中宋"/>
          <w:b/>
          <w:sz w:val="32"/>
          <w:szCs w:val="32"/>
        </w:rPr>
        <w:t>件</w:t>
      </w:r>
    </w:p>
    <w:p>
      <w:pPr>
        <w:spacing w:after="50" w:line="320" w:lineRule="exact"/>
        <w:rPr>
          <w:rFonts w:ascii="华文中宋" w:hAnsi="华文中宋" w:eastAsia="华文中宋"/>
          <w:b/>
          <w:sz w:val="32"/>
          <w:szCs w:val="32"/>
        </w:rPr>
      </w:pPr>
      <w:r>
        <w:rPr>
          <w:rFonts w:hint="eastAsia" w:ascii="华文中宋" w:hAnsi="华文中宋" w:eastAsia="华文中宋"/>
          <w:b/>
          <w:sz w:val="28"/>
          <w:szCs w:val="28"/>
        </w:rPr>
        <w:t>附</w:t>
      </w:r>
      <w:r>
        <w:rPr>
          <w:rFonts w:ascii="华文中宋" w:hAnsi="华文中宋" w:eastAsia="华文中宋"/>
          <w:b/>
          <w:sz w:val="28"/>
          <w:szCs w:val="28"/>
        </w:rPr>
        <w:t>件</w:t>
      </w:r>
      <w:r>
        <w:rPr>
          <w:rFonts w:hint="eastAsia" w:ascii="华文中宋" w:hAnsi="华文中宋" w:eastAsia="华文中宋"/>
          <w:b/>
          <w:sz w:val="28"/>
          <w:szCs w:val="28"/>
        </w:rPr>
        <w:t>1</w:t>
      </w:r>
    </w:p>
    <w:p>
      <w:pPr>
        <w:spacing w:after="50" w:line="320" w:lineRule="exact"/>
        <w:jc w:val="center"/>
        <w:rPr>
          <w:rFonts w:ascii="华文中宋" w:hAnsi="华文中宋" w:eastAsia="华文中宋"/>
          <w:b/>
          <w:sz w:val="28"/>
          <w:szCs w:val="28"/>
        </w:rPr>
      </w:pPr>
      <w:r>
        <w:rPr>
          <w:rFonts w:hint="eastAsia" w:ascii="华文中宋" w:hAnsi="华文中宋" w:eastAsia="华文中宋"/>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cs="宋体"/>
          <w:b/>
          <w:sz w:val="24"/>
          <w:szCs w:val="24"/>
        </w:rPr>
        <w:br w:type="page"/>
      </w: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应完整地填写价格明细表（已标价工程量清单），符合最新相关造价规范及规定。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00" w:lineRule="exact"/>
        <w:ind w:firstLine="472" w:firstLineChars="196"/>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5._投标文件的有效期"/>
      <w:bookmarkEnd w:id="7"/>
      <w:bookmarkStart w:id="8" w:name="_14._投标文件的有效期"/>
      <w:bookmarkEnd w:id="8"/>
      <w:bookmarkStart w:id="9" w:name="_Toc80458903"/>
      <w:bookmarkStart w:id="10" w:name="_Toc80502558"/>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0" w:firstLineChars="200"/>
        <w:rPr>
          <w:rFonts w:ascii="宋体" w:hAnsi="宋体" w:cs="宋体"/>
          <w:sz w:val="24"/>
          <w:szCs w:val="24"/>
        </w:rPr>
      </w:pPr>
      <w:r>
        <w:rPr>
          <w:rFonts w:hint="eastAsia" w:ascii="宋体" w:hAnsi="宋体" w:cs="宋体"/>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2"/>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0" w:firstLineChars="196"/>
        <w:rPr>
          <w:rFonts w:ascii="宋体" w:hAnsi="宋体"/>
          <w:sz w:val="24"/>
          <w:szCs w:val="24"/>
        </w:rPr>
      </w:pPr>
      <w:r>
        <w:rPr>
          <w:rFonts w:hint="eastAsia" w:ascii="宋体" w:hAnsi="宋体"/>
          <w:sz w:val="24"/>
          <w:szCs w:val="24"/>
        </w:rPr>
        <w:t>33.1 投标成交供应商应在收到成交通知书5日内，按照要求（详见采购文件第二章“采购项目基本内容及要求”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ascii="宋体" w:hAnsi="宋体"/>
          <w:sz w:val="24"/>
          <w:szCs w:val="24"/>
        </w:rPr>
      </w:pPr>
      <w:r>
        <w:rPr>
          <w:rFonts w:hint="eastAsia" w:ascii="宋体" w:hAnsi="宋体"/>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ascii="宋体" w:hAnsi="宋体"/>
          <w:sz w:val="24"/>
          <w:szCs w:val="24"/>
        </w:rPr>
      </w:pPr>
      <w:r>
        <w:rPr>
          <w:rFonts w:hint="eastAsia" w:ascii="宋体" w:hAnsi="宋体"/>
          <w:sz w:val="24"/>
          <w:szCs w:val="24"/>
        </w:rPr>
        <w:t>33.3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0" w:firstLineChars="196"/>
        <w:rPr>
          <w:rFonts w:ascii="宋体" w:hAnsi="宋体"/>
          <w:sz w:val="24"/>
          <w:szCs w:val="24"/>
        </w:rPr>
      </w:pPr>
      <w:r>
        <w:rPr>
          <w:rFonts w:hint="eastAsia" w:ascii="宋体" w:hAnsi="宋体"/>
          <w:sz w:val="24"/>
          <w:szCs w:val="24"/>
        </w:rPr>
        <w:t>34.1成交供应商应严格按照采购合同规定履约，并积极配合采购单位的相关验收工作。</w:t>
      </w:r>
    </w:p>
    <w:p>
      <w:pPr>
        <w:spacing w:line="400" w:lineRule="exact"/>
        <w:ind w:firstLine="470" w:firstLineChars="196"/>
        <w:rPr>
          <w:rFonts w:ascii="宋体" w:hAnsi="宋体"/>
          <w:sz w:val="24"/>
          <w:szCs w:val="24"/>
        </w:rPr>
      </w:pPr>
      <w:r>
        <w:rPr>
          <w:rFonts w:hint="eastAsia" w:ascii="宋体" w:hAnsi="宋体"/>
          <w:sz w:val="24"/>
          <w:szCs w:val="24"/>
        </w:rPr>
        <w:t>34.2采购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2"/>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37.术语的定义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38.来源地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39. 技术规范与技术规格</w:t>
      </w:r>
    </w:p>
    <w:p>
      <w:pPr>
        <w:spacing w:line="400" w:lineRule="exact"/>
        <w:ind w:firstLine="360" w:firstLineChars="150"/>
        <w:rPr>
          <w:rFonts w:ascii="宋体" w:hAnsi="宋体"/>
          <w:sz w:val="24"/>
          <w:szCs w:val="24"/>
        </w:rPr>
      </w:pPr>
      <w:r>
        <w:rPr>
          <w:rFonts w:hint="eastAsia" w:ascii="宋体" w:hAnsi="宋体"/>
          <w:sz w:val="24"/>
          <w:szCs w:val="24"/>
        </w:rPr>
        <w:t>39.1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39.2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40.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41. 包装要求</w:t>
      </w:r>
    </w:p>
    <w:p>
      <w:pPr>
        <w:spacing w:line="400" w:lineRule="exact"/>
        <w:ind w:firstLine="360" w:firstLineChars="150"/>
        <w:rPr>
          <w:rFonts w:ascii="宋体" w:hAnsi="宋体"/>
          <w:sz w:val="24"/>
          <w:szCs w:val="24"/>
        </w:rPr>
      </w:pPr>
      <w:r>
        <w:rPr>
          <w:rFonts w:hint="eastAsia" w:ascii="宋体" w:hAnsi="宋体"/>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41.2每一个包装箱内应附一份详细装箱单和质量合格证书。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42.交货方式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43.装运通知</w:t>
      </w:r>
    </w:p>
    <w:p>
      <w:pPr>
        <w:spacing w:line="400" w:lineRule="exact"/>
        <w:ind w:firstLine="360" w:firstLineChars="150"/>
        <w:rPr>
          <w:rFonts w:ascii="宋体" w:hAnsi="宋体"/>
          <w:sz w:val="24"/>
          <w:szCs w:val="24"/>
        </w:rPr>
      </w:pPr>
      <w:r>
        <w:rPr>
          <w:rFonts w:hint="eastAsia" w:ascii="宋体" w:hAnsi="宋体"/>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ascii="宋体" w:hAnsi="宋体"/>
          <w:sz w:val="24"/>
          <w:szCs w:val="24"/>
        </w:rPr>
      </w:pPr>
      <w:r>
        <w:rPr>
          <w:rFonts w:hint="eastAsia" w:ascii="宋体" w:hAnsi="宋体"/>
          <w:sz w:val="24"/>
          <w:szCs w:val="24"/>
        </w:rPr>
        <w:t>43.2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44.付款</w:t>
      </w:r>
    </w:p>
    <w:p>
      <w:pPr>
        <w:spacing w:line="400" w:lineRule="exact"/>
        <w:ind w:firstLine="360" w:firstLineChars="150"/>
        <w:rPr>
          <w:rFonts w:ascii="宋体" w:hAnsi="宋体"/>
          <w:sz w:val="24"/>
          <w:szCs w:val="24"/>
        </w:rPr>
      </w:pPr>
      <w:r>
        <w:rPr>
          <w:rFonts w:hint="eastAsia" w:ascii="宋体" w:hAnsi="宋体"/>
          <w:sz w:val="24"/>
          <w:szCs w:val="24"/>
        </w:rPr>
        <w:t>44.1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44.2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45. 附带（伴随）服务</w:t>
      </w:r>
    </w:p>
    <w:p>
      <w:pPr>
        <w:spacing w:line="400" w:lineRule="exact"/>
        <w:ind w:firstLine="360" w:firstLineChars="150"/>
        <w:rPr>
          <w:rFonts w:ascii="宋体" w:hAnsi="宋体"/>
          <w:sz w:val="24"/>
          <w:szCs w:val="24"/>
        </w:rPr>
      </w:pPr>
      <w:r>
        <w:rPr>
          <w:rFonts w:hint="eastAsia" w:ascii="宋体" w:hAnsi="宋体"/>
          <w:sz w:val="24"/>
          <w:szCs w:val="24"/>
        </w:rPr>
        <w:t>45.1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45.2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46. 质量保证期（保修期）</w:t>
      </w:r>
    </w:p>
    <w:p>
      <w:pPr>
        <w:spacing w:line="400" w:lineRule="exact"/>
        <w:ind w:firstLine="470" w:firstLineChars="196"/>
        <w:rPr>
          <w:rFonts w:ascii="宋体" w:hAnsi="宋体"/>
          <w:sz w:val="24"/>
          <w:szCs w:val="24"/>
        </w:rPr>
      </w:pPr>
      <w:r>
        <w:rPr>
          <w:rFonts w:hint="eastAsia" w:ascii="宋体" w:hAnsi="宋体"/>
          <w:sz w:val="24"/>
          <w:szCs w:val="24"/>
        </w:rPr>
        <w:t>46.1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46.2 如果采购文件没有特别要求，则以卖方在谈判</w:t>
      </w:r>
      <w:r>
        <w:rPr>
          <w:rFonts w:ascii="宋体" w:hAnsi="宋体"/>
          <w:sz w:val="24"/>
          <w:szCs w:val="24"/>
        </w:rPr>
        <w:t>响应</w:t>
      </w:r>
      <w:r>
        <w:rPr>
          <w:rFonts w:hint="eastAsia" w:ascii="宋体" w:hAnsi="宋体"/>
          <w:sz w:val="24"/>
          <w:szCs w:val="24"/>
        </w:rPr>
        <w:t>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46.3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47.质量保证</w:t>
      </w:r>
    </w:p>
    <w:p>
      <w:pPr>
        <w:spacing w:line="400" w:lineRule="exact"/>
        <w:ind w:firstLine="470" w:firstLineChars="196"/>
        <w:rPr>
          <w:rFonts w:ascii="宋体" w:hAnsi="宋体"/>
          <w:sz w:val="24"/>
          <w:szCs w:val="24"/>
        </w:rPr>
      </w:pPr>
      <w:r>
        <w:rPr>
          <w:rFonts w:hint="eastAsia" w:ascii="宋体" w:hAnsi="宋体"/>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48.检验和验收</w:t>
      </w:r>
    </w:p>
    <w:p>
      <w:pPr>
        <w:spacing w:line="400" w:lineRule="exact"/>
        <w:ind w:firstLine="470" w:firstLineChars="196"/>
        <w:rPr>
          <w:rFonts w:ascii="宋体" w:hAnsi="宋体"/>
          <w:sz w:val="24"/>
          <w:szCs w:val="24"/>
        </w:rPr>
      </w:pPr>
      <w:r>
        <w:rPr>
          <w:rFonts w:hint="eastAsia" w:ascii="宋体" w:hAnsi="宋体"/>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48.4由买方或采购机构按照规定组织对货物进行检查验收。发生的相关费用由卖方承担。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49.索赔</w:t>
      </w:r>
    </w:p>
    <w:p>
      <w:pPr>
        <w:spacing w:line="400" w:lineRule="exact"/>
        <w:ind w:firstLine="470" w:firstLineChars="196"/>
        <w:rPr>
          <w:rFonts w:ascii="宋体" w:hAnsi="宋体"/>
          <w:sz w:val="24"/>
          <w:szCs w:val="24"/>
        </w:rPr>
      </w:pPr>
      <w:r>
        <w:rPr>
          <w:rFonts w:hint="eastAsia" w:ascii="宋体" w:hAnsi="宋体"/>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50.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50.1 如卖方无正当理由而拖延交货，买方有权提出误期赔偿或解除采购合同。</w:t>
      </w:r>
    </w:p>
    <w:p>
      <w:pPr>
        <w:spacing w:line="400" w:lineRule="exact"/>
        <w:ind w:firstLine="470" w:firstLineChars="196"/>
        <w:rPr>
          <w:rFonts w:ascii="宋体" w:hAnsi="宋体"/>
          <w:sz w:val="24"/>
          <w:szCs w:val="24"/>
        </w:rPr>
      </w:pPr>
      <w:r>
        <w:rPr>
          <w:rFonts w:hint="eastAsia" w:ascii="宋体" w:hAnsi="宋体"/>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51. 不可抗力</w:t>
      </w:r>
    </w:p>
    <w:p>
      <w:pPr>
        <w:spacing w:line="400" w:lineRule="exact"/>
        <w:ind w:firstLine="470" w:firstLineChars="196"/>
        <w:rPr>
          <w:rFonts w:ascii="宋体" w:hAnsi="宋体"/>
          <w:sz w:val="24"/>
          <w:szCs w:val="24"/>
        </w:rPr>
      </w:pPr>
      <w:r>
        <w:rPr>
          <w:rFonts w:hint="eastAsia" w:ascii="宋体" w:hAnsi="宋体"/>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ascii="宋体" w:hAnsi="宋体"/>
          <w:sz w:val="24"/>
          <w:szCs w:val="24"/>
        </w:rPr>
      </w:pPr>
      <w:r>
        <w:rPr>
          <w:rFonts w:hint="eastAsia" w:ascii="宋体" w:hAnsi="宋体"/>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ascii="宋体" w:hAnsi="宋体"/>
          <w:sz w:val="24"/>
          <w:szCs w:val="24"/>
        </w:rPr>
      </w:pPr>
      <w:r>
        <w:rPr>
          <w:rFonts w:hint="eastAsia" w:ascii="宋体" w:hAnsi="宋体"/>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52.税费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53. 争议的解决</w:t>
      </w:r>
    </w:p>
    <w:p>
      <w:pPr>
        <w:spacing w:line="400" w:lineRule="exact"/>
        <w:ind w:firstLine="470" w:firstLineChars="196"/>
        <w:rPr>
          <w:rFonts w:ascii="宋体" w:hAnsi="宋体"/>
          <w:sz w:val="24"/>
          <w:szCs w:val="24"/>
        </w:rPr>
      </w:pPr>
      <w:bookmarkStart w:id="11" w:name="_Toc80458943"/>
      <w:bookmarkStart w:id="12" w:name="_Toc80502600"/>
      <w:r>
        <w:rPr>
          <w:rFonts w:hint="eastAsia" w:ascii="宋体" w:hAnsi="宋体"/>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53.3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53.4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54. 违约终止采购合同</w:t>
      </w:r>
    </w:p>
    <w:p>
      <w:pPr>
        <w:spacing w:line="400" w:lineRule="exact"/>
        <w:ind w:firstLine="470" w:firstLineChars="196"/>
        <w:rPr>
          <w:rFonts w:ascii="宋体" w:hAnsi="宋体"/>
          <w:sz w:val="24"/>
          <w:szCs w:val="24"/>
        </w:rPr>
      </w:pPr>
      <w:bookmarkStart w:id="13" w:name="_Toc80458944"/>
      <w:bookmarkStart w:id="14" w:name="_Toc80502601"/>
      <w:r>
        <w:rPr>
          <w:rFonts w:hint="eastAsia" w:ascii="宋体" w:hAnsi="宋体"/>
          <w:sz w:val="24"/>
          <w:szCs w:val="24"/>
        </w:rPr>
        <w:t>54.1 在卖方违约的情况下，买方可向卖方发出书面通知书，提出终止部分或全部采购合同，同时保留向卖方追诉的权利。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56. 转让和分包</w:t>
      </w:r>
    </w:p>
    <w:p>
      <w:pPr>
        <w:spacing w:line="400" w:lineRule="exact"/>
        <w:ind w:firstLine="470" w:firstLineChars="196"/>
        <w:rPr>
          <w:rFonts w:ascii="宋体" w:hAnsi="宋体"/>
          <w:sz w:val="24"/>
          <w:szCs w:val="24"/>
        </w:rPr>
      </w:pPr>
      <w:bookmarkStart w:id="17" w:name="_Toc80458946"/>
      <w:bookmarkStart w:id="18" w:name="_Toc80502603"/>
      <w:r>
        <w:rPr>
          <w:rFonts w:hint="eastAsia" w:ascii="宋体" w:hAnsi="宋体"/>
          <w:sz w:val="24"/>
          <w:szCs w:val="24"/>
        </w:rPr>
        <w:t>56.1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57.合同修改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58.通知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59.适用法律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60. 合同生效</w:t>
      </w:r>
    </w:p>
    <w:p>
      <w:pPr>
        <w:spacing w:line="400" w:lineRule="exact"/>
        <w:ind w:firstLine="470" w:firstLineChars="196"/>
        <w:rPr>
          <w:rFonts w:ascii="宋体" w:hAnsi="宋体"/>
          <w:sz w:val="24"/>
          <w:szCs w:val="24"/>
        </w:rPr>
      </w:pPr>
      <w:bookmarkStart w:id="19" w:name="_Toc80458948"/>
      <w:bookmarkStart w:id="20" w:name="_Toc80502605"/>
      <w:r>
        <w:rPr>
          <w:rFonts w:hint="eastAsia" w:ascii="宋体" w:hAnsi="宋体"/>
          <w:sz w:val="24"/>
          <w:szCs w:val="24"/>
        </w:rPr>
        <w:t>60.1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60.2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61.补充条款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pStyle w:val="21"/>
        <w:spacing w:line="360" w:lineRule="auto"/>
        <w:contextualSpacing/>
        <w:jc w:val="center"/>
        <w:rPr>
          <w:rFonts w:cs="宋体" w:asciiTheme="majorEastAsia" w:hAnsiTheme="majorEastAsia" w:eastAsiaTheme="majorEastAsia"/>
          <w:b/>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p>
    <w:p>
      <w:pPr>
        <w:spacing w:after="50" w:line="320" w:lineRule="exact"/>
        <w:jc w:val="left"/>
        <w:rPr>
          <w:rFonts w:ascii="华文中宋" w:hAnsi="华文中宋" w:eastAsia="华文中宋"/>
          <w:b/>
          <w:sz w:val="28"/>
          <w:szCs w:val="28"/>
        </w:rPr>
      </w:pPr>
      <w:r>
        <w:rPr>
          <w:rFonts w:hint="eastAsia" w:ascii="华文中宋" w:hAnsi="华文中宋" w:eastAsia="华文中宋"/>
          <w:b/>
          <w:sz w:val="28"/>
          <w:szCs w:val="28"/>
        </w:rPr>
        <w:t>附件2</w:t>
      </w:r>
    </w:p>
    <w:p>
      <w:pPr>
        <w:spacing w:after="50" w:line="320" w:lineRule="exact"/>
        <w:jc w:val="center"/>
        <w:rPr>
          <w:rFonts w:ascii="宋体" w:hAnsi="宋体"/>
          <w:b/>
          <w:kern w:val="0"/>
          <w:sz w:val="28"/>
          <w:szCs w:val="28"/>
        </w:rPr>
      </w:pPr>
      <w:r>
        <w:rPr>
          <w:rFonts w:hint="eastAsia" w:ascii="华文中宋" w:hAnsi="华文中宋" w:eastAsia="华文中宋"/>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ascii="宋体" w:hAnsi="宋体"/>
          <w:kern w:val="0"/>
          <w:sz w:val="28"/>
          <w:szCs w:val="28"/>
        </w:rPr>
      </w:pPr>
      <w:r>
        <w:rPr>
          <w:rFonts w:hint="eastAsia" w:ascii="宋体" w:hAnsi="宋体"/>
          <w:kern w:val="0"/>
          <w:sz w:val="28"/>
          <w:szCs w:val="28"/>
        </w:rPr>
        <w:t>2.对于给定格式的，需按照给定的格式进行填报；没有给定格式的，供应商可以自行设计。</w:t>
      </w:r>
    </w:p>
    <w:p>
      <w:pPr>
        <w:spacing w:line="480" w:lineRule="exact"/>
        <w:rPr>
          <w:rFonts w:ascii="宋体" w:hAnsi="宋体"/>
          <w:b/>
          <w:kern w:val="0"/>
          <w:sz w:val="24"/>
          <w:szCs w:val="24"/>
        </w:rPr>
      </w:pPr>
      <w:r>
        <w:rPr>
          <w:rFonts w:hint="eastAsia" w:ascii="宋体" w:hAnsi="宋体"/>
          <w:b/>
          <w:kern w:val="0"/>
          <w:sz w:val="28"/>
          <w:szCs w:val="28"/>
        </w:rPr>
        <w:br w:type="page"/>
      </w: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宋体" w:hAnsi="宋体"/>
          <w:b/>
          <w:kern w:val="0"/>
          <w:sz w:val="24"/>
          <w:szCs w:val="24"/>
        </w:rPr>
      </w:pPr>
      <w:r>
        <w:rPr>
          <w:rFonts w:hint="eastAsia" w:ascii="隶书" w:hAnsi="Lucida Sans Unicode" w:eastAsia="隶书" w:cs="Lucida Sans Unicode"/>
          <w:b/>
          <w:sz w:val="36"/>
          <w:szCs w:val="36"/>
        </w:rPr>
        <w:t>时    间：</w:t>
      </w: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7" w:firstLineChars="224"/>
        <w:jc w:val="distribute"/>
        <w:rPr>
          <w:rFonts w:ascii="宋体" w:hAnsi="宋体"/>
          <w:kern w:val="0"/>
          <w:sz w:val="24"/>
        </w:rPr>
      </w:pPr>
      <w:r>
        <w:rPr>
          <w:rFonts w:hint="eastAsia" w:ascii="宋体" w:hAnsi="宋体" w:cs="Lucida Sans Unicode"/>
          <w:sz w:val="24"/>
        </w:rPr>
        <w:t>3.</w:t>
      </w:r>
      <w:r>
        <w:rPr>
          <w:rFonts w:hint="eastAsia" w:ascii="宋体" w:hAnsi="宋体"/>
          <w:kern w:val="0"/>
          <w:sz w:val="24"/>
        </w:rPr>
        <w:t xml:space="preserve"> 售后服务承诺书………………………………………………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kern w:val="0"/>
          <w:sz w:val="24"/>
        </w:rPr>
      </w:pPr>
      <w:r>
        <w:rPr>
          <w:rFonts w:hint="eastAsia" w:ascii="宋体" w:hAnsi="宋体"/>
          <w:kern w:val="0"/>
          <w:sz w:val="24"/>
        </w:rPr>
        <w:t>4.</w:t>
      </w:r>
      <w:r>
        <w:rPr>
          <w:rFonts w:hint="eastAsia" w:ascii="宋体" w:hAnsi="宋体" w:cs="Arial"/>
          <w:sz w:val="24"/>
          <w:szCs w:val="24"/>
        </w:rPr>
        <w:t xml:space="preserve"> 供应商自觉抵制商业贿赂行为承诺书</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5.</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6.</w:t>
      </w:r>
      <w:r>
        <w:rPr>
          <w:rFonts w:hint="eastAsia" w:ascii="宋体" w:hAnsi="宋体"/>
          <w:sz w:val="24"/>
        </w:rPr>
        <w:t xml:space="preserve"> 近三年无违法违纪、无不良记录承诺书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rPr>
      </w:pPr>
      <w:r>
        <w:rPr>
          <w:rFonts w:hint="eastAsia" w:ascii="宋体" w:hAnsi="宋体"/>
          <w:sz w:val="24"/>
        </w:rPr>
        <w:t>7. 具备履行合同所必需的设备和专业技术能力的证明材料</w:t>
      </w:r>
      <w:r>
        <w:rPr>
          <w:rFonts w:hint="eastAsia" w:ascii="宋体" w:hAnsi="宋体" w:cs="Lucida Sans Unicode"/>
          <w:sz w:val="24"/>
        </w:rPr>
        <w:t>………………所在页码</w:t>
      </w:r>
    </w:p>
    <w:p>
      <w:pPr>
        <w:widowControl/>
        <w:spacing w:line="480" w:lineRule="exact"/>
        <w:ind w:firstLine="537" w:firstLineChars="224"/>
        <w:jc w:val="distribute"/>
        <w:rPr>
          <w:rFonts w:ascii="宋体" w:hAnsi="宋体" w:cs="Arial"/>
          <w:sz w:val="24"/>
          <w:szCs w:val="24"/>
        </w:rPr>
      </w:pPr>
      <w:r>
        <w:rPr>
          <w:rFonts w:hint="eastAsia" w:ascii="宋体" w:hAnsi="宋体" w:cs="Lucida Sans Unicode"/>
          <w:sz w:val="24"/>
        </w:rPr>
        <w:t>8.</w:t>
      </w:r>
      <w:r>
        <w:rPr>
          <w:rFonts w:hint="eastAsia" w:ascii="宋体" w:hAnsi="宋体" w:cs="Arial"/>
          <w:sz w:val="24"/>
          <w:szCs w:val="24"/>
        </w:rPr>
        <w:t xml:space="preserve"> 法定代表人（代表人）资格证明书或法定代表人（代表人）授权书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9.</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7"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7"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12"/>
          <w:sz w:val="24"/>
          <w:szCs w:val="24"/>
        </w:rPr>
      </w:pPr>
      <w:r>
        <w:rPr>
          <w:rFonts w:hint="eastAsia" w:ascii="黑体" w:hAnsi="宋体" w:eastAsia="黑体" w:cs="Lucida Sans Unicode"/>
          <w:sz w:val="24"/>
        </w:rPr>
        <w:br w:type="page"/>
      </w: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致：永明项目管理有限公司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&lt;供应商名称&gt;</w:t>
      </w:r>
      <w:r>
        <w:rPr>
          <w:rFonts w:hint="eastAsia" w:ascii="宋体" w:hAnsi="宋体" w:cs="Lucida Sans Unicode"/>
          <w:sz w:val="24"/>
        </w:rPr>
        <w:t>正式授权</w:t>
      </w:r>
      <w:r>
        <w:rPr>
          <w:rFonts w:hint="eastAsia" w:ascii="宋体" w:hAnsi="宋体" w:cs="Lucida Sans Unicode"/>
          <w:sz w:val="24"/>
          <w:u w:val="single"/>
        </w:rPr>
        <w:t>&lt;代表姓名、职务、职称&gt;</w:t>
      </w:r>
      <w:r>
        <w:rPr>
          <w:rFonts w:hint="eastAsia" w:ascii="宋体" w:hAnsi="宋体" w:cs="Lucida Sans Unicode"/>
          <w:sz w:val="24"/>
        </w:rPr>
        <w:t>为我方代表，参加你公司组织的</w:t>
      </w:r>
      <w:r>
        <w:rPr>
          <w:rFonts w:hint="eastAsia" w:ascii="宋体" w:hAnsi="宋体" w:cs="Lucida Sans Unicode"/>
          <w:sz w:val="24"/>
          <w:u w:val="single"/>
        </w:rPr>
        <w:t>&lt;项目编号、项目名称&gt;</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为此，我方按谈判文件规定提供相关服务的所报总价为：（大写）人民币元，（小写）￥元。服务期限：，按合同约定实施和完成承包工程，修补工程中的任何缺陷，工程质量达到。</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        邮编：</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        传真：</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p>
    <w:p>
      <w:pPr>
        <w:pStyle w:val="19"/>
        <w:adjustRightInd w:val="0"/>
        <w:snapToGrid w:val="0"/>
        <w:spacing w:afterLines="50" w:line="320" w:lineRule="exact"/>
        <w:rPr>
          <w:rFonts w:hAnsi="宋体"/>
          <w:snapToGrid w:val="0"/>
          <w:kern w:val="0"/>
          <w:szCs w:val="24"/>
        </w:rPr>
      </w:pPr>
      <w:r>
        <w:rPr>
          <w:rFonts w:hint="eastAsia" w:hAnsi="宋体"/>
          <w:snapToGrid w:val="0"/>
          <w:kern w:val="0"/>
          <w:szCs w:val="24"/>
        </w:rPr>
        <w:t>法定代表人（代表人）的授权委托人（签字）：</w:t>
      </w:r>
    </w:p>
    <w:p>
      <w:pPr>
        <w:adjustRightInd w:val="0"/>
        <w:snapToGrid w:val="0"/>
        <w:spacing w:afterLines="50" w:line="320" w:lineRule="exact"/>
        <w:ind w:firstLine="480" w:firstLineChars="200"/>
        <w:rPr>
          <w:rFonts w:ascii="宋体" w:hAnsi="宋体"/>
          <w:sz w:val="24"/>
          <w:szCs w:val="24"/>
          <w:u w:val="single"/>
        </w:rPr>
      </w:pP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签署日期：年月日</w:t>
      </w:r>
    </w:p>
    <w:p>
      <w:pPr>
        <w:adjustRightInd w:val="0"/>
        <w:snapToGrid w:val="0"/>
        <w:spacing w:afterLines="50" w:line="320" w:lineRule="exact"/>
        <w:rPr>
          <w:rFonts w:ascii="宋体" w:hAnsi="宋体"/>
          <w:sz w:val="24"/>
          <w:szCs w:val="24"/>
        </w:rPr>
      </w:pPr>
    </w:p>
    <w:p>
      <w:pPr>
        <w:pStyle w:val="16"/>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格式4</w:t>
      </w:r>
      <w:bookmarkStart w:id="21" w:name="_Toc294170359"/>
      <w:bookmarkStart w:id="22" w:name="_Toc398915288"/>
      <w:bookmarkStart w:id="23" w:name="_Toc433291435"/>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9"/>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总报价</w:t>
            </w:r>
          </w:p>
        </w:tc>
        <w:tc>
          <w:tcPr>
            <w:tcW w:w="6972" w:type="dxa"/>
            <w:gridSpan w:val="3"/>
            <w:tcBorders>
              <w:top w:val="single" w:color="auto" w:sz="4" w:space="0"/>
              <w:left w:val="single" w:color="auto" w:sz="4" w:space="0"/>
              <w:right w:val="single" w:color="auto" w:sz="4" w:space="0"/>
            </w:tcBorders>
            <w:vAlign w:val="center"/>
          </w:tcPr>
          <w:p>
            <w:pPr>
              <w:pStyle w:val="15"/>
              <w:ind w:firstLine="0" w:firstLineChars="0"/>
              <w:rPr>
                <w:rFonts w:ascii="宋体" w:hAnsi="宋体" w:cs="宋体"/>
                <w:sz w:val="21"/>
                <w:szCs w:val="21"/>
                <w:u w:val="single"/>
              </w:rPr>
            </w:pPr>
            <w:r>
              <w:rPr>
                <w:rFonts w:hint="eastAsia" w:ascii="宋体" w:hAnsi="宋体" w:cs="宋体"/>
                <w:sz w:val="21"/>
                <w:szCs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服务期限</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法定代表人或其委托代理人：（签字）</w:t>
      </w:r>
    </w:p>
    <w:p>
      <w:pPr>
        <w:spacing w:line="480" w:lineRule="exact"/>
        <w:jc w:val="center"/>
        <w:rPr>
          <w:rFonts w:ascii="宋体" w:hAnsi="宋体"/>
          <w:sz w:val="24"/>
        </w:rPr>
      </w:pPr>
      <w:r>
        <w:rPr>
          <w:rFonts w:hint="eastAsia" w:ascii="宋体" w:hAnsi="宋体"/>
          <w:sz w:val="24"/>
        </w:rPr>
        <w:t xml:space="preserve">                             年  月  日</w:t>
      </w:r>
    </w:p>
    <w:bookmarkEnd w:id="21"/>
    <w:bookmarkEnd w:id="22"/>
    <w:bookmarkEnd w:id="23"/>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pStyle w:val="2"/>
      </w:pPr>
    </w:p>
    <w:p>
      <w:pPr>
        <w:spacing w:line="480" w:lineRule="exact"/>
        <w:rPr>
          <w:rFonts w:ascii="宋体" w:hAnsi="宋体"/>
          <w:b/>
          <w:kern w:val="0"/>
          <w:sz w:val="24"/>
          <w:szCs w:val="24"/>
        </w:rPr>
      </w:pPr>
    </w:p>
    <w:p>
      <w:pPr>
        <w:spacing w:line="480" w:lineRule="exact"/>
        <w:rPr>
          <w:rFonts w:ascii="宋体" w:hAnsi="宋体"/>
          <w:b/>
          <w:kern w:val="0"/>
          <w:sz w:val="24"/>
          <w:szCs w:val="24"/>
        </w:rPr>
      </w:pPr>
      <w:r>
        <w:rPr>
          <w:rFonts w:hint="eastAsia" w:ascii="宋体" w:hAnsi="宋体"/>
          <w:b/>
          <w:kern w:val="0"/>
          <w:sz w:val="24"/>
          <w:szCs w:val="24"/>
        </w:rPr>
        <w:t>格式5</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15"/>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9"/>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sz w:val="24"/>
                <w:szCs w:val="24"/>
              </w:rPr>
            </w:pPr>
            <w:r>
              <w:rPr>
                <w:sz w:val="24"/>
                <w:szCs w:val="24"/>
              </w:rPr>
              <w:t>大写：  小写：</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15"/>
              <w:ind w:firstLine="240"/>
              <w:rPr>
                <w:rFonts w:ascii="Calibri" w:hAnsi="Calibri"/>
                <w:szCs w:val="24"/>
              </w:rPr>
            </w:pPr>
            <w:r>
              <w:rPr>
                <w:rFonts w:hint="eastAsia" w:ascii="Calibri" w:hAnsi="Calibri"/>
                <w:szCs w:val="24"/>
              </w:rPr>
              <w:t>报价供应商：</w:t>
            </w:r>
          </w:p>
          <w:p>
            <w:pPr>
              <w:pStyle w:val="15"/>
              <w:ind w:firstLine="240"/>
              <w:rPr>
                <w:rFonts w:ascii="Calibri" w:hAnsi="Calibri"/>
                <w:szCs w:val="24"/>
              </w:rPr>
            </w:pPr>
          </w:p>
          <w:p>
            <w:pPr>
              <w:pStyle w:val="15"/>
              <w:ind w:firstLine="240"/>
              <w:rPr>
                <w:rFonts w:ascii="宋体" w:hAnsi="宋体"/>
                <w:bCs/>
                <w:szCs w:val="24"/>
              </w:rPr>
            </w:pPr>
            <w:r>
              <w:rPr>
                <w:rFonts w:hint="eastAsia" w:ascii="宋体" w:hAnsi="宋体"/>
                <w:bCs/>
                <w:szCs w:val="24"/>
              </w:rPr>
              <w:t>被授权人或法人代表（签字）</w:t>
            </w:r>
          </w:p>
          <w:p>
            <w:pPr>
              <w:pStyle w:val="15"/>
              <w:ind w:firstLine="240"/>
              <w:rPr>
                <w:rFonts w:ascii="宋体" w:hAnsi="宋体"/>
                <w:bCs/>
                <w:szCs w:val="24"/>
              </w:rPr>
            </w:pPr>
            <w:r>
              <w:rPr>
                <w:rFonts w:hint="eastAsia" w:ascii="宋体" w:hAnsi="宋体"/>
                <w:bCs/>
                <w:szCs w:val="24"/>
              </w:rPr>
              <w:t xml:space="preserve">                                         时间：    年  月   日</w:t>
            </w:r>
          </w:p>
        </w:tc>
      </w:tr>
    </w:tbl>
    <w:p>
      <w:pPr>
        <w:pStyle w:val="19"/>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注：本表格为供应商最后报价使用，供应商在参加谈判时自备本表格。</w:t>
      </w: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
          <w:bCs/>
          <w:position w:val="6"/>
          <w:szCs w:val="24"/>
        </w:rPr>
      </w:pPr>
    </w:p>
    <w:p>
      <w:pPr>
        <w:pStyle w:val="19"/>
        <w:spacing w:line="480" w:lineRule="exact"/>
        <w:ind w:firstLine="0" w:firstLineChars="0"/>
        <w:rPr>
          <w:rFonts w:hAnsi="宋体"/>
          <w:bCs/>
          <w:position w:val="6"/>
          <w:szCs w:val="24"/>
        </w:rPr>
      </w:pPr>
      <w:r>
        <w:rPr>
          <w:rFonts w:hint="eastAsia" w:hAnsi="宋体"/>
          <w:b/>
          <w:bCs/>
          <w:position w:val="6"/>
          <w:szCs w:val="24"/>
        </w:rPr>
        <w:t>格式6</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&lt;项目编号、项目名称&gt;</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拟提供售后服务的项目及工程质量保修的内容：</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免费保修年限：</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售后服务响应及到达现场的时间：</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详细的培训计划（如有）：</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维修技术人员及设备方面的保证措施及收费标准：</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生产制造厂商或其授权代理商设置的售后服务网络及相关情况（如有）：</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备品备件供应情况及优惠价格：</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p>
    <w:p>
      <w:pPr>
        <w:pStyle w:val="16"/>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黑体" w:hAnsi="宋体" w:eastAsia="黑体" w:cs="Arial"/>
          <w:sz w:val="22"/>
          <w:szCs w:val="21"/>
          <w:u w:val="single"/>
        </w:rPr>
        <w:t>（法定代表人（代表人）可签字或加盖名章，授权委托人必须签字）</w:t>
      </w:r>
    </w:p>
    <w:p>
      <w:pPr>
        <w:pStyle w:val="16"/>
        <w:spacing w:before="60" w:afterLines="50" w:line="320" w:lineRule="exact"/>
        <w:ind w:firstLine="0" w:firstLineChars="0"/>
        <w:rPr>
          <w:rFonts w:ascii="Arial" w:hAnsi="Arial" w:cs="Arial"/>
        </w:rPr>
      </w:pPr>
      <w:r>
        <w:rPr>
          <w:rFonts w:hint="eastAsia" w:ascii="宋体" w:hAnsi="宋体" w:cs="Arial"/>
          <w:szCs w:val="24"/>
        </w:rPr>
        <w:t>签署日期：年月日</w:t>
      </w:r>
    </w:p>
    <w:p>
      <w:pPr>
        <w:spacing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格式7</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6" w:firstLineChars="257"/>
        <w:rPr>
          <w:rFonts w:ascii="宋体" w:hAnsi="宋体"/>
          <w:sz w:val="24"/>
          <w:szCs w:val="24"/>
        </w:rPr>
      </w:pPr>
    </w:p>
    <w:p>
      <w:pPr>
        <w:pStyle w:val="19"/>
        <w:spacing w:line="480" w:lineRule="auto"/>
        <w:ind w:firstLine="540" w:firstLineChars="225"/>
        <w:jc w:val="left"/>
        <w:rPr>
          <w:rFonts w:hAnsi="宋体"/>
          <w:szCs w:val="24"/>
        </w:rPr>
      </w:pPr>
      <w:r>
        <w:rPr>
          <w:rFonts w:hint="eastAsia" w:hAnsi="宋体"/>
          <w:szCs w:val="24"/>
        </w:rPr>
        <w:t>单位名称：</w:t>
      </w:r>
    </w:p>
    <w:p>
      <w:pPr>
        <w:pStyle w:val="19"/>
        <w:spacing w:line="480" w:lineRule="auto"/>
        <w:ind w:firstLine="540" w:firstLineChars="225"/>
        <w:jc w:val="left"/>
        <w:rPr>
          <w:rFonts w:hAnsi="宋体"/>
          <w:szCs w:val="24"/>
        </w:rPr>
      </w:pPr>
      <w:r>
        <w:rPr>
          <w:rFonts w:hint="eastAsia" w:hAnsi="宋体"/>
          <w:szCs w:val="24"/>
        </w:rPr>
        <w:t>地址：</w:t>
      </w:r>
    </w:p>
    <w:p>
      <w:pPr>
        <w:pStyle w:val="19"/>
        <w:spacing w:line="480" w:lineRule="auto"/>
        <w:ind w:firstLine="540" w:firstLineChars="225"/>
        <w:jc w:val="left"/>
        <w:rPr>
          <w:rFonts w:hAnsi="宋体"/>
          <w:szCs w:val="24"/>
        </w:rPr>
      </w:pPr>
      <w:r>
        <w:rPr>
          <w:rFonts w:hint="eastAsia" w:hAnsi="宋体"/>
          <w:szCs w:val="24"/>
        </w:rPr>
        <w:t xml:space="preserve">姓名：          性别：           年龄：            职务：        </w:t>
      </w:r>
    </w:p>
    <w:p>
      <w:pPr>
        <w:pStyle w:val="19"/>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&lt;单位名称&gt;</w:t>
      </w:r>
      <w:r>
        <w:rPr>
          <w:rFonts w:hint="eastAsia" w:hAnsi="宋体"/>
          <w:szCs w:val="24"/>
        </w:rPr>
        <w:t>的法定代表人（代表人）。就参加你公司组织的采购编号为</w:t>
      </w:r>
      <w:r>
        <w:rPr>
          <w:rFonts w:hint="eastAsia" w:hAnsi="宋体"/>
          <w:szCs w:val="24"/>
          <w:u w:val="single"/>
        </w:rPr>
        <w:t>&lt;项目编号&gt;</w:t>
      </w:r>
      <w:r>
        <w:rPr>
          <w:rFonts w:hint="eastAsia" w:hAnsi="宋体"/>
          <w:szCs w:val="24"/>
        </w:rPr>
        <w:t>的</w:t>
      </w:r>
      <w:r>
        <w:rPr>
          <w:rFonts w:hint="eastAsia" w:hAnsi="宋体"/>
          <w:szCs w:val="24"/>
          <w:u w:val="single"/>
        </w:rPr>
        <w:t>&lt;项目名称&gt;</w:t>
      </w:r>
      <w:r>
        <w:rPr>
          <w:rFonts w:hint="eastAsia" w:hAnsi="宋体"/>
          <w:szCs w:val="24"/>
        </w:rPr>
        <w:t xml:space="preserve"> 竞争性谈判采购项目的报价，签署上述项目的谈判响应文件及合同的执行、完成、服务和保修，签署合同和处理与之有关的一切事务。</w:t>
      </w:r>
    </w:p>
    <w:p>
      <w:pPr>
        <w:pStyle w:val="19"/>
        <w:spacing w:line="480" w:lineRule="auto"/>
        <w:ind w:firstLine="540" w:firstLineChars="225"/>
        <w:jc w:val="left"/>
        <w:rPr>
          <w:rFonts w:hAnsi="宋体"/>
          <w:szCs w:val="24"/>
        </w:rPr>
      </w:pPr>
      <w:r>
        <w:rPr>
          <w:rFonts w:hint="eastAsia" w:hAnsi="宋体"/>
          <w:szCs w:val="24"/>
        </w:rPr>
        <w:t>特此证明。</w:t>
      </w:r>
    </w:p>
    <w:p>
      <w:pPr>
        <w:pStyle w:val="19"/>
        <w:spacing w:line="480" w:lineRule="auto"/>
        <w:ind w:firstLine="540" w:firstLineChars="225"/>
        <w:jc w:val="left"/>
        <w:rPr>
          <w:rFonts w:hAnsi="宋体"/>
          <w:szCs w:val="24"/>
        </w:rPr>
      </w:pPr>
    </w:p>
    <w:p>
      <w:pPr>
        <w:pStyle w:val="19"/>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9"/>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p>
    <w:p>
      <w:pPr>
        <w:pStyle w:val="16"/>
        <w:spacing w:before="60" w:line="480" w:lineRule="auto"/>
        <w:ind w:firstLine="0" w:firstLineChars="0"/>
        <w:rPr>
          <w:rFonts w:ascii="Arial" w:hAnsi="Arial" w:cs="Arial"/>
          <w:szCs w:val="24"/>
        </w:rPr>
      </w:pPr>
      <w:r>
        <w:rPr>
          <w:rFonts w:hint="eastAsia" w:ascii="Arial" w:hAnsi="Arial" w:cs="Arial"/>
          <w:szCs w:val="24"/>
        </w:rPr>
        <w:t>签署日期：年月日</w:t>
      </w:r>
    </w:p>
    <w:p>
      <w:pPr>
        <w:pStyle w:val="22"/>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法定代表人（代表人）参加本采购项目竞争性谈判的，仅须出具此证明书。</w:t>
      </w:r>
      <w:r>
        <w:rPr>
          <w:rFonts w:hint="eastAsia" w:ascii="宋体" w:hAnsi="宋体"/>
          <w:b/>
          <w:kern w:val="12"/>
          <w:sz w:val="24"/>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本授权书声明：注册于（注册地点）的（单位名称）的（法定代表人（代表人）姓名与职务）代表本公司授权（单位名称）的（被授权人的姓名与职务）为本公司的合法代理人，</w:t>
      </w:r>
      <w:r>
        <w:rPr>
          <w:rFonts w:hint="eastAsia" w:ascii="宋体" w:hAnsi="宋体"/>
          <w:sz w:val="24"/>
          <w:szCs w:val="24"/>
        </w:rPr>
        <w:t>就参加你公司组织的采购编号为（项目编号）的（项目名称）竞争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本授权书于年月日签字生效，无转委托权，特此声明。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 性别：年龄：。</w:t>
      </w:r>
    </w:p>
    <w:p>
      <w:pPr>
        <w:pStyle w:val="3"/>
        <w:spacing w:line="480" w:lineRule="auto"/>
        <w:ind w:firstLine="480" w:firstLineChars="200"/>
        <w:rPr>
          <w:rFonts w:ascii="宋体" w:hAnsi="宋体" w:cs="Arial"/>
          <w:szCs w:val="24"/>
          <w:u w:val="single"/>
        </w:rPr>
      </w:pPr>
      <w:r>
        <w:rPr>
          <w:rFonts w:hint="eastAsia"/>
        </w:rPr>
        <w:t>单位：部门：职务：。</w:t>
      </w:r>
    </w:p>
    <w:p>
      <w:pPr>
        <w:pStyle w:val="22"/>
        <w:spacing w:afterLines="50" w:line="320" w:lineRule="exact"/>
        <w:rPr>
          <w:rFonts w:ascii="宋体" w:hAnsi="宋体" w:cs="Arial"/>
          <w:szCs w:val="24"/>
        </w:rPr>
      </w:pPr>
    </w:p>
    <w:p>
      <w:pPr>
        <w:pStyle w:val="19"/>
        <w:ind w:firstLine="482"/>
        <w:jc w:val="center"/>
        <w:rPr>
          <w:rFonts w:hAnsi="宋体"/>
          <w:b/>
          <w:szCs w:val="24"/>
        </w:rPr>
      </w:pPr>
      <w:r>
        <w:rPr>
          <w:rFonts w:hint="eastAsia" w:hAnsi="宋体"/>
          <w:b/>
          <w:szCs w:val="24"/>
        </w:rPr>
        <w:t>（※此处请粘贴被授权人身份证复印件，需清晰反映身份证有效期限※）</w:t>
      </w:r>
    </w:p>
    <w:p>
      <w:pPr>
        <w:spacing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签署日期：年月日</w:t>
      </w:r>
    </w:p>
    <w:p>
      <w:pPr>
        <w:spacing w:afterLines="50" w:line="320" w:lineRule="exact"/>
        <w:rPr>
          <w:rFonts w:ascii="宋体" w:hAnsi="宋体"/>
          <w:b/>
          <w:kern w:val="12"/>
          <w:sz w:val="24"/>
          <w:szCs w:val="24"/>
        </w:rPr>
      </w:pPr>
    </w:p>
    <w:p>
      <w:pPr>
        <w:spacing w:line="32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法定代表人（代表人）的授权委托人参加本采购项目竞争性谈判的，仅须出具此授权委托书。</w:t>
      </w:r>
    </w:p>
    <w:p>
      <w:pPr>
        <w:pStyle w:val="19"/>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格式9</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Lines="50" w:line="320" w:lineRule="exact"/>
        <w:rPr>
          <w:rFonts w:ascii="宋体" w:hAnsi="宋体"/>
          <w:sz w:val="24"/>
          <w:szCs w:val="24"/>
        </w:rPr>
      </w:pPr>
    </w:p>
    <w:p>
      <w:pPr>
        <w:spacing w:afterLines="50" w:line="320" w:lineRule="exact"/>
        <w:rPr>
          <w:rFonts w:ascii="宋体" w:hAnsi="宋体"/>
          <w:b/>
          <w:bCs/>
          <w:sz w:val="24"/>
          <w:szCs w:val="24"/>
        </w:rPr>
      </w:pPr>
      <w:r>
        <w:rPr>
          <w:rFonts w:hint="eastAsia" w:ascii="宋体" w:hAnsi="宋体"/>
          <w:b/>
          <w:sz w:val="24"/>
          <w:szCs w:val="24"/>
        </w:rPr>
        <w:t>致：永明项目管理有限公司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Lines="50" w:line="320" w:lineRule="exact"/>
        <w:rPr>
          <w:rFonts w:ascii="宋体" w:hAnsi="宋体"/>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p>
    <w:p>
      <w:pPr>
        <w:pStyle w:val="16"/>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黑体" w:hAnsi="宋体" w:eastAsia="黑体" w:cs="Arial"/>
          <w:sz w:val="21"/>
          <w:szCs w:val="21"/>
          <w:u w:val="single"/>
        </w:rPr>
        <w:t>（法定代表人（代表人）可签字或加盖名章，授权委托人必须签字）</w:t>
      </w:r>
    </w:p>
    <w:p>
      <w:pPr>
        <w:pStyle w:val="16"/>
        <w:spacing w:before="60" w:afterLines="50" w:line="320" w:lineRule="exact"/>
        <w:ind w:firstLine="0" w:firstLineChars="0"/>
        <w:rPr>
          <w:rFonts w:ascii="宋体" w:hAnsi="宋体" w:cs="Arial"/>
          <w:szCs w:val="24"/>
        </w:rPr>
      </w:pPr>
      <w:r>
        <w:rPr>
          <w:rFonts w:hint="eastAsia" w:ascii="宋体" w:hAnsi="宋体" w:cs="Arial"/>
          <w:szCs w:val="24"/>
        </w:rPr>
        <w:t>签署日期：年月日</w:t>
      </w:r>
    </w:p>
    <w:p>
      <w:pPr>
        <w:pStyle w:val="16"/>
        <w:spacing w:before="60" w:afterLines="50" w:line="320" w:lineRule="exact"/>
        <w:ind w:firstLine="0" w:firstLineChars="0"/>
        <w:rPr>
          <w:rFonts w:ascii="宋体" w:hAnsi="宋体" w:cs="Arial"/>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r>
        <w:rPr>
          <w:rFonts w:hint="eastAsia" w:ascii="宋体" w:hAnsi="宋体" w:cs="Arial"/>
          <w:b/>
          <w:szCs w:val="24"/>
        </w:rPr>
        <w:t>格式10</w:t>
      </w:r>
    </w:p>
    <w:p>
      <w:pPr>
        <w:pStyle w:val="16"/>
        <w:spacing w:before="6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6"/>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pStyle w:val="16"/>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具备履行合同所必需的设备和专业技术能力的证明材料</w:t>
      </w:r>
    </w:p>
    <w:p>
      <w:pPr>
        <w:pStyle w:val="16"/>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6"/>
        <w:spacing w:before="60" w:afterLines="50" w:line="320" w:lineRule="exact"/>
        <w:ind w:firstLine="0" w:firstLineChars="0"/>
        <w:jc w:val="center"/>
        <w:rPr>
          <w:rFonts w:ascii="宋体" w:hAnsi="宋体" w:cs="Arial"/>
          <w:szCs w:val="24"/>
        </w:rPr>
      </w:pPr>
      <w:r>
        <w:rPr>
          <w:rFonts w:hint="eastAsia" w:ascii="宋体" w:hAnsi="宋体" w:cs="Arial"/>
          <w:szCs w:val="24"/>
        </w:rPr>
        <w:t>可附相关设备的购置发票复印件、专业技术人员职称证书复印件、用工合同复印件等或者附供应商相关承诺函或声明。</w:t>
      </w: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p>
    <w:p>
      <w:pPr>
        <w:pStyle w:val="16"/>
        <w:spacing w:before="60" w:afterLines="50" w:line="320" w:lineRule="exact"/>
        <w:ind w:firstLine="0" w:firstLineChars="0"/>
        <w:rPr>
          <w:rFonts w:ascii="宋体" w:hAnsi="宋体" w:cs="Arial"/>
          <w:b/>
          <w:szCs w:val="24"/>
        </w:rPr>
      </w:pPr>
      <w:r>
        <w:rPr>
          <w:rFonts w:hint="eastAsia" w:ascii="宋体" w:hAnsi="宋体" w:cs="Arial"/>
          <w:b/>
          <w:szCs w:val="24"/>
        </w:rPr>
        <w:t>格式12</w:t>
      </w:r>
    </w:p>
    <w:p>
      <w:pPr>
        <w:pStyle w:val="16"/>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6"/>
        <w:spacing w:before="6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rPr>
          <w:rFonts w:ascii="宋体" w:hAnsi="宋体"/>
          <w:szCs w:val="21"/>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4"/>
      </w:rPr>
    </w:pPr>
    <w:r>
      <w:fldChar w:fldCharType="begin"/>
    </w:r>
    <w:r>
      <w:rPr>
        <w:rStyle w:val="34"/>
      </w:rPr>
      <w:instrText xml:space="preserve">PAGE  </w:instrText>
    </w:r>
    <w:r>
      <w:fldChar w:fldCharType="separate"/>
    </w:r>
    <w:r>
      <w:rPr>
        <w:rStyle w:val="34"/>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100"/>
      <w:lvlText w:val="%1"/>
      <w:lvlJc w:val="left"/>
      <w:pPr>
        <w:ind w:left="432" w:hanging="432"/>
      </w:pPr>
      <w:rPr>
        <w:b w:val="0"/>
      </w:rPr>
    </w:lvl>
    <w:lvl w:ilvl="1" w:tentative="0">
      <w:start w:val="1"/>
      <w:numFmt w:val="decimal"/>
      <w:pStyle w:val="116"/>
      <w:lvlText w:val="%1.%2"/>
      <w:lvlJc w:val="left"/>
      <w:pPr>
        <w:ind w:left="576" w:hanging="576"/>
      </w:pPr>
      <w:rPr>
        <w:rFonts w:ascii="黑体" w:hAnsi="黑体" w:eastAsia="黑体"/>
        <w:b w:val="0"/>
      </w:rPr>
    </w:lvl>
    <w:lvl w:ilvl="2" w:tentative="0">
      <w:start w:val="1"/>
      <w:numFmt w:val="decimal"/>
      <w:pStyle w:val="98"/>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3"/>
      <w:lvlText w:val="%1.%2.%3.%4.%5"/>
      <w:lvlJc w:val="left"/>
      <w:pPr>
        <w:ind w:left="1008" w:hanging="1008"/>
      </w:pPr>
      <w:rPr>
        <w:rFonts w:ascii="黑体" w:hAnsi="黑体" w:eastAsia="黑体"/>
        <w:b w:val="0"/>
      </w:rPr>
    </w:lvl>
    <w:lvl w:ilvl="5" w:tentative="0">
      <w:start w:val="1"/>
      <w:numFmt w:val="decimal"/>
      <w:pStyle w:val="95"/>
      <w:lvlText w:val="%1.%2.%3.%4.%5.%6"/>
      <w:lvlJc w:val="left"/>
      <w:pPr>
        <w:ind w:left="1152" w:hanging="1152"/>
      </w:pPr>
      <w:rPr>
        <w:rFonts w:ascii="黑体" w:hAnsi="黑体" w:eastAsia="黑体"/>
        <w:lang w:val="en-US"/>
      </w:rPr>
    </w:lvl>
    <w:lvl w:ilvl="6" w:tentative="0">
      <w:start w:val="1"/>
      <w:numFmt w:val="decimal"/>
      <w:pStyle w:val="106"/>
      <w:lvlText w:val="%1.%2.%3.%4.%5.%6.%7"/>
      <w:lvlJc w:val="left"/>
      <w:pPr>
        <w:ind w:left="1296" w:hanging="1296"/>
      </w:pPr>
      <w:rPr>
        <w:rFonts w:ascii="黑体" w:hAnsi="黑体" w:eastAsia="黑体"/>
        <w:b w:val="0"/>
      </w:rPr>
    </w:lvl>
    <w:lvl w:ilvl="7" w:tentative="0">
      <w:start w:val="1"/>
      <w:numFmt w:val="decimal"/>
      <w:pStyle w:val="114"/>
      <w:lvlText w:val="%1.%2.%3.%4.%5.%6.%7.%8"/>
      <w:lvlJc w:val="left"/>
      <w:pPr>
        <w:ind w:left="1440" w:hanging="1440"/>
      </w:pPr>
    </w:lvl>
    <w:lvl w:ilvl="8" w:tentative="0">
      <w:start w:val="1"/>
      <w:numFmt w:val="decimal"/>
      <w:pStyle w:val="103"/>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abstractNum w:abstractNumId="5">
    <w:nsid w:val="5A3A2A28"/>
    <w:multiLevelType w:val="singleLevel"/>
    <w:tmpl w:val="5A3A2A28"/>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51CC"/>
    <w:rsid w:val="00036C15"/>
    <w:rsid w:val="00045B1C"/>
    <w:rsid w:val="00045F13"/>
    <w:rsid w:val="0004769F"/>
    <w:rsid w:val="00052339"/>
    <w:rsid w:val="00054164"/>
    <w:rsid w:val="00064A63"/>
    <w:rsid w:val="00065CF8"/>
    <w:rsid w:val="000721ED"/>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72CE"/>
    <w:rsid w:val="0010407C"/>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947C6"/>
    <w:rsid w:val="001A7320"/>
    <w:rsid w:val="001B3D09"/>
    <w:rsid w:val="001C319D"/>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22326"/>
    <w:rsid w:val="00225A8C"/>
    <w:rsid w:val="00233878"/>
    <w:rsid w:val="002366F0"/>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747D"/>
    <w:rsid w:val="002913F4"/>
    <w:rsid w:val="002A6901"/>
    <w:rsid w:val="002B0431"/>
    <w:rsid w:val="002C1F02"/>
    <w:rsid w:val="002C23B2"/>
    <w:rsid w:val="002C59D0"/>
    <w:rsid w:val="002D35DC"/>
    <w:rsid w:val="002D472E"/>
    <w:rsid w:val="002E226E"/>
    <w:rsid w:val="002E3A88"/>
    <w:rsid w:val="002F0268"/>
    <w:rsid w:val="002F04B1"/>
    <w:rsid w:val="002F0E97"/>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07AC"/>
    <w:rsid w:val="00362299"/>
    <w:rsid w:val="00364436"/>
    <w:rsid w:val="0036534F"/>
    <w:rsid w:val="0037424E"/>
    <w:rsid w:val="00374287"/>
    <w:rsid w:val="0037590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3CA7"/>
    <w:rsid w:val="004873F8"/>
    <w:rsid w:val="004958A8"/>
    <w:rsid w:val="00496792"/>
    <w:rsid w:val="004B05CC"/>
    <w:rsid w:val="004B2CEF"/>
    <w:rsid w:val="004C2D8C"/>
    <w:rsid w:val="004C449E"/>
    <w:rsid w:val="004D09C9"/>
    <w:rsid w:val="004D4BA6"/>
    <w:rsid w:val="004D6A2F"/>
    <w:rsid w:val="004D718D"/>
    <w:rsid w:val="004E02F5"/>
    <w:rsid w:val="004E0A9C"/>
    <w:rsid w:val="004E30E6"/>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17F"/>
    <w:rsid w:val="00591666"/>
    <w:rsid w:val="00595F0F"/>
    <w:rsid w:val="005A2CC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05BF"/>
    <w:rsid w:val="00643135"/>
    <w:rsid w:val="00651A81"/>
    <w:rsid w:val="00652820"/>
    <w:rsid w:val="00657E5B"/>
    <w:rsid w:val="00661713"/>
    <w:rsid w:val="006644DD"/>
    <w:rsid w:val="00667993"/>
    <w:rsid w:val="00674153"/>
    <w:rsid w:val="00674930"/>
    <w:rsid w:val="00674B2C"/>
    <w:rsid w:val="006828D5"/>
    <w:rsid w:val="0068359E"/>
    <w:rsid w:val="0068680D"/>
    <w:rsid w:val="00686F36"/>
    <w:rsid w:val="006901D0"/>
    <w:rsid w:val="00690EF7"/>
    <w:rsid w:val="0069292D"/>
    <w:rsid w:val="006964DE"/>
    <w:rsid w:val="006B33E9"/>
    <w:rsid w:val="006C03F2"/>
    <w:rsid w:val="006C0F3C"/>
    <w:rsid w:val="006C139A"/>
    <w:rsid w:val="006C1486"/>
    <w:rsid w:val="006C2CE4"/>
    <w:rsid w:val="006C33D4"/>
    <w:rsid w:val="006C45BC"/>
    <w:rsid w:val="006C616B"/>
    <w:rsid w:val="006E5CBD"/>
    <w:rsid w:val="006E7857"/>
    <w:rsid w:val="006F1DF5"/>
    <w:rsid w:val="006F2674"/>
    <w:rsid w:val="006F57DF"/>
    <w:rsid w:val="006F6B2C"/>
    <w:rsid w:val="006F73CD"/>
    <w:rsid w:val="0070739C"/>
    <w:rsid w:val="00714654"/>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91E9B"/>
    <w:rsid w:val="007A2A40"/>
    <w:rsid w:val="007A3177"/>
    <w:rsid w:val="007A59B7"/>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17483"/>
    <w:rsid w:val="00827452"/>
    <w:rsid w:val="0083094B"/>
    <w:rsid w:val="008359C5"/>
    <w:rsid w:val="00836A8F"/>
    <w:rsid w:val="0084695D"/>
    <w:rsid w:val="00852B92"/>
    <w:rsid w:val="008605B7"/>
    <w:rsid w:val="00860EFE"/>
    <w:rsid w:val="008616E8"/>
    <w:rsid w:val="008806AC"/>
    <w:rsid w:val="00895A5F"/>
    <w:rsid w:val="00896F34"/>
    <w:rsid w:val="008A287A"/>
    <w:rsid w:val="008A41B8"/>
    <w:rsid w:val="008A4709"/>
    <w:rsid w:val="008A7778"/>
    <w:rsid w:val="008B3639"/>
    <w:rsid w:val="008B69CC"/>
    <w:rsid w:val="008B72D3"/>
    <w:rsid w:val="008C1370"/>
    <w:rsid w:val="008C3386"/>
    <w:rsid w:val="008C3D01"/>
    <w:rsid w:val="008C664F"/>
    <w:rsid w:val="008C7A71"/>
    <w:rsid w:val="008C7B76"/>
    <w:rsid w:val="008D4419"/>
    <w:rsid w:val="008D4F27"/>
    <w:rsid w:val="008F5627"/>
    <w:rsid w:val="00901DF6"/>
    <w:rsid w:val="00905994"/>
    <w:rsid w:val="00907E24"/>
    <w:rsid w:val="0091212E"/>
    <w:rsid w:val="00913B39"/>
    <w:rsid w:val="00920D0C"/>
    <w:rsid w:val="00921376"/>
    <w:rsid w:val="00924F0B"/>
    <w:rsid w:val="00925A0E"/>
    <w:rsid w:val="00927A2B"/>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5528"/>
    <w:rsid w:val="0099771E"/>
    <w:rsid w:val="009A24A0"/>
    <w:rsid w:val="009A4228"/>
    <w:rsid w:val="009A42DE"/>
    <w:rsid w:val="009A6F4B"/>
    <w:rsid w:val="009B48C5"/>
    <w:rsid w:val="009C2215"/>
    <w:rsid w:val="009C4A64"/>
    <w:rsid w:val="009C5121"/>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E1379"/>
    <w:rsid w:val="00AE28AD"/>
    <w:rsid w:val="00AE515D"/>
    <w:rsid w:val="00B01A74"/>
    <w:rsid w:val="00B0204A"/>
    <w:rsid w:val="00B02C1D"/>
    <w:rsid w:val="00B05CCE"/>
    <w:rsid w:val="00B20907"/>
    <w:rsid w:val="00B26C70"/>
    <w:rsid w:val="00B4536D"/>
    <w:rsid w:val="00B47191"/>
    <w:rsid w:val="00B47F04"/>
    <w:rsid w:val="00B47FC4"/>
    <w:rsid w:val="00B51081"/>
    <w:rsid w:val="00B51278"/>
    <w:rsid w:val="00B521FF"/>
    <w:rsid w:val="00B56054"/>
    <w:rsid w:val="00B60F72"/>
    <w:rsid w:val="00B65BDE"/>
    <w:rsid w:val="00B73F3C"/>
    <w:rsid w:val="00B74200"/>
    <w:rsid w:val="00B82C01"/>
    <w:rsid w:val="00B83C2C"/>
    <w:rsid w:val="00B8659A"/>
    <w:rsid w:val="00B90DD0"/>
    <w:rsid w:val="00B94C3B"/>
    <w:rsid w:val="00B95D4B"/>
    <w:rsid w:val="00B96655"/>
    <w:rsid w:val="00B96CB3"/>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FD6"/>
    <w:rsid w:val="00C217CA"/>
    <w:rsid w:val="00C25D2E"/>
    <w:rsid w:val="00C270EE"/>
    <w:rsid w:val="00C27F71"/>
    <w:rsid w:val="00C41F0E"/>
    <w:rsid w:val="00C43A23"/>
    <w:rsid w:val="00C468CB"/>
    <w:rsid w:val="00C50713"/>
    <w:rsid w:val="00C53764"/>
    <w:rsid w:val="00C537F0"/>
    <w:rsid w:val="00C60E2C"/>
    <w:rsid w:val="00C6292A"/>
    <w:rsid w:val="00C643BD"/>
    <w:rsid w:val="00C72365"/>
    <w:rsid w:val="00C7356B"/>
    <w:rsid w:val="00C73687"/>
    <w:rsid w:val="00C76453"/>
    <w:rsid w:val="00C844CD"/>
    <w:rsid w:val="00C908A3"/>
    <w:rsid w:val="00C91189"/>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2085"/>
    <w:rsid w:val="00CF375E"/>
    <w:rsid w:val="00CF3AAD"/>
    <w:rsid w:val="00D01969"/>
    <w:rsid w:val="00D01CD3"/>
    <w:rsid w:val="00D12A29"/>
    <w:rsid w:val="00D15DCF"/>
    <w:rsid w:val="00D16DDB"/>
    <w:rsid w:val="00D30E3D"/>
    <w:rsid w:val="00D32F45"/>
    <w:rsid w:val="00D3697F"/>
    <w:rsid w:val="00D37E0D"/>
    <w:rsid w:val="00D43060"/>
    <w:rsid w:val="00D54A32"/>
    <w:rsid w:val="00D54A47"/>
    <w:rsid w:val="00D55D2D"/>
    <w:rsid w:val="00D56799"/>
    <w:rsid w:val="00D649AC"/>
    <w:rsid w:val="00D70D25"/>
    <w:rsid w:val="00D73238"/>
    <w:rsid w:val="00D7502D"/>
    <w:rsid w:val="00D7530C"/>
    <w:rsid w:val="00D8210D"/>
    <w:rsid w:val="00D8323B"/>
    <w:rsid w:val="00D843D5"/>
    <w:rsid w:val="00D8700E"/>
    <w:rsid w:val="00D95B4E"/>
    <w:rsid w:val="00D96E80"/>
    <w:rsid w:val="00DA15FF"/>
    <w:rsid w:val="00DA3B87"/>
    <w:rsid w:val="00DB0F0B"/>
    <w:rsid w:val="00DB77C6"/>
    <w:rsid w:val="00DB7E09"/>
    <w:rsid w:val="00DC0E66"/>
    <w:rsid w:val="00DC5662"/>
    <w:rsid w:val="00DD5BFC"/>
    <w:rsid w:val="00DD6240"/>
    <w:rsid w:val="00DD7788"/>
    <w:rsid w:val="00DF0304"/>
    <w:rsid w:val="00E00B75"/>
    <w:rsid w:val="00E0415C"/>
    <w:rsid w:val="00E05FA1"/>
    <w:rsid w:val="00E12F8F"/>
    <w:rsid w:val="00E16244"/>
    <w:rsid w:val="00E16E19"/>
    <w:rsid w:val="00E170AA"/>
    <w:rsid w:val="00E21505"/>
    <w:rsid w:val="00E250D7"/>
    <w:rsid w:val="00E3097D"/>
    <w:rsid w:val="00E330FD"/>
    <w:rsid w:val="00E35BB9"/>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C6C91"/>
    <w:rsid w:val="00ED0869"/>
    <w:rsid w:val="00ED71CD"/>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16F2"/>
    <w:rsid w:val="00F454B8"/>
    <w:rsid w:val="00F45EC7"/>
    <w:rsid w:val="00F552FC"/>
    <w:rsid w:val="00F5640E"/>
    <w:rsid w:val="00F56D81"/>
    <w:rsid w:val="00F57CAA"/>
    <w:rsid w:val="00F612A7"/>
    <w:rsid w:val="00F62F9B"/>
    <w:rsid w:val="00F64399"/>
    <w:rsid w:val="00F70867"/>
    <w:rsid w:val="00F714C4"/>
    <w:rsid w:val="00F71A83"/>
    <w:rsid w:val="00F75594"/>
    <w:rsid w:val="00F82708"/>
    <w:rsid w:val="00F83E0D"/>
    <w:rsid w:val="00FA09D4"/>
    <w:rsid w:val="00FA4467"/>
    <w:rsid w:val="00FA46E1"/>
    <w:rsid w:val="00FA6340"/>
    <w:rsid w:val="00FA72F8"/>
    <w:rsid w:val="00FB1FBA"/>
    <w:rsid w:val="00FB5930"/>
    <w:rsid w:val="00FB61AE"/>
    <w:rsid w:val="00FC7C13"/>
    <w:rsid w:val="00FD05F2"/>
    <w:rsid w:val="00FD605F"/>
    <w:rsid w:val="00FE3142"/>
    <w:rsid w:val="00FE334F"/>
    <w:rsid w:val="00FE36AE"/>
    <w:rsid w:val="00FE5633"/>
    <w:rsid w:val="00FF0654"/>
    <w:rsid w:val="00FF10AE"/>
    <w:rsid w:val="00FF260D"/>
    <w:rsid w:val="00FF33F0"/>
    <w:rsid w:val="01122119"/>
    <w:rsid w:val="012D0115"/>
    <w:rsid w:val="01601AA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65E689F"/>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91F3A"/>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47A3DD8"/>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4B606B"/>
    <w:rsid w:val="1D5A5F68"/>
    <w:rsid w:val="1D704579"/>
    <w:rsid w:val="1EBA5ED6"/>
    <w:rsid w:val="1EBD273E"/>
    <w:rsid w:val="1EF87465"/>
    <w:rsid w:val="1F294332"/>
    <w:rsid w:val="1F483A7D"/>
    <w:rsid w:val="1FB766D1"/>
    <w:rsid w:val="20562A02"/>
    <w:rsid w:val="2056492B"/>
    <w:rsid w:val="20784C7B"/>
    <w:rsid w:val="20B136DD"/>
    <w:rsid w:val="20E31259"/>
    <w:rsid w:val="20E95E96"/>
    <w:rsid w:val="216F142E"/>
    <w:rsid w:val="217C3862"/>
    <w:rsid w:val="21F96BCC"/>
    <w:rsid w:val="221450AB"/>
    <w:rsid w:val="22154D1A"/>
    <w:rsid w:val="22255E18"/>
    <w:rsid w:val="22350A1A"/>
    <w:rsid w:val="22B01C18"/>
    <w:rsid w:val="23154DA9"/>
    <w:rsid w:val="233919BB"/>
    <w:rsid w:val="23A7190B"/>
    <w:rsid w:val="23D61F38"/>
    <w:rsid w:val="23FC24D8"/>
    <w:rsid w:val="24312922"/>
    <w:rsid w:val="246D5D42"/>
    <w:rsid w:val="24EB00D9"/>
    <w:rsid w:val="2521507B"/>
    <w:rsid w:val="25C22B94"/>
    <w:rsid w:val="26373B7B"/>
    <w:rsid w:val="264044AE"/>
    <w:rsid w:val="2719221F"/>
    <w:rsid w:val="271E0072"/>
    <w:rsid w:val="27726A4E"/>
    <w:rsid w:val="27C44396"/>
    <w:rsid w:val="27DE7413"/>
    <w:rsid w:val="28563C31"/>
    <w:rsid w:val="2874223A"/>
    <w:rsid w:val="287B643B"/>
    <w:rsid w:val="289C0077"/>
    <w:rsid w:val="28B67EBB"/>
    <w:rsid w:val="28D13EA4"/>
    <w:rsid w:val="28E36D76"/>
    <w:rsid w:val="291B11CB"/>
    <w:rsid w:val="29570A11"/>
    <w:rsid w:val="29845795"/>
    <w:rsid w:val="299D39D4"/>
    <w:rsid w:val="29D36C55"/>
    <w:rsid w:val="29FF5201"/>
    <w:rsid w:val="2AA271BA"/>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1744D5"/>
    <w:rsid w:val="366A5C4C"/>
    <w:rsid w:val="37C416F7"/>
    <w:rsid w:val="37D903CC"/>
    <w:rsid w:val="3855531C"/>
    <w:rsid w:val="39CF104F"/>
    <w:rsid w:val="39FA5B2B"/>
    <w:rsid w:val="3A6D36AD"/>
    <w:rsid w:val="3A873C90"/>
    <w:rsid w:val="3B0E7A38"/>
    <w:rsid w:val="3C20303D"/>
    <w:rsid w:val="3C5B5E1C"/>
    <w:rsid w:val="3CB66F48"/>
    <w:rsid w:val="3DA76EFE"/>
    <w:rsid w:val="3DCD75E3"/>
    <w:rsid w:val="3DDB57F9"/>
    <w:rsid w:val="3DF63399"/>
    <w:rsid w:val="3E5F19E9"/>
    <w:rsid w:val="3E7C7F4D"/>
    <w:rsid w:val="3F140E9A"/>
    <w:rsid w:val="3F7457AF"/>
    <w:rsid w:val="3F933318"/>
    <w:rsid w:val="3FA75184"/>
    <w:rsid w:val="3FB869B8"/>
    <w:rsid w:val="403D36F4"/>
    <w:rsid w:val="40471266"/>
    <w:rsid w:val="40560D75"/>
    <w:rsid w:val="40621376"/>
    <w:rsid w:val="41273207"/>
    <w:rsid w:val="4143492A"/>
    <w:rsid w:val="41543EE9"/>
    <w:rsid w:val="416C1384"/>
    <w:rsid w:val="41B660BB"/>
    <w:rsid w:val="42175B6F"/>
    <w:rsid w:val="423D4D75"/>
    <w:rsid w:val="428F78D3"/>
    <w:rsid w:val="42C54B18"/>
    <w:rsid w:val="43420C0E"/>
    <w:rsid w:val="43717460"/>
    <w:rsid w:val="43EA4668"/>
    <w:rsid w:val="43FC54AB"/>
    <w:rsid w:val="440304BA"/>
    <w:rsid w:val="4456107B"/>
    <w:rsid w:val="44D36D16"/>
    <w:rsid w:val="450D3E1C"/>
    <w:rsid w:val="45132963"/>
    <w:rsid w:val="455970FD"/>
    <w:rsid w:val="45AA691F"/>
    <w:rsid w:val="45B87217"/>
    <w:rsid w:val="45DA43EA"/>
    <w:rsid w:val="460322AD"/>
    <w:rsid w:val="460E5C70"/>
    <w:rsid w:val="47036F6C"/>
    <w:rsid w:val="47605F87"/>
    <w:rsid w:val="477830D2"/>
    <w:rsid w:val="47F73C35"/>
    <w:rsid w:val="48391728"/>
    <w:rsid w:val="4864773D"/>
    <w:rsid w:val="486D17CE"/>
    <w:rsid w:val="4872481A"/>
    <w:rsid w:val="48FB14E2"/>
    <w:rsid w:val="49796E27"/>
    <w:rsid w:val="49C40DF6"/>
    <w:rsid w:val="4A2D0812"/>
    <w:rsid w:val="4A44435A"/>
    <w:rsid w:val="4A6D24FF"/>
    <w:rsid w:val="4B923520"/>
    <w:rsid w:val="4BE05207"/>
    <w:rsid w:val="4C8706B6"/>
    <w:rsid w:val="4CA95CA7"/>
    <w:rsid w:val="4CEB2F56"/>
    <w:rsid w:val="4CF16D8A"/>
    <w:rsid w:val="4D25409B"/>
    <w:rsid w:val="4D2729A1"/>
    <w:rsid w:val="4D896328"/>
    <w:rsid w:val="4E23511E"/>
    <w:rsid w:val="4E570C2E"/>
    <w:rsid w:val="4E691682"/>
    <w:rsid w:val="4E6F3FFF"/>
    <w:rsid w:val="4EFE4EC4"/>
    <w:rsid w:val="4F411E86"/>
    <w:rsid w:val="4F5C4B3F"/>
    <w:rsid w:val="4FD1347A"/>
    <w:rsid w:val="500E6070"/>
    <w:rsid w:val="504317A7"/>
    <w:rsid w:val="50A908CA"/>
    <w:rsid w:val="51165575"/>
    <w:rsid w:val="514A5ED5"/>
    <w:rsid w:val="51E45484"/>
    <w:rsid w:val="52127757"/>
    <w:rsid w:val="53BE0B3F"/>
    <w:rsid w:val="541D7038"/>
    <w:rsid w:val="544717E3"/>
    <w:rsid w:val="5451299D"/>
    <w:rsid w:val="546A6786"/>
    <w:rsid w:val="54961BE7"/>
    <w:rsid w:val="555722B0"/>
    <w:rsid w:val="559823B8"/>
    <w:rsid w:val="55AE23A0"/>
    <w:rsid w:val="55E111FB"/>
    <w:rsid w:val="55E90A4C"/>
    <w:rsid w:val="565C3D2E"/>
    <w:rsid w:val="56665AA9"/>
    <w:rsid w:val="56676289"/>
    <w:rsid w:val="56A32CC7"/>
    <w:rsid w:val="573864B2"/>
    <w:rsid w:val="579656BA"/>
    <w:rsid w:val="58A84444"/>
    <w:rsid w:val="59402FF7"/>
    <w:rsid w:val="594A5481"/>
    <w:rsid w:val="5A551D6A"/>
    <w:rsid w:val="5ADA4BD5"/>
    <w:rsid w:val="5ADE34F4"/>
    <w:rsid w:val="5B8F6B0D"/>
    <w:rsid w:val="5D324280"/>
    <w:rsid w:val="5D4A409E"/>
    <w:rsid w:val="5D5C7799"/>
    <w:rsid w:val="5DA35A9A"/>
    <w:rsid w:val="5DA5352D"/>
    <w:rsid w:val="5E1D4098"/>
    <w:rsid w:val="5E5A12C4"/>
    <w:rsid w:val="5E88036F"/>
    <w:rsid w:val="5EBA127A"/>
    <w:rsid w:val="5EC823E0"/>
    <w:rsid w:val="5F2D0585"/>
    <w:rsid w:val="5FAD16ED"/>
    <w:rsid w:val="5FF74129"/>
    <w:rsid w:val="609345D7"/>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123C69"/>
    <w:rsid w:val="654736FD"/>
    <w:rsid w:val="665B21E1"/>
    <w:rsid w:val="667D7C35"/>
    <w:rsid w:val="66B137E9"/>
    <w:rsid w:val="66D519C9"/>
    <w:rsid w:val="671A157E"/>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EFE5FB8"/>
    <w:rsid w:val="6F3B57C8"/>
    <w:rsid w:val="6F450411"/>
    <w:rsid w:val="6F9B3A2C"/>
    <w:rsid w:val="6FC43A72"/>
    <w:rsid w:val="6FFE7454"/>
    <w:rsid w:val="70597661"/>
    <w:rsid w:val="70F76A59"/>
    <w:rsid w:val="7192467D"/>
    <w:rsid w:val="719E3960"/>
    <w:rsid w:val="71A0304F"/>
    <w:rsid w:val="72315B37"/>
    <w:rsid w:val="72AF27EE"/>
    <w:rsid w:val="72B33E38"/>
    <w:rsid w:val="72D17DE3"/>
    <w:rsid w:val="72DE19D9"/>
    <w:rsid w:val="731F65D2"/>
    <w:rsid w:val="733F7034"/>
    <w:rsid w:val="73C90996"/>
    <w:rsid w:val="73DB551B"/>
    <w:rsid w:val="74193A43"/>
    <w:rsid w:val="74213957"/>
    <w:rsid w:val="745F66ED"/>
    <w:rsid w:val="74857FF0"/>
    <w:rsid w:val="748D53A3"/>
    <w:rsid w:val="74996878"/>
    <w:rsid w:val="74A40D07"/>
    <w:rsid w:val="74B07D3F"/>
    <w:rsid w:val="74E90345"/>
    <w:rsid w:val="74FD1133"/>
    <w:rsid w:val="756532D7"/>
    <w:rsid w:val="757872FF"/>
    <w:rsid w:val="75B7322A"/>
    <w:rsid w:val="75EB695D"/>
    <w:rsid w:val="765F7C55"/>
    <w:rsid w:val="76604D1E"/>
    <w:rsid w:val="76E6019F"/>
    <w:rsid w:val="772752EC"/>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BF82F65"/>
    <w:rsid w:val="7C1C2800"/>
    <w:rsid w:val="7C8F2142"/>
    <w:rsid w:val="7C9F4D22"/>
    <w:rsid w:val="7CBD2781"/>
    <w:rsid w:val="7CFA0A36"/>
    <w:rsid w:val="7CFF77E6"/>
    <w:rsid w:val="7D02404E"/>
    <w:rsid w:val="7D4167BE"/>
    <w:rsid w:val="7D910386"/>
    <w:rsid w:val="7DB027D0"/>
    <w:rsid w:val="7FA33380"/>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0"/>
    <w:qFormat/>
    <w:uiPriority w:val="9"/>
    <w:pPr>
      <w:keepNext/>
      <w:keepLines/>
      <w:spacing w:before="340" w:after="330" w:line="576" w:lineRule="auto"/>
      <w:outlineLvl w:val="0"/>
    </w:pPr>
    <w:rPr>
      <w:b/>
      <w:kern w:val="44"/>
      <w:sz w:val="44"/>
      <w:szCs w:val="20"/>
    </w:rPr>
  </w:style>
  <w:style w:type="paragraph" w:styleId="5">
    <w:name w:val="heading 2"/>
    <w:basedOn w:val="1"/>
    <w:next w:val="1"/>
    <w:link w:val="75"/>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7"/>
    <w:qFormat/>
    <w:uiPriority w:val="0"/>
    <w:pPr>
      <w:keepNext/>
      <w:keepLines/>
      <w:spacing w:before="260" w:after="260" w:line="415" w:lineRule="auto"/>
      <w:outlineLvl w:val="2"/>
    </w:pPr>
    <w:rPr>
      <w:b/>
      <w:sz w:val="32"/>
      <w:szCs w:val="20"/>
    </w:rPr>
  </w:style>
  <w:style w:type="paragraph" w:styleId="7">
    <w:name w:val="heading 4"/>
    <w:basedOn w:val="1"/>
    <w:next w:val="1"/>
    <w:link w:val="53"/>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8"/>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1"/>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4"/>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2">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link w:val="64"/>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6"/>
    <w:qFormat/>
    <w:uiPriority w:val="0"/>
    <w:rPr>
      <w:b/>
      <w:bCs/>
    </w:rPr>
  </w:style>
  <w:style w:type="paragraph" w:styleId="14">
    <w:name w:val="annotation text"/>
    <w:basedOn w:val="1"/>
    <w:link w:val="59"/>
    <w:qFormat/>
    <w:uiPriority w:val="0"/>
    <w:pPr>
      <w:jc w:val="left"/>
    </w:pPr>
  </w:style>
  <w:style w:type="paragraph" w:styleId="15">
    <w:name w:val="Body Text First Indent"/>
    <w:basedOn w:val="3"/>
    <w:link w:val="52"/>
    <w:qFormat/>
    <w:uiPriority w:val="0"/>
    <w:pPr>
      <w:ind w:firstLine="420" w:firstLineChars="100"/>
    </w:pPr>
  </w:style>
  <w:style w:type="paragraph" w:styleId="16">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7">
    <w:name w:val="Document Map"/>
    <w:basedOn w:val="1"/>
    <w:link w:val="68"/>
    <w:qFormat/>
    <w:uiPriority w:val="0"/>
    <w:rPr>
      <w:rFonts w:ascii="宋体"/>
      <w:kern w:val="0"/>
      <w:sz w:val="18"/>
      <w:szCs w:val="18"/>
    </w:rPr>
  </w:style>
  <w:style w:type="paragraph" w:styleId="18">
    <w:name w:val="Body Text 3"/>
    <w:basedOn w:val="1"/>
    <w:link w:val="48"/>
    <w:qFormat/>
    <w:uiPriority w:val="0"/>
    <w:pPr>
      <w:spacing w:after="120"/>
    </w:pPr>
    <w:rPr>
      <w:sz w:val="16"/>
      <w:szCs w:val="20"/>
    </w:rPr>
  </w:style>
  <w:style w:type="paragraph" w:styleId="19">
    <w:name w:val="Body Text Indent"/>
    <w:basedOn w:val="1"/>
    <w:link w:val="73"/>
    <w:qFormat/>
    <w:uiPriority w:val="0"/>
    <w:pPr>
      <w:spacing w:line="360" w:lineRule="auto"/>
      <w:ind w:firstLine="480" w:firstLineChars="200"/>
    </w:pPr>
    <w:rPr>
      <w:rFonts w:ascii="宋体"/>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4"/>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1"/>
    <w:qFormat/>
    <w:uiPriority w:val="0"/>
    <w:rPr>
      <w:sz w:val="24"/>
      <w:szCs w:val="20"/>
    </w:rPr>
  </w:style>
  <w:style w:type="paragraph" w:styleId="23">
    <w:name w:val="Body Text Indent 2"/>
    <w:basedOn w:val="1"/>
    <w:link w:val="86"/>
    <w:qFormat/>
    <w:uiPriority w:val="0"/>
    <w:pPr>
      <w:spacing w:after="120" w:line="480" w:lineRule="auto"/>
      <w:ind w:left="420" w:leftChars="200"/>
    </w:pPr>
    <w:rPr>
      <w:szCs w:val="20"/>
    </w:rPr>
  </w:style>
  <w:style w:type="paragraph" w:styleId="24">
    <w:name w:val="Balloon Text"/>
    <w:basedOn w:val="1"/>
    <w:link w:val="49"/>
    <w:qFormat/>
    <w:uiPriority w:val="0"/>
    <w:rPr>
      <w:kern w:val="0"/>
      <w:sz w:val="18"/>
      <w:szCs w:val="18"/>
    </w:rPr>
  </w:style>
  <w:style w:type="paragraph" w:styleId="25">
    <w:name w:val="footer"/>
    <w:basedOn w:val="1"/>
    <w:link w:val="85"/>
    <w:qFormat/>
    <w:uiPriority w:val="0"/>
    <w:pPr>
      <w:tabs>
        <w:tab w:val="center" w:pos="4153"/>
        <w:tab w:val="right" w:pos="8306"/>
      </w:tabs>
      <w:snapToGrid w:val="0"/>
      <w:jc w:val="left"/>
    </w:pPr>
    <w:rPr>
      <w:kern w:val="0"/>
      <w:sz w:val="18"/>
      <w:szCs w:val="18"/>
    </w:rPr>
  </w:style>
  <w:style w:type="paragraph" w:styleId="26">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5"/>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2"/>
    <w:qFormat/>
    <w:uiPriority w:val="0"/>
    <w:pPr>
      <w:adjustRightInd w:val="0"/>
      <w:spacing w:after="120" w:line="480" w:lineRule="auto"/>
      <w:jc w:val="left"/>
      <w:textAlignment w:val="baseline"/>
    </w:pPr>
    <w:rPr>
      <w:kern w:val="0"/>
      <w:sz w:val="24"/>
      <w:szCs w:val="20"/>
    </w:r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444444"/>
      <w:u w:val="none"/>
    </w:rPr>
  </w:style>
  <w:style w:type="character" w:styleId="36">
    <w:name w:val="Emphasis"/>
    <w:qFormat/>
    <w:uiPriority w:val="0"/>
  </w:style>
  <w:style w:type="character" w:styleId="37">
    <w:name w:val="Hyperlink"/>
    <w:qFormat/>
    <w:uiPriority w:val="0"/>
    <w:rPr>
      <w:color w:val="444444"/>
      <w:u w:val="none"/>
    </w:rPr>
  </w:style>
  <w:style w:type="character" w:styleId="38">
    <w:name w:val="annotation reference"/>
    <w:qFormat/>
    <w:uiPriority w:val="0"/>
    <w:rPr>
      <w:sz w:val="21"/>
      <w:szCs w:val="21"/>
    </w:rPr>
  </w:style>
  <w:style w:type="table" w:styleId="40">
    <w:name w:val="Table Grid"/>
    <w:basedOn w:val="3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1">
    <w:name w:val="标题 7 Char"/>
    <w:link w:val="10"/>
    <w:qFormat/>
    <w:uiPriority w:val="0"/>
    <w:rPr>
      <w:rFonts w:ascii="Times New Roman" w:hAnsi="Times New Roman"/>
      <w:b/>
      <w:bCs/>
      <w:sz w:val="24"/>
      <w:szCs w:val="24"/>
    </w:rPr>
  </w:style>
  <w:style w:type="character" w:customStyle="1" w:styleId="42">
    <w:name w:val="正文文本 2 Char"/>
    <w:link w:val="29"/>
    <w:qFormat/>
    <w:uiPriority w:val="0"/>
    <w:rPr>
      <w:rFonts w:ascii="Times New Roman" w:hAnsi="Times New Roman"/>
      <w:sz w:val="24"/>
    </w:rPr>
  </w:style>
  <w:style w:type="character" w:customStyle="1" w:styleId="43">
    <w:name w:val="标题 9 Char"/>
    <w:link w:val="12"/>
    <w:qFormat/>
    <w:uiPriority w:val="0"/>
    <w:rPr>
      <w:rFonts w:ascii="Arial" w:hAnsi="Arial" w:eastAsia="黑体"/>
      <w:sz w:val="21"/>
      <w:szCs w:val="21"/>
    </w:rPr>
  </w:style>
  <w:style w:type="character" w:customStyle="1" w:styleId="44">
    <w:name w:val="red1"/>
    <w:qFormat/>
    <w:uiPriority w:val="0"/>
    <w:rPr>
      <w:color w:val="FF0000"/>
      <w:sz w:val="18"/>
      <w:szCs w:val="18"/>
    </w:rPr>
  </w:style>
  <w:style w:type="character" w:customStyle="1" w:styleId="45">
    <w:name w:val="正文文本缩进 3 Char"/>
    <w:link w:val="28"/>
    <w:qFormat/>
    <w:uiPriority w:val="0"/>
    <w:rPr>
      <w:rFonts w:ascii="Times New Roman" w:hAnsi="Times New Roman"/>
      <w:sz w:val="16"/>
      <w:szCs w:val="16"/>
    </w:rPr>
  </w:style>
  <w:style w:type="character" w:customStyle="1" w:styleId="46">
    <w:name w:val="hover25"/>
    <w:basedOn w:val="32"/>
    <w:qFormat/>
    <w:uiPriority w:val="0"/>
  </w:style>
  <w:style w:type="character" w:customStyle="1" w:styleId="47">
    <w:name w:val="页码1"/>
    <w:basedOn w:val="32"/>
    <w:qFormat/>
    <w:uiPriority w:val="0"/>
  </w:style>
  <w:style w:type="character" w:customStyle="1" w:styleId="48">
    <w:name w:val="正文文本 3 Char"/>
    <w:link w:val="18"/>
    <w:qFormat/>
    <w:uiPriority w:val="0"/>
    <w:rPr>
      <w:rFonts w:ascii="Times New Roman" w:hAnsi="Times New Roman"/>
      <w:kern w:val="2"/>
      <w:sz w:val="16"/>
    </w:rPr>
  </w:style>
  <w:style w:type="character" w:customStyle="1" w:styleId="49">
    <w:name w:val="批注框文本 Char"/>
    <w:link w:val="24"/>
    <w:qFormat/>
    <w:uiPriority w:val="0"/>
    <w:rPr>
      <w:sz w:val="18"/>
      <w:szCs w:val="18"/>
    </w:rPr>
  </w:style>
  <w:style w:type="character" w:customStyle="1" w:styleId="50">
    <w:name w:val="green1"/>
    <w:qFormat/>
    <w:uiPriority w:val="0"/>
    <w:rPr>
      <w:color w:val="66AE00"/>
      <w:sz w:val="18"/>
      <w:szCs w:val="18"/>
    </w:rPr>
  </w:style>
  <w:style w:type="character" w:customStyle="1" w:styleId="51">
    <w:name w:val="right"/>
    <w:qFormat/>
    <w:uiPriority w:val="0"/>
    <w:rPr>
      <w:color w:val="999999"/>
      <w:sz w:val="18"/>
      <w:szCs w:val="18"/>
    </w:rPr>
  </w:style>
  <w:style w:type="character" w:customStyle="1" w:styleId="52">
    <w:name w:val="正文首行缩进 Char"/>
    <w:link w:val="15"/>
    <w:qFormat/>
    <w:uiPriority w:val="0"/>
    <w:rPr>
      <w:sz w:val="24"/>
    </w:rPr>
  </w:style>
  <w:style w:type="character" w:customStyle="1" w:styleId="53">
    <w:name w:val="标题 4 Char"/>
    <w:link w:val="7"/>
    <w:qFormat/>
    <w:uiPriority w:val="0"/>
    <w:rPr>
      <w:rFonts w:ascii="Arial" w:hAnsi="Arial" w:eastAsia="黑体"/>
      <w:b/>
      <w:bCs/>
      <w:sz w:val="28"/>
      <w:szCs w:val="28"/>
    </w:rPr>
  </w:style>
  <w:style w:type="character" w:customStyle="1" w:styleId="54">
    <w:name w:val="纯文本 Char"/>
    <w:link w:val="21"/>
    <w:qFormat/>
    <w:uiPriority w:val="0"/>
    <w:rPr>
      <w:rFonts w:ascii="宋体" w:hAnsi="Courier New" w:cs="Courier New"/>
      <w:sz w:val="21"/>
      <w:szCs w:val="21"/>
    </w:rPr>
  </w:style>
  <w:style w:type="character" w:customStyle="1" w:styleId="55">
    <w:name w:val="green"/>
    <w:qFormat/>
    <w:uiPriority w:val="0"/>
    <w:rPr>
      <w:color w:val="66AE00"/>
      <w:sz w:val="18"/>
      <w:szCs w:val="18"/>
    </w:rPr>
  </w:style>
  <w:style w:type="character" w:customStyle="1" w:styleId="56">
    <w:name w:val="批注主题 Char"/>
    <w:link w:val="13"/>
    <w:qFormat/>
    <w:uiPriority w:val="0"/>
    <w:rPr>
      <w:b/>
      <w:bCs/>
      <w:kern w:val="2"/>
      <w:sz w:val="21"/>
      <w:szCs w:val="22"/>
    </w:rPr>
  </w:style>
  <w:style w:type="character" w:customStyle="1" w:styleId="57">
    <w:name w:val="标题 3 Char"/>
    <w:link w:val="6"/>
    <w:qFormat/>
    <w:uiPriority w:val="0"/>
    <w:rPr>
      <w:rFonts w:ascii="Times New Roman" w:hAnsi="Times New Roman"/>
      <w:b/>
      <w:kern w:val="2"/>
      <w:sz w:val="32"/>
    </w:rPr>
  </w:style>
  <w:style w:type="character" w:customStyle="1" w:styleId="58">
    <w:name w:val="标题 5 Char"/>
    <w:link w:val="8"/>
    <w:qFormat/>
    <w:uiPriority w:val="0"/>
    <w:rPr>
      <w:rFonts w:ascii="Times New Roman" w:hAnsi="Times New Roman"/>
      <w:b/>
      <w:bCs/>
      <w:sz w:val="28"/>
      <w:szCs w:val="28"/>
    </w:rPr>
  </w:style>
  <w:style w:type="character" w:customStyle="1" w:styleId="59">
    <w:name w:val="批注文字 Char"/>
    <w:link w:val="14"/>
    <w:qFormat/>
    <w:uiPriority w:val="0"/>
    <w:rPr>
      <w:kern w:val="2"/>
      <w:sz w:val="21"/>
      <w:szCs w:val="22"/>
    </w:rPr>
  </w:style>
  <w:style w:type="character" w:customStyle="1" w:styleId="60">
    <w:name w:val="标题 1 Char"/>
    <w:link w:val="4"/>
    <w:qFormat/>
    <w:uiPriority w:val="9"/>
    <w:rPr>
      <w:rFonts w:ascii="Times New Roman" w:hAnsi="Times New Roman"/>
      <w:b/>
      <w:kern w:val="44"/>
      <w:sz w:val="44"/>
    </w:rPr>
  </w:style>
  <w:style w:type="character" w:customStyle="1" w:styleId="61">
    <w:name w:val="日期 Char"/>
    <w:link w:val="22"/>
    <w:qFormat/>
    <w:uiPriority w:val="0"/>
    <w:rPr>
      <w:rFonts w:ascii="Times New Roman" w:hAnsi="Times New Roman"/>
      <w:kern w:val="2"/>
      <w:sz w:val="24"/>
    </w:rPr>
  </w:style>
  <w:style w:type="character" w:customStyle="1" w:styleId="62">
    <w:name w:val="lw_collapsiblearea_title1"/>
    <w:qFormat/>
    <w:uiPriority w:val="0"/>
    <w:rPr>
      <w:rFonts w:hint="default" w:ascii="Segoe UI" w:hAnsi="Segoe UI" w:cs="Segoe UI"/>
      <w:b/>
      <w:bCs/>
      <w:color w:val="3F529C"/>
      <w:sz w:val="37"/>
      <w:szCs w:val="37"/>
    </w:rPr>
  </w:style>
  <w:style w:type="character" w:customStyle="1" w:styleId="63">
    <w:name w:val="red2"/>
    <w:qFormat/>
    <w:uiPriority w:val="0"/>
    <w:rPr>
      <w:color w:val="FF0000"/>
      <w:sz w:val="18"/>
      <w:szCs w:val="18"/>
    </w:rPr>
  </w:style>
  <w:style w:type="character" w:customStyle="1" w:styleId="64">
    <w:name w:val="正文文本 Char"/>
    <w:link w:val="3"/>
    <w:qFormat/>
    <w:uiPriority w:val="0"/>
    <w:rPr>
      <w:rFonts w:ascii="Times New Roman" w:hAnsi="Times New Roman"/>
      <w:sz w:val="24"/>
    </w:rPr>
  </w:style>
  <w:style w:type="character" w:customStyle="1" w:styleId="65">
    <w:name w:val="parameter"/>
    <w:basedOn w:val="32"/>
    <w:qFormat/>
    <w:uiPriority w:val="0"/>
  </w:style>
  <w:style w:type="character" w:customStyle="1" w:styleId="66">
    <w:name w:val="input"/>
    <w:qFormat/>
    <w:uiPriority w:val="0"/>
    <w:rPr>
      <w:b/>
      <w:bCs/>
    </w:rPr>
  </w:style>
  <w:style w:type="character" w:customStyle="1" w:styleId="67">
    <w:name w:val="label"/>
    <w:qFormat/>
    <w:uiPriority w:val="0"/>
    <w:rPr>
      <w:b/>
      <w:bCs/>
    </w:rPr>
  </w:style>
  <w:style w:type="character" w:customStyle="1" w:styleId="68">
    <w:name w:val="文档结构图 Char"/>
    <w:link w:val="17"/>
    <w:qFormat/>
    <w:uiPriority w:val="0"/>
    <w:rPr>
      <w:rFonts w:ascii="宋体" w:eastAsia="宋体"/>
      <w:sz w:val="18"/>
      <w:szCs w:val="18"/>
    </w:rPr>
  </w:style>
  <w:style w:type="character" w:customStyle="1" w:styleId="69">
    <w:name w:val="form-textarea-print1"/>
    <w:qFormat/>
    <w:uiPriority w:val="0"/>
    <w:rPr>
      <w:sz w:val="18"/>
      <w:szCs w:val="18"/>
    </w:rPr>
  </w:style>
  <w:style w:type="character" w:customStyle="1" w:styleId="70">
    <w:name w:val="red"/>
    <w:qFormat/>
    <w:uiPriority w:val="0"/>
    <w:rPr>
      <w:color w:val="FF0000"/>
    </w:rPr>
  </w:style>
  <w:style w:type="character" w:customStyle="1" w:styleId="71">
    <w:name w:val="标题 6 Char"/>
    <w:link w:val="9"/>
    <w:qFormat/>
    <w:uiPriority w:val="0"/>
    <w:rPr>
      <w:rFonts w:ascii="Arial" w:hAnsi="Arial" w:eastAsia="黑体"/>
      <w:b/>
      <w:bCs/>
      <w:sz w:val="24"/>
      <w:szCs w:val="24"/>
    </w:rPr>
  </w:style>
  <w:style w:type="character" w:customStyle="1" w:styleId="72">
    <w:name w:val="页眉 Char"/>
    <w:link w:val="26"/>
    <w:qFormat/>
    <w:uiPriority w:val="0"/>
    <w:rPr>
      <w:sz w:val="18"/>
      <w:szCs w:val="18"/>
    </w:rPr>
  </w:style>
  <w:style w:type="character" w:customStyle="1" w:styleId="73">
    <w:name w:val="正文文本缩进 Char"/>
    <w:link w:val="19"/>
    <w:qFormat/>
    <w:uiPriority w:val="0"/>
    <w:rPr>
      <w:rFonts w:ascii="宋体" w:hAnsi="Times New Roman"/>
      <w:kern w:val="2"/>
      <w:sz w:val="24"/>
    </w:rPr>
  </w:style>
  <w:style w:type="character" w:customStyle="1" w:styleId="74">
    <w:name w:val="tgtsentence"/>
    <w:basedOn w:val="32"/>
    <w:qFormat/>
    <w:uiPriority w:val="0"/>
  </w:style>
  <w:style w:type="character" w:customStyle="1" w:styleId="75">
    <w:name w:val="标题 2 Char"/>
    <w:link w:val="5"/>
    <w:qFormat/>
    <w:uiPriority w:val="9"/>
    <w:rPr>
      <w:rFonts w:ascii="Arial" w:hAnsi="Arial" w:eastAsia="黑体"/>
      <w:b/>
      <w:bCs/>
      <w:sz w:val="32"/>
      <w:szCs w:val="32"/>
    </w:rPr>
  </w:style>
  <w:style w:type="character" w:customStyle="1" w:styleId="76">
    <w:name w:val="font81"/>
    <w:basedOn w:val="32"/>
    <w:qFormat/>
    <w:uiPriority w:val="0"/>
    <w:rPr>
      <w:rFonts w:hint="eastAsia" w:ascii="宋体" w:hAnsi="宋体" w:eastAsia="宋体" w:cs="宋体"/>
      <w:color w:val="000000"/>
      <w:sz w:val="18"/>
      <w:szCs w:val="18"/>
      <w:u w:val="none"/>
    </w:rPr>
  </w:style>
  <w:style w:type="character" w:customStyle="1" w:styleId="77">
    <w:name w:val="列出段落 Char"/>
    <w:link w:val="78"/>
    <w:qFormat/>
    <w:uiPriority w:val="0"/>
    <w:rPr>
      <w:bCs/>
      <w:kern w:val="2"/>
      <w:sz w:val="21"/>
    </w:rPr>
  </w:style>
  <w:style w:type="paragraph" w:customStyle="1" w:styleId="78">
    <w:name w:val="列出段落1"/>
    <w:basedOn w:val="1"/>
    <w:link w:val="77"/>
    <w:qFormat/>
    <w:uiPriority w:val="0"/>
    <w:pPr>
      <w:ind w:firstLine="420" w:firstLineChars="200"/>
    </w:pPr>
    <w:rPr>
      <w:bCs/>
      <w:szCs w:val="20"/>
    </w:rPr>
  </w:style>
  <w:style w:type="character" w:customStyle="1" w:styleId="79">
    <w:name w:val="gb-jt"/>
    <w:basedOn w:val="32"/>
    <w:qFormat/>
    <w:uiPriority w:val="0"/>
  </w:style>
  <w:style w:type="character" w:customStyle="1" w:styleId="80">
    <w:name w:val="blue"/>
    <w:qFormat/>
    <w:uiPriority w:val="0"/>
    <w:rPr>
      <w:color w:val="0371C6"/>
      <w:sz w:val="21"/>
      <w:szCs w:val="21"/>
    </w:rPr>
  </w:style>
  <w:style w:type="character" w:customStyle="1" w:styleId="81">
    <w:name w:val="hover"/>
    <w:basedOn w:val="32"/>
    <w:qFormat/>
    <w:uiPriority w:val="0"/>
  </w:style>
  <w:style w:type="character" w:customStyle="1" w:styleId="82">
    <w:name w:val="font11"/>
    <w:basedOn w:val="32"/>
    <w:qFormat/>
    <w:uiPriority w:val="0"/>
    <w:rPr>
      <w:rFonts w:hint="eastAsia" w:ascii="宋体" w:hAnsi="宋体" w:eastAsia="宋体" w:cs="宋体"/>
      <w:color w:val="000000"/>
      <w:sz w:val="21"/>
      <w:szCs w:val="21"/>
      <w:u w:val="none"/>
    </w:rPr>
  </w:style>
  <w:style w:type="character" w:customStyle="1" w:styleId="83">
    <w:name w:val="font91"/>
    <w:basedOn w:val="32"/>
    <w:qFormat/>
    <w:uiPriority w:val="0"/>
    <w:rPr>
      <w:rFonts w:hint="eastAsia" w:ascii="宋体" w:hAnsi="宋体" w:eastAsia="宋体" w:cs="宋体"/>
      <w:color w:val="000000"/>
      <w:sz w:val="18"/>
      <w:szCs w:val="18"/>
      <w:u w:val="none"/>
      <w:vertAlign w:val="superscript"/>
    </w:rPr>
  </w:style>
  <w:style w:type="character" w:customStyle="1" w:styleId="84">
    <w:name w:val="标题 8 Char"/>
    <w:link w:val="11"/>
    <w:qFormat/>
    <w:uiPriority w:val="0"/>
    <w:rPr>
      <w:rFonts w:ascii="Arial" w:hAnsi="Arial" w:eastAsia="黑体"/>
      <w:sz w:val="24"/>
      <w:szCs w:val="24"/>
    </w:rPr>
  </w:style>
  <w:style w:type="character" w:customStyle="1" w:styleId="85">
    <w:name w:val="页脚 Char"/>
    <w:link w:val="25"/>
    <w:qFormat/>
    <w:uiPriority w:val="0"/>
    <w:rPr>
      <w:sz w:val="18"/>
      <w:szCs w:val="18"/>
    </w:rPr>
  </w:style>
  <w:style w:type="character" w:customStyle="1" w:styleId="86">
    <w:name w:val="正文文本缩进 2 Char"/>
    <w:link w:val="23"/>
    <w:qFormat/>
    <w:uiPriority w:val="0"/>
    <w:rPr>
      <w:rFonts w:ascii="Times New Roman" w:hAnsi="Times New Roman"/>
      <w:kern w:val="2"/>
      <w:sz w:val="21"/>
    </w:rPr>
  </w:style>
  <w:style w:type="character" w:customStyle="1" w:styleId="87">
    <w:name w:val="Char Char8"/>
    <w:qFormat/>
    <w:uiPriority w:val="0"/>
    <w:rPr>
      <w:rFonts w:ascii="Arial" w:hAnsi="Arial" w:eastAsia="黑体"/>
      <w:b/>
      <w:bCs/>
      <w:kern w:val="2"/>
      <w:sz w:val="32"/>
      <w:szCs w:val="32"/>
      <w:lang w:val="en-US" w:eastAsia="zh-CN" w:bidi="ar-SA"/>
    </w:rPr>
  </w:style>
  <w:style w:type="character" w:customStyle="1" w:styleId="88">
    <w:name w:val="font01"/>
    <w:basedOn w:val="32"/>
    <w:qFormat/>
    <w:uiPriority w:val="0"/>
    <w:rPr>
      <w:rFonts w:hint="eastAsia" w:ascii="宋体" w:hAnsi="宋体" w:eastAsia="宋体" w:cs="宋体"/>
      <w:color w:val="000000"/>
      <w:sz w:val="21"/>
      <w:szCs w:val="21"/>
      <w:u w:val="none"/>
      <w:vertAlign w:val="superscript"/>
    </w:rPr>
  </w:style>
  <w:style w:type="character" w:customStyle="1" w:styleId="89">
    <w:name w:val="code"/>
    <w:basedOn w:val="32"/>
    <w:qFormat/>
    <w:uiPriority w:val="0"/>
  </w:style>
  <w:style w:type="paragraph" w:customStyle="1" w:styleId="90">
    <w:name w:val="样式 标题 2 + 宋体 五号 非加粗 黑色"/>
    <w:basedOn w:val="5"/>
    <w:qFormat/>
    <w:uiPriority w:val="0"/>
    <w:rPr>
      <w:rFonts w:ascii="宋体" w:hAnsi="宋体" w:eastAsia="宋体"/>
      <w:b w:val="0"/>
      <w:bCs w:val="0"/>
      <w:color w:val="000000"/>
      <w:sz w:val="21"/>
    </w:rPr>
  </w:style>
  <w:style w:type="paragraph" w:customStyle="1" w:styleId="91">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2">
    <w:name w:val="样式1"/>
    <w:basedOn w:val="1"/>
    <w:uiPriority w:val="0"/>
    <w:pPr>
      <w:numPr>
        <w:ilvl w:val="0"/>
        <w:numId w:val="1"/>
      </w:numPr>
      <w:adjustRightInd w:val="0"/>
      <w:textAlignment w:val="baseline"/>
    </w:pPr>
    <w:rPr>
      <w:rFonts w:ascii="宋体" w:hAnsi="宋体"/>
      <w:kern w:val="0"/>
      <w:szCs w:val="21"/>
    </w:rPr>
  </w:style>
  <w:style w:type="paragraph" w:customStyle="1" w:styleId="93">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4">
    <w:name w:val="Char Char Char Char"/>
    <w:basedOn w:val="1"/>
    <w:qFormat/>
    <w:uiPriority w:val="0"/>
    <w:rPr>
      <w:rFonts w:ascii="Tahoma" w:hAnsi="Tahoma"/>
      <w:sz w:val="24"/>
      <w:szCs w:val="20"/>
    </w:rPr>
  </w:style>
  <w:style w:type="paragraph" w:customStyle="1" w:styleId="95">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6">
    <w:name w:val="Char1 Char Char Char Char Char Char Char"/>
    <w:basedOn w:val="1"/>
    <w:uiPriority w:val="0"/>
    <w:rPr>
      <w:rFonts w:ascii="Tahoma" w:hAnsi="Tahoma"/>
      <w:sz w:val="24"/>
      <w:szCs w:val="30"/>
    </w:rPr>
  </w:style>
  <w:style w:type="paragraph" w:customStyle="1" w:styleId="97">
    <w:name w:val="PMstyle"/>
    <w:qFormat/>
    <w:uiPriority w:val="0"/>
    <w:rPr>
      <w:rFonts w:ascii="Tahoma" w:hAnsi="Tahoma" w:eastAsia="宋体" w:cs="Times New Roman"/>
      <w:sz w:val="22"/>
      <w:lang w:val="en-US" w:eastAsia="zh-CN" w:bidi="ar-SA"/>
    </w:rPr>
  </w:style>
  <w:style w:type="paragraph" w:customStyle="1" w:styleId="98">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9">
    <w:name w:val="p18"/>
    <w:basedOn w:val="1"/>
    <w:qFormat/>
    <w:uiPriority w:val="0"/>
    <w:pPr>
      <w:widowControl/>
      <w:spacing w:line="440" w:lineRule="atLeast"/>
    </w:pPr>
    <w:rPr>
      <w:rFonts w:ascii="宋体" w:hAnsi="宋体" w:cs="宋体"/>
      <w:kern w:val="0"/>
      <w:sz w:val="24"/>
      <w:szCs w:val="24"/>
    </w:rPr>
  </w:style>
  <w:style w:type="paragraph" w:customStyle="1" w:styleId="100">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1">
    <w:name w:val="Char Char1 Char Char Char Char Char Char"/>
    <w:basedOn w:val="1"/>
    <w:qFormat/>
    <w:uiPriority w:val="0"/>
    <w:pPr>
      <w:widowControl/>
      <w:spacing w:after="160" w:line="240" w:lineRule="exact"/>
      <w:jc w:val="left"/>
    </w:pPr>
    <w:rPr>
      <w:szCs w:val="20"/>
    </w:rPr>
  </w:style>
  <w:style w:type="paragraph" w:customStyle="1" w:styleId="102">
    <w:name w:val="Char Char1 Char Char Char Char Char Char1"/>
    <w:basedOn w:val="1"/>
    <w:uiPriority w:val="0"/>
    <w:pPr>
      <w:widowControl/>
      <w:spacing w:after="160" w:line="240" w:lineRule="exact"/>
      <w:jc w:val="left"/>
    </w:pPr>
  </w:style>
  <w:style w:type="paragraph" w:customStyle="1" w:styleId="103">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4">
    <w:name w:val="标书正文文本"/>
    <w:basedOn w:val="1"/>
    <w:qFormat/>
    <w:uiPriority w:val="0"/>
    <w:pPr>
      <w:spacing w:line="360" w:lineRule="auto"/>
      <w:ind w:firstLine="420"/>
    </w:pPr>
    <w:rPr>
      <w:rFonts w:eastAsia="楷体_GB2312" w:cs="宋体"/>
      <w:bCs/>
      <w:sz w:val="28"/>
      <w:szCs w:val="20"/>
    </w:rPr>
  </w:style>
  <w:style w:type="paragraph" w:customStyle="1" w:styleId="105">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6">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7">
    <w:name w:val="p0"/>
    <w:basedOn w:val="1"/>
    <w:qFormat/>
    <w:uiPriority w:val="0"/>
    <w:pPr>
      <w:widowControl/>
    </w:pPr>
    <w:rPr>
      <w:kern w:val="0"/>
      <w:szCs w:val="21"/>
    </w:rPr>
  </w:style>
  <w:style w:type="paragraph" w:customStyle="1" w:styleId="108">
    <w:name w:val="p16"/>
    <w:basedOn w:val="1"/>
    <w:qFormat/>
    <w:uiPriority w:val="0"/>
    <w:pPr>
      <w:widowControl/>
      <w:spacing w:after="120"/>
      <w:ind w:firstLine="210"/>
      <w:jc w:val="left"/>
    </w:pPr>
    <w:rPr>
      <w:kern w:val="0"/>
      <w:sz w:val="20"/>
      <w:szCs w:val="20"/>
    </w:rPr>
  </w:style>
  <w:style w:type="paragraph" w:customStyle="1" w:styleId="109">
    <w:name w:val="p21"/>
    <w:basedOn w:val="1"/>
    <w:qFormat/>
    <w:uiPriority w:val="0"/>
    <w:pPr>
      <w:widowControl/>
      <w:spacing w:after="120"/>
    </w:pPr>
    <w:rPr>
      <w:kern w:val="0"/>
      <w:szCs w:val="21"/>
    </w:rPr>
  </w:style>
  <w:style w:type="paragraph" w:customStyle="1" w:styleId="110">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1">
    <w:name w:val="样式 样式 标题 2 + 宋体 五号 非加粗 黑色 + 段前: 6 磅 段后: 0 磅 行距: 单倍行距"/>
    <w:basedOn w:val="90"/>
    <w:qFormat/>
    <w:uiPriority w:val="0"/>
  </w:style>
  <w:style w:type="paragraph" w:customStyle="1" w:styleId="11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3">
    <w:name w:val="p19"/>
    <w:basedOn w:val="1"/>
    <w:qFormat/>
    <w:uiPriority w:val="0"/>
    <w:pPr>
      <w:widowControl/>
    </w:pPr>
    <w:rPr>
      <w:rFonts w:ascii="宋体" w:hAnsi="宋体" w:cs="宋体"/>
      <w:kern w:val="0"/>
      <w:szCs w:val="21"/>
    </w:rPr>
  </w:style>
  <w:style w:type="paragraph" w:customStyle="1" w:styleId="114">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5">
    <w:name w:val="Char1"/>
    <w:basedOn w:val="1"/>
    <w:qFormat/>
    <w:uiPriority w:val="0"/>
    <w:pPr>
      <w:adjustRightInd w:val="0"/>
      <w:spacing w:line="600" w:lineRule="exact"/>
      <w:ind w:firstLine="560" w:firstLineChars="200"/>
      <w:jc w:val="center"/>
    </w:pPr>
    <w:rPr>
      <w:szCs w:val="24"/>
    </w:rPr>
  </w:style>
  <w:style w:type="paragraph" w:customStyle="1" w:styleId="116">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28330</Words>
  <Characters>2997</Characters>
  <Lines>24</Lines>
  <Paragraphs>62</Paragraphs>
  <TotalTime>43</TotalTime>
  <ScaleCrop>false</ScaleCrop>
  <LinksUpToDate>false</LinksUpToDate>
  <CharactersWithSpaces>31265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永明项目管理有限公司:永明项目管理有限公司</cp:lastModifiedBy>
  <cp:lastPrinted>2019-01-02T10:05:00Z</cp:lastPrinted>
  <dcterms:modified xsi:type="dcterms:W3CDTF">2019-01-22T02:56:36Z</dcterms:modified>
  <dc:title>许昌市市直政府采购项目</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