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“许开路大货车禁行、芙蓉广场环保监测站点聘用保安管控项目”</w:t>
      </w:r>
      <w:r>
        <w:rPr>
          <w:rFonts w:asciiTheme="majorEastAsia" w:hAnsiTheme="majorEastAsia" w:eastAsiaTheme="majorEastAsia" w:cstheme="majorEastAsia"/>
          <w:b/>
          <w:bCs/>
          <w:sz w:val="44"/>
          <w:szCs w:val="44"/>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项目编号：JZFCG-G2018131-1号</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许昌市城乡一体化示范区建设环保局</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二〇一九年一月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3"/>
          <w:rFonts w:hint="eastAsia" w:ascii="宋体" w:hAnsi="宋体" w:eastAsia="宋体"/>
          <w:kern w:val="0"/>
          <w:sz w:val="28"/>
          <w:szCs w:val="28"/>
        </w:rPr>
        <w:t>第一章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3"/>
          <w:rFonts w:hint="eastAsia" w:ascii="宋体" w:hAnsi="宋体" w:eastAsia="宋体"/>
          <w:kern w:val="0"/>
          <w:sz w:val="28"/>
          <w:szCs w:val="28"/>
        </w:rPr>
        <w:t>第二章</w:t>
      </w:r>
      <w:r>
        <w:rPr>
          <w:rStyle w:val="33"/>
          <w:rFonts w:ascii="宋体" w:hAnsi="宋体" w:eastAsia="宋体"/>
          <w:kern w:val="0"/>
          <w:sz w:val="28"/>
          <w:szCs w:val="28"/>
        </w:rPr>
        <w:t xml:space="preserve"> </w:t>
      </w:r>
      <w:r>
        <w:rPr>
          <w:rStyle w:val="33"/>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7</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3"/>
          <w:rFonts w:hint="eastAsia" w:ascii="宋体" w:hAnsi="宋体" w:eastAsia="宋体"/>
          <w:kern w:val="0"/>
          <w:sz w:val="28"/>
          <w:szCs w:val="28"/>
        </w:rPr>
        <w:t>第三章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3"/>
          <w:rFonts w:hint="eastAsia" w:ascii="宋体" w:hAnsi="宋体" w:eastAsia="宋体"/>
          <w:kern w:val="0"/>
          <w:sz w:val="28"/>
          <w:szCs w:val="28"/>
        </w:rPr>
        <w:t>第四章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3"/>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3"/>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3"/>
          <w:rFonts w:hint="eastAsia" w:ascii="宋体" w:hAnsi="宋体" w:eastAsia="宋体"/>
          <w:sz w:val="28"/>
          <w:szCs w:val="28"/>
        </w:rPr>
        <w:t>三、投标文件的编制</w:t>
      </w:r>
      <w:r>
        <w:rPr>
          <w:rFonts w:ascii="宋体" w:hAnsi="宋体" w:eastAsia="宋体"/>
          <w:sz w:val="28"/>
          <w:szCs w:val="28"/>
        </w:rPr>
        <w:tab/>
      </w:r>
      <w:r>
        <w:rPr>
          <w:rFonts w:hint="eastAsia" w:ascii="宋体" w:hAnsi="宋体" w:eastAsia="宋体"/>
          <w:sz w:val="28"/>
          <w:szCs w:val="28"/>
        </w:rPr>
        <w:t>29</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3"/>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3"/>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3"/>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3"/>
          <w:rFonts w:hint="eastAsia" w:ascii="宋体" w:hAnsi="宋体" w:eastAsia="宋体"/>
          <w:kern w:val="0"/>
          <w:sz w:val="28"/>
          <w:szCs w:val="28"/>
        </w:rPr>
        <w:t>第五章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3"/>
          <w:rFonts w:hint="eastAsia" w:ascii="宋体" w:hAnsi="宋体" w:eastAsia="宋体"/>
          <w:kern w:val="0"/>
          <w:sz w:val="28"/>
          <w:szCs w:val="28"/>
        </w:rPr>
        <w:t>第六章</w:t>
      </w:r>
      <w:r>
        <w:rPr>
          <w:rStyle w:val="33"/>
          <w:rFonts w:ascii="宋体" w:hAnsi="宋体" w:eastAsia="宋体"/>
          <w:kern w:val="0"/>
          <w:sz w:val="28"/>
          <w:szCs w:val="28"/>
        </w:rPr>
        <w:t xml:space="preserve"> </w:t>
      </w:r>
      <w:r>
        <w:rPr>
          <w:rStyle w:val="33"/>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3"/>
          <w:rFonts w:hint="eastAsia" w:ascii="宋体" w:hAnsi="宋体" w:eastAsia="宋体"/>
          <w:kern w:val="0"/>
          <w:sz w:val="28"/>
          <w:szCs w:val="28"/>
        </w:rPr>
        <w:t>第七章</w:t>
      </w:r>
      <w:r>
        <w:rPr>
          <w:rStyle w:val="33"/>
          <w:rFonts w:ascii="宋体" w:hAnsi="宋体" w:eastAsia="宋体"/>
          <w:kern w:val="0"/>
          <w:sz w:val="28"/>
          <w:szCs w:val="28"/>
        </w:rPr>
        <w:t xml:space="preserve"> </w:t>
      </w:r>
      <w:r>
        <w:rPr>
          <w:rStyle w:val="33"/>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3"/>
          <w:rFonts w:hint="eastAsia" w:ascii="宋体" w:hAnsi="宋体" w:eastAsia="宋体"/>
          <w:kern w:val="0"/>
          <w:sz w:val="28"/>
          <w:szCs w:val="28"/>
        </w:rPr>
        <w:t>第八章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投标文件有关格式</w:t>
      </w:r>
      <w:r>
        <w:rPr>
          <w:rFonts w:ascii="宋体" w:hAnsi="宋体" w:eastAsia="宋体"/>
          <w:sz w:val="28"/>
          <w:szCs w:val="28"/>
        </w:rPr>
        <w:tab/>
      </w:r>
      <w:r>
        <w:rPr>
          <w:rFonts w:hint="eastAsia" w:ascii="宋体" w:hAnsi="宋体" w:eastAsia="宋体"/>
          <w:sz w:val="28"/>
          <w:szCs w:val="28"/>
        </w:rPr>
        <w:t>58</w:t>
      </w:r>
      <w:r>
        <w:rPr>
          <w:rFonts w:hint="eastAsia"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8"/>
        <w:spacing w:before="0" w:after="0"/>
        <w:rPr>
          <w:kern w:val="0"/>
          <w:sz w:val="44"/>
          <w:szCs w:val="44"/>
        </w:rPr>
      </w:pPr>
      <w:bookmarkStart w:id="0" w:name="_Toc524770164"/>
      <w:r>
        <w:rPr>
          <w:rFonts w:hint="eastAsia"/>
          <w:kern w:val="0"/>
          <w:sz w:val="44"/>
          <w:szCs w:val="44"/>
        </w:rPr>
        <w:t>第一章 投标邀请</w:t>
      </w:r>
      <w:bookmarkEnd w:id="0"/>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7"/>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许开路大货车禁行、芙蓉广场环保监测站点聘用保安管控项目</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rPr>
        <w:t>(二)项目编号：</w:t>
      </w:r>
      <w:r>
        <w:rPr>
          <w:rFonts w:hint="eastAsia" w:ascii="仿宋" w:hAnsi="仿宋" w:eastAsia="仿宋" w:cs="仿宋_GB2312"/>
          <w:color w:val="000000"/>
          <w:sz w:val="32"/>
          <w:szCs w:val="32"/>
          <w:shd w:val="clear" w:color="auto" w:fill="FFFFFF"/>
        </w:rPr>
        <w:t xml:space="preserve">JZFCG-G2018131-1号 </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（三）采购方式：</w:t>
      </w:r>
      <w:r>
        <w:rPr>
          <w:rFonts w:hint="eastAsia" w:ascii="仿宋" w:hAnsi="仿宋" w:eastAsia="仿宋" w:cs="仿宋_GB2312"/>
          <w:color w:val="000000"/>
          <w:sz w:val="32"/>
          <w:szCs w:val="32"/>
          <w:shd w:val="clear" w:color="auto" w:fill="FFFFFF"/>
        </w:rPr>
        <w:t>公开招标</w:t>
      </w:r>
    </w:p>
    <w:p>
      <w:pPr>
        <w:pStyle w:val="27"/>
        <w:ind w:left="210" w:leftChars="100"/>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（四）主要内容、数量及要求：</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A包：许开路大货车禁行管控聘用保安人员13人；</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B包：芙蓉广场环保监测站点管控聘用保安人员26人。</w:t>
      </w:r>
    </w:p>
    <w:p>
      <w:pPr>
        <w:pStyle w:val="27"/>
        <w:ind w:left="210" w:leftChars="100"/>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（五）预算金额：</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A包预算金额：303000元，最高限价：303000元；</w:t>
      </w:r>
    </w:p>
    <w:p>
      <w:pPr>
        <w:pStyle w:val="27"/>
        <w:ind w:left="210" w:leftChars="100"/>
        <w:rPr>
          <w:rFonts w:ascii="宋体" w:hAnsi="宋体" w:cs="仿宋_GB2312"/>
          <w:color w:val="000000"/>
          <w:shd w:val="clear" w:color="auto" w:fill="FFFFFF"/>
        </w:rPr>
      </w:pPr>
      <w:r>
        <w:rPr>
          <w:rFonts w:hint="eastAsia" w:ascii="仿宋" w:hAnsi="仿宋" w:eastAsia="仿宋" w:cs="仿宋_GB2312"/>
          <w:color w:val="000000"/>
          <w:sz w:val="32"/>
          <w:szCs w:val="32"/>
          <w:shd w:val="clear" w:color="auto" w:fill="FFFFFF"/>
        </w:rPr>
        <w:t xml:space="preserve">  B包预算金额：571800元，最高限价：571800元。</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（六）服务期限 ：</w:t>
      </w:r>
      <w:r>
        <w:rPr>
          <w:rFonts w:hint="eastAsia" w:ascii="仿宋" w:hAnsi="仿宋" w:eastAsia="仿宋" w:cs="仿宋_GB2312"/>
          <w:color w:val="000000"/>
          <w:sz w:val="32"/>
          <w:szCs w:val="32"/>
          <w:shd w:val="clear" w:color="auto" w:fill="FFFFFF"/>
        </w:rPr>
        <w:t>合同签订后七个月内完成</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（七）服务地点：</w:t>
      </w:r>
      <w:r>
        <w:rPr>
          <w:rFonts w:hint="eastAsia" w:ascii="仿宋" w:hAnsi="仿宋" w:eastAsia="仿宋" w:cs="仿宋_GB2312"/>
          <w:color w:val="000000"/>
          <w:sz w:val="32"/>
          <w:szCs w:val="32"/>
          <w:shd w:val="clear" w:color="auto" w:fill="FFFFFF"/>
        </w:rPr>
        <w:t xml:space="preserve">许昌市城乡一体化示范区 </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（八）分包：不允许</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本项目落实节能环保、中小微型企业、残疾人福利性单位扶持等相关政府采购政策。</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（一）投标人具有独立法人资格，符合《政府采购法》第二十二条规定；</w:t>
      </w:r>
    </w:p>
    <w:p>
      <w:pPr>
        <w:widowControl/>
        <w:spacing w:before="226" w:line="380" w:lineRule="atLeast"/>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（二）具备主管部门核发的有效的保安服务许可证；     </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(三)</w:t>
      </w:r>
      <w:r>
        <w:rPr>
          <w:rFonts w:hint="eastAsia"/>
        </w:rPr>
        <w:t xml:space="preserve"> </w:t>
      </w:r>
      <w:r>
        <w:rPr>
          <w:rFonts w:hint="eastAsia" w:ascii="仿宋" w:hAnsi="仿宋" w:eastAsia="仿宋" w:cs="仿宋_GB2312"/>
          <w:color w:val="000000"/>
          <w:sz w:val="32"/>
          <w:szCs w:val="32"/>
          <w:shd w:val="clear" w:color="auto" w:fill="FFFFFF"/>
        </w:rPr>
        <w:t>具有当地公安机关备案证明；</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(四)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（五）本次招标不接受联合体投标。</w:t>
      </w:r>
    </w:p>
    <w:p>
      <w:pPr>
        <w:pStyle w:val="27"/>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7"/>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3"/>
          <w:rFonts w:hint="eastAsia" w:ascii="仿宋" w:hAnsi="仿宋" w:eastAsia="仿宋" w:cs="仿宋_GB2312"/>
          <w:color w:val="auto"/>
          <w:sz w:val="32"/>
          <w:szCs w:val="32"/>
          <w:shd w:val="clear" w:color="auto" w:fill="FFFFFF"/>
        </w:rPr>
        <w:t>http://221.14.6.70:8088/ggzy/eps/public/RegistAllJcxx.html</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3"/>
          <w:rFonts w:hint="eastAsia" w:ascii="仿宋" w:hAnsi="仿宋" w:eastAsia="仿宋" w:cs="仿宋_GB2312"/>
          <w:color w:val="auto"/>
          <w:sz w:val="32"/>
          <w:szCs w:val="32"/>
          <w:shd w:val="clear" w:color="auto" w:fill="FFFFFF"/>
        </w:rPr>
        <w:t>http://221.14.6.70:8088/ggzy/</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7"/>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2019年2月18日9时30分（北京时间），逾期提交或不符合规定的投标文件不予接受。</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公共资源大厦）三楼开标三室。</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7"/>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2、纸质投标文件（正本、副本各1份）和备份文件2份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7"/>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采购人：许昌市城乡一体化示范区建设环保局</w:t>
      </w:r>
    </w:p>
    <w:p>
      <w:pPr>
        <w:widowControl/>
        <w:shd w:val="clear" w:color="auto" w:fill="FFFFFF"/>
        <w:ind w:firstLine="420"/>
        <w:contextualSpacing/>
        <w:jc w:val="left"/>
        <w:rPr>
          <w:rFonts w:ascii="仿宋" w:hAnsi="仿宋" w:eastAsia="仿宋" w:cs="仿宋_GB2312"/>
          <w:bCs/>
          <w:sz w:val="32"/>
          <w:szCs w:val="32"/>
        </w:rPr>
      </w:pPr>
      <w:r>
        <w:rPr>
          <w:rFonts w:hint="eastAsia" w:ascii="仿宋" w:hAnsi="仿宋" w:eastAsia="仿宋" w:cs="仿宋_GB2312"/>
          <w:sz w:val="32"/>
          <w:szCs w:val="32"/>
        </w:rPr>
        <w:t>地 址：</w:t>
      </w:r>
      <w:r>
        <w:rPr>
          <w:rFonts w:hint="eastAsia" w:ascii="仿宋" w:hAnsi="仿宋" w:eastAsia="仿宋" w:cs="仿宋_GB2312"/>
          <w:bCs/>
          <w:sz w:val="32"/>
          <w:szCs w:val="32"/>
        </w:rPr>
        <w:t>许昌示范区管理委员会（魏武路中段）</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联 系 人：郭先生    联系电话：0374-3372707</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宋体"/>
          <w:sz w:val="32"/>
          <w:szCs w:val="32"/>
        </w:rPr>
        <w:t xml:space="preserve"> </w:t>
      </w:r>
      <w:r>
        <w:rPr>
          <w:rFonts w:hint="eastAsia" w:ascii="仿宋" w:hAnsi="仿宋" w:eastAsia="仿宋" w:cs="仿宋_GB2312"/>
          <w:sz w:val="32"/>
          <w:szCs w:val="32"/>
        </w:rPr>
        <w:t>许昌市城乡一体化示范区建设环保局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w:t>
      </w:r>
      <w:r>
        <w:rPr>
          <w:rFonts w:hint="eastAsia" w:ascii="仿宋" w:hAnsi="仿宋" w:eastAsia="仿宋" w:cs="仿宋_GB2312"/>
          <w:sz w:val="32"/>
          <w:szCs w:val="32"/>
        </w:rPr>
        <w:t>9年1月2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w:t>
      </w:r>
    </w:p>
    <w:p>
      <w:pPr>
        <w:widowControl/>
        <w:jc w:val="left"/>
        <w:rPr>
          <w:rFonts w:ascii="宋体" w:hAnsi="宋体" w:eastAsia="宋体"/>
          <w:b/>
          <w:sz w:val="28"/>
          <w:szCs w:val="28"/>
        </w:rPr>
      </w:pPr>
      <w:r>
        <w:rPr>
          <w:rFonts w:ascii="宋体" w:hAnsi="宋体" w:eastAsia="宋体"/>
          <w:b/>
          <w:sz w:val="28"/>
          <w:szCs w:val="28"/>
        </w:rPr>
        <w:br w:type="page"/>
      </w:r>
      <w:bookmarkStart w:id="35" w:name="_GoBack"/>
      <w:bookmarkEnd w:id="35"/>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482" w:firstLineChars="200"/>
        <w:rPr>
          <w:rFonts w:ascii="宋体" w:hAnsi="宋体" w:cs="黑体"/>
          <w:b/>
          <w:bCs/>
          <w:color w:val="000000"/>
          <w:sz w:val="24"/>
          <w:shd w:val="clear" w:color="auto" w:fill="FFFFFF"/>
        </w:rPr>
      </w:pPr>
      <w:bookmarkStart w:id="2" w:name="_Toc524770166"/>
      <w:r>
        <w:rPr>
          <w:rFonts w:hint="eastAsia" w:ascii="宋体" w:hAnsi="宋体" w:cs="黑体"/>
          <w:b/>
          <w:bCs/>
          <w:color w:val="000000"/>
          <w:sz w:val="24"/>
          <w:shd w:val="clear" w:color="auto" w:fill="FFFFFF"/>
        </w:rPr>
        <w:t>（一）本项目基本情况</w:t>
      </w:r>
    </w:p>
    <w:p>
      <w:pPr>
        <w:tabs>
          <w:tab w:val="left" w:pos="2127"/>
        </w:tabs>
        <w:spacing w:line="360" w:lineRule="auto"/>
        <w:ind w:firstLine="480" w:firstLineChars="200"/>
        <w:rPr>
          <w:rFonts w:ascii="宋体" w:hAnsi="宋体" w:cs="宋体"/>
          <w:kern w:val="0"/>
          <w:sz w:val="24"/>
        </w:rPr>
      </w:pPr>
      <w:r>
        <w:rPr>
          <w:rFonts w:hint="eastAsia" w:ascii="宋体" w:hAnsi="宋体" w:cs="宋体"/>
          <w:kern w:val="0"/>
          <w:sz w:val="24"/>
        </w:rPr>
        <w:t>A包：</w:t>
      </w:r>
      <w:r>
        <w:rPr>
          <w:rFonts w:ascii="宋体" w:hAnsi="宋体" w:cs="宋体"/>
          <w:kern w:val="0"/>
          <w:sz w:val="24"/>
        </w:rPr>
        <w:br w:type="textWrapping"/>
      </w:r>
      <w:r>
        <w:rPr>
          <w:rFonts w:hint="eastAsia" w:ascii="宋体" w:hAnsi="宋体" w:cs="宋体"/>
          <w:kern w:val="0"/>
          <w:sz w:val="24"/>
        </w:rPr>
        <w:t xml:space="preserve">     为确保卡点正常值守，示范区环保数据持续向好，按照《关于印发市区大货车禁行管控工作实施方案的通知》（许环攻坚办［2018］153号）要求，示范区承担许开路与魏武大道设置1个管控点设置大货车禁行卡点的任务。 </w:t>
      </w:r>
    </w:p>
    <w:p>
      <w:pPr>
        <w:tabs>
          <w:tab w:val="left" w:pos="2127"/>
        </w:tabs>
        <w:spacing w:line="360" w:lineRule="auto"/>
        <w:ind w:firstLine="480" w:firstLineChars="200"/>
        <w:rPr>
          <w:rFonts w:ascii="宋体" w:hAnsi="宋体" w:cs="宋体"/>
          <w:kern w:val="0"/>
          <w:sz w:val="24"/>
        </w:rPr>
      </w:pPr>
      <w:r>
        <w:rPr>
          <w:rFonts w:hint="eastAsia" w:ascii="宋体" w:hAnsi="宋体" w:cs="宋体"/>
          <w:kern w:val="0"/>
          <w:sz w:val="24"/>
        </w:rPr>
        <w:t>B包：</w:t>
      </w:r>
    </w:p>
    <w:p>
      <w:pPr>
        <w:tabs>
          <w:tab w:val="left" w:pos="2127"/>
        </w:tabs>
        <w:spacing w:line="360" w:lineRule="auto"/>
        <w:ind w:firstLine="480" w:firstLineChars="200"/>
        <w:rPr>
          <w:rFonts w:ascii="宋体" w:hAnsi="宋体" w:cs="宋体"/>
          <w:kern w:val="0"/>
          <w:sz w:val="24"/>
        </w:rPr>
      </w:pPr>
      <w:r>
        <w:rPr>
          <w:rFonts w:hint="eastAsia" w:ascii="宋体" w:hAnsi="宋体" w:cs="宋体"/>
          <w:kern w:val="0"/>
          <w:sz w:val="24"/>
        </w:rPr>
        <w:t>为扭转当前全市环保监测数据持续升高不利局面，保障示范区站点数据稳定良好为目的。市环保攻坚办要求“五区”环保检测国控、省控站点周边必须安排人员值守，专职从事周边建筑工地扬尘管控、大货车渣土车管控、秸秆禁烧、VC管控、监控数据管控及数据出现异常及时进行处置等工作,从事芙蓉广场环保监测站点管控任务。</w:t>
      </w:r>
    </w:p>
    <w:p>
      <w:pPr>
        <w:tabs>
          <w:tab w:val="left" w:pos="2127"/>
        </w:tabs>
        <w:spacing w:line="360" w:lineRule="auto"/>
        <w:ind w:firstLine="480" w:firstLineChars="200"/>
        <w:rPr>
          <w:rFonts w:ascii="宋体" w:hAnsi="宋体" w:cs="黑体"/>
          <w:b/>
          <w:bCs/>
          <w:color w:val="000000"/>
          <w:sz w:val="24"/>
          <w:shd w:val="clear" w:color="auto" w:fill="FFFFFF"/>
        </w:rPr>
      </w:pPr>
      <w:r>
        <w:rPr>
          <w:rFonts w:hint="eastAsia" w:ascii="宋体" w:hAnsi="宋体" w:cs="宋体"/>
          <w:kern w:val="0"/>
          <w:sz w:val="24"/>
        </w:rPr>
        <w:t>★</w:t>
      </w:r>
      <w:r>
        <w:rPr>
          <w:rFonts w:hint="eastAsia" w:ascii="宋体" w:hAnsi="宋体" w:cs="黑体"/>
          <w:b/>
          <w:bCs/>
          <w:color w:val="000000"/>
          <w:sz w:val="24"/>
          <w:shd w:val="clear" w:color="auto" w:fill="FFFFFF"/>
        </w:rPr>
        <w:t>（二）工作内容及要求</w:t>
      </w:r>
    </w:p>
    <w:p>
      <w:pPr>
        <w:spacing w:line="360" w:lineRule="auto"/>
        <w:ind w:firstLine="480" w:firstLineChars="200"/>
        <w:contextualSpacing/>
        <w:rPr>
          <w:rFonts w:ascii="宋体" w:hAnsi="宋体" w:cs="仿宋_GB2312"/>
          <w:kern w:val="0"/>
          <w:sz w:val="24"/>
        </w:rPr>
      </w:pPr>
      <w:r>
        <w:rPr>
          <w:rFonts w:hint="eastAsia" w:ascii="宋体" w:hAnsi="宋体" w:cs="仿宋_GB2312"/>
          <w:kern w:val="0"/>
          <w:sz w:val="24"/>
        </w:rPr>
        <w:t>1、人员设置要求：</w:t>
      </w:r>
    </w:p>
    <w:p>
      <w:pPr>
        <w:spacing w:line="360" w:lineRule="auto"/>
        <w:ind w:firstLine="480" w:firstLineChars="200"/>
        <w:contextualSpacing/>
        <w:rPr>
          <w:rFonts w:ascii="宋体" w:hAnsi="宋体" w:cs="仿宋_GB2312"/>
          <w:kern w:val="0"/>
          <w:sz w:val="24"/>
        </w:rPr>
      </w:pPr>
      <w:r>
        <w:rPr>
          <w:rFonts w:hint="eastAsia" w:ascii="宋体" w:hAnsi="宋体" w:cs="仿宋_GB2312"/>
          <w:kern w:val="0"/>
          <w:sz w:val="24"/>
        </w:rPr>
        <w:t>A包：</w:t>
      </w:r>
    </w:p>
    <w:tbl>
      <w:tblPr>
        <w:tblStyle w:val="35"/>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25"/>
        <w:gridCol w:w="1260"/>
        <w:gridCol w:w="373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88" w:type="dxa"/>
            <w:vAlign w:val="center"/>
          </w:tcPr>
          <w:p>
            <w:pPr>
              <w:jc w:val="center"/>
            </w:pPr>
            <w:r>
              <w:rPr>
                <w:rFonts w:hint="eastAsia"/>
              </w:rPr>
              <w:t>序号</w:t>
            </w:r>
          </w:p>
        </w:tc>
        <w:tc>
          <w:tcPr>
            <w:tcW w:w="1425" w:type="dxa"/>
            <w:vAlign w:val="center"/>
          </w:tcPr>
          <w:p>
            <w:pPr>
              <w:jc w:val="center"/>
            </w:pPr>
            <w:r>
              <w:rPr>
                <w:rFonts w:hint="eastAsia"/>
              </w:rPr>
              <w:t>采购项目</w:t>
            </w:r>
          </w:p>
        </w:tc>
        <w:tc>
          <w:tcPr>
            <w:tcW w:w="1260" w:type="dxa"/>
            <w:vAlign w:val="center"/>
          </w:tcPr>
          <w:p>
            <w:pPr>
              <w:jc w:val="center"/>
            </w:pPr>
            <w:r>
              <w:rPr>
                <w:rFonts w:hint="eastAsia"/>
              </w:rPr>
              <w:t>单位</w:t>
            </w:r>
          </w:p>
        </w:tc>
        <w:tc>
          <w:tcPr>
            <w:tcW w:w="3734" w:type="dxa"/>
            <w:vAlign w:val="center"/>
          </w:tcPr>
          <w:p>
            <w:pPr>
              <w:jc w:val="center"/>
            </w:pPr>
            <w:r>
              <w:rPr>
                <w:rFonts w:hint="eastAsia"/>
              </w:rPr>
              <w:t>服务需求</w:t>
            </w:r>
          </w:p>
        </w:tc>
        <w:tc>
          <w:tcPr>
            <w:tcW w:w="1486" w:type="dxa"/>
            <w:vAlign w:val="center"/>
          </w:tcPr>
          <w:p>
            <w:pPr>
              <w:jc w:val="center"/>
            </w:pPr>
            <w:r>
              <w:rPr>
                <w:rFonts w:hint="eastAsia"/>
              </w:rPr>
              <w:t>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88" w:type="dxa"/>
            <w:vAlign w:val="center"/>
          </w:tcPr>
          <w:p>
            <w:pPr>
              <w:jc w:val="center"/>
            </w:pPr>
            <w:r>
              <w:rPr>
                <w:rFonts w:hint="eastAsia"/>
              </w:rPr>
              <w:t>1</w:t>
            </w:r>
          </w:p>
        </w:tc>
        <w:tc>
          <w:tcPr>
            <w:tcW w:w="1425" w:type="dxa"/>
            <w:vAlign w:val="center"/>
          </w:tcPr>
          <w:p>
            <w:pPr>
              <w:jc w:val="center"/>
            </w:pPr>
            <w:r>
              <w:rPr>
                <w:rFonts w:hint="eastAsia"/>
              </w:rPr>
              <w:t>保安</w:t>
            </w:r>
          </w:p>
        </w:tc>
        <w:tc>
          <w:tcPr>
            <w:tcW w:w="1260" w:type="dxa"/>
            <w:vAlign w:val="center"/>
          </w:tcPr>
          <w:p>
            <w:pPr>
              <w:jc w:val="center"/>
            </w:pPr>
            <w:r>
              <w:rPr>
                <w:rFonts w:hint="eastAsia"/>
              </w:rPr>
              <w:t>人</w:t>
            </w:r>
          </w:p>
        </w:tc>
        <w:tc>
          <w:tcPr>
            <w:tcW w:w="3734" w:type="dxa"/>
            <w:vAlign w:val="center"/>
          </w:tcPr>
          <w:p>
            <w:r>
              <w:rPr>
                <w:rFonts w:hint="eastAsia"/>
              </w:rPr>
              <w:t>需保安人员13名（含一名保安队长）</w:t>
            </w:r>
          </w:p>
        </w:tc>
        <w:tc>
          <w:tcPr>
            <w:tcW w:w="1486" w:type="dxa"/>
            <w:vAlign w:val="center"/>
          </w:tcPr>
          <w:p>
            <w:pPr>
              <w:jc w:val="center"/>
            </w:pPr>
            <w:r>
              <w:rPr>
                <w:rFonts w:hint="eastAsia"/>
              </w:rPr>
              <w:t>白夜班</w:t>
            </w:r>
          </w:p>
        </w:tc>
      </w:tr>
    </w:tbl>
    <w:p>
      <w:pPr>
        <w:spacing w:line="360" w:lineRule="auto"/>
        <w:ind w:firstLine="480" w:firstLineChars="200"/>
        <w:rPr>
          <w:rFonts w:ascii="宋体" w:hAnsi="宋体" w:cs="宋体"/>
          <w:kern w:val="0"/>
          <w:sz w:val="24"/>
          <w:szCs w:val="24"/>
        </w:rPr>
      </w:pPr>
      <w:r>
        <w:rPr>
          <w:rFonts w:ascii="宋体" w:hAnsi="宋体" w:cs="宋体"/>
          <w:kern w:val="0"/>
          <w:sz w:val="24"/>
          <w:szCs w:val="24"/>
        </w:rPr>
        <w:br w:type="textWrapping"/>
      </w:r>
      <w:r>
        <w:rPr>
          <w:rFonts w:hint="eastAsia" w:ascii="宋体" w:hAnsi="宋体" w:cs="宋体"/>
          <w:kern w:val="0"/>
          <w:sz w:val="24"/>
          <w:szCs w:val="24"/>
        </w:rPr>
        <w:t xml:space="preserve">   B包：</w:t>
      </w:r>
    </w:p>
    <w:tbl>
      <w:tblPr>
        <w:tblStyle w:val="35"/>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25"/>
        <w:gridCol w:w="1260"/>
        <w:gridCol w:w="373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88" w:type="dxa"/>
            <w:vAlign w:val="center"/>
          </w:tcPr>
          <w:p>
            <w:pPr>
              <w:jc w:val="center"/>
            </w:pPr>
            <w:r>
              <w:rPr>
                <w:rFonts w:hint="eastAsia"/>
              </w:rPr>
              <w:t>序号</w:t>
            </w:r>
          </w:p>
        </w:tc>
        <w:tc>
          <w:tcPr>
            <w:tcW w:w="1425" w:type="dxa"/>
            <w:vAlign w:val="center"/>
          </w:tcPr>
          <w:p>
            <w:pPr>
              <w:jc w:val="center"/>
            </w:pPr>
            <w:r>
              <w:rPr>
                <w:rFonts w:hint="eastAsia"/>
              </w:rPr>
              <w:t>采购项目</w:t>
            </w:r>
          </w:p>
        </w:tc>
        <w:tc>
          <w:tcPr>
            <w:tcW w:w="1260" w:type="dxa"/>
            <w:vAlign w:val="center"/>
          </w:tcPr>
          <w:p>
            <w:pPr>
              <w:jc w:val="center"/>
            </w:pPr>
            <w:r>
              <w:rPr>
                <w:rFonts w:hint="eastAsia"/>
              </w:rPr>
              <w:t>单位</w:t>
            </w:r>
          </w:p>
        </w:tc>
        <w:tc>
          <w:tcPr>
            <w:tcW w:w="3734" w:type="dxa"/>
            <w:vAlign w:val="center"/>
          </w:tcPr>
          <w:p>
            <w:pPr>
              <w:jc w:val="center"/>
            </w:pPr>
            <w:r>
              <w:rPr>
                <w:rFonts w:hint="eastAsia"/>
              </w:rPr>
              <w:t>服务需求</w:t>
            </w:r>
          </w:p>
        </w:tc>
        <w:tc>
          <w:tcPr>
            <w:tcW w:w="1486" w:type="dxa"/>
            <w:vAlign w:val="center"/>
          </w:tcPr>
          <w:p>
            <w:pPr>
              <w:jc w:val="center"/>
            </w:pPr>
            <w:r>
              <w:rPr>
                <w:rFonts w:hint="eastAsia"/>
              </w:rPr>
              <w:t>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88" w:type="dxa"/>
            <w:vAlign w:val="center"/>
          </w:tcPr>
          <w:p>
            <w:pPr>
              <w:jc w:val="center"/>
            </w:pPr>
            <w:r>
              <w:rPr>
                <w:rFonts w:hint="eastAsia"/>
              </w:rPr>
              <w:t>1</w:t>
            </w:r>
          </w:p>
        </w:tc>
        <w:tc>
          <w:tcPr>
            <w:tcW w:w="1425" w:type="dxa"/>
            <w:vAlign w:val="center"/>
          </w:tcPr>
          <w:p>
            <w:pPr>
              <w:jc w:val="center"/>
            </w:pPr>
            <w:r>
              <w:rPr>
                <w:rFonts w:hint="eastAsia"/>
              </w:rPr>
              <w:t>保安</w:t>
            </w:r>
          </w:p>
        </w:tc>
        <w:tc>
          <w:tcPr>
            <w:tcW w:w="1260" w:type="dxa"/>
            <w:vAlign w:val="center"/>
          </w:tcPr>
          <w:p>
            <w:pPr>
              <w:jc w:val="center"/>
            </w:pPr>
            <w:r>
              <w:rPr>
                <w:rFonts w:hint="eastAsia"/>
              </w:rPr>
              <w:t>人</w:t>
            </w:r>
          </w:p>
        </w:tc>
        <w:tc>
          <w:tcPr>
            <w:tcW w:w="3734" w:type="dxa"/>
            <w:vAlign w:val="center"/>
          </w:tcPr>
          <w:p>
            <w:r>
              <w:rPr>
                <w:rFonts w:hint="eastAsia"/>
              </w:rPr>
              <w:t>需保安人员26名（含一名保安队长）</w:t>
            </w:r>
          </w:p>
        </w:tc>
        <w:tc>
          <w:tcPr>
            <w:tcW w:w="1486" w:type="dxa"/>
            <w:vAlign w:val="center"/>
          </w:tcPr>
          <w:p>
            <w:pPr>
              <w:jc w:val="center"/>
            </w:pPr>
            <w:r>
              <w:rPr>
                <w:rFonts w:hint="eastAsia"/>
              </w:rPr>
              <w:t>白班</w:t>
            </w:r>
          </w:p>
        </w:tc>
      </w:tr>
    </w:tbl>
    <w:p>
      <w:pPr>
        <w:spacing w:line="360" w:lineRule="auto"/>
        <w:ind w:firstLine="480" w:firstLineChars="200"/>
        <w:rPr>
          <w:rFonts w:ascii="宋体" w:hAnsi="宋体" w:cs="宋体"/>
          <w:kern w:val="0"/>
          <w:sz w:val="24"/>
          <w:szCs w:val="24"/>
        </w:rPr>
      </w:pP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2、基本要求和工作职责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 每一名保安人员，均应至少符合下列各项基本要求：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政治素质合格、热爱祖国、热爱社会主义,拥护中国共产党的领导。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严格遵守单位的各项规章制度，特别是安全保卫制度。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爱岗敬业、责任心强、恪尽职守、遵纪守法、严于律己。</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品行良好，无违法犯罪记录，不存在犯罪前科。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年满须满24周岁，且不超过50周岁。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身高不低于1.70米。</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 双眼视力0.8以上、无色盲、无纹身。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 五官端正、身体健康，无生理缺陷、无精神病史、无传染病, 无不良嗜好，不存在酗酒、吸毒等恶劣习惯。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 具备与岗位职责相应的观察、发现、处置问题的能力,具备良好的沟通、理解和应变能力。对于管控区域内发现的安全隐患，要及时报告采购人及相关行政主管部门（路政或环保），不得拖延或隐瞒，由此引发的责任由服务商承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具备使用基本消防设施、通讯器材、技术防范设施和相关防卫器械技能。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(12). 上岗执勤时，必须着反光服装及相关设备的佩戴上岗，穿戴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 上班期间保持手机开机，确保通讯畅通；同时还应熟悉保安队长、同事、火警、相关行政部门及驻地派出所的电话。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 不准在值班期间睡觉、喝酒、赌博、吹口哨、嬉笑、打闹、闲聊、串岗、大声喧哗以及其他与岗位无关的活动，严禁酒后上岗。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(15). 坚守工作岗位，换班时做好交接班，不得随意无故离岗、脱岗、空岗、串岗或漏岗。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(16). 与保安工作相关的其它基本要求。</w:t>
      </w:r>
    </w:p>
    <w:p>
      <w:pPr>
        <w:spacing w:line="360" w:lineRule="auto"/>
        <w:rPr>
          <w:rFonts w:ascii="宋体" w:hAnsi="宋体" w:cs="宋体"/>
          <w:kern w:val="0"/>
          <w:sz w:val="24"/>
          <w:szCs w:val="24"/>
        </w:rPr>
      </w:pPr>
      <w:r>
        <w:rPr>
          <w:rFonts w:hint="eastAsia" w:ascii="宋体" w:hAnsi="宋体" w:cs="宋体"/>
          <w:kern w:val="0"/>
          <w:sz w:val="24"/>
          <w:szCs w:val="24"/>
        </w:rPr>
        <w:t xml:space="preserve">   （17).所配备的保安人员，全部取得保安员资格证书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w:t>
      </w:r>
      <w:r>
        <w:rPr>
          <w:rFonts w:hint="eastAsia" w:ascii="宋体" w:hAnsi="宋体" w:cs="宋体"/>
          <w:bCs/>
          <w:kern w:val="0"/>
          <w:sz w:val="24"/>
          <w:szCs w:val="24"/>
        </w:rPr>
        <w:t>保安队长的岗位要求和工作职责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以身作则、恪守职责，如有事离岗，须告知单位管理者，同时须事先安排好保安队员的工作，保证各保安岗位正常运转。</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对各保安岗位实行保安队长负责制；由保安队长负责所属人员的安排、值勤、检查、工作考核及日常生活中各项制度的管理与执行，负责全体保安的管理考评及上报。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负责保安人员的岗位安排，在工作中起到模范带头作用。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每天安排好保安队员的白夜班的交接班工作，遇到有特殊情况及时上报。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认真处理治安保卫方面存在的问题，并将处理结果及时上报，对经过努力仍无法处理的情况应及时请示，重要情况需写出情况报告。</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遇到紧急事件时能够带领保安队员及时赶到现场，根据具体情况做好组织指挥工作，并妥善处理。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 具有一定的协调和沟通能力，能够带领保安队员完成每日的工作任务。每日上岗前要检查保安队员的仪容仪表及设备。</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 按照规定对保安队员定期进行了培训，训练并做好记录。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 完成单位领导交办的其他工作。</w:t>
      </w:r>
    </w:p>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spacing w:line="360" w:lineRule="auto"/>
        <w:contextualSpacing/>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（三）采购标的的服务期限、其他技术、服务等要求</w:t>
      </w:r>
    </w:p>
    <w:p>
      <w:pPr>
        <w:autoSpaceDE w:val="0"/>
        <w:autoSpaceDN w:val="0"/>
        <w:adjustRightInd w:val="0"/>
        <w:snapToGrid w:val="0"/>
        <w:spacing w:line="360" w:lineRule="auto"/>
        <w:ind w:firstLine="480" w:firstLineChars="200"/>
        <w:rPr>
          <w:rFonts w:ascii="宋体" w:hAnsi="宋体"/>
          <w:b/>
          <w:sz w:val="24"/>
        </w:rPr>
      </w:pPr>
      <w:r>
        <w:rPr>
          <w:rFonts w:hint="eastAsia" w:ascii="宋体" w:hAnsi="宋体" w:cs="宋体"/>
          <w:sz w:val="24"/>
        </w:rPr>
        <w:t>1、</w:t>
      </w:r>
      <w:r>
        <w:rPr>
          <w:rFonts w:hint="eastAsia" w:ascii="宋体" w:hAnsi="宋体"/>
          <w:sz w:val="24"/>
        </w:rPr>
        <w:t>招标文件中所列要求为最低要求，对招标文件中没有列出而对本项目必不可少的其它要求，供应商必须给予实现，</w:t>
      </w:r>
      <w:r>
        <w:rPr>
          <w:rFonts w:hint="eastAsia" w:ascii="宋体" w:hAnsi="宋体"/>
          <w:b/>
          <w:sz w:val="24"/>
        </w:rPr>
        <w:t>否则为无效投标。</w:t>
      </w:r>
    </w:p>
    <w:p>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2、投标人须提供完整可行大货车禁行管控或芙蓉广场环保检测站点管控服务管理方案</w:t>
      </w:r>
      <w:r>
        <w:rPr>
          <w:rFonts w:hint="eastAsia" w:ascii="宋体" w:hAnsi="宋体" w:cs="宋体"/>
          <w:sz w:val="24"/>
          <w:lang w:val="zh-CN"/>
        </w:rPr>
        <w:t>，</w:t>
      </w:r>
      <w:r>
        <w:rPr>
          <w:rFonts w:hint="eastAsia" w:ascii="宋体" w:hAnsi="宋体"/>
          <w:b/>
          <w:sz w:val="24"/>
        </w:rPr>
        <w:t>否则为无效投标。</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rPr>
        <w:t>3、</w:t>
      </w:r>
      <w:r>
        <w:rPr>
          <w:rFonts w:hint="eastAsia" w:ascii="宋体" w:hAnsi="宋体" w:cs="宋体"/>
          <w:sz w:val="24"/>
          <w:lang w:val="zh-CN"/>
        </w:rPr>
        <w:t>投标人有提供虚假材料的，</w:t>
      </w:r>
      <w:r>
        <w:rPr>
          <w:rFonts w:hint="eastAsia" w:ascii="宋体" w:hAnsi="宋体" w:cs="宋体"/>
          <w:b/>
          <w:bCs/>
          <w:sz w:val="24"/>
          <w:lang w:val="zh-CN"/>
        </w:rPr>
        <w:t>取消其中标资格。</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rPr>
        <w:t>4、</w:t>
      </w:r>
      <w:r>
        <w:rPr>
          <w:rFonts w:hint="eastAsia" w:ascii="宋体" w:hAnsi="宋体" w:cs="宋体"/>
          <w:sz w:val="24"/>
          <w:lang w:val="zh-CN"/>
        </w:rPr>
        <w:t>投标人应就该项目完整投标，</w:t>
      </w:r>
      <w:r>
        <w:rPr>
          <w:rFonts w:hint="eastAsia" w:ascii="宋体" w:hAnsi="宋体" w:cs="宋体"/>
          <w:b/>
          <w:sz w:val="24"/>
          <w:lang w:val="zh-CN"/>
        </w:rPr>
        <w:t>否则为无效投标。</w:t>
      </w:r>
    </w:p>
    <w:p>
      <w:pPr>
        <w:snapToGrid w:val="0"/>
        <w:spacing w:line="360" w:lineRule="auto"/>
        <w:rPr>
          <w:rFonts w:ascii="宋体" w:hAnsi="宋体" w:cs="宋体"/>
          <w:b/>
          <w:sz w:val="24"/>
          <w:lang w:val="zh-CN"/>
        </w:rPr>
      </w:pPr>
      <w:r>
        <w:rPr>
          <w:rFonts w:hint="eastAsia" w:ascii="宋体" w:hAnsi="宋体" w:cs="宋体"/>
          <w:sz w:val="24"/>
        </w:rPr>
        <w:t xml:space="preserve">    5、</w:t>
      </w:r>
      <w:r>
        <w:rPr>
          <w:rFonts w:hint="eastAsia" w:ascii="宋体" w:hAnsi="宋体" w:cs="宋体"/>
          <w:sz w:val="24"/>
          <w:lang w:val="zh-CN"/>
        </w:rPr>
        <w:t>服务人员有较高的政治思想素养和业务水平，受过专门的管理培训。</w:t>
      </w:r>
    </w:p>
    <w:p>
      <w:pPr>
        <w:snapToGrid w:val="0"/>
        <w:spacing w:line="360" w:lineRule="auto"/>
        <w:ind w:firstLine="480" w:firstLineChars="200"/>
        <w:rPr>
          <w:rFonts w:ascii="宋体" w:hAnsi="宋体"/>
          <w:sz w:val="24"/>
          <w:lang w:val="zh-CN"/>
        </w:rPr>
      </w:pPr>
      <w:r>
        <w:rPr>
          <w:rFonts w:hint="eastAsia" w:ascii="宋体" w:hAnsi="宋体" w:cs="宋体"/>
          <w:sz w:val="24"/>
        </w:rPr>
        <w:t>6、中标</w:t>
      </w:r>
      <w:r>
        <w:rPr>
          <w:rFonts w:hint="eastAsia" w:ascii="宋体" w:hAnsi="宋体" w:cs="宋体"/>
          <w:sz w:val="24"/>
          <w:lang w:val="zh-CN"/>
        </w:rPr>
        <w:t>人</w:t>
      </w:r>
      <w:r>
        <w:rPr>
          <w:rFonts w:hint="eastAsia" w:ascii="宋体" w:hAnsi="宋体"/>
          <w:sz w:val="24"/>
        </w:rPr>
        <w:t>自备管理服务等项目所需的物资装备。如：值守车辆、执法记录仪、强光手电、反光服等相关设备。</w:t>
      </w:r>
    </w:p>
    <w:p>
      <w:pPr>
        <w:snapToGrid w:val="0"/>
        <w:spacing w:line="360" w:lineRule="auto"/>
        <w:ind w:firstLine="480"/>
        <w:rPr>
          <w:rFonts w:ascii="宋体" w:hAnsi="宋体" w:cs="宋体"/>
          <w:sz w:val="24"/>
          <w:lang w:val="zh-CN"/>
        </w:rPr>
      </w:pPr>
      <w:r>
        <w:rPr>
          <w:rFonts w:hint="eastAsia" w:ascii="宋体" w:hAnsi="宋体" w:cs="宋体"/>
          <w:sz w:val="24"/>
        </w:rPr>
        <w:t>7、中标</w:t>
      </w:r>
      <w:r>
        <w:rPr>
          <w:rFonts w:hint="eastAsia" w:ascii="宋体" w:hAnsi="宋体" w:cs="宋体"/>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80" w:firstLineChars="200"/>
        <w:rPr>
          <w:rFonts w:ascii="宋体" w:hAnsi="宋体" w:cs="宋体"/>
          <w:sz w:val="24"/>
          <w:lang w:val="zh-CN"/>
        </w:rPr>
      </w:pPr>
      <w:r>
        <w:rPr>
          <w:rFonts w:hint="eastAsia" w:ascii="宋体" w:hAnsi="宋体" w:cs="宋体"/>
          <w:sz w:val="24"/>
        </w:rPr>
        <w:t>8、中标</w:t>
      </w:r>
      <w:r>
        <w:rPr>
          <w:rFonts w:hint="eastAsia" w:ascii="宋体" w:hAnsi="宋体" w:cs="宋体"/>
          <w:sz w:val="24"/>
          <w:lang w:val="zh-CN"/>
        </w:rPr>
        <w:t>人须定期对管理服务人员进行岗位再培训。经营服务所需用工必须符合《劳动合同法》要求，依法用工。如发生用工纠纷，由经营方自行承担责任。</w:t>
      </w:r>
    </w:p>
    <w:p>
      <w:pPr>
        <w:snapToGri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、服务期间管理服务人员对于突发事件必须能够在第一时间进行现场处置。</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、本项目为交钥匙工程。（包括</w:t>
      </w:r>
      <w:r>
        <w:rPr>
          <w:rFonts w:hint="eastAsia" w:ascii="宋体" w:hAnsi="宋体" w:cs="宋体"/>
          <w:sz w:val="24"/>
        </w:rPr>
        <w:t>人员工资福利、购买机械设备、投资建设所有垃圾收集处理设施、作业车辆</w:t>
      </w:r>
      <w:r>
        <w:rPr>
          <w:rFonts w:hint="eastAsia" w:ascii="宋体" w:hAnsi="宋体"/>
          <w:sz w:val="24"/>
        </w:rPr>
        <w:t>保养及维修费、油费</w:t>
      </w:r>
      <w:r>
        <w:rPr>
          <w:rFonts w:hint="eastAsia" w:ascii="宋体" w:hAnsi="宋体" w:cs="宋体"/>
          <w:sz w:val="24"/>
        </w:rPr>
        <w:t>及其它基础设备</w:t>
      </w:r>
      <w:r>
        <w:rPr>
          <w:rFonts w:hint="eastAsia" w:ascii="宋体" w:hAnsi="宋体" w:cs="宋体"/>
          <w:sz w:val="24"/>
          <w:lang w:val="zh-CN"/>
        </w:rPr>
        <w:t>低值易耗品购置、税金等）</w:t>
      </w:r>
    </w:p>
    <w:p>
      <w:pPr>
        <w:tabs>
          <w:tab w:val="left" w:pos="7095"/>
        </w:tabs>
        <w:spacing w:line="360" w:lineRule="auto"/>
        <w:contextualSpacing/>
        <w:rPr>
          <w:rFonts w:ascii="宋体" w:hAnsi="宋体"/>
          <w:color w:val="000000"/>
          <w:sz w:val="24"/>
        </w:rPr>
      </w:pPr>
      <w:r>
        <w:rPr>
          <w:rFonts w:hint="eastAsia" w:ascii="宋体" w:hAnsi="宋体" w:cs="宋体"/>
          <w:kern w:val="0"/>
          <w:sz w:val="24"/>
        </w:rPr>
        <w:t>★</w:t>
      </w:r>
      <w:r>
        <w:rPr>
          <w:rFonts w:hint="eastAsia" w:ascii="宋体" w:hAnsi="宋体"/>
          <w:b/>
          <w:color w:val="000000"/>
          <w:sz w:val="24"/>
        </w:rPr>
        <w:t>（四）验收标准</w:t>
      </w:r>
    </w:p>
    <w:p>
      <w:pPr>
        <w:widowControl/>
        <w:shd w:val="clear" w:color="auto" w:fill="FFFFFF"/>
        <w:spacing w:line="360" w:lineRule="auto"/>
        <w:contextualSpacing/>
        <w:jc w:val="left"/>
        <w:rPr>
          <w:rFonts w:ascii="宋体" w:hAnsi="宋体"/>
          <w:color w:val="000000"/>
          <w:sz w:val="24"/>
        </w:rPr>
      </w:pPr>
      <w:r>
        <w:rPr>
          <w:rFonts w:hint="eastAsia" w:ascii="宋体" w:hAnsi="宋体"/>
          <w:color w:val="000000"/>
          <w:sz w:val="24"/>
        </w:rPr>
        <w:t xml:space="preserve">    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ascii="宋体" w:hAnsi="宋体"/>
          <w:color w:val="000000"/>
          <w:sz w:val="24"/>
        </w:rPr>
      </w:pPr>
      <w:r>
        <w:rPr>
          <w:rFonts w:hint="eastAsia" w:ascii="宋体" w:hAnsi="宋体"/>
          <w:color w:val="000000"/>
          <w:sz w:val="24"/>
        </w:rPr>
        <w:t xml:space="preserve">    2、按照招标文件要求、投标文件响应和承诺验收。</w:t>
      </w:r>
    </w:p>
    <w:p>
      <w:pPr>
        <w:widowControl/>
        <w:shd w:val="clear" w:color="auto" w:fill="FFFFFF"/>
        <w:spacing w:line="360" w:lineRule="auto"/>
        <w:contextualSpacing/>
        <w:jc w:val="left"/>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微软雅黑"/>
          <w:b/>
          <w:sz w:val="24"/>
        </w:rPr>
        <w:t>（五）</w:t>
      </w:r>
      <w:r>
        <w:rPr>
          <w:rFonts w:hint="eastAsia" w:ascii="宋体" w:hAnsi="宋体" w:cs="宋体"/>
          <w:b/>
          <w:color w:val="000000"/>
          <w:kern w:val="0"/>
          <w:sz w:val="24"/>
          <w:lang w:val="zh-CN"/>
        </w:rPr>
        <w:t>资金支付</w:t>
      </w:r>
    </w:p>
    <w:p>
      <w:pPr>
        <w:pStyle w:val="15"/>
        <w:spacing w:line="360" w:lineRule="auto"/>
        <w:contextualSpacing/>
        <w:rPr>
          <w:rFonts w:ascii="宋体" w:hAnsi="宋体" w:cs="宋体"/>
          <w:color w:val="000000"/>
          <w:kern w:val="0"/>
          <w:lang w:val="zh-CN"/>
        </w:rPr>
      </w:pPr>
      <w:r>
        <w:rPr>
          <w:rFonts w:hint="eastAsia" w:ascii="宋体" w:hAnsi="宋体" w:cs="宋体"/>
          <w:color w:val="000000"/>
          <w:kern w:val="0"/>
          <w:lang w:val="zh-CN"/>
        </w:rPr>
        <w:t xml:space="preserve">    1、支付方式：银行转账</w:t>
      </w:r>
    </w:p>
    <w:p>
      <w:pPr>
        <w:pStyle w:val="15"/>
        <w:spacing w:line="360" w:lineRule="auto"/>
        <w:contextualSpacing/>
        <w:rPr>
          <w:rFonts w:ascii="宋体" w:hAnsi="宋体" w:cs="宋体"/>
          <w:color w:val="FF0000"/>
          <w:kern w:val="0"/>
          <w:lang w:val="zh-CN"/>
        </w:rPr>
      </w:pPr>
      <w:r>
        <w:rPr>
          <w:rFonts w:hint="eastAsia" w:ascii="宋体" w:hAnsi="宋体" w:cs="宋体"/>
          <w:color w:val="000000"/>
          <w:kern w:val="0"/>
          <w:lang w:val="zh-CN"/>
        </w:rPr>
        <w:t xml:space="preserve">    2、支付时间及条件：</w:t>
      </w:r>
      <w:r>
        <w:rPr>
          <w:rFonts w:hint="eastAsia" w:ascii="宋体" w:hAnsi="宋体" w:eastAsiaTheme="minorEastAsia"/>
          <w:color w:val="000000"/>
        </w:rPr>
        <w:t>在完成服务任务后每两个月支付一次合同款，半个月合同款最后一次性拨付。</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br w:type="textWrapping"/>
      </w:r>
    </w:p>
    <w:p>
      <w:pPr>
        <w:widowControl/>
        <w:jc w:val="left"/>
        <w:rPr>
          <w:rFonts w:ascii="宋体" w:hAnsi="宋体" w:cs="微软雅黑"/>
          <w:b/>
          <w:color w:val="FF0000"/>
          <w:sz w:val="24"/>
        </w:rPr>
      </w:pPr>
      <w:r>
        <w:rPr>
          <w:rFonts w:ascii="宋体" w:hAnsi="宋体" w:cs="微软雅黑"/>
          <w:b/>
          <w:color w:val="FF0000"/>
          <w:sz w:val="24"/>
        </w:rPr>
        <w:br w:type="page"/>
      </w:r>
    </w:p>
    <w:p>
      <w:pPr>
        <w:pStyle w:val="28"/>
        <w:numPr>
          <w:ilvl w:val="0"/>
          <w:numId w:val="4"/>
        </w:numPr>
        <w:spacing w:before="0" w:after="0"/>
        <w:rPr>
          <w:kern w:val="0"/>
          <w:sz w:val="44"/>
          <w:szCs w:val="44"/>
        </w:rPr>
      </w:pPr>
      <w:r>
        <w:rPr>
          <w:rFonts w:hint="eastAsia"/>
          <w:kern w:val="0"/>
          <w:sz w:val="44"/>
          <w:szCs w:val="44"/>
        </w:rPr>
        <w:t>投标人须知前附表</w:t>
      </w:r>
      <w:bookmarkEnd w:id="2"/>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许开路大货车禁行、芙蓉广场环保监测站点聘用保安管控项目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JZFCG-G2018131-1号</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项目内容：</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A包：许开路大货车禁行管控聘用保安人员13人；</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B包：芙蓉广场环保监测站点管控聘用保安人员26人。</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采购人：许昌市城乡一体化示范区建设环保局</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址：许昌示范区管理委员会（魏武路中段）</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 系 人：郭先生     联系电话：0374-3372707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代理机构：永明项目管理有限公司</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址：河南省许昌市瑞贝卡和天下</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6、资质等级证书。（企业投标提供）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7、相关人员资格证书。（企业投标提供）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）和“国家企业信用公示系统”网站（www.gsxt.gov.cn）；</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rPr>
              <w:t>A包：303000元，B包：571800元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2019年2月18日9时30分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三</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ascii="宋体" w:hAnsi="宋体" w:eastAsia="宋体" w:cs="宋体"/>
                <w:kern w:val="0"/>
                <w:sz w:val="24"/>
                <w:szCs w:val="24"/>
                <w:lang w:val="zh-CN"/>
              </w:rPr>
              <w:br w:type="textWrapping"/>
            </w:r>
            <w:r>
              <w:rPr>
                <w:rFonts w:hint="eastAsia" w:ascii="宋体" w:hAnsi="宋体" w:eastAsia="宋体" w:cs="宋体"/>
                <w:b/>
                <w:kern w:val="0"/>
                <w:sz w:val="24"/>
                <w:szCs w:val="24"/>
                <w:lang w:val="zh-CN"/>
              </w:rPr>
              <w:t>A包</w:t>
            </w:r>
            <w:r>
              <w:rPr>
                <w:rFonts w:hint="eastAsia" w:ascii="宋体" w:hAnsi="宋体" w:eastAsia="宋体" w:cs="宋体"/>
                <w:b/>
                <w:bCs/>
                <w:kern w:val="0"/>
                <w:sz w:val="24"/>
                <w:szCs w:val="24"/>
                <w:lang w:val="zh-CN"/>
              </w:rPr>
              <w:t>：陆仟元整（¥</w:t>
            </w:r>
            <w:r>
              <w:rPr>
                <w:rFonts w:hint="eastAsia" w:ascii="宋体" w:hAnsi="宋体" w:eastAsia="宋体" w:cs="宋体"/>
                <w:b/>
                <w:bCs/>
                <w:kern w:val="0"/>
                <w:sz w:val="24"/>
                <w:szCs w:val="24"/>
              </w:rPr>
              <w:t>6000</w:t>
            </w:r>
            <w:r>
              <w:rPr>
                <w:rFonts w:hint="eastAsia" w:ascii="宋体" w:hAnsi="宋体" w:eastAsia="宋体" w:cs="宋体"/>
                <w:b/>
                <w:bCs/>
                <w:kern w:val="0"/>
                <w:sz w:val="24"/>
                <w:szCs w:val="24"/>
                <w:lang w:val="zh-CN"/>
              </w:rPr>
              <w:t>.00元）；</w:t>
            </w:r>
            <w:r>
              <w:rPr>
                <w:rFonts w:ascii="宋体" w:hAnsi="宋体" w:eastAsia="宋体" w:cs="宋体"/>
                <w:b/>
                <w:bCs/>
                <w:kern w:val="0"/>
                <w:sz w:val="24"/>
                <w:szCs w:val="24"/>
                <w:lang w:val="zh-CN"/>
              </w:rPr>
              <w:br w:type="textWrapping"/>
            </w:r>
            <w:r>
              <w:rPr>
                <w:rFonts w:hint="eastAsia" w:ascii="宋体" w:hAnsi="宋体" w:eastAsia="宋体" w:cs="宋体"/>
                <w:b/>
                <w:kern w:val="0"/>
                <w:sz w:val="24"/>
                <w:szCs w:val="24"/>
                <w:lang w:val="zh-CN"/>
              </w:rPr>
              <w:t>B包</w:t>
            </w:r>
            <w:r>
              <w:rPr>
                <w:rFonts w:hint="eastAsia" w:ascii="宋体" w:hAnsi="宋体" w:eastAsia="宋体" w:cs="宋体"/>
                <w:b/>
                <w:bCs/>
                <w:kern w:val="0"/>
                <w:sz w:val="24"/>
                <w:szCs w:val="24"/>
                <w:lang w:val="zh-CN"/>
              </w:rPr>
              <w:t>：壹万壹仟元整（¥</w:t>
            </w:r>
            <w:r>
              <w:rPr>
                <w:rFonts w:hint="eastAsia" w:ascii="宋体" w:hAnsi="宋体" w:eastAsia="宋体" w:cs="宋体"/>
                <w:b/>
                <w:bCs/>
                <w:kern w:val="0"/>
                <w:sz w:val="24"/>
                <w:szCs w:val="24"/>
              </w:rPr>
              <w:t>11000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s="宋体"/>
                <w:color w:val="auto"/>
                <w:kern w:val="0"/>
                <w:sz w:val="24"/>
                <w:szCs w:val="24"/>
                <w:lang w:val="zh-CN"/>
              </w:rPr>
              <w:t>http://221.14.6.70:8088/ggzy</w:t>
            </w:r>
            <w:r>
              <w:rPr>
                <w:rStyle w:val="33"/>
                <w:rFonts w:hint="eastAsia" w:ascii="宋体" w:hAnsi="宋体" w:eastAsia="宋体" w:cs="宋体"/>
                <w:color w:val="auto"/>
                <w:kern w:val="0"/>
                <w:sz w:val="24"/>
                <w:szCs w:val="24"/>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A包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3" w:name="_Toc524770167"/>
      <w:r>
        <w:rPr>
          <w:kern w:val="0"/>
          <w:sz w:val="36"/>
          <w:szCs w:val="36"/>
        </w:rPr>
        <w:br w:type="page"/>
      </w:r>
    </w:p>
    <w:p>
      <w:pPr>
        <w:pStyle w:val="28"/>
        <w:spacing w:before="0" w:after="0"/>
        <w:rPr>
          <w:kern w:val="0"/>
          <w:sz w:val="44"/>
          <w:szCs w:val="44"/>
        </w:rPr>
      </w:pPr>
      <w:r>
        <w:rPr>
          <w:rFonts w:hint="eastAsia"/>
          <w:kern w:val="0"/>
          <w:sz w:val="44"/>
          <w:szCs w:val="44"/>
        </w:rPr>
        <w:t>第四章 投标人须知</w:t>
      </w:r>
      <w:bookmarkEnd w:id="3"/>
    </w:p>
    <w:p>
      <w:pPr>
        <w:jc w:val="center"/>
        <w:outlineLvl w:val="0"/>
        <w:rPr>
          <w:rFonts w:ascii="宋体" w:hAnsi="宋体" w:eastAsia="宋体"/>
          <w:b/>
          <w:sz w:val="28"/>
          <w:szCs w:val="28"/>
        </w:rPr>
      </w:pPr>
      <w:bookmarkStart w:id="4" w:name="_Toc524770168"/>
      <w:r>
        <w:rPr>
          <w:rFonts w:hint="eastAsia" w:ascii="宋体" w:hAnsi="宋体" w:eastAsia="宋体"/>
          <w:b/>
          <w:sz w:val="28"/>
          <w:szCs w:val="28"/>
        </w:rPr>
        <w:t>一、概念释义</w:t>
      </w:r>
      <w:bookmarkEnd w:id="4"/>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（1）查询渠道：“信用中国”网站（www.creditchina.gov.cn）、“中国政府采购网”（www.ccgp.gov.cn）和“国家企业信用公示系统”网站（www.gsxt.gov.cn）；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3"/>
          <w:rFonts w:ascii="宋体" w:hAnsi="宋体" w:eastAsia="宋体"/>
          <w:color w:val="auto"/>
          <w:sz w:val="24"/>
          <w:szCs w:val="24"/>
        </w:rPr>
        <w:t>承担连带责任</w:t>
      </w:r>
      <w:r>
        <w:rPr>
          <w:rStyle w:val="33"/>
          <w:rFonts w:ascii="宋体" w:hAnsi="宋体" w:eastAsia="宋体"/>
          <w:color w:val="auto"/>
          <w:sz w:val="24"/>
          <w:szCs w:val="24"/>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3"/>
          <w:rFonts w:hint="eastAsia" w:ascii="宋体" w:hAnsi="宋体" w:eastAsia="宋体"/>
          <w:color w:val="auto"/>
          <w:sz w:val="24"/>
          <w:szCs w:val="24"/>
        </w:rPr>
        <w:t>中国国家信息安全产品认证证书</w:t>
      </w:r>
      <w:r>
        <w:rPr>
          <w:rStyle w:val="33"/>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5" w:name="_Toc524770169"/>
      <w:r>
        <w:rPr>
          <w:rFonts w:hint="eastAsia" w:ascii="宋体" w:hAnsi="宋体" w:eastAsia="宋体"/>
          <w:b/>
          <w:sz w:val="28"/>
          <w:szCs w:val="28"/>
        </w:rPr>
        <w:t>二、招标文件说明</w:t>
      </w:r>
      <w:bookmarkEnd w:id="5"/>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6" w:name="_Toc524770170"/>
      <w:r>
        <w:rPr>
          <w:rFonts w:hint="eastAsia" w:ascii="宋体" w:hAnsi="宋体" w:eastAsia="宋体"/>
          <w:b/>
          <w:sz w:val="28"/>
          <w:szCs w:val="28"/>
        </w:rPr>
        <w:t>三、投标文件的编制</w:t>
      </w:r>
      <w:bookmarkEnd w:id="6"/>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标段）、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olor w:val="auto"/>
          <w:sz w:val="24"/>
          <w:szCs w:val="24"/>
        </w:rPr>
        <w:t>http://221.14.6.70:8088/ggzy</w:t>
      </w:r>
      <w:r>
        <w:rPr>
          <w:rStyle w:val="33"/>
          <w:rFonts w:hint="eastAsia" w:ascii="宋体" w:hAnsi="宋体" w:eastAsia="宋体"/>
          <w:color w:val="auto"/>
          <w:sz w:val="24"/>
          <w:szCs w:val="24"/>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A包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7" w:name="_Toc524770171"/>
      <w:r>
        <w:rPr>
          <w:rFonts w:hint="eastAsia" w:ascii="宋体" w:hAnsi="宋体" w:eastAsia="宋体"/>
          <w:b/>
          <w:sz w:val="28"/>
          <w:szCs w:val="28"/>
        </w:rPr>
        <w:t>四、投标文件的递交</w:t>
      </w:r>
      <w:bookmarkEnd w:id="7"/>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项目名称/包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8" w:name="_Toc524770172"/>
      <w:r>
        <w:rPr>
          <w:rFonts w:hint="eastAsia" w:ascii="宋体" w:hAnsi="宋体" w:eastAsia="宋体"/>
          <w:b/>
          <w:sz w:val="28"/>
          <w:szCs w:val="28"/>
        </w:rPr>
        <w:t>五、开标和评标</w:t>
      </w:r>
      <w:bookmarkEnd w:id="8"/>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9" w:name="_Toc524770173"/>
      <w:r>
        <w:rPr>
          <w:rFonts w:hint="eastAsia" w:ascii="宋体" w:hAnsi="宋体" w:eastAsia="宋体"/>
          <w:b/>
          <w:sz w:val="28"/>
          <w:szCs w:val="28"/>
        </w:rPr>
        <w:t>六、定标和授予合同</w:t>
      </w:r>
      <w:bookmarkEnd w:id="9"/>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10" w:name="_Toc524770174"/>
      <w:r>
        <w:rPr>
          <w:rFonts w:hint="eastAsia"/>
          <w:kern w:val="0"/>
          <w:sz w:val="44"/>
          <w:szCs w:val="44"/>
        </w:rPr>
        <w:t>第五章 政府采购政策功能</w:t>
      </w:r>
      <w:bookmarkEnd w:id="10"/>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1" w:name="OLE_LINK6"/>
      <w:r>
        <w:rPr>
          <w:rFonts w:hint="eastAsia" w:ascii="宋体" w:hAnsi="宋体" w:eastAsia="宋体" w:cs="宋体"/>
          <w:kern w:val="0"/>
          <w:sz w:val="24"/>
          <w:szCs w:val="24"/>
          <w:lang w:val="zh-CN"/>
        </w:rPr>
        <w:t>财库[2014]68号</w:t>
      </w:r>
      <w:bookmarkEnd w:id="11"/>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2" w:name="_Toc524770175"/>
      <w:r>
        <w:rPr>
          <w:rFonts w:hint="eastAsia"/>
          <w:kern w:val="0"/>
          <w:sz w:val="44"/>
          <w:szCs w:val="44"/>
        </w:rPr>
        <w:t>第六章 评标办法</w:t>
      </w:r>
      <w:bookmarkEnd w:id="12"/>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p>
            <w:pPr>
              <w:spacing w:line="360" w:lineRule="auto"/>
              <w:rPr>
                <w:rFonts w:ascii="宋体" w:hAnsi="宋体" w:eastAsia="宋体"/>
                <w:bCs/>
                <w:sz w:val="24"/>
                <w:szCs w:val="24"/>
              </w:rPr>
            </w:pPr>
            <w:r>
              <w:rPr>
                <w:rFonts w:hint="eastAsia" w:ascii="宋体" w:hAnsi="宋体" w:eastAsia="宋体"/>
                <w:bCs/>
                <w:sz w:val="24"/>
                <w:szCs w:val="24"/>
              </w:rPr>
              <w:t>（6）资质等级证书。（企业投标提供）</w:t>
            </w:r>
          </w:p>
          <w:p>
            <w:pPr>
              <w:spacing w:line="360" w:lineRule="auto"/>
              <w:rPr>
                <w:rFonts w:ascii="宋体" w:hAnsi="宋体" w:eastAsia="宋体"/>
                <w:bCs/>
                <w:sz w:val="24"/>
                <w:szCs w:val="24"/>
              </w:rPr>
            </w:pPr>
            <w:r>
              <w:rPr>
                <w:rFonts w:hint="eastAsia" w:ascii="宋体" w:hAnsi="宋体" w:eastAsia="宋体"/>
                <w:bCs/>
                <w:sz w:val="24"/>
                <w:szCs w:val="24"/>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（1）查询渠道：“信用中国”网站（www.creditchina.gov.cn）、“中国政府采购网”（www.ccgp.gov.cn）和“国家企业信用公示系统”网站（www.gsxt.gov.cn）；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w:t>
            </w:r>
            <w:r>
              <w:rPr>
                <w:rFonts w:hint="eastAsia" w:ascii="宋体" w:hAnsi="宋体" w:eastAsia="宋体"/>
                <w:sz w:val="24"/>
                <w:szCs w:val="24"/>
              </w:rPr>
              <w:t>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宋体" w:hAnsi="宋体" w:eastAsia="宋体"/>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宋体" w:hAnsi="宋体" w:eastAsia="宋体"/>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4"/>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7204" w:type="dxa"/>
            <w:gridSpan w:val="2"/>
            <w:vAlign w:val="center"/>
          </w:tcPr>
          <w:p>
            <w:pPr>
              <w:spacing w:line="360" w:lineRule="auto"/>
              <w:ind w:firstLine="480" w:firstLineChars="200"/>
              <w:rPr>
                <w:rFonts w:ascii="宋体" w:hAnsi="宋体"/>
                <w:sz w:val="24"/>
              </w:rPr>
            </w:pPr>
            <w:r>
              <w:rPr>
                <w:rFonts w:hint="eastAsia" w:ascii="宋体" w:hAnsi="宋体"/>
                <w:sz w:val="24"/>
              </w:rPr>
              <w:t>价格分值：</w:t>
            </w:r>
            <w:r>
              <w:rPr>
                <w:rFonts w:hint="eastAsia" w:ascii="宋体" w:hAnsi="宋体"/>
                <w:sz w:val="24"/>
                <w:u w:val="single"/>
              </w:rPr>
              <w:t>20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商务部分：</w:t>
            </w:r>
            <w:r>
              <w:rPr>
                <w:rFonts w:hint="eastAsia" w:ascii="宋体" w:hAnsi="宋体"/>
                <w:sz w:val="24"/>
                <w:u w:val="single"/>
              </w:rPr>
              <w:t>35</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技术部分：</w:t>
            </w:r>
            <w:r>
              <w:rPr>
                <w:rFonts w:hint="eastAsia" w:ascii="宋体" w:hAnsi="宋体"/>
                <w:sz w:val="24"/>
                <w:u w:val="single"/>
              </w:rPr>
              <w:t>45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sz w:val="24"/>
              </w:rPr>
            </w:pPr>
            <w:r>
              <w:rPr>
                <w:rFonts w:hint="eastAsia" w:ascii="宋体" w:hAnsi="宋体"/>
                <w:b/>
                <w:sz w:val="24"/>
              </w:rPr>
              <w:t>价格部分（满分</w:t>
            </w:r>
            <w:r>
              <w:rPr>
                <w:rFonts w:hint="eastAsia" w:ascii="宋体" w:hAnsi="宋体"/>
                <w:b/>
                <w:sz w:val="24"/>
                <w:u w:val="single"/>
              </w:rPr>
              <w:t>20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tcBorders>
              <w:top w:val="single" w:color="auto" w:sz="4" w:space="0"/>
            </w:tcBorders>
            <w:vAlign w:val="center"/>
          </w:tcPr>
          <w:p>
            <w:pPr>
              <w:jc w:val="center"/>
              <w:rPr>
                <w:rFonts w:ascii="宋体" w:hAnsi="宋体"/>
                <w:b/>
                <w:sz w:val="24"/>
              </w:rPr>
            </w:pPr>
            <w:r>
              <w:rPr>
                <w:rFonts w:hint="eastAsia" w:ascii="宋体" w:hAnsi="宋体"/>
                <w:b/>
                <w:sz w:val="24"/>
              </w:rPr>
              <w:t>评标标准</w:t>
            </w:r>
          </w:p>
        </w:tc>
        <w:tc>
          <w:tcPr>
            <w:tcW w:w="967" w:type="dxa"/>
            <w:tcBorders>
              <w:top w:val="single" w:color="auto" w:sz="4" w:space="0"/>
            </w:tcBorders>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投标报价</w:t>
            </w:r>
          </w:p>
          <w:p>
            <w:pPr>
              <w:spacing w:line="360" w:lineRule="auto"/>
              <w:jc w:val="center"/>
              <w:rPr>
                <w:rFonts w:ascii="宋体" w:hAnsi="宋体"/>
                <w:sz w:val="24"/>
              </w:rPr>
            </w:pPr>
            <w:r>
              <w:rPr>
                <w:rFonts w:hint="eastAsia" w:ascii="宋体" w:hAnsi="宋体"/>
                <w:sz w:val="24"/>
              </w:rPr>
              <w:t>评分标准</w:t>
            </w:r>
          </w:p>
        </w:tc>
        <w:tc>
          <w:tcPr>
            <w:tcW w:w="6237" w:type="dxa"/>
            <w:tcBorders>
              <w:top w:val="single" w:color="auto" w:sz="4" w:space="0"/>
            </w:tcBorders>
            <w:vAlign w:val="center"/>
          </w:tcPr>
          <w:p>
            <w:pPr>
              <w:spacing w:line="360" w:lineRule="auto"/>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rPr>
                <w:rFonts w:ascii="宋体" w:hAnsi="宋体"/>
                <w:sz w:val="24"/>
              </w:rPr>
            </w:pPr>
            <w:r>
              <w:rPr>
                <w:rFonts w:hint="eastAsia" w:ascii="宋体" w:hAnsi="宋体"/>
                <w:sz w:val="24"/>
              </w:rPr>
              <w:t>投标报价得分=（评标基准价/投标报价）×</w:t>
            </w:r>
            <w:r>
              <w:rPr>
                <w:rFonts w:hint="eastAsia" w:ascii="宋体" w:hAnsi="宋体"/>
                <w:sz w:val="24"/>
                <w:u w:val="single"/>
              </w:rPr>
              <w:t>20</w:t>
            </w:r>
          </w:p>
        </w:tc>
        <w:tc>
          <w:tcPr>
            <w:tcW w:w="967" w:type="dxa"/>
            <w:tcBorders>
              <w:top w:val="single" w:color="auto" w:sz="4" w:space="0"/>
            </w:tcBorders>
            <w:vAlign w:val="center"/>
          </w:tcPr>
          <w:p>
            <w:pPr>
              <w:jc w:val="center"/>
              <w:rPr>
                <w:rFonts w:ascii="宋体" w:hAnsi="宋体"/>
                <w:sz w:val="24"/>
              </w:rPr>
            </w:pPr>
            <w:r>
              <w:rPr>
                <w:rFonts w:hint="eastAsia" w:ascii="宋体" w:hAnsi="宋体"/>
                <w:sz w:val="24"/>
                <w:u w:val="single"/>
              </w:rPr>
              <w:t>20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sz w:val="24"/>
              </w:rPr>
            </w:pPr>
            <w:r>
              <w:rPr>
                <w:rFonts w:hint="eastAsia" w:ascii="宋体" w:hAnsi="宋体"/>
                <w:b/>
                <w:sz w:val="24"/>
              </w:rPr>
              <w:t>商务部分（满分</w:t>
            </w:r>
            <w:r>
              <w:rPr>
                <w:rFonts w:hint="eastAsia" w:ascii="宋体" w:hAnsi="宋体"/>
                <w:b/>
                <w:sz w:val="24"/>
                <w:u w:val="single"/>
              </w:rPr>
              <w:t>35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sz w:val="24"/>
              </w:rPr>
              <w:t>企业业绩</w:t>
            </w:r>
          </w:p>
        </w:tc>
        <w:tc>
          <w:tcPr>
            <w:tcW w:w="6237" w:type="dxa"/>
            <w:vAlign w:val="center"/>
          </w:tcPr>
          <w:p>
            <w:pPr>
              <w:spacing w:line="360" w:lineRule="auto"/>
              <w:rPr>
                <w:rFonts w:ascii="仿宋" w:hAnsi="仿宋" w:eastAsia="仿宋"/>
                <w:b/>
                <w:sz w:val="24"/>
              </w:rPr>
            </w:pPr>
            <w:r>
              <w:rPr>
                <w:rFonts w:hint="eastAsia" w:ascii="宋体" w:hAnsi="宋体"/>
                <w:color w:val="000000"/>
                <w:sz w:val="24"/>
                <w:szCs w:val="24"/>
              </w:rPr>
              <w:t>投标人2015年1月1日（以签订合同日期为准）至今保安服务业绩情况酌情给分；每提供合同金额在100万元及以上的，每提供1份得2分，最高12分。（以业绩合同为准）</w:t>
            </w:r>
          </w:p>
        </w:tc>
        <w:tc>
          <w:tcPr>
            <w:tcW w:w="967" w:type="dxa"/>
            <w:vAlign w:val="center"/>
          </w:tcPr>
          <w:p>
            <w:pPr>
              <w:jc w:val="center"/>
              <w:rPr>
                <w:rFonts w:ascii="仿宋" w:hAnsi="仿宋" w:eastAsia="仿宋"/>
                <w:sz w:val="28"/>
                <w:szCs w:val="28"/>
              </w:rPr>
            </w:pPr>
            <w:r>
              <w:rPr>
                <w:rFonts w:hint="eastAsia" w:ascii="仿宋" w:hAnsi="仿宋" w:eastAsia="仿宋"/>
                <w:sz w:val="24"/>
                <w:u w:val="single"/>
              </w:rPr>
              <w:t>12</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762" w:type="dxa"/>
            <w:vMerge w:val="restart"/>
            <w:vAlign w:val="center"/>
          </w:tcPr>
          <w:p>
            <w:pPr>
              <w:spacing w:line="360" w:lineRule="exact"/>
              <w:jc w:val="center"/>
              <w:rPr>
                <w:rFonts w:ascii="宋体" w:hAnsi="宋体"/>
                <w:sz w:val="24"/>
              </w:rPr>
            </w:pPr>
            <w:r>
              <w:rPr>
                <w:rFonts w:hint="eastAsia" w:ascii="宋体" w:hAnsi="宋体"/>
                <w:sz w:val="24"/>
              </w:rPr>
              <w:t>企业实力</w:t>
            </w:r>
          </w:p>
        </w:tc>
        <w:tc>
          <w:tcPr>
            <w:tcW w:w="6237" w:type="dxa"/>
            <w:vAlign w:val="center"/>
          </w:tcPr>
          <w:p>
            <w:pPr>
              <w:snapToGrid w:val="0"/>
              <w:spacing w:line="360" w:lineRule="auto"/>
              <w:rPr>
                <w:rFonts w:ascii="宋体" w:hAnsi="宋体"/>
                <w:sz w:val="24"/>
              </w:rPr>
            </w:pPr>
            <w:r>
              <w:rPr>
                <w:rFonts w:hint="eastAsia" w:ascii="宋体" w:hAnsi="宋体"/>
                <w:sz w:val="24"/>
              </w:rPr>
              <w:t>1、投标人通过质量管理体系认证、环境管理体系认证、职业健康安全管理体系认证，每项得1分，最高得3分。</w:t>
            </w:r>
          </w:p>
        </w:tc>
        <w:tc>
          <w:tcPr>
            <w:tcW w:w="967" w:type="dxa"/>
            <w:vMerge w:val="restart"/>
            <w:vAlign w:val="center"/>
          </w:tcPr>
          <w:p>
            <w:pPr>
              <w:jc w:val="center"/>
              <w:rPr>
                <w:rFonts w:ascii="仿宋" w:hAnsi="仿宋" w:eastAsia="仿宋"/>
                <w:sz w:val="28"/>
                <w:szCs w:val="28"/>
                <w:u w:val="single"/>
              </w:rPr>
            </w:pPr>
            <w:r>
              <w:rPr>
                <w:rFonts w:hint="eastAsia" w:ascii="仿宋" w:hAnsi="仿宋" w:eastAsia="仿宋"/>
                <w:sz w:val="24"/>
                <w:u w:val="single"/>
              </w:rPr>
              <w:t>8</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Merge w:val="continue"/>
            <w:vAlign w:val="center"/>
          </w:tcPr>
          <w:p>
            <w:pPr>
              <w:spacing w:line="360" w:lineRule="exact"/>
              <w:jc w:val="center"/>
              <w:rPr>
                <w:rFonts w:ascii="宋体" w:hAnsi="宋体"/>
                <w:sz w:val="24"/>
              </w:rPr>
            </w:pPr>
          </w:p>
        </w:tc>
        <w:tc>
          <w:tcPr>
            <w:tcW w:w="6237" w:type="dxa"/>
            <w:vAlign w:val="center"/>
          </w:tcPr>
          <w:p>
            <w:pPr>
              <w:snapToGrid w:val="0"/>
              <w:spacing w:line="360" w:lineRule="auto"/>
              <w:rPr>
                <w:rFonts w:ascii="宋体" w:hAnsi="宋体"/>
                <w:sz w:val="24"/>
              </w:rPr>
            </w:pPr>
            <w:r>
              <w:rPr>
                <w:rFonts w:hint="eastAsia" w:ascii="宋体" w:hAnsi="宋体"/>
                <w:sz w:val="24"/>
              </w:rPr>
              <w:t>2、2015年1月1日以来（以获奖年度为准），获得地市级主管部门表彰、荣誉的每项得1分，本项最高得3分。</w:t>
            </w:r>
          </w:p>
        </w:tc>
        <w:tc>
          <w:tcPr>
            <w:tcW w:w="967" w:type="dxa"/>
            <w:vMerge w:val="continue"/>
            <w:vAlign w:val="center"/>
          </w:tcPr>
          <w:p>
            <w:pPr>
              <w:jc w:val="center"/>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1762" w:type="dxa"/>
            <w:vMerge w:val="continue"/>
            <w:vAlign w:val="center"/>
          </w:tcPr>
          <w:p>
            <w:pPr>
              <w:spacing w:line="360" w:lineRule="exact"/>
              <w:jc w:val="center"/>
              <w:rPr>
                <w:rFonts w:ascii="宋体" w:hAnsi="宋体"/>
                <w:sz w:val="24"/>
              </w:rPr>
            </w:pPr>
          </w:p>
        </w:tc>
        <w:tc>
          <w:tcPr>
            <w:tcW w:w="6237" w:type="dxa"/>
            <w:vAlign w:val="center"/>
          </w:tcPr>
          <w:p>
            <w:pPr>
              <w:snapToGrid w:val="0"/>
              <w:spacing w:line="360" w:lineRule="auto"/>
              <w:rPr>
                <w:rFonts w:ascii="宋体" w:hAnsi="宋体"/>
                <w:sz w:val="24"/>
              </w:rPr>
            </w:pPr>
            <w:r>
              <w:rPr>
                <w:rFonts w:hint="eastAsia" w:ascii="宋体" w:hAnsi="宋体"/>
                <w:sz w:val="24"/>
              </w:rPr>
              <w:t>3、2015年1月1日以来注册地市级（不包括县级市）及以上经社会信用体系建设主管部门认可的信用评级机构出具的有效的企业信用报告，等级为AAA级的得2分；AA级的得1分。（提供AAA信用等级证书和企业信用报告)</w:t>
            </w:r>
          </w:p>
        </w:tc>
        <w:tc>
          <w:tcPr>
            <w:tcW w:w="967" w:type="dxa"/>
            <w:vMerge w:val="continue"/>
            <w:vAlign w:val="center"/>
          </w:tcPr>
          <w:p>
            <w:pPr>
              <w:jc w:val="center"/>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售后服务方案</w:t>
            </w:r>
          </w:p>
          <w:p>
            <w:pPr>
              <w:spacing w:line="360" w:lineRule="auto"/>
              <w:jc w:val="center"/>
              <w:rPr>
                <w:rFonts w:ascii="宋体" w:hAnsi="宋体"/>
                <w:color w:val="000000"/>
                <w:sz w:val="24"/>
                <w:szCs w:val="24"/>
              </w:rPr>
            </w:pPr>
            <w:r>
              <w:rPr>
                <w:rFonts w:hint="eastAsia" w:ascii="宋体" w:hAnsi="宋体"/>
                <w:color w:val="000000"/>
                <w:sz w:val="24"/>
                <w:szCs w:val="24"/>
              </w:rPr>
              <w:t>及承诺</w:t>
            </w:r>
          </w:p>
        </w:tc>
        <w:tc>
          <w:tcPr>
            <w:tcW w:w="6237" w:type="dxa"/>
            <w:vAlign w:val="center"/>
          </w:tcPr>
          <w:p>
            <w:pPr>
              <w:spacing w:line="360" w:lineRule="auto"/>
              <w:rPr>
                <w:rFonts w:ascii="宋体" w:hAnsi="宋体"/>
                <w:color w:val="000000"/>
                <w:sz w:val="24"/>
                <w:szCs w:val="24"/>
              </w:rPr>
            </w:pPr>
            <w:r>
              <w:rPr>
                <w:rFonts w:hint="eastAsia" w:ascii="宋体" w:hAnsi="宋体"/>
                <w:color w:val="000000"/>
                <w:sz w:val="24"/>
                <w:szCs w:val="24"/>
              </w:rPr>
              <w:t>除满足本招标文件内对保安服务的所有实质性要求之外还有其他服务承诺且完整、可行的得15分，有相关描述的得5分，没有不得分。</w:t>
            </w:r>
          </w:p>
        </w:tc>
        <w:tc>
          <w:tcPr>
            <w:tcW w:w="967" w:type="dxa"/>
            <w:vAlign w:val="center"/>
          </w:tcPr>
          <w:p>
            <w:pPr>
              <w:spacing w:line="360" w:lineRule="auto"/>
              <w:rPr>
                <w:rFonts w:ascii="宋体" w:hAnsi="宋体"/>
                <w:color w:val="000000"/>
                <w:sz w:val="24"/>
                <w:szCs w:val="24"/>
              </w:rPr>
            </w:pPr>
            <w:r>
              <w:rPr>
                <w:rFonts w:hint="eastAsia" w:ascii="宋体" w:hAnsi="宋体"/>
                <w:color w:val="000000"/>
                <w:sz w:val="24"/>
                <w:szCs w:val="24"/>
                <w:u w:val="single"/>
              </w:rPr>
              <w:t>15</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hAnsi="宋体"/>
                <w:b/>
                <w:sz w:val="24"/>
              </w:rPr>
            </w:pPr>
            <w:r>
              <w:rPr>
                <w:rFonts w:hint="eastAsia" w:ascii="宋体" w:hAnsi="宋体"/>
                <w:b/>
                <w:sz w:val="24"/>
              </w:rPr>
              <w:t>技术部分（满分</w:t>
            </w:r>
            <w:r>
              <w:rPr>
                <w:rFonts w:hint="eastAsia" w:ascii="宋体" w:hAnsi="宋体"/>
                <w:b/>
                <w:sz w:val="24"/>
                <w:u w:val="single"/>
              </w:rPr>
              <w:t>45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62" w:type="dxa"/>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宋体" w:hAnsi="宋体"/>
                <w:sz w:val="24"/>
              </w:rPr>
            </w:pPr>
            <w:r>
              <w:rPr>
                <w:rFonts w:hint="eastAsia" w:ascii="宋体" w:hAnsi="宋体"/>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宋体" w:hAnsi="宋体"/>
                <w:sz w:val="24"/>
              </w:rPr>
            </w:pPr>
            <w:r>
              <w:rPr>
                <w:rFonts w:hint="eastAsia" w:ascii="宋体" w:hAnsi="宋体"/>
                <w:sz w:val="24"/>
                <w:u w:val="single"/>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宋体" w:hAnsi="宋体"/>
                <w:sz w:val="24"/>
              </w:rPr>
            </w:pPr>
            <w:r>
              <w:rPr>
                <w:rFonts w:hint="eastAsia" w:ascii="宋体" w:hAnsi="宋体"/>
                <w:sz w:val="24"/>
                <w:u w:val="single"/>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62" w:type="dxa"/>
            <w:vMerge w:val="restart"/>
            <w:vAlign w:val="center"/>
          </w:tcPr>
          <w:p>
            <w:pPr>
              <w:spacing w:line="360" w:lineRule="exact"/>
              <w:jc w:val="center"/>
              <w:rPr>
                <w:rFonts w:ascii="仿宋" w:hAnsi="仿宋" w:eastAsia="仿宋"/>
                <w:sz w:val="28"/>
                <w:szCs w:val="28"/>
              </w:rPr>
            </w:pPr>
            <w:r>
              <w:rPr>
                <w:rFonts w:hint="eastAsia" w:ascii="宋体" w:hAnsi="宋体"/>
                <w:sz w:val="24"/>
              </w:rPr>
              <w:t>对招标文件的响应程度</w:t>
            </w:r>
          </w:p>
        </w:tc>
        <w:tc>
          <w:tcPr>
            <w:tcW w:w="6237" w:type="dxa"/>
            <w:vAlign w:val="center"/>
          </w:tcPr>
          <w:p>
            <w:pPr>
              <w:snapToGrid w:val="0"/>
              <w:spacing w:line="360" w:lineRule="auto"/>
              <w:rPr>
                <w:rFonts w:ascii="宋体" w:hAnsi="宋体" w:cs="Courier New"/>
                <w:bCs/>
                <w:sz w:val="24"/>
              </w:rPr>
            </w:pPr>
            <w:r>
              <w:rPr>
                <w:rFonts w:hint="eastAsia" w:ascii="宋体" w:hAnsi="宋体"/>
                <w:b/>
                <w:bCs/>
                <w:sz w:val="24"/>
              </w:rPr>
              <w:t>不满足招标文件技术指标要求和商务条款规定的为无效投标。</w:t>
            </w:r>
          </w:p>
        </w:tc>
        <w:tc>
          <w:tcPr>
            <w:tcW w:w="967" w:type="dxa"/>
            <w:vAlign w:val="center"/>
          </w:tcPr>
          <w:p>
            <w:pPr>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auto"/>
              <w:rPr>
                <w:rFonts w:ascii="宋体" w:hAnsi="宋体"/>
                <w:color w:val="000000"/>
                <w:sz w:val="24"/>
                <w:szCs w:val="24"/>
              </w:rPr>
            </w:pPr>
            <w:r>
              <w:rPr>
                <w:rFonts w:hint="eastAsia" w:ascii="宋体" w:hAnsi="宋体"/>
                <w:color w:val="000000"/>
                <w:sz w:val="24"/>
                <w:szCs w:val="24"/>
              </w:rPr>
              <w:t>1、能提供详细、完整、全面的具体工作实施方案得10分；有相关描述的得4分，没有不得分。</w:t>
            </w:r>
          </w:p>
          <w:p>
            <w:pPr>
              <w:spacing w:line="360" w:lineRule="auto"/>
              <w:rPr>
                <w:rFonts w:ascii="宋体" w:hAnsi="宋体"/>
                <w:color w:val="000000"/>
                <w:sz w:val="24"/>
                <w:szCs w:val="24"/>
              </w:rPr>
            </w:pPr>
            <w:r>
              <w:rPr>
                <w:rFonts w:hint="eastAsia" w:ascii="宋体" w:hAnsi="宋体"/>
                <w:color w:val="000000"/>
                <w:sz w:val="24"/>
                <w:szCs w:val="24"/>
              </w:rPr>
              <w:t>2、岗位配置合理，投入保安服务人员有明确的岗位职责分工描述的得10分；有相关描述的得4分；没有不得分。</w:t>
            </w:r>
          </w:p>
          <w:p>
            <w:pPr>
              <w:spacing w:line="360" w:lineRule="auto"/>
              <w:rPr>
                <w:rFonts w:ascii="宋体" w:hAnsi="宋体"/>
                <w:color w:val="000000"/>
                <w:sz w:val="24"/>
                <w:szCs w:val="24"/>
              </w:rPr>
            </w:pPr>
            <w:r>
              <w:rPr>
                <w:rFonts w:hint="eastAsia" w:ascii="宋体" w:hAnsi="宋体"/>
                <w:color w:val="000000"/>
                <w:sz w:val="24"/>
                <w:szCs w:val="24"/>
              </w:rPr>
              <w:t>3、有完善的岗位职责制度以及健全的企业内部管理规章制度，得10分，有相关描述的得4分，不提供者不得分。</w:t>
            </w:r>
          </w:p>
          <w:p>
            <w:pPr>
              <w:pStyle w:val="64"/>
              <w:ind w:firstLine="0" w:firstLineChars="0"/>
              <w:jc w:val="both"/>
              <w:rPr>
                <w:rFonts w:ascii="宋体" w:hAnsi="宋体" w:cs="Courier New"/>
                <w:bCs/>
              </w:rPr>
            </w:pPr>
            <w:r>
              <w:rPr>
                <w:rFonts w:hint="eastAsia" w:ascii="宋体" w:hAnsi="宋体"/>
                <w:color w:val="000000"/>
                <w:szCs w:val="24"/>
              </w:rPr>
              <w:t>4、结合招标人实际特点，能够制定合理、可行的应急预案得10分，有相关描述的得4分，不提供者不得分。</w:t>
            </w:r>
          </w:p>
        </w:tc>
        <w:tc>
          <w:tcPr>
            <w:tcW w:w="967" w:type="dxa"/>
            <w:vAlign w:val="center"/>
          </w:tcPr>
          <w:p>
            <w:pPr>
              <w:jc w:val="center"/>
              <w:rPr>
                <w:rFonts w:ascii="宋体" w:hAnsi="宋体"/>
                <w:sz w:val="24"/>
              </w:rPr>
            </w:pPr>
            <w:r>
              <w:rPr>
                <w:rFonts w:hint="eastAsia" w:ascii="宋体" w:hAnsi="宋体"/>
                <w:sz w:val="24"/>
                <w:u w:val="single"/>
              </w:rPr>
              <w:t>40</w:t>
            </w:r>
            <w:r>
              <w:rPr>
                <w:rFonts w:hint="eastAsia" w:ascii="宋体" w:hAnsi="宋体"/>
                <w:sz w:val="24"/>
              </w:rPr>
              <w:t>分</w:t>
            </w:r>
          </w:p>
        </w:tc>
      </w:tr>
    </w:tbl>
    <w:p>
      <w:pPr>
        <w:widowControl/>
        <w:jc w:val="left"/>
        <w:rPr>
          <w:rFonts w:ascii="宋体" w:hAnsi="宋体" w:eastAsia="宋体"/>
          <w:b/>
          <w:bCs/>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color w:val="FF0000"/>
          <w:sz w:val="24"/>
          <w:szCs w:val="24"/>
          <w:lang w:val="en-GB"/>
        </w:rPr>
      </w:pPr>
      <w:r>
        <w:rPr>
          <w:rFonts w:hint="eastAsia" w:ascii="宋体" w:hAnsi="宋体" w:eastAsia="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13"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13"/>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4" w:name="_Toc524770177"/>
      <w:r>
        <w:rPr>
          <w:rFonts w:hint="eastAsia"/>
          <w:kern w:val="0"/>
          <w:sz w:val="44"/>
          <w:szCs w:val="44"/>
        </w:rPr>
        <w:t>第八章 投标文件有关格式</w:t>
      </w:r>
      <w:bookmarkEnd w:id="14"/>
    </w:p>
    <w:p>
      <w:pPr>
        <w:jc w:val="right"/>
        <w:rPr>
          <w:rStyle w:val="39"/>
          <w:rFonts w:ascii="宋体" w:hAnsi="宋体" w:eastAsia="宋体"/>
        </w:rPr>
      </w:pPr>
      <w:bookmarkStart w:id="15" w:name="_Toc184023138"/>
      <w:bookmarkStart w:id="16" w:name="_Toc186274126"/>
      <w:bookmarkStart w:id="17" w:name="_Toc174185203"/>
      <w:r>
        <w:rPr>
          <w:rStyle w:val="39"/>
          <w:rFonts w:hint="eastAsia" w:ascii="宋体" w:hAnsi="宋体" w:eastAsia="宋体"/>
        </w:rPr>
        <w:t>正本/副本</w:t>
      </w:r>
    </w:p>
    <w:p>
      <w:pPr>
        <w:jc w:val="left"/>
        <w:rPr>
          <w:rStyle w:val="39"/>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（项目名称）/包</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8" w:name="_Toc524770178"/>
      <w:r>
        <w:rPr>
          <w:rFonts w:hint="eastAsia" w:ascii="宋体" w:hAnsi="宋体"/>
          <w:b/>
          <w:snapToGrid w:val="0"/>
          <w:kern w:val="0"/>
          <w:sz w:val="36"/>
          <w:szCs w:val="36"/>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19"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19"/>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包号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0" w:name="_Toc524770180"/>
      <w:r>
        <w:rPr>
          <w:rFonts w:hint="eastAsia" w:ascii="宋体" w:hAnsi="宋体" w:eastAsia="宋体" w:cs="黑体"/>
          <w:b/>
          <w:bCs/>
          <w:sz w:val="36"/>
          <w:szCs w:val="36"/>
          <w:lang w:val="zh-CN"/>
        </w:rPr>
        <w:t>三、资格审查证明材料</w:t>
      </w:r>
      <w:bookmarkEnd w:id="20"/>
    </w:p>
    <w:p>
      <w:pPr>
        <w:widowControl/>
        <w:jc w:val="left"/>
        <w:rPr>
          <w:rFonts w:ascii="宋体" w:hAnsi="宋体" w:eastAsia="宋体" w:cs="黑体"/>
          <w:b/>
          <w:bCs/>
          <w:sz w:val="36"/>
          <w:szCs w:val="36"/>
          <w:lang w:val="zh-CN"/>
        </w:rPr>
      </w:pPr>
      <w:bookmarkStart w:id="21"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1"/>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（项目名称/包、招标编号）采购的招标公告及投标邀请，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（项目名称/包、招标编号）招标文件的全部内容。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2"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2"/>
    </w:p>
    <w:p>
      <w:pPr>
        <w:autoSpaceDE w:val="0"/>
        <w:autoSpaceDN w:val="0"/>
        <w:adjustRightInd w:val="0"/>
        <w:spacing w:line="480" w:lineRule="auto"/>
        <w:ind w:firstLine="719" w:firstLineChars="257"/>
        <w:rPr>
          <w:rFonts w:ascii="宋体" w:hAnsi="宋体" w:eastAsia="宋体"/>
          <w:color w:val="000000"/>
          <w:sz w:val="28"/>
          <w:szCs w:val="28"/>
        </w:rPr>
      </w:pPr>
    </w:p>
    <w:p>
      <w:pPr>
        <w:pStyle w:val="49"/>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9"/>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9"/>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9"/>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/包</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9"/>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9"/>
        <w:spacing w:line="480" w:lineRule="auto"/>
        <w:ind w:firstLine="540" w:firstLineChars="225"/>
        <w:jc w:val="left"/>
        <w:rPr>
          <w:rFonts w:hAnsi="宋体" w:eastAsia="宋体"/>
          <w:color w:val="000000"/>
          <w:szCs w:val="24"/>
        </w:rPr>
      </w:pPr>
    </w:p>
    <w:p>
      <w:pPr>
        <w:pStyle w:val="49"/>
        <w:spacing w:line="480" w:lineRule="auto"/>
        <w:ind w:firstLine="540" w:firstLineChars="225"/>
        <w:jc w:val="left"/>
        <w:rPr>
          <w:rFonts w:hAnsi="宋体" w:eastAsia="宋体"/>
          <w:color w:val="000000"/>
          <w:szCs w:val="24"/>
        </w:rPr>
      </w:pPr>
    </w:p>
    <w:p>
      <w:pPr>
        <w:pStyle w:val="49"/>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9"/>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2"/>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1"/>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3"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3"/>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4" w:name="_资格证明文件"/>
            <w:bookmarkEnd w:id="24"/>
            <w:bookmarkStart w:id="25" w:name="_Toc364329026"/>
            <w:r>
              <w:rPr>
                <w:rFonts w:hint="eastAsia" w:ascii="宋体" w:hAnsi="宋体" w:eastAsia="宋体"/>
                <w:sz w:val="24"/>
                <w:szCs w:val="24"/>
              </w:rPr>
              <w:t>法定代表人授权代表身份证（正面）</w:t>
            </w:r>
            <w:bookmarkEnd w:id="25"/>
          </w:p>
        </w:tc>
        <w:tc>
          <w:tcPr>
            <w:tcW w:w="4492" w:type="dxa"/>
            <w:gridSpan w:val="2"/>
            <w:vAlign w:val="center"/>
          </w:tcPr>
          <w:p>
            <w:pPr>
              <w:jc w:val="center"/>
              <w:rPr>
                <w:rFonts w:ascii="宋体" w:hAnsi="宋体" w:eastAsia="宋体"/>
                <w:sz w:val="24"/>
                <w:szCs w:val="24"/>
              </w:rPr>
            </w:pPr>
            <w:bookmarkStart w:id="26" w:name="_Toc364329027"/>
            <w:r>
              <w:rPr>
                <w:rFonts w:hint="eastAsia" w:ascii="宋体" w:hAnsi="宋体" w:eastAsia="宋体"/>
                <w:sz w:val="24"/>
                <w:szCs w:val="24"/>
              </w:rPr>
              <w:t>法定代表人授权代表身份证（反面）</w:t>
            </w:r>
            <w:bookmarkEnd w:id="26"/>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7"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7"/>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8" w:name="_Toc524770185"/>
      <w:r>
        <w:rPr>
          <w:rFonts w:hint="eastAsia" w:ascii="宋体" w:hAnsi="宋体" w:eastAsia="宋体" w:cs="黑体"/>
          <w:b/>
          <w:bCs/>
          <w:sz w:val="36"/>
          <w:szCs w:val="36"/>
          <w:lang w:val="zh-CN"/>
        </w:rPr>
        <w:t>3.5 投标保证金</w:t>
      </w:r>
      <w:bookmarkEnd w:id="28"/>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29" w:name="_Toc524770186"/>
      <w:r>
        <w:rPr>
          <w:rFonts w:hint="eastAsia" w:ascii="宋体" w:hAnsi="宋体" w:eastAsia="宋体" w:cs="宋体"/>
          <w:sz w:val="24"/>
          <w:szCs w:val="24"/>
          <w:lang w:val="zh-CN"/>
        </w:rPr>
        <w:t>许昌公共资源交易中心保证金缴纳回执</w:t>
      </w:r>
      <w:bookmarkEnd w:id="29"/>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0" w:name="_Toc524770187"/>
      <w:r>
        <w:rPr>
          <w:rFonts w:hint="eastAsia" w:ascii="宋体" w:hAnsi="宋体" w:eastAsia="宋体" w:cs="宋体"/>
          <w:sz w:val="24"/>
          <w:szCs w:val="24"/>
          <w:lang w:val="zh-CN"/>
        </w:rPr>
        <w:t>（注：开标现场单独提供一份“许昌公共资源交易中心保证金缴纳回执”以备查询）</w:t>
      </w:r>
      <w:bookmarkEnd w:id="30"/>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1" w:name="_Toc524770188"/>
      <w:r>
        <w:rPr>
          <w:rFonts w:hint="eastAsia" w:ascii="宋体" w:hAnsi="宋体" w:eastAsia="宋体" w:cs="黑体"/>
          <w:b/>
          <w:bCs/>
          <w:sz w:val="36"/>
          <w:szCs w:val="36"/>
          <w:lang w:val="zh-CN"/>
        </w:rPr>
        <w:t>3.6 其他资格证书或材料</w:t>
      </w:r>
      <w:bookmarkEnd w:id="31"/>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9"/>
      <w:r>
        <w:rPr>
          <w:rFonts w:hint="eastAsia" w:ascii="宋体" w:hAnsi="宋体" w:eastAsia="宋体" w:cs="黑体"/>
          <w:b/>
          <w:bCs/>
          <w:sz w:val="36"/>
          <w:szCs w:val="36"/>
          <w:lang w:val="zh-CN"/>
        </w:rPr>
        <w:t>四、符合性审查证明材料</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eastAsia="宋体" w:cs="黑体"/>
          <w:b/>
          <w:bCs/>
          <w:sz w:val="36"/>
          <w:szCs w:val="36"/>
          <w:lang w:val="zh-CN"/>
        </w:rPr>
        <w:br w:type="page"/>
      </w:r>
      <w:r>
        <w:rPr>
          <w:rFonts w:hint="eastAsia" w:ascii="宋体" w:hAnsi="宋体" w:eastAsia="宋体" w:cs="黑体"/>
          <w:b/>
          <w:bCs/>
          <w:sz w:val="36"/>
          <w:szCs w:val="36"/>
          <w:lang w:val="zh-CN"/>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3" w:name="OLE_LINK14"/>
      <w:bookmarkStart w:id="34" w:name="OLE_LINK13"/>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4.10 残疾人福利性单位声明函</w:t>
      </w:r>
    </w:p>
    <w:bookmarkEnd w:id="33"/>
    <w:bookmarkEnd w:id="3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许开路大货车禁行、芙蓉广场环保监测站点聘用保安管控项目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9F817E8"/>
    <w:multiLevelType w:val="singleLevel"/>
    <w:tmpl w:val="59F817E8"/>
    <w:lvl w:ilvl="0" w:tentative="0">
      <w:start w:val="1"/>
      <w:numFmt w:val="chineseCounting"/>
      <w:pStyle w:val="5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74"/>
    <w:rsid w:val="000035EF"/>
    <w:rsid w:val="00005D7C"/>
    <w:rsid w:val="00007628"/>
    <w:rsid w:val="00007FFB"/>
    <w:rsid w:val="00010FE9"/>
    <w:rsid w:val="0001257B"/>
    <w:rsid w:val="000138DE"/>
    <w:rsid w:val="00014BD5"/>
    <w:rsid w:val="00015C73"/>
    <w:rsid w:val="0003266D"/>
    <w:rsid w:val="00032861"/>
    <w:rsid w:val="000346B4"/>
    <w:rsid w:val="00037FB7"/>
    <w:rsid w:val="00040CF5"/>
    <w:rsid w:val="0004463F"/>
    <w:rsid w:val="0004508E"/>
    <w:rsid w:val="00046831"/>
    <w:rsid w:val="00050380"/>
    <w:rsid w:val="00054FC4"/>
    <w:rsid w:val="00055A71"/>
    <w:rsid w:val="00056516"/>
    <w:rsid w:val="00057C5E"/>
    <w:rsid w:val="00062944"/>
    <w:rsid w:val="00062FB7"/>
    <w:rsid w:val="0006360A"/>
    <w:rsid w:val="00065AC5"/>
    <w:rsid w:val="0006637B"/>
    <w:rsid w:val="00070896"/>
    <w:rsid w:val="00077937"/>
    <w:rsid w:val="00081860"/>
    <w:rsid w:val="00081A71"/>
    <w:rsid w:val="00084998"/>
    <w:rsid w:val="00086DF3"/>
    <w:rsid w:val="000906F7"/>
    <w:rsid w:val="0009465D"/>
    <w:rsid w:val="00096BDA"/>
    <w:rsid w:val="00096F97"/>
    <w:rsid w:val="000A2DD3"/>
    <w:rsid w:val="000B01C2"/>
    <w:rsid w:val="000B364C"/>
    <w:rsid w:val="000B37EA"/>
    <w:rsid w:val="000B5896"/>
    <w:rsid w:val="000B58DF"/>
    <w:rsid w:val="000B7AF3"/>
    <w:rsid w:val="000C1AD0"/>
    <w:rsid w:val="000C391C"/>
    <w:rsid w:val="000C494A"/>
    <w:rsid w:val="000D30F6"/>
    <w:rsid w:val="000D33D6"/>
    <w:rsid w:val="000D51D8"/>
    <w:rsid w:val="000E3F5E"/>
    <w:rsid w:val="000E55F9"/>
    <w:rsid w:val="000E5D3A"/>
    <w:rsid w:val="000F3C4E"/>
    <w:rsid w:val="000F423B"/>
    <w:rsid w:val="000F5ECF"/>
    <w:rsid w:val="000F65DF"/>
    <w:rsid w:val="001039C5"/>
    <w:rsid w:val="00103E36"/>
    <w:rsid w:val="00111B88"/>
    <w:rsid w:val="00111F2A"/>
    <w:rsid w:val="00116284"/>
    <w:rsid w:val="0012613F"/>
    <w:rsid w:val="001267FD"/>
    <w:rsid w:val="0014266E"/>
    <w:rsid w:val="00152663"/>
    <w:rsid w:val="0015622B"/>
    <w:rsid w:val="001637D9"/>
    <w:rsid w:val="00174F52"/>
    <w:rsid w:val="001775F3"/>
    <w:rsid w:val="0018098C"/>
    <w:rsid w:val="001854D4"/>
    <w:rsid w:val="001857DE"/>
    <w:rsid w:val="0019514E"/>
    <w:rsid w:val="0019757D"/>
    <w:rsid w:val="001A4665"/>
    <w:rsid w:val="001A6808"/>
    <w:rsid w:val="001B39E0"/>
    <w:rsid w:val="001C0862"/>
    <w:rsid w:val="001C2762"/>
    <w:rsid w:val="001C354C"/>
    <w:rsid w:val="001C7AC8"/>
    <w:rsid w:val="001D071E"/>
    <w:rsid w:val="001D6425"/>
    <w:rsid w:val="001E4B8C"/>
    <w:rsid w:val="001F057D"/>
    <w:rsid w:val="001F253F"/>
    <w:rsid w:val="00205814"/>
    <w:rsid w:val="002067AF"/>
    <w:rsid w:val="00213FCB"/>
    <w:rsid w:val="002150C9"/>
    <w:rsid w:val="00217B6F"/>
    <w:rsid w:val="0022284F"/>
    <w:rsid w:val="002243A5"/>
    <w:rsid w:val="00224D63"/>
    <w:rsid w:val="002256DA"/>
    <w:rsid w:val="00226225"/>
    <w:rsid w:val="00232BA1"/>
    <w:rsid w:val="002408D0"/>
    <w:rsid w:val="00245DA6"/>
    <w:rsid w:val="00247A63"/>
    <w:rsid w:val="00250368"/>
    <w:rsid w:val="00250923"/>
    <w:rsid w:val="002535D9"/>
    <w:rsid w:val="00255435"/>
    <w:rsid w:val="00263FCC"/>
    <w:rsid w:val="00272FEE"/>
    <w:rsid w:val="00273D9E"/>
    <w:rsid w:val="00281533"/>
    <w:rsid w:val="00281D21"/>
    <w:rsid w:val="00287B63"/>
    <w:rsid w:val="002900E9"/>
    <w:rsid w:val="00292571"/>
    <w:rsid w:val="002A02E9"/>
    <w:rsid w:val="002A1E09"/>
    <w:rsid w:val="002A74D2"/>
    <w:rsid w:val="002A7E6D"/>
    <w:rsid w:val="002B2D94"/>
    <w:rsid w:val="002B2F85"/>
    <w:rsid w:val="002B3EAD"/>
    <w:rsid w:val="002C29CC"/>
    <w:rsid w:val="002C624C"/>
    <w:rsid w:val="002D714E"/>
    <w:rsid w:val="002D7CCB"/>
    <w:rsid w:val="002F0B3E"/>
    <w:rsid w:val="002F1251"/>
    <w:rsid w:val="002F5C50"/>
    <w:rsid w:val="002F7FDE"/>
    <w:rsid w:val="00300B5B"/>
    <w:rsid w:val="00301577"/>
    <w:rsid w:val="003126EB"/>
    <w:rsid w:val="003279B3"/>
    <w:rsid w:val="00336955"/>
    <w:rsid w:val="00344EA0"/>
    <w:rsid w:val="00354F1A"/>
    <w:rsid w:val="00361AF9"/>
    <w:rsid w:val="003665BB"/>
    <w:rsid w:val="00371B03"/>
    <w:rsid w:val="00372961"/>
    <w:rsid w:val="003730C5"/>
    <w:rsid w:val="00373DF4"/>
    <w:rsid w:val="00375EE1"/>
    <w:rsid w:val="003832DE"/>
    <w:rsid w:val="003869EF"/>
    <w:rsid w:val="003963D6"/>
    <w:rsid w:val="003A14F0"/>
    <w:rsid w:val="003A3489"/>
    <w:rsid w:val="003A53A8"/>
    <w:rsid w:val="003A6F72"/>
    <w:rsid w:val="003C062B"/>
    <w:rsid w:val="003C1B56"/>
    <w:rsid w:val="003C48AC"/>
    <w:rsid w:val="003E28AA"/>
    <w:rsid w:val="003E7A78"/>
    <w:rsid w:val="003F009A"/>
    <w:rsid w:val="003F0D54"/>
    <w:rsid w:val="003F11B6"/>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0320"/>
    <w:rsid w:val="00470EA4"/>
    <w:rsid w:val="00471C36"/>
    <w:rsid w:val="00477799"/>
    <w:rsid w:val="004874CF"/>
    <w:rsid w:val="0049343F"/>
    <w:rsid w:val="004939CF"/>
    <w:rsid w:val="004A1BBA"/>
    <w:rsid w:val="004D4077"/>
    <w:rsid w:val="004D4181"/>
    <w:rsid w:val="004D5427"/>
    <w:rsid w:val="004D61F6"/>
    <w:rsid w:val="004E0B28"/>
    <w:rsid w:val="004E1094"/>
    <w:rsid w:val="004E115C"/>
    <w:rsid w:val="004E49ED"/>
    <w:rsid w:val="004E5F02"/>
    <w:rsid w:val="004F0C30"/>
    <w:rsid w:val="004F242B"/>
    <w:rsid w:val="004F4357"/>
    <w:rsid w:val="004F62A3"/>
    <w:rsid w:val="00500EA3"/>
    <w:rsid w:val="00503ACE"/>
    <w:rsid w:val="00504646"/>
    <w:rsid w:val="00505EA5"/>
    <w:rsid w:val="005127DC"/>
    <w:rsid w:val="00515F72"/>
    <w:rsid w:val="00517226"/>
    <w:rsid w:val="005230F9"/>
    <w:rsid w:val="00526B6A"/>
    <w:rsid w:val="0053117D"/>
    <w:rsid w:val="00531FD8"/>
    <w:rsid w:val="0053224D"/>
    <w:rsid w:val="0053286B"/>
    <w:rsid w:val="00540886"/>
    <w:rsid w:val="005465B0"/>
    <w:rsid w:val="00547F04"/>
    <w:rsid w:val="00552DA7"/>
    <w:rsid w:val="005564F1"/>
    <w:rsid w:val="00557D43"/>
    <w:rsid w:val="00560095"/>
    <w:rsid w:val="005626D9"/>
    <w:rsid w:val="005717F5"/>
    <w:rsid w:val="00582277"/>
    <w:rsid w:val="00584DEB"/>
    <w:rsid w:val="00584DFB"/>
    <w:rsid w:val="0058613E"/>
    <w:rsid w:val="005902DC"/>
    <w:rsid w:val="00592BD6"/>
    <w:rsid w:val="00593623"/>
    <w:rsid w:val="005A201F"/>
    <w:rsid w:val="005A22DC"/>
    <w:rsid w:val="005A38D8"/>
    <w:rsid w:val="005A6C81"/>
    <w:rsid w:val="005B4921"/>
    <w:rsid w:val="005B5191"/>
    <w:rsid w:val="005C1035"/>
    <w:rsid w:val="005C522F"/>
    <w:rsid w:val="005C55E5"/>
    <w:rsid w:val="005C7D75"/>
    <w:rsid w:val="005D24DC"/>
    <w:rsid w:val="005D6134"/>
    <w:rsid w:val="005E2F71"/>
    <w:rsid w:val="005E4420"/>
    <w:rsid w:val="005F1AB9"/>
    <w:rsid w:val="005F3017"/>
    <w:rsid w:val="005F7B2F"/>
    <w:rsid w:val="00605A3B"/>
    <w:rsid w:val="00605DE4"/>
    <w:rsid w:val="00610916"/>
    <w:rsid w:val="00615122"/>
    <w:rsid w:val="006234EA"/>
    <w:rsid w:val="006247E8"/>
    <w:rsid w:val="006347B0"/>
    <w:rsid w:val="00641C14"/>
    <w:rsid w:val="00642507"/>
    <w:rsid w:val="0065115C"/>
    <w:rsid w:val="00657659"/>
    <w:rsid w:val="006632E8"/>
    <w:rsid w:val="00666B8F"/>
    <w:rsid w:val="006712D8"/>
    <w:rsid w:val="006768EE"/>
    <w:rsid w:val="006811C6"/>
    <w:rsid w:val="00683C44"/>
    <w:rsid w:val="00692085"/>
    <w:rsid w:val="006947BD"/>
    <w:rsid w:val="006973A2"/>
    <w:rsid w:val="0069794A"/>
    <w:rsid w:val="006A1514"/>
    <w:rsid w:val="006A53DD"/>
    <w:rsid w:val="006B003D"/>
    <w:rsid w:val="006B0328"/>
    <w:rsid w:val="006B13F8"/>
    <w:rsid w:val="006B2F2E"/>
    <w:rsid w:val="006C2170"/>
    <w:rsid w:val="006C31D3"/>
    <w:rsid w:val="006C7771"/>
    <w:rsid w:val="006D39B1"/>
    <w:rsid w:val="006D6F7B"/>
    <w:rsid w:val="006E3B2A"/>
    <w:rsid w:val="006E735C"/>
    <w:rsid w:val="006E7976"/>
    <w:rsid w:val="006F5230"/>
    <w:rsid w:val="006F7B64"/>
    <w:rsid w:val="00710F37"/>
    <w:rsid w:val="0071381B"/>
    <w:rsid w:val="00714C98"/>
    <w:rsid w:val="00715A05"/>
    <w:rsid w:val="00717F48"/>
    <w:rsid w:val="00722F85"/>
    <w:rsid w:val="00725AEA"/>
    <w:rsid w:val="00725E57"/>
    <w:rsid w:val="00731350"/>
    <w:rsid w:val="007355ED"/>
    <w:rsid w:val="00735D9D"/>
    <w:rsid w:val="007410D0"/>
    <w:rsid w:val="007568AA"/>
    <w:rsid w:val="00757B67"/>
    <w:rsid w:val="00766352"/>
    <w:rsid w:val="007708E8"/>
    <w:rsid w:val="0077146C"/>
    <w:rsid w:val="0077336E"/>
    <w:rsid w:val="00773EBB"/>
    <w:rsid w:val="00775069"/>
    <w:rsid w:val="007877E8"/>
    <w:rsid w:val="00791063"/>
    <w:rsid w:val="0079382B"/>
    <w:rsid w:val="00793AD4"/>
    <w:rsid w:val="00795A9E"/>
    <w:rsid w:val="007A0065"/>
    <w:rsid w:val="007A2272"/>
    <w:rsid w:val="007A63CF"/>
    <w:rsid w:val="007A6CFD"/>
    <w:rsid w:val="007B0B83"/>
    <w:rsid w:val="007B13A5"/>
    <w:rsid w:val="007B27BD"/>
    <w:rsid w:val="007B2C3A"/>
    <w:rsid w:val="007B4DC1"/>
    <w:rsid w:val="007B507A"/>
    <w:rsid w:val="007B66B2"/>
    <w:rsid w:val="007B6880"/>
    <w:rsid w:val="007C1079"/>
    <w:rsid w:val="007C30A2"/>
    <w:rsid w:val="007C36C6"/>
    <w:rsid w:val="007C3969"/>
    <w:rsid w:val="007C47C7"/>
    <w:rsid w:val="007D17A6"/>
    <w:rsid w:val="007D206B"/>
    <w:rsid w:val="007D58B4"/>
    <w:rsid w:val="007E60F4"/>
    <w:rsid w:val="00807094"/>
    <w:rsid w:val="00821B81"/>
    <w:rsid w:val="00831ADB"/>
    <w:rsid w:val="0083501A"/>
    <w:rsid w:val="0083522B"/>
    <w:rsid w:val="00836C45"/>
    <w:rsid w:val="00842008"/>
    <w:rsid w:val="008423FF"/>
    <w:rsid w:val="00843CA0"/>
    <w:rsid w:val="008509F0"/>
    <w:rsid w:val="0086078C"/>
    <w:rsid w:val="00864017"/>
    <w:rsid w:val="00865688"/>
    <w:rsid w:val="00866F8A"/>
    <w:rsid w:val="00867AF2"/>
    <w:rsid w:val="00876055"/>
    <w:rsid w:val="008816FE"/>
    <w:rsid w:val="00883EB1"/>
    <w:rsid w:val="00887627"/>
    <w:rsid w:val="008927D2"/>
    <w:rsid w:val="00893DE6"/>
    <w:rsid w:val="008A33B0"/>
    <w:rsid w:val="008A4388"/>
    <w:rsid w:val="008B14BE"/>
    <w:rsid w:val="008B6B76"/>
    <w:rsid w:val="008C0A0B"/>
    <w:rsid w:val="008C426E"/>
    <w:rsid w:val="008D157F"/>
    <w:rsid w:val="008D6E5C"/>
    <w:rsid w:val="008E1329"/>
    <w:rsid w:val="009014D6"/>
    <w:rsid w:val="00901A74"/>
    <w:rsid w:val="00902A58"/>
    <w:rsid w:val="00905008"/>
    <w:rsid w:val="00905473"/>
    <w:rsid w:val="0091040C"/>
    <w:rsid w:val="00912667"/>
    <w:rsid w:val="00916DDE"/>
    <w:rsid w:val="009235B6"/>
    <w:rsid w:val="00924539"/>
    <w:rsid w:val="009351CD"/>
    <w:rsid w:val="0093550C"/>
    <w:rsid w:val="00935BC0"/>
    <w:rsid w:val="009407A5"/>
    <w:rsid w:val="00942BF3"/>
    <w:rsid w:val="00951FD8"/>
    <w:rsid w:val="00964C6F"/>
    <w:rsid w:val="0096589D"/>
    <w:rsid w:val="00966EEC"/>
    <w:rsid w:val="0096703A"/>
    <w:rsid w:val="009703C5"/>
    <w:rsid w:val="00973801"/>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2ED7"/>
    <w:rsid w:val="009B6AED"/>
    <w:rsid w:val="009B6EA5"/>
    <w:rsid w:val="009C0DE0"/>
    <w:rsid w:val="009E4B8E"/>
    <w:rsid w:val="009F1C15"/>
    <w:rsid w:val="009F3435"/>
    <w:rsid w:val="009F47DE"/>
    <w:rsid w:val="009F4E3C"/>
    <w:rsid w:val="00A00887"/>
    <w:rsid w:val="00A02F7E"/>
    <w:rsid w:val="00A041D7"/>
    <w:rsid w:val="00A1171F"/>
    <w:rsid w:val="00A15E74"/>
    <w:rsid w:val="00A178E5"/>
    <w:rsid w:val="00A23A85"/>
    <w:rsid w:val="00A23D28"/>
    <w:rsid w:val="00A24E6A"/>
    <w:rsid w:val="00A25AA8"/>
    <w:rsid w:val="00A27363"/>
    <w:rsid w:val="00A273AF"/>
    <w:rsid w:val="00A30596"/>
    <w:rsid w:val="00A311AE"/>
    <w:rsid w:val="00A314EC"/>
    <w:rsid w:val="00A31A42"/>
    <w:rsid w:val="00A35B89"/>
    <w:rsid w:val="00A36587"/>
    <w:rsid w:val="00A37510"/>
    <w:rsid w:val="00A442F2"/>
    <w:rsid w:val="00A46E0E"/>
    <w:rsid w:val="00A47187"/>
    <w:rsid w:val="00A47399"/>
    <w:rsid w:val="00A478F2"/>
    <w:rsid w:val="00A517DD"/>
    <w:rsid w:val="00A5292F"/>
    <w:rsid w:val="00A5456F"/>
    <w:rsid w:val="00A60FA0"/>
    <w:rsid w:val="00A64982"/>
    <w:rsid w:val="00A8190A"/>
    <w:rsid w:val="00A838E1"/>
    <w:rsid w:val="00A90D88"/>
    <w:rsid w:val="00A948C2"/>
    <w:rsid w:val="00AA02E3"/>
    <w:rsid w:val="00AA179B"/>
    <w:rsid w:val="00AA2F03"/>
    <w:rsid w:val="00AA310F"/>
    <w:rsid w:val="00AA3251"/>
    <w:rsid w:val="00AA5433"/>
    <w:rsid w:val="00AB7690"/>
    <w:rsid w:val="00AC0A2B"/>
    <w:rsid w:val="00AC28E1"/>
    <w:rsid w:val="00AC4442"/>
    <w:rsid w:val="00AC5001"/>
    <w:rsid w:val="00AC5DB5"/>
    <w:rsid w:val="00AD0D58"/>
    <w:rsid w:val="00AD6D37"/>
    <w:rsid w:val="00AD732E"/>
    <w:rsid w:val="00AD782F"/>
    <w:rsid w:val="00AE6647"/>
    <w:rsid w:val="00AF083D"/>
    <w:rsid w:val="00AF23C8"/>
    <w:rsid w:val="00AF3816"/>
    <w:rsid w:val="00AF7131"/>
    <w:rsid w:val="00B0237D"/>
    <w:rsid w:val="00B066D3"/>
    <w:rsid w:val="00B07BF1"/>
    <w:rsid w:val="00B11EB1"/>
    <w:rsid w:val="00B17D1F"/>
    <w:rsid w:val="00B216A5"/>
    <w:rsid w:val="00B25131"/>
    <w:rsid w:val="00B27888"/>
    <w:rsid w:val="00B31CD5"/>
    <w:rsid w:val="00B34A9F"/>
    <w:rsid w:val="00B41D89"/>
    <w:rsid w:val="00B42750"/>
    <w:rsid w:val="00B4297A"/>
    <w:rsid w:val="00B56843"/>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C48"/>
    <w:rsid w:val="00BB5E4D"/>
    <w:rsid w:val="00BB6CA3"/>
    <w:rsid w:val="00BC0D28"/>
    <w:rsid w:val="00BE37AB"/>
    <w:rsid w:val="00BE7ACD"/>
    <w:rsid w:val="00BE7D1D"/>
    <w:rsid w:val="00BF148F"/>
    <w:rsid w:val="00BF6D91"/>
    <w:rsid w:val="00BF771D"/>
    <w:rsid w:val="00C01D51"/>
    <w:rsid w:val="00C03E5C"/>
    <w:rsid w:val="00C05CDE"/>
    <w:rsid w:val="00C121AA"/>
    <w:rsid w:val="00C1467B"/>
    <w:rsid w:val="00C16749"/>
    <w:rsid w:val="00C16A3B"/>
    <w:rsid w:val="00C24033"/>
    <w:rsid w:val="00C341D5"/>
    <w:rsid w:val="00C35754"/>
    <w:rsid w:val="00C37DAA"/>
    <w:rsid w:val="00C43F3D"/>
    <w:rsid w:val="00C503C9"/>
    <w:rsid w:val="00C5289D"/>
    <w:rsid w:val="00C52CC0"/>
    <w:rsid w:val="00C570C7"/>
    <w:rsid w:val="00C57C38"/>
    <w:rsid w:val="00C60EF7"/>
    <w:rsid w:val="00C626DE"/>
    <w:rsid w:val="00C63EFA"/>
    <w:rsid w:val="00C63FF5"/>
    <w:rsid w:val="00C6601E"/>
    <w:rsid w:val="00C66B19"/>
    <w:rsid w:val="00C7243B"/>
    <w:rsid w:val="00C8462F"/>
    <w:rsid w:val="00C84C7B"/>
    <w:rsid w:val="00C9018F"/>
    <w:rsid w:val="00C92CD1"/>
    <w:rsid w:val="00C955ED"/>
    <w:rsid w:val="00C9594F"/>
    <w:rsid w:val="00CA0200"/>
    <w:rsid w:val="00CA2C4B"/>
    <w:rsid w:val="00CA6D41"/>
    <w:rsid w:val="00CA70A9"/>
    <w:rsid w:val="00CC2A19"/>
    <w:rsid w:val="00CC4185"/>
    <w:rsid w:val="00CC7E00"/>
    <w:rsid w:val="00CD3187"/>
    <w:rsid w:val="00CD3333"/>
    <w:rsid w:val="00CD3A92"/>
    <w:rsid w:val="00CE0884"/>
    <w:rsid w:val="00CE3B47"/>
    <w:rsid w:val="00CE4E63"/>
    <w:rsid w:val="00CF1256"/>
    <w:rsid w:val="00D06E16"/>
    <w:rsid w:val="00D102C6"/>
    <w:rsid w:val="00D116B6"/>
    <w:rsid w:val="00D157D9"/>
    <w:rsid w:val="00D16ED9"/>
    <w:rsid w:val="00D33E82"/>
    <w:rsid w:val="00D42893"/>
    <w:rsid w:val="00D56ABA"/>
    <w:rsid w:val="00D64300"/>
    <w:rsid w:val="00D730B4"/>
    <w:rsid w:val="00D74DD3"/>
    <w:rsid w:val="00D80ACD"/>
    <w:rsid w:val="00D92FF3"/>
    <w:rsid w:val="00D96284"/>
    <w:rsid w:val="00D9658E"/>
    <w:rsid w:val="00D97E63"/>
    <w:rsid w:val="00DA12E5"/>
    <w:rsid w:val="00DA135F"/>
    <w:rsid w:val="00DA1D7D"/>
    <w:rsid w:val="00DA3645"/>
    <w:rsid w:val="00DA426E"/>
    <w:rsid w:val="00DA4B9B"/>
    <w:rsid w:val="00DB3FCB"/>
    <w:rsid w:val="00DB5466"/>
    <w:rsid w:val="00DB7D74"/>
    <w:rsid w:val="00DC1178"/>
    <w:rsid w:val="00DC1581"/>
    <w:rsid w:val="00DC56E8"/>
    <w:rsid w:val="00DC581E"/>
    <w:rsid w:val="00DD2A98"/>
    <w:rsid w:val="00DD445F"/>
    <w:rsid w:val="00DD4905"/>
    <w:rsid w:val="00DD7DD5"/>
    <w:rsid w:val="00DD7E00"/>
    <w:rsid w:val="00DE3F47"/>
    <w:rsid w:val="00DE3F6F"/>
    <w:rsid w:val="00DE512C"/>
    <w:rsid w:val="00DE70E8"/>
    <w:rsid w:val="00DF1AA1"/>
    <w:rsid w:val="00DF4FA2"/>
    <w:rsid w:val="00E011DA"/>
    <w:rsid w:val="00E028C5"/>
    <w:rsid w:val="00E03174"/>
    <w:rsid w:val="00E04067"/>
    <w:rsid w:val="00E117F9"/>
    <w:rsid w:val="00E167AD"/>
    <w:rsid w:val="00E174DD"/>
    <w:rsid w:val="00E20962"/>
    <w:rsid w:val="00E2117F"/>
    <w:rsid w:val="00E22577"/>
    <w:rsid w:val="00E248D5"/>
    <w:rsid w:val="00E268E4"/>
    <w:rsid w:val="00E27D23"/>
    <w:rsid w:val="00E33FE9"/>
    <w:rsid w:val="00E36299"/>
    <w:rsid w:val="00E42E6D"/>
    <w:rsid w:val="00E464A5"/>
    <w:rsid w:val="00E51D43"/>
    <w:rsid w:val="00E52D23"/>
    <w:rsid w:val="00E53808"/>
    <w:rsid w:val="00E56942"/>
    <w:rsid w:val="00E6032F"/>
    <w:rsid w:val="00E61BD8"/>
    <w:rsid w:val="00E62D35"/>
    <w:rsid w:val="00E6473B"/>
    <w:rsid w:val="00E66B04"/>
    <w:rsid w:val="00E67606"/>
    <w:rsid w:val="00E677FE"/>
    <w:rsid w:val="00E701FD"/>
    <w:rsid w:val="00E734C0"/>
    <w:rsid w:val="00E74557"/>
    <w:rsid w:val="00E81B9A"/>
    <w:rsid w:val="00E8529F"/>
    <w:rsid w:val="00E915F8"/>
    <w:rsid w:val="00E922BA"/>
    <w:rsid w:val="00E943FB"/>
    <w:rsid w:val="00E97DF2"/>
    <w:rsid w:val="00E97F86"/>
    <w:rsid w:val="00EA2793"/>
    <w:rsid w:val="00EA3082"/>
    <w:rsid w:val="00EC1278"/>
    <w:rsid w:val="00EC24CC"/>
    <w:rsid w:val="00EC5FD4"/>
    <w:rsid w:val="00ED5C96"/>
    <w:rsid w:val="00ED6E53"/>
    <w:rsid w:val="00ED7815"/>
    <w:rsid w:val="00EE18B9"/>
    <w:rsid w:val="00EE3021"/>
    <w:rsid w:val="00EE3479"/>
    <w:rsid w:val="00EE6B09"/>
    <w:rsid w:val="00EE7201"/>
    <w:rsid w:val="00EF141C"/>
    <w:rsid w:val="00EF28F1"/>
    <w:rsid w:val="00F01957"/>
    <w:rsid w:val="00F04D21"/>
    <w:rsid w:val="00F07145"/>
    <w:rsid w:val="00F12FB9"/>
    <w:rsid w:val="00F24C38"/>
    <w:rsid w:val="00F2650E"/>
    <w:rsid w:val="00F27D72"/>
    <w:rsid w:val="00F30AA1"/>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A4264"/>
    <w:rsid w:val="00FC258F"/>
    <w:rsid w:val="00FC7E20"/>
    <w:rsid w:val="00FD3862"/>
    <w:rsid w:val="00FD4D7F"/>
    <w:rsid w:val="00FE147A"/>
    <w:rsid w:val="00FE362F"/>
    <w:rsid w:val="00FE487F"/>
    <w:rsid w:val="00FF01A1"/>
    <w:rsid w:val="00FF2358"/>
    <w:rsid w:val="00FF3B4F"/>
    <w:rsid w:val="00FF650B"/>
    <w:rsid w:val="05E61615"/>
    <w:rsid w:val="0702241C"/>
    <w:rsid w:val="074A0F00"/>
    <w:rsid w:val="0A767CA7"/>
    <w:rsid w:val="0A921821"/>
    <w:rsid w:val="0D1865DC"/>
    <w:rsid w:val="1344700B"/>
    <w:rsid w:val="15D75A3A"/>
    <w:rsid w:val="1CA52DEC"/>
    <w:rsid w:val="2013025E"/>
    <w:rsid w:val="20E20C51"/>
    <w:rsid w:val="21DE2450"/>
    <w:rsid w:val="22840D6E"/>
    <w:rsid w:val="23DE7185"/>
    <w:rsid w:val="24E03B63"/>
    <w:rsid w:val="2C433F88"/>
    <w:rsid w:val="2E832FD5"/>
    <w:rsid w:val="2F0E304F"/>
    <w:rsid w:val="31DE4CE9"/>
    <w:rsid w:val="32585B75"/>
    <w:rsid w:val="33770455"/>
    <w:rsid w:val="341A2D85"/>
    <w:rsid w:val="34925A54"/>
    <w:rsid w:val="36047C79"/>
    <w:rsid w:val="38227CF1"/>
    <w:rsid w:val="386722EB"/>
    <w:rsid w:val="38A55600"/>
    <w:rsid w:val="39893D6E"/>
    <w:rsid w:val="3AE74A1C"/>
    <w:rsid w:val="3E5C4ED6"/>
    <w:rsid w:val="3E815807"/>
    <w:rsid w:val="3EB76A31"/>
    <w:rsid w:val="3F4A51B3"/>
    <w:rsid w:val="45A45CB6"/>
    <w:rsid w:val="4C446B8B"/>
    <w:rsid w:val="4D1C38BA"/>
    <w:rsid w:val="4E7174E2"/>
    <w:rsid w:val="51616844"/>
    <w:rsid w:val="516F2CDC"/>
    <w:rsid w:val="52AE41C5"/>
    <w:rsid w:val="53911A33"/>
    <w:rsid w:val="53AD12CC"/>
    <w:rsid w:val="55630553"/>
    <w:rsid w:val="56AE3F5A"/>
    <w:rsid w:val="57650EF1"/>
    <w:rsid w:val="578758E1"/>
    <w:rsid w:val="5804091A"/>
    <w:rsid w:val="593573B2"/>
    <w:rsid w:val="59BD1474"/>
    <w:rsid w:val="5C26356D"/>
    <w:rsid w:val="5CDB5A32"/>
    <w:rsid w:val="5DAE3EEE"/>
    <w:rsid w:val="5DC57B79"/>
    <w:rsid w:val="5F950336"/>
    <w:rsid w:val="628E64AE"/>
    <w:rsid w:val="643B5B83"/>
    <w:rsid w:val="65A73EB0"/>
    <w:rsid w:val="67A72A5B"/>
    <w:rsid w:val="67D87DAA"/>
    <w:rsid w:val="69BE604A"/>
    <w:rsid w:val="6E1A5C61"/>
    <w:rsid w:val="6E752703"/>
    <w:rsid w:val="6FCD200C"/>
    <w:rsid w:val="762029EA"/>
    <w:rsid w:val="79D44C26"/>
    <w:rsid w:val="7A297F81"/>
    <w:rsid w:val="7B6C6275"/>
    <w:rsid w:val="7C7D553A"/>
    <w:rsid w:val="7CF00F08"/>
    <w:rsid w:val="7DBA21B3"/>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60"/>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9"/>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2"/>
    <w:semiHidden/>
    <w:unhideWhenUsed/>
    <w:qFormat/>
    <w:uiPriority w:val="99"/>
    <w:rPr>
      <w:rFonts w:ascii="宋体" w:eastAsia="宋体"/>
      <w:sz w:val="18"/>
      <w:szCs w:val="18"/>
    </w:rPr>
  </w:style>
  <w:style w:type="paragraph" w:styleId="12">
    <w:name w:val="Body Text 3"/>
    <w:basedOn w:val="1"/>
    <w:link w:val="55"/>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2"/>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3"/>
    <w:unhideWhenUsed/>
    <w:qFormat/>
    <w:uiPriority w:val="99"/>
    <w:pPr>
      <w:ind w:left="100" w:leftChars="2500"/>
    </w:p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3"/>
    <w:qFormat/>
    <w:uiPriority w:val="10"/>
    <w:pPr>
      <w:spacing w:before="240" w:after="60"/>
      <w:jc w:val="center"/>
      <w:outlineLvl w:val="0"/>
    </w:pPr>
    <w:rPr>
      <w:rFonts w:eastAsia="宋体" w:asciiTheme="majorHAnsi" w:hAnsiTheme="majorHAnsi" w:cstheme="majorBidi"/>
      <w:b/>
      <w:bCs/>
      <w:sz w:val="32"/>
      <w:szCs w:val="32"/>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Emphasis"/>
    <w:basedOn w:val="29"/>
    <w:qFormat/>
    <w:uiPriority w:val="20"/>
  </w:style>
  <w:style w:type="character" w:styleId="33">
    <w:name w:val="Hyperlink"/>
    <w:basedOn w:val="29"/>
    <w:unhideWhenUsed/>
    <w:qFormat/>
    <w:uiPriority w:val="99"/>
    <w:rPr>
      <w:color w:val="000000"/>
      <w:u w:val="none"/>
    </w:rPr>
  </w:style>
  <w:style w:type="table" w:styleId="35">
    <w:name w:val="Table Grid"/>
    <w:basedOn w:val="34"/>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页眉 Char"/>
    <w:basedOn w:val="29"/>
    <w:link w:val="19"/>
    <w:qFormat/>
    <w:uiPriority w:val="99"/>
    <w:rPr>
      <w:sz w:val="18"/>
      <w:szCs w:val="18"/>
    </w:rPr>
  </w:style>
  <w:style w:type="character" w:customStyle="1" w:styleId="37">
    <w:name w:val="页脚 Char"/>
    <w:basedOn w:val="29"/>
    <w:link w:val="18"/>
    <w:qFormat/>
    <w:uiPriority w:val="99"/>
    <w:rPr>
      <w:sz w:val="18"/>
      <w:szCs w:val="18"/>
    </w:rPr>
  </w:style>
  <w:style w:type="character" w:customStyle="1" w:styleId="38">
    <w:name w:val="标题 1 Char"/>
    <w:basedOn w:val="29"/>
    <w:link w:val="2"/>
    <w:qFormat/>
    <w:uiPriority w:val="0"/>
    <w:rPr>
      <w:rFonts w:ascii="Calibri" w:hAnsi="Calibri" w:eastAsia="宋体" w:cs="Times New Roman"/>
      <w:b/>
      <w:bCs/>
      <w:kern w:val="44"/>
      <w:sz w:val="44"/>
      <w:szCs w:val="44"/>
    </w:rPr>
  </w:style>
  <w:style w:type="character" w:customStyle="1" w:styleId="39">
    <w:name w:val="标题 2 Char"/>
    <w:basedOn w:val="29"/>
    <w:link w:val="3"/>
    <w:qFormat/>
    <w:uiPriority w:val="0"/>
    <w:rPr>
      <w:rFonts w:ascii="Arial" w:hAnsi="Arial" w:eastAsia="黑体" w:cs="Times New Roman"/>
      <w:b/>
      <w:bCs/>
      <w:kern w:val="0"/>
      <w:sz w:val="32"/>
      <w:szCs w:val="32"/>
    </w:rPr>
  </w:style>
  <w:style w:type="character" w:customStyle="1" w:styleId="40">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1">
    <w:name w:val="标题 4 Char"/>
    <w:basedOn w:val="29"/>
    <w:link w:val="5"/>
    <w:qFormat/>
    <w:uiPriority w:val="0"/>
    <w:rPr>
      <w:rFonts w:ascii="Arial" w:hAnsi="Arial" w:eastAsia="黑体" w:cs="Times New Roman"/>
      <w:b/>
      <w:bCs/>
      <w:kern w:val="0"/>
      <w:sz w:val="28"/>
      <w:szCs w:val="28"/>
    </w:rPr>
  </w:style>
  <w:style w:type="character" w:customStyle="1" w:styleId="42">
    <w:name w:val="纯文本 Char"/>
    <w:basedOn w:val="29"/>
    <w:link w:val="15"/>
    <w:qFormat/>
    <w:uiPriority w:val="0"/>
    <w:rPr>
      <w:rFonts w:eastAsia="宋体"/>
      <w:sz w:val="24"/>
    </w:rPr>
  </w:style>
  <w:style w:type="character" w:customStyle="1" w:styleId="43">
    <w:name w:val="日期 Char"/>
    <w:basedOn w:val="29"/>
    <w:link w:val="17"/>
    <w:qFormat/>
    <w:uiPriority w:val="99"/>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正文文本 3 Char"/>
    <w:basedOn w:val="29"/>
    <w:link w:val="12"/>
    <w:qFormat/>
    <w:uiPriority w:val="0"/>
    <w:rPr>
      <w:rFonts w:ascii="Times New Roman" w:hAnsi="Times New Roman" w:eastAsia="宋体" w:cs="Times New Roman"/>
      <w:color w:val="FF0000"/>
      <w:sz w:val="24"/>
      <w:szCs w:val="24"/>
    </w:rPr>
  </w:style>
  <w:style w:type="character" w:customStyle="1" w:styleId="56">
    <w:name w:val="edittexttarea"/>
    <w:basedOn w:val="29"/>
    <w:qFormat/>
    <w:uiPriority w:val="0"/>
  </w:style>
  <w:style w:type="paragraph" w:customStyle="1" w:styleId="5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 Char"/>
    <w:basedOn w:val="29"/>
    <w:link w:val="8"/>
    <w:qFormat/>
    <w:uiPriority w:val="99"/>
  </w:style>
  <w:style w:type="character" w:customStyle="1" w:styleId="60">
    <w:name w:val="正文首行缩进 Char"/>
    <w:basedOn w:val="59"/>
    <w:link w:val="7"/>
    <w:qFormat/>
    <w:uiPriority w:val="0"/>
    <w:rPr>
      <w:rFonts w:ascii="宋体" w:hAnsi="Times New Roman" w:eastAsia="宋体" w:cs="Times New Roman"/>
      <w:kern w:val="0"/>
      <w:sz w:val="34"/>
      <w:szCs w:val="20"/>
    </w:rPr>
  </w:style>
  <w:style w:type="character" w:customStyle="1" w:styleId="61">
    <w:name w:val="HTML 预设格式 Char"/>
    <w:basedOn w:val="29"/>
    <w:link w:val="26"/>
    <w:semiHidden/>
    <w:qFormat/>
    <w:uiPriority w:val="99"/>
    <w:rPr>
      <w:rFonts w:ascii="宋体" w:hAnsi="宋体" w:eastAsia="宋体" w:cs="宋体"/>
      <w:kern w:val="0"/>
      <w:sz w:val="24"/>
      <w:szCs w:val="24"/>
    </w:rPr>
  </w:style>
  <w:style w:type="character" w:customStyle="1" w:styleId="62">
    <w:name w:val="文档结构图 Char"/>
    <w:basedOn w:val="29"/>
    <w:link w:val="11"/>
    <w:semiHidden/>
    <w:qFormat/>
    <w:uiPriority w:val="99"/>
    <w:rPr>
      <w:rFonts w:ascii="宋体" w:eastAsia="宋体"/>
      <w:sz w:val="18"/>
      <w:szCs w:val="18"/>
    </w:rPr>
  </w:style>
  <w:style w:type="character" w:customStyle="1" w:styleId="63">
    <w:name w:val="标题 Char"/>
    <w:basedOn w:val="29"/>
    <w:link w:val="28"/>
    <w:qFormat/>
    <w:uiPriority w:val="10"/>
    <w:rPr>
      <w:rFonts w:eastAsia="宋体" w:asciiTheme="majorHAnsi" w:hAnsiTheme="majorHAnsi" w:cstheme="majorBidi"/>
      <w:b/>
      <w:bCs/>
      <w:sz w:val="32"/>
      <w:szCs w:val="32"/>
    </w:rPr>
  </w:style>
  <w:style w:type="paragraph" w:customStyle="1" w:styleId="64">
    <w:name w:val="样式 标题 3 + (中文) 黑体 小四 非加粗 段前: 7.8 磅 段后: 0 磅 行距: 固定值 20 磅"/>
    <w:basedOn w:val="4"/>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5">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6">
    <w:name w:val="red"/>
    <w:basedOn w:val="29"/>
    <w:qFormat/>
    <w:uiPriority w:val="0"/>
    <w:rPr>
      <w:color w:val="FF0000"/>
      <w:sz w:val="18"/>
      <w:szCs w:val="18"/>
    </w:rPr>
  </w:style>
  <w:style w:type="character" w:customStyle="1" w:styleId="67">
    <w:name w:val="red1"/>
    <w:basedOn w:val="29"/>
    <w:qFormat/>
    <w:uiPriority w:val="0"/>
    <w:rPr>
      <w:color w:val="FF0000"/>
      <w:sz w:val="18"/>
      <w:szCs w:val="18"/>
    </w:rPr>
  </w:style>
  <w:style w:type="character" w:customStyle="1" w:styleId="68">
    <w:name w:val="red2"/>
    <w:basedOn w:val="29"/>
    <w:qFormat/>
    <w:uiPriority w:val="0"/>
    <w:rPr>
      <w:color w:val="CC0000"/>
    </w:rPr>
  </w:style>
  <w:style w:type="character" w:customStyle="1" w:styleId="69">
    <w:name w:val="red3"/>
    <w:basedOn w:val="29"/>
    <w:qFormat/>
    <w:uiPriority w:val="0"/>
    <w:rPr>
      <w:color w:val="FF0000"/>
    </w:rPr>
  </w:style>
  <w:style w:type="character" w:customStyle="1" w:styleId="70">
    <w:name w:val="green"/>
    <w:basedOn w:val="29"/>
    <w:qFormat/>
    <w:uiPriority w:val="0"/>
    <w:rPr>
      <w:color w:val="66AE00"/>
      <w:sz w:val="18"/>
      <w:szCs w:val="18"/>
    </w:rPr>
  </w:style>
  <w:style w:type="character" w:customStyle="1" w:styleId="71">
    <w:name w:val="green1"/>
    <w:basedOn w:val="29"/>
    <w:qFormat/>
    <w:uiPriority w:val="0"/>
    <w:rPr>
      <w:color w:val="66AE00"/>
      <w:sz w:val="18"/>
      <w:szCs w:val="18"/>
    </w:rPr>
  </w:style>
  <w:style w:type="character" w:customStyle="1" w:styleId="72">
    <w:name w:val="hover25"/>
    <w:basedOn w:val="29"/>
    <w:qFormat/>
    <w:uiPriority w:val="0"/>
  </w:style>
  <w:style w:type="character" w:customStyle="1" w:styleId="73">
    <w:name w:val="gb-jt"/>
    <w:basedOn w:val="29"/>
    <w:uiPriority w:val="0"/>
  </w:style>
  <w:style w:type="character" w:customStyle="1" w:styleId="74">
    <w:name w:val="right"/>
    <w:basedOn w:val="29"/>
    <w:qFormat/>
    <w:uiPriority w:val="0"/>
    <w:rPr>
      <w:color w:val="999999"/>
      <w:sz w:val="18"/>
      <w:szCs w:val="18"/>
    </w:rPr>
  </w:style>
  <w:style w:type="character" w:customStyle="1" w:styleId="75">
    <w:name w:val="blue"/>
    <w:basedOn w:val="29"/>
    <w:uiPriority w:val="0"/>
    <w:rPr>
      <w:color w:val="0371C6"/>
      <w:sz w:val="21"/>
      <w:szCs w:val="21"/>
    </w:rPr>
  </w:style>
  <w:style w:type="paragraph" w:customStyle="1" w:styleId="76">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77">
    <w:name w:val="F1 Char"/>
    <w:link w:val="78"/>
    <w:uiPriority w:val="0"/>
    <w:rPr>
      <w:rFonts w:ascii="EU-F1" w:eastAsia="黑体"/>
      <w:kern w:val="2"/>
      <w:sz w:val="21"/>
      <w:szCs w:val="21"/>
    </w:rPr>
  </w:style>
  <w:style w:type="paragraph" w:customStyle="1" w:styleId="78">
    <w:name w:val="F1"/>
    <w:basedOn w:val="1"/>
    <w:link w:val="77"/>
    <w:uiPriority w:val="0"/>
    <w:pPr>
      <w:topLinePunct/>
      <w:spacing w:line="312" w:lineRule="exact"/>
    </w:pPr>
    <w:rPr>
      <w:rFonts w:ascii="EU-F1" w:hAnsi="Times New Roman" w:eastAsia="黑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1C3CC-5808-4E2B-AEFA-DEB8989FBF7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6116</Words>
  <Characters>34865</Characters>
  <Lines>290</Lines>
  <Paragraphs>81</Paragraphs>
  <TotalTime>204</TotalTime>
  <ScaleCrop>false</ScaleCrop>
  <LinksUpToDate>false</LinksUpToDate>
  <CharactersWithSpaces>40900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永明项目管理有限公司:永明项目管理有限公司</cp:lastModifiedBy>
  <cp:lastPrinted>2018-12-14T05:00:00Z</cp:lastPrinted>
  <dcterms:modified xsi:type="dcterms:W3CDTF">2019-01-22T03:32:52Z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