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color w:val="000000"/>
          <w:sz w:val="44"/>
          <w:szCs w:val="44"/>
        </w:rPr>
      </w:pPr>
    </w:p>
    <w:p>
      <w:pPr>
        <w:jc w:val="center"/>
        <w:rPr>
          <w:rFonts w:ascii="宋体" w:hAnsi="宋体" w:eastAsia="宋体" w:cs="宋体"/>
          <w:b/>
          <w:bCs/>
          <w:color w:val="000000"/>
          <w:sz w:val="44"/>
          <w:szCs w:val="44"/>
        </w:rPr>
      </w:pPr>
      <w:r>
        <w:rPr>
          <w:rFonts w:hint="eastAsia" w:ascii="宋体" w:hAnsi="宋体" w:eastAsia="宋体" w:cs="宋体"/>
          <w:b/>
          <w:bCs/>
          <w:color w:val="000000"/>
          <w:sz w:val="44"/>
          <w:szCs w:val="44"/>
        </w:rPr>
        <w:t>许昌市东城区民政局“二维码门楼牌设置安装项目”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r>
        <w:rPr>
          <w:rFonts w:ascii="宋体" w:hAnsi="宋体"/>
          <w:b/>
          <w:sz w:val="52"/>
          <w:szCs w:val="52"/>
        </w:rPr>
        <w:drawing>
          <wp:anchor distT="0" distB="0" distL="114300" distR="114300" simplePos="0" relativeHeight="251658240" behindDoc="1" locked="0" layoutInCell="1" allowOverlap="1">
            <wp:simplePos x="0" y="0"/>
            <wp:positionH relativeFrom="column">
              <wp:posOffset>1687195</wp:posOffset>
            </wp:positionH>
            <wp:positionV relativeFrom="paragraph">
              <wp:posOffset>29845</wp:posOffset>
            </wp:positionV>
            <wp:extent cx="2028190" cy="1485265"/>
            <wp:effectExtent l="0" t="0" r="10160" b="635"/>
            <wp:wrapTight wrapText="bothSides">
              <wp:wrapPolygon>
                <wp:start x="0" y="0"/>
                <wp:lineTo x="0" y="21332"/>
                <wp:lineTo x="21302" y="21332"/>
                <wp:lineTo x="21302"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cstate="print"/>
                    <a:stretch>
                      <a:fillRect/>
                    </a:stretch>
                  </pic:blipFill>
                  <pic:spPr>
                    <a:xfrm>
                      <a:off x="0" y="0"/>
                      <a:ext cx="2028190" cy="1485265"/>
                    </a:xfrm>
                    <a:prstGeom prst="rect">
                      <a:avLst/>
                    </a:prstGeom>
                    <a:noFill/>
                    <a:ln w="9525">
                      <a:noFill/>
                    </a:ln>
                  </pic:spPr>
                </pic:pic>
              </a:graphicData>
            </a:graphic>
          </wp:anchor>
        </w:drawing>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项目编号：JZFCG-G2018132号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采购单位：许昌市东城区民政局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代理机构：永明项目管理有限公司</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二〇一八年十二月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3"/>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（一）项目名称：许昌市东城区民政局“二维码门楼牌设置安装项目”</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（二）项目编号：JZFCG-G2018132号    </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（三）采购方式：公开招标</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（四）项目主要内容、数量及要求：该项目需设置安装中门牌约29400个，单元牌约3600个，室牌约145000个。（以实际安装数量为准）</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 (五)预算金额：1667800元；最高限价：</w:t>
      </w:r>
      <w:r>
        <w:rPr>
          <w:rFonts w:cs="仿宋_GB2312" w:asciiTheme="minorEastAsia" w:hAnsiTheme="minorEastAsia" w:eastAsiaTheme="minorEastAsia"/>
          <w:color w:val="000000"/>
          <w:sz w:val="21"/>
          <w:szCs w:val="21"/>
          <w:shd w:val="clear" w:color="auto" w:fill="FFFFFF"/>
        </w:rPr>
        <w:t>1667800</w:t>
      </w:r>
      <w:r>
        <w:rPr>
          <w:rFonts w:hint="eastAsia" w:cs="仿宋_GB2312" w:asciiTheme="minorEastAsia" w:hAnsiTheme="minorEastAsia" w:eastAsiaTheme="minorEastAsia"/>
          <w:color w:val="000000"/>
          <w:sz w:val="21"/>
          <w:szCs w:val="21"/>
          <w:shd w:val="clear" w:color="auto" w:fill="FFFFFF"/>
        </w:rPr>
        <w:t>元；</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（六）供货期：合同签订后60日历天</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（七）交付地点：许昌市东城区</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监狱企业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3"/>
        <w:widowControl/>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      （一）符合《中华人民共和国政府采购法》第二十二条之规定；</w:t>
      </w:r>
    </w:p>
    <w:p>
      <w:pPr>
        <w:pStyle w:val="23"/>
        <w:widowControl/>
        <w:shd w:val="clear" w:color="auto" w:fill="FFFFFF"/>
        <w:spacing w:line="360" w:lineRule="auto"/>
        <w:ind w:firstLine="630" w:firstLineChars="30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hint="eastAsia"/>
        </w:rPr>
        <w:t xml:space="preserve"> </w:t>
      </w:r>
      <w:r>
        <w:rPr>
          <w:rFonts w:hint="eastAsia"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23"/>
        <w:widowControl/>
        <w:shd w:val="clear" w:color="auto" w:fill="FFFFFF"/>
        <w:spacing w:line="360" w:lineRule="auto"/>
        <w:ind w:firstLine="630" w:firstLineChars="30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（一）投标截止及开标时间：2018年1月16日09时30分（北京时间），逾期提交或不符合规定的投标文件不予接受。</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公共资源大厦）三楼开标四室。</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2、纸质投标文件（正本、副本各1份）和备份文件2份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采购人：许昌市东城区民政局</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址：许昌市新兴路东段东城区管委会</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联系人：李女士               联系电话：17603747566</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代理机构：永明项目管理有限公司</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址：河南省许昌市瑞贝卡和天下</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联系人：徐会娇        联系电话：0374-5051770</w:t>
      </w:r>
    </w:p>
    <w:p>
      <w:pPr>
        <w:autoSpaceDE w:val="0"/>
        <w:autoSpaceDN w:val="0"/>
        <w:adjustRightInd w:val="0"/>
        <w:spacing w:line="700" w:lineRule="exact"/>
        <w:jc w:val="right"/>
        <w:rPr>
          <w:rFonts w:cs="仿宋_GB2312" w:asciiTheme="minorEastAsia" w:hAnsiTheme="minorEastAsia"/>
          <w:color w:val="000000"/>
          <w:szCs w:val="21"/>
        </w:rPr>
      </w:pPr>
      <w:r>
        <w:rPr>
          <w:rFonts w:hint="eastAsia" w:asciiTheme="minorEastAsia" w:hAnsiTheme="minorEastAsia" w:cstheme="majorEastAsia"/>
          <w:szCs w:val="21"/>
          <w:lang w:val="zh-CN"/>
        </w:rPr>
        <w:t xml:space="preserve">                               许昌市东城区民政局</w:t>
      </w:r>
    </w:p>
    <w:p>
      <w:pPr>
        <w:autoSpaceDE w:val="0"/>
        <w:autoSpaceDN w:val="0"/>
        <w:adjustRightInd w:val="0"/>
        <w:spacing w:line="700" w:lineRule="exact"/>
        <w:ind w:firstLine="560"/>
        <w:jc w:val="right"/>
        <w:rPr>
          <w:rFonts w:cs="仿宋_GB2312" w:asciiTheme="minorEastAsia" w:hAnsiTheme="minorEastAsia"/>
          <w:color w:val="000000"/>
          <w:szCs w:val="21"/>
        </w:rPr>
      </w:pPr>
      <w:r>
        <w:rPr>
          <w:rFonts w:hint="eastAsia" w:cs="仿宋_GB2312" w:asciiTheme="minorEastAsia" w:hAnsiTheme="minorEastAsia"/>
          <w:color w:val="000000"/>
          <w:szCs w:val="21"/>
        </w:rPr>
        <w:t xml:space="preserve">                              二〇一八年十二月二十日</w:t>
      </w:r>
    </w:p>
    <w:p>
      <w:pPr>
        <w:spacing w:line="360" w:lineRule="auto"/>
        <w:rPr>
          <w:rFonts w:hAnsi="宋体"/>
          <w:b/>
          <w:sz w:val="28"/>
          <w:szCs w:val="28"/>
        </w:rPr>
      </w:pPr>
    </w:p>
    <w:p>
      <w:pPr>
        <w:spacing w:line="360" w:lineRule="auto"/>
        <w:rPr>
          <w:rFonts w:hint="eastAsia" w:hAnsi="宋体"/>
          <w:b/>
          <w:sz w:val="28"/>
          <w:szCs w:val="28"/>
        </w:rPr>
      </w:pPr>
      <w:r>
        <w:rPr>
          <w:rFonts w:hint="eastAsia" w:hAnsi="宋体"/>
          <w:b/>
          <w:sz w:val="28"/>
          <w:szCs w:val="28"/>
        </w:rPr>
        <w:br w:type="page"/>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7"/>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V1.1”，按招标文件要求制作电子投标文件。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br w:type="page"/>
      </w:r>
    </w:p>
    <w:p>
      <w:pPr>
        <w:autoSpaceDE w:val="0"/>
        <w:autoSpaceDN w:val="0"/>
        <w:adjustRightInd w:val="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22" w:firstLineChars="200"/>
        <w:contextualSpacing/>
        <w:jc w:val="left"/>
        <w:rPr>
          <w:rFonts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本项目需实现的功能或者目标</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依法依规对全省标准地址命名和门楼牌编制进行清理整顿，建设全省统一的标准地址库，推二维码实体门牌换发工作，建立健全标准地址信息化建设和门楼牌管理工作机制。</w:t>
      </w:r>
    </w:p>
    <w:p>
      <w:pPr>
        <w:widowControl/>
        <w:shd w:val="clear" w:color="auto" w:fill="FFFFFF"/>
        <w:spacing w:line="360" w:lineRule="auto"/>
        <w:ind w:firstLine="422" w:firstLineChars="200"/>
        <w:contextualSpacing/>
        <w:jc w:val="left"/>
        <w:rPr>
          <w:rFonts w:cs="黑体" w:asciiTheme="minorEastAsia" w:hAnsiTheme="minorEastAsia"/>
          <w:b/>
          <w:bCs/>
          <w:color w:val="000000"/>
          <w:szCs w:val="21"/>
          <w:shd w:val="clear" w:color="auto" w:fill="FFFFFF"/>
          <w:lang w:val="zh-CN"/>
        </w:rPr>
      </w:pPr>
      <w:r>
        <w:rPr>
          <w:rFonts w:hint="eastAsia" w:cs="黑体" w:asciiTheme="minorEastAsia" w:hAnsiTheme="minorEastAsia"/>
          <w:b/>
          <w:bCs/>
          <w:color w:val="000000"/>
          <w:szCs w:val="21"/>
          <w:shd w:val="clear" w:color="auto" w:fill="FFFFFF"/>
          <w:lang w:val="zh-CN"/>
        </w:rPr>
        <w:t>二、采购清单</w:t>
      </w:r>
    </w:p>
    <w:tbl>
      <w:tblPr>
        <w:tblStyle w:val="31"/>
        <w:tblW w:w="9556" w:type="dxa"/>
        <w:jc w:val="center"/>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98"/>
        <w:gridCol w:w="1795"/>
        <w:gridCol w:w="3798"/>
        <w:gridCol w:w="88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67" w:type="dxa"/>
            <w:vAlign w:val="center"/>
          </w:tcPr>
          <w:p>
            <w:pPr>
              <w:spacing w:line="360" w:lineRule="auto"/>
              <w:contextualSpacing/>
              <w:jc w:val="center"/>
              <w:rPr>
                <w:rFonts w:cs="微软雅黑" w:asciiTheme="minorEastAsia" w:hAnsiTheme="minorEastAsia"/>
                <w:b/>
                <w:szCs w:val="21"/>
              </w:rPr>
            </w:pPr>
            <w:r>
              <w:rPr>
                <w:rFonts w:hint="eastAsia" w:cs="微软雅黑" w:asciiTheme="minorEastAsia" w:hAnsiTheme="minorEastAsia"/>
                <w:b/>
                <w:szCs w:val="21"/>
              </w:rPr>
              <w:t>序号</w:t>
            </w:r>
          </w:p>
        </w:tc>
        <w:tc>
          <w:tcPr>
            <w:tcW w:w="898" w:type="dxa"/>
            <w:vAlign w:val="center"/>
          </w:tcPr>
          <w:p>
            <w:pPr>
              <w:spacing w:line="360" w:lineRule="auto"/>
              <w:contextualSpacing/>
              <w:jc w:val="center"/>
              <w:rPr>
                <w:rFonts w:cs="微软雅黑" w:asciiTheme="minorEastAsia" w:hAnsiTheme="minorEastAsia"/>
                <w:b/>
                <w:szCs w:val="21"/>
              </w:rPr>
            </w:pPr>
            <w:r>
              <w:rPr>
                <w:rFonts w:hint="eastAsia" w:cs="微软雅黑" w:asciiTheme="minorEastAsia" w:hAnsiTheme="minorEastAsia"/>
                <w:b/>
                <w:szCs w:val="21"/>
              </w:rPr>
              <w:t>名称</w:t>
            </w:r>
          </w:p>
        </w:tc>
        <w:tc>
          <w:tcPr>
            <w:tcW w:w="1795" w:type="dxa"/>
          </w:tcPr>
          <w:p>
            <w:pPr>
              <w:spacing w:line="360" w:lineRule="auto"/>
              <w:contextualSpacing/>
              <w:jc w:val="center"/>
              <w:rPr>
                <w:rFonts w:cs="微软雅黑" w:asciiTheme="minorEastAsia" w:hAnsiTheme="minorEastAsia"/>
                <w:b/>
                <w:szCs w:val="21"/>
              </w:rPr>
            </w:pPr>
            <w:r>
              <w:rPr>
                <w:rFonts w:hint="eastAsia" w:cs="微软雅黑" w:asciiTheme="minorEastAsia" w:hAnsiTheme="minorEastAsia"/>
                <w:b/>
                <w:szCs w:val="21"/>
              </w:rPr>
              <w:t>规格</w:t>
            </w:r>
          </w:p>
        </w:tc>
        <w:tc>
          <w:tcPr>
            <w:tcW w:w="3798" w:type="dxa"/>
            <w:vAlign w:val="center"/>
          </w:tcPr>
          <w:p>
            <w:pPr>
              <w:spacing w:line="360" w:lineRule="auto"/>
              <w:contextualSpacing/>
              <w:jc w:val="center"/>
              <w:rPr>
                <w:rFonts w:cs="微软雅黑" w:asciiTheme="minorEastAsia" w:hAnsiTheme="minorEastAsia"/>
                <w:b/>
                <w:szCs w:val="21"/>
              </w:rPr>
            </w:pPr>
            <w:r>
              <w:rPr>
                <w:rFonts w:hint="eastAsia" w:cs="微软雅黑" w:asciiTheme="minorEastAsia" w:hAnsiTheme="minorEastAsia"/>
                <w:b/>
                <w:szCs w:val="21"/>
              </w:rPr>
              <w:t>技术要求</w:t>
            </w:r>
          </w:p>
        </w:tc>
        <w:tc>
          <w:tcPr>
            <w:tcW w:w="880" w:type="dxa"/>
            <w:vAlign w:val="center"/>
          </w:tcPr>
          <w:p>
            <w:pPr>
              <w:spacing w:line="360" w:lineRule="auto"/>
              <w:contextualSpacing/>
              <w:jc w:val="center"/>
              <w:rPr>
                <w:rFonts w:cs="微软雅黑" w:asciiTheme="minorEastAsia" w:hAnsiTheme="minorEastAsia"/>
                <w:b/>
                <w:szCs w:val="21"/>
              </w:rPr>
            </w:pPr>
            <w:r>
              <w:rPr>
                <w:rFonts w:hint="eastAsia" w:cs="微软雅黑" w:asciiTheme="minorEastAsia" w:hAnsiTheme="minorEastAsia"/>
                <w:b/>
                <w:szCs w:val="21"/>
              </w:rPr>
              <w:t>单位</w:t>
            </w:r>
          </w:p>
        </w:tc>
        <w:tc>
          <w:tcPr>
            <w:tcW w:w="1418" w:type="dxa"/>
            <w:vAlign w:val="center"/>
          </w:tcPr>
          <w:p>
            <w:pPr>
              <w:spacing w:line="360" w:lineRule="auto"/>
              <w:contextualSpacing/>
              <w:jc w:val="center"/>
              <w:rPr>
                <w:rFonts w:cs="微软雅黑" w:asciiTheme="minorEastAsia" w:hAnsiTheme="minorEastAsia"/>
                <w:b/>
                <w:szCs w:val="21"/>
              </w:rPr>
            </w:pPr>
            <w:r>
              <w:rPr>
                <w:rFonts w:hint="eastAsia" w:cs="微软雅黑" w:asciiTheme="minorEastAsia" w:hAnsiTheme="minorEastAsia"/>
                <w:b/>
                <w:szCs w:val="21"/>
              </w:rPr>
              <w:t xml:space="preserve">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67" w:type="dxa"/>
            <w:vAlign w:val="center"/>
          </w:tcPr>
          <w:p>
            <w:pPr>
              <w:spacing w:line="360" w:lineRule="auto"/>
              <w:contextualSpacing/>
              <w:jc w:val="center"/>
              <w:rPr>
                <w:rFonts w:cs="微软雅黑" w:asciiTheme="minorEastAsia" w:hAnsiTheme="minorEastAsia"/>
                <w:szCs w:val="21"/>
              </w:rPr>
            </w:pPr>
            <w:r>
              <w:rPr>
                <w:rFonts w:hint="eastAsia" w:cs="微软雅黑" w:asciiTheme="minorEastAsia" w:hAnsiTheme="minorEastAsia"/>
                <w:szCs w:val="21"/>
              </w:rPr>
              <w:t>1</w:t>
            </w:r>
          </w:p>
        </w:tc>
        <w:tc>
          <w:tcPr>
            <w:tcW w:w="898" w:type="dxa"/>
            <w:vAlign w:val="center"/>
          </w:tcPr>
          <w:p>
            <w:pPr>
              <w:spacing w:line="360" w:lineRule="auto"/>
              <w:contextualSpacing/>
              <w:jc w:val="center"/>
              <w:rPr>
                <w:rFonts w:cs="微软雅黑" w:asciiTheme="minorEastAsia" w:hAnsiTheme="minorEastAsia"/>
                <w:szCs w:val="21"/>
              </w:rPr>
            </w:pPr>
            <w:r>
              <w:rPr>
                <w:rFonts w:hint="eastAsia" w:cs="微软雅黑" w:asciiTheme="minorEastAsia" w:hAnsiTheme="minorEastAsia"/>
                <w:szCs w:val="21"/>
              </w:rPr>
              <w:t>中门牌</w:t>
            </w:r>
          </w:p>
        </w:tc>
        <w:tc>
          <w:tcPr>
            <w:tcW w:w="1795" w:type="dxa"/>
          </w:tcPr>
          <w:p>
            <w:pPr>
              <w:spacing w:line="360" w:lineRule="auto"/>
              <w:contextualSpacing/>
              <w:jc w:val="left"/>
              <w:rPr>
                <w:rFonts w:cs="微软雅黑" w:asciiTheme="minorEastAsia" w:hAnsiTheme="minorEastAsia"/>
                <w:szCs w:val="21"/>
              </w:rPr>
            </w:pPr>
            <w:r>
              <w:rPr>
                <w:rFonts w:hint="eastAsia" w:cs="微软雅黑" w:asciiTheme="minorEastAsia" w:hAnsiTheme="minorEastAsia"/>
                <w:szCs w:val="21"/>
              </w:rPr>
              <w:t xml:space="preserve">标牌长：240mm  </w:t>
            </w:r>
          </w:p>
          <w:p>
            <w:pPr>
              <w:spacing w:line="360" w:lineRule="auto"/>
              <w:contextualSpacing/>
              <w:jc w:val="left"/>
              <w:rPr>
                <w:rFonts w:cs="微软雅黑" w:asciiTheme="minorEastAsia" w:hAnsiTheme="minorEastAsia"/>
                <w:szCs w:val="21"/>
              </w:rPr>
            </w:pPr>
            <w:r>
              <w:rPr>
                <w:rFonts w:hint="eastAsia" w:cs="微软雅黑" w:asciiTheme="minorEastAsia" w:hAnsiTheme="minorEastAsia"/>
                <w:szCs w:val="21"/>
              </w:rPr>
              <w:t xml:space="preserve">宽：180mm  </w:t>
            </w:r>
          </w:p>
          <w:p>
            <w:pPr>
              <w:spacing w:line="360" w:lineRule="auto"/>
              <w:contextualSpacing/>
              <w:jc w:val="left"/>
              <w:rPr>
                <w:rFonts w:cs="微软雅黑" w:asciiTheme="minorEastAsia" w:hAnsiTheme="minorEastAsia"/>
                <w:szCs w:val="21"/>
              </w:rPr>
            </w:pPr>
            <w:r>
              <w:rPr>
                <w:rFonts w:hint="eastAsia" w:cs="微软雅黑" w:asciiTheme="minorEastAsia" w:hAnsiTheme="minorEastAsia"/>
                <w:szCs w:val="21"/>
              </w:rPr>
              <w:t>厚度：1.2mm</w:t>
            </w:r>
          </w:p>
        </w:tc>
        <w:tc>
          <w:tcPr>
            <w:tcW w:w="3798" w:type="dxa"/>
            <w:vMerge w:val="restart"/>
            <w:vAlign w:val="center"/>
          </w:tcPr>
          <w:p>
            <w:pPr>
              <w:spacing w:line="360" w:lineRule="auto"/>
              <w:contextualSpacing/>
              <w:jc w:val="center"/>
              <w:rPr>
                <w:rFonts w:cs="微软雅黑" w:asciiTheme="minorEastAsia" w:hAnsiTheme="minorEastAsia"/>
                <w:szCs w:val="21"/>
              </w:rPr>
            </w:pPr>
            <w:r>
              <w:rPr>
                <w:rFonts w:hint="eastAsia" w:cs="微软雅黑" w:asciiTheme="minorEastAsia" w:hAnsiTheme="minorEastAsia"/>
                <w:szCs w:val="21"/>
              </w:rPr>
              <w:t>基材为1.2mm防锈铝材，铝板表面覆反光膜（超强级），材质应符合GB/T18833-2012《道路交通反光膜》IV类（含）以上标准，并采用蓝色环保油漆进行UV打印；二维码用黑色环保油漆进行UV打印（触摸由立体感、颜色鲜艳），不能用不干胶黏贴。</w:t>
            </w:r>
          </w:p>
        </w:tc>
        <w:tc>
          <w:tcPr>
            <w:tcW w:w="880" w:type="dxa"/>
            <w:vAlign w:val="center"/>
          </w:tcPr>
          <w:p>
            <w:pPr>
              <w:spacing w:line="360" w:lineRule="auto"/>
              <w:contextualSpacing/>
              <w:jc w:val="center"/>
              <w:rPr>
                <w:rFonts w:cs="微软雅黑" w:asciiTheme="minorEastAsia" w:hAnsiTheme="minorEastAsia"/>
                <w:szCs w:val="21"/>
              </w:rPr>
            </w:pPr>
            <w:r>
              <w:rPr>
                <w:rFonts w:hint="eastAsia" w:cs="微软雅黑" w:asciiTheme="minorEastAsia" w:hAnsiTheme="minorEastAsia"/>
                <w:szCs w:val="21"/>
              </w:rPr>
              <w:t>个</w:t>
            </w:r>
          </w:p>
        </w:tc>
        <w:tc>
          <w:tcPr>
            <w:tcW w:w="1418" w:type="dxa"/>
            <w:vAlign w:val="center"/>
          </w:tcPr>
          <w:p>
            <w:pPr>
              <w:spacing w:line="360" w:lineRule="auto"/>
              <w:contextualSpacing/>
              <w:jc w:val="center"/>
              <w:rPr>
                <w:rFonts w:cs="微软雅黑" w:asciiTheme="minorEastAsia" w:hAnsiTheme="minorEastAsia"/>
                <w:szCs w:val="21"/>
              </w:rPr>
            </w:pPr>
            <w:r>
              <w:rPr>
                <w:rFonts w:hint="eastAsia" w:cs="微软雅黑" w:asciiTheme="minorEastAsia" w:hAnsiTheme="minorEastAsia"/>
                <w:szCs w:val="21"/>
              </w:rPr>
              <w:t>29400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767" w:type="dxa"/>
            <w:vAlign w:val="center"/>
          </w:tcPr>
          <w:p>
            <w:pPr>
              <w:spacing w:line="360" w:lineRule="auto"/>
              <w:contextualSpacing/>
              <w:jc w:val="center"/>
              <w:rPr>
                <w:rFonts w:cs="微软雅黑" w:asciiTheme="minorEastAsia" w:hAnsiTheme="minorEastAsia"/>
                <w:szCs w:val="21"/>
              </w:rPr>
            </w:pPr>
            <w:r>
              <w:rPr>
                <w:rFonts w:hint="eastAsia" w:cs="微软雅黑" w:asciiTheme="minorEastAsia" w:hAnsiTheme="minorEastAsia"/>
                <w:szCs w:val="21"/>
              </w:rPr>
              <w:t>2</w:t>
            </w:r>
          </w:p>
        </w:tc>
        <w:tc>
          <w:tcPr>
            <w:tcW w:w="898" w:type="dxa"/>
            <w:vAlign w:val="center"/>
          </w:tcPr>
          <w:p>
            <w:pPr>
              <w:spacing w:line="360" w:lineRule="auto"/>
              <w:contextualSpacing/>
              <w:jc w:val="center"/>
              <w:rPr>
                <w:rFonts w:cs="微软雅黑" w:asciiTheme="minorEastAsia" w:hAnsiTheme="minorEastAsia"/>
                <w:szCs w:val="21"/>
              </w:rPr>
            </w:pPr>
            <w:r>
              <w:rPr>
                <w:rFonts w:hint="eastAsia" w:cs="微软雅黑" w:asciiTheme="minorEastAsia" w:hAnsiTheme="minorEastAsia"/>
                <w:szCs w:val="21"/>
              </w:rPr>
              <w:t>单元牌</w:t>
            </w:r>
          </w:p>
        </w:tc>
        <w:tc>
          <w:tcPr>
            <w:tcW w:w="1795" w:type="dxa"/>
          </w:tcPr>
          <w:p>
            <w:pPr>
              <w:spacing w:line="360" w:lineRule="auto"/>
              <w:contextualSpacing/>
              <w:jc w:val="left"/>
              <w:rPr>
                <w:rFonts w:cs="微软雅黑" w:asciiTheme="minorEastAsia" w:hAnsiTheme="minorEastAsia"/>
                <w:szCs w:val="21"/>
              </w:rPr>
            </w:pPr>
            <w:r>
              <w:rPr>
                <w:rFonts w:hint="eastAsia" w:cs="微软雅黑" w:asciiTheme="minorEastAsia" w:hAnsiTheme="minorEastAsia"/>
                <w:szCs w:val="21"/>
              </w:rPr>
              <w:t xml:space="preserve">标牌长：300mm  </w:t>
            </w:r>
          </w:p>
          <w:p>
            <w:pPr>
              <w:spacing w:line="360" w:lineRule="auto"/>
              <w:contextualSpacing/>
              <w:jc w:val="left"/>
              <w:rPr>
                <w:rFonts w:cs="微软雅黑" w:asciiTheme="minorEastAsia" w:hAnsiTheme="minorEastAsia"/>
                <w:szCs w:val="21"/>
              </w:rPr>
            </w:pPr>
            <w:r>
              <w:rPr>
                <w:rFonts w:hint="eastAsia" w:cs="微软雅黑" w:asciiTheme="minorEastAsia" w:hAnsiTheme="minorEastAsia"/>
                <w:szCs w:val="21"/>
              </w:rPr>
              <w:t xml:space="preserve">宽：130mm  </w:t>
            </w:r>
          </w:p>
          <w:p>
            <w:pPr>
              <w:spacing w:line="360" w:lineRule="auto"/>
              <w:contextualSpacing/>
              <w:jc w:val="left"/>
              <w:rPr>
                <w:rFonts w:cs="微软雅黑" w:asciiTheme="minorEastAsia" w:hAnsiTheme="minorEastAsia"/>
                <w:szCs w:val="21"/>
              </w:rPr>
            </w:pPr>
            <w:r>
              <w:rPr>
                <w:rFonts w:hint="eastAsia" w:cs="微软雅黑" w:asciiTheme="minorEastAsia" w:hAnsiTheme="minorEastAsia"/>
                <w:szCs w:val="21"/>
              </w:rPr>
              <w:t>厚度：1.2mm</w:t>
            </w:r>
          </w:p>
        </w:tc>
        <w:tc>
          <w:tcPr>
            <w:tcW w:w="3798" w:type="dxa"/>
            <w:vMerge w:val="continue"/>
            <w:vAlign w:val="center"/>
          </w:tcPr>
          <w:p>
            <w:pPr>
              <w:spacing w:line="360" w:lineRule="auto"/>
              <w:contextualSpacing/>
              <w:jc w:val="center"/>
              <w:rPr>
                <w:rFonts w:cs="微软雅黑" w:asciiTheme="minorEastAsia" w:hAnsiTheme="minorEastAsia"/>
                <w:szCs w:val="21"/>
              </w:rPr>
            </w:pPr>
          </w:p>
        </w:tc>
        <w:tc>
          <w:tcPr>
            <w:tcW w:w="880" w:type="dxa"/>
            <w:vAlign w:val="center"/>
          </w:tcPr>
          <w:p>
            <w:pPr>
              <w:spacing w:line="360" w:lineRule="auto"/>
              <w:contextualSpacing/>
              <w:jc w:val="center"/>
              <w:rPr>
                <w:rFonts w:cs="微软雅黑" w:asciiTheme="minorEastAsia" w:hAnsiTheme="minorEastAsia"/>
                <w:szCs w:val="21"/>
              </w:rPr>
            </w:pPr>
            <w:r>
              <w:rPr>
                <w:rFonts w:hint="eastAsia" w:cs="微软雅黑" w:asciiTheme="minorEastAsia" w:hAnsiTheme="minorEastAsia"/>
                <w:szCs w:val="21"/>
              </w:rPr>
              <w:t>个</w:t>
            </w:r>
          </w:p>
        </w:tc>
        <w:tc>
          <w:tcPr>
            <w:tcW w:w="1418" w:type="dxa"/>
            <w:vAlign w:val="center"/>
          </w:tcPr>
          <w:p>
            <w:pPr>
              <w:spacing w:line="360" w:lineRule="auto"/>
              <w:contextualSpacing/>
              <w:jc w:val="center"/>
              <w:rPr>
                <w:rFonts w:cs="微软雅黑" w:asciiTheme="minorEastAsia" w:hAnsiTheme="minorEastAsia"/>
                <w:szCs w:val="21"/>
              </w:rPr>
            </w:pPr>
            <w:r>
              <w:rPr>
                <w:rFonts w:hint="eastAsia" w:cs="微软雅黑" w:asciiTheme="minorEastAsia" w:hAnsiTheme="minorEastAsia"/>
                <w:szCs w:val="21"/>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767" w:type="dxa"/>
            <w:vAlign w:val="center"/>
          </w:tcPr>
          <w:p>
            <w:pPr>
              <w:spacing w:line="360" w:lineRule="auto"/>
              <w:contextualSpacing/>
              <w:jc w:val="center"/>
              <w:rPr>
                <w:rFonts w:cs="微软雅黑" w:asciiTheme="minorEastAsia" w:hAnsiTheme="minorEastAsia"/>
                <w:szCs w:val="21"/>
              </w:rPr>
            </w:pPr>
            <w:r>
              <w:rPr>
                <w:rFonts w:hint="eastAsia" w:cs="微软雅黑" w:asciiTheme="minorEastAsia" w:hAnsiTheme="minorEastAsia"/>
                <w:szCs w:val="21"/>
              </w:rPr>
              <w:t>3</w:t>
            </w:r>
          </w:p>
        </w:tc>
        <w:tc>
          <w:tcPr>
            <w:tcW w:w="898" w:type="dxa"/>
            <w:vAlign w:val="center"/>
          </w:tcPr>
          <w:p>
            <w:pPr>
              <w:spacing w:line="360" w:lineRule="auto"/>
              <w:contextualSpacing/>
              <w:jc w:val="center"/>
              <w:rPr>
                <w:rFonts w:cs="微软雅黑" w:asciiTheme="minorEastAsia" w:hAnsiTheme="minorEastAsia"/>
                <w:szCs w:val="21"/>
              </w:rPr>
            </w:pPr>
            <w:r>
              <w:rPr>
                <w:rFonts w:hint="eastAsia" w:cs="微软雅黑" w:asciiTheme="minorEastAsia" w:hAnsiTheme="minorEastAsia"/>
                <w:szCs w:val="21"/>
              </w:rPr>
              <w:t>室牌</w:t>
            </w:r>
          </w:p>
        </w:tc>
        <w:tc>
          <w:tcPr>
            <w:tcW w:w="1795" w:type="dxa"/>
          </w:tcPr>
          <w:p>
            <w:pPr>
              <w:spacing w:line="360" w:lineRule="auto"/>
              <w:contextualSpacing/>
              <w:jc w:val="left"/>
              <w:rPr>
                <w:rFonts w:cs="微软雅黑" w:asciiTheme="minorEastAsia" w:hAnsiTheme="minorEastAsia"/>
                <w:szCs w:val="21"/>
              </w:rPr>
            </w:pPr>
            <w:r>
              <w:rPr>
                <w:rFonts w:hint="eastAsia" w:cs="微软雅黑" w:asciiTheme="minorEastAsia" w:hAnsiTheme="minorEastAsia"/>
                <w:szCs w:val="21"/>
              </w:rPr>
              <w:t xml:space="preserve">标牌长：110mm  </w:t>
            </w:r>
          </w:p>
          <w:p>
            <w:pPr>
              <w:spacing w:line="360" w:lineRule="auto"/>
              <w:contextualSpacing/>
              <w:jc w:val="left"/>
              <w:rPr>
                <w:rFonts w:cs="微软雅黑" w:asciiTheme="minorEastAsia" w:hAnsiTheme="minorEastAsia"/>
                <w:szCs w:val="21"/>
              </w:rPr>
            </w:pPr>
            <w:r>
              <w:rPr>
                <w:rFonts w:hint="eastAsia" w:cs="微软雅黑" w:asciiTheme="minorEastAsia" w:hAnsiTheme="minorEastAsia"/>
                <w:szCs w:val="21"/>
              </w:rPr>
              <w:t xml:space="preserve">宽：70mm   </w:t>
            </w:r>
          </w:p>
          <w:p>
            <w:pPr>
              <w:spacing w:line="360" w:lineRule="auto"/>
              <w:contextualSpacing/>
              <w:jc w:val="left"/>
              <w:rPr>
                <w:rFonts w:cs="微软雅黑" w:asciiTheme="minorEastAsia" w:hAnsiTheme="minorEastAsia"/>
                <w:szCs w:val="21"/>
              </w:rPr>
            </w:pPr>
            <w:r>
              <w:rPr>
                <w:rFonts w:hint="eastAsia" w:cs="微软雅黑" w:asciiTheme="minorEastAsia" w:hAnsiTheme="minorEastAsia"/>
                <w:szCs w:val="21"/>
              </w:rPr>
              <w:t>厚度：1.2mm</w:t>
            </w:r>
          </w:p>
        </w:tc>
        <w:tc>
          <w:tcPr>
            <w:tcW w:w="3798" w:type="dxa"/>
            <w:vMerge w:val="continue"/>
            <w:vAlign w:val="center"/>
          </w:tcPr>
          <w:p>
            <w:pPr>
              <w:spacing w:line="360" w:lineRule="auto"/>
              <w:contextualSpacing/>
              <w:jc w:val="center"/>
              <w:rPr>
                <w:rFonts w:cs="微软雅黑" w:asciiTheme="minorEastAsia" w:hAnsiTheme="minorEastAsia"/>
                <w:szCs w:val="21"/>
              </w:rPr>
            </w:pPr>
          </w:p>
        </w:tc>
        <w:tc>
          <w:tcPr>
            <w:tcW w:w="880" w:type="dxa"/>
            <w:vAlign w:val="center"/>
          </w:tcPr>
          <w:p>
            <w:pPr>
              <w:spacing w:line="360" w:lineRule="auto"/>
              <w:contextualSpacing/>
              <w:jc w:val="center"/>
              <w:rPr>
                <w:rFonts w:cs="微软雅黑" w:asciiTheme="minorEastAsia" w:hAnsiTheme="minorEastAsia"/>
                <w:szCs w:val="21"/>
              </w:rPr>
            </w:pPr>
            <w:r>
              <w:rPr>
                <w:rFonts w:hint="eastAsia" w:cs="微软雅黑" w:asciiTheme="minorEastAsia" w:hAnsiTheme="minorEastAsia"/>
                <w:szCs w:val="21"/>
              </w:rPr>
              <w:t>个</w:t>
            </w:r>
          </w:p>
        </w:tc>
        <w:tc>
          <w:tcPr>
            <w:tcW w:w="1418" w:type="dxa"/>
            <w:vAlign w:val="center"/>
          </w:tcPr>
          <w:p>
            <w:pPr>
              <w:spacing w:line="360" w:lineRule="auto"/>
              <w:contextualSpacing/>
              <w:jc w:val="center"/>
              <w:rPr>
                <w:rFonts w:cs="微软雅黑" w:asciiTheme="minorEastAsia" w:hAnsiTheme="minorEastAsia"/>
                <w:szCs w:val="21"/>
              </w:rPr>
            </w:pPr>
            <w:r>
              <w:rPr>
                <w:rFonts w:hint="eastAsia" w:cs="微软雅黑" w:asciiTheme="minorEastAsia" w:hAnsiTheme="minorEastAsia"/>
                <w:szCs w:val="21"/>
              </w:rPr>
              <w:t>145000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9556" w:type="dxa"/>
            <w:gridSpan w:val="6"/>
          </w:tcPr>
          <w:p>
            <w:pPr>
              <w:spacing w:line="360" w:lineRule="auto"/>
              <w:contextualSpacing/>
              <w:jc w:val="left"/>
              <w:rPr>
                <w:rFonts w:cs="微软雅黑" w:asciiTheme="minorEastAsia" w:hAnsiTheme="minorEastAsia"/>
                <w:b/>
                <w:szCs w:val="21"/>
              </w:rPr>
            </w:pPr>
            <w:r>
              <w:rPr>
                <w:rFonts w:hint="eastAsia" w:cs="微软雅黑" w:asciiTheme="minorEastAsia" w:hAnsiTheme="minorEastAsia"/>
                <w:b/>
                <w:szCs w:val="21"/>
              </w:rPr>
              <w:t>注：</w:t>
            </w:r>
          </w:p>
          <w:p>
            <w:pPr>
              <w:spacing w:line="360" w:lineRule="auto"/>
              <w:contextualSpacing/>
              <w:jc w:val="left"/>
              <w:rPr>
                <w:rFonts w:cs="微软雅黑" w:asciiTheme="minorEastAsia" w:hAnsiTheme="minorEastAsia"/>
                <w:b/>
                <w:szCs w:val="21"/>
              </w:rPr>
            </w:pPr>
            <w:r>
              <w:rPr>
                <w:rFonts w:hint="eastAsia" w:cs="微软雅黑" w:asciiTheme="minorEastAsia" w:hAnsiTheme="minorEastAsia"/>
                <w:b/>
                <w:szCs w:val="21"/>
              </w:rPr>
              <w:t xml:space="preserve">1、以实际安装数量为准。 </w:t>
            </w:r>
          </w:p>
          <w:p>
            <w:pPr>
              <w:spacing w:line="360" w:lineRule="auto"/>
              <w:contextualSpacing/>
              <w:jc w:val="left"/>
              <w:rPr>
                <w:rFonts w:cs="微软雅黑" w:asciiTheme="minorEastAsia" w:hAnsiTheme="minorEastAsia"/>
                <w:b/>
                <w:szCs w:val="21"/>
              </w:rPr>
            </w:pPr>
            <w:r>
              <w:rPr>
                <w:rFonts w:hint="eastAsia" w:cs="微软雅黑" w:asciiTheme="minorEastAsia" w:hAnsiTheme="minorEastAsia"/>
                <w:b/>
                <w:szCs w:val="21"/>
              </w:rPr>
              <w:t>2、门牌外观应当平滑、整齐、美观、大方。</w:t>
            </w:r>
          </w:p>
        </w:tc>
      </w:tr>
    </w:tbl>
    <w:p>
      <w:pPr>
        <w:spacing w:line="360" w:lineRule="auto"/>
        <w:ind w:firstLine="422" w:firstLineChars="200"/>
        <w:contextualSpacing/>
        <w:rPr>
          <w:rFonts w:cs="微软雅黑" w:asciiTheme="minorEastAsia" w:hAnsiTheme="minorEastAsia"/>
          <w:b/>
          <w:color w:val="FF0000"/>
          <w:szCs w:val="21"/>
        </w:rPr>
      </w:pPr>
      <w:r>
        <w:rPr>
          <w:rFonts w:hint="eastAsia" w:cs="微软雅黑" w:asciiTheme="minorEastAsia" w:hAnsiTheme="minorEastAsia"/>
          <w:b/>
          <w:color w:val="FF0000"/>
          <w:szCs w:val="21"/>
        </w:rPr>
        <w:t>本采购清单中所列技术规格或主要参数为最低要求，不允许负偏离，否则将承担其投标被视为非实质性响应投标的风险。</w:t>
      </w:r>
    </w:p>
    <w:p>
      <w:pPr>
        <w:spacing w:line="440" w:lineRule="exact"/>
        <w:ind w:firstLine="422" w:firstLineChars="200"/>
        <w:rPr>
          <w:rFonts w:cs="微软雅黑" w:asciiTheme="minorEastAsia" w:hAnsiTheme="minorEastAsia"/>
          <w:b/>
          <w:szCs w:val="21"/>
        </w:rPr>
      </w:pPr>
      <w:r>
        <w:rPr>
          <w:rFonts w:hint="eastAsia" w:cs="微软雅黑" w:asciiTheme="minorEastAsia" w:hAnsiTheme="minorEastAsia"/>
          <w:b/>
          <w:szCs w:val="21"/>
        </w:rPr>
        <w:t>★三、采购标的的服务期限、其他技术、服务等要求</w:t>
      </w:r>
    </w:p>
    <w:p>
      <w:pPr>
        <w:spacing w:line="44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1、投标人所投标的设备必须符合国家、公安部相关标准规范要求。</w:t>
      </w:r>
    </w:p>
    <w:p>
      <w:pPr>
        <w:spacing w:line="44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2、本项目产品质保期为2年。提供7*12小时服务，接故障通知2小时内做出响应，24小时解决问题。</w:t>
      </w:r>
    </w:p>
    <w:p>
      <w:pPr>
        <w:spacing w:line="360" w:lineRule="auto"/>
        <w:jc w:val="left"/>
        <w:rPr>
          <w:rFonts w:cs="宋体" w:asciiTheme="minorEastAsia" w:hAnsiTheme="minorEastAsia"/>
          <w:kern w:val="0"/>
          <w:szCs w:val="21"/>
        </w:rPr>
      </w:pPr>
      <w:r>
        <w:rPr>
          <w:rFonts w:hint="eastAsia" w:cs="宋体" w:asciiTheme="minorEastAsia" w:hAnsiTheme="minorEastAsia"/>
          <w:kern w:val="0"/>
          <w:szCs w:val="21"/>
        </w:rPr>
        <w:t xml:space="preserve">    3、投标总报价，包含完成本项目及与本项目有关工作所需的全部费用，投标人应充分考虑本项目的复杂程度，和其他有关部门、单位进行协作可能性，所需费用也包括在投标报价内，采购人不另外支付任何费用。</w:t>
      </w:r>
    </w:p>
    <w:p>
      <w:pPr>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4、专利权：供应商应保证用户在使用该货物或其任何一部分时不受第三方提出侵犯其专利权、商标权和工业设计权等的起诉。</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四、验收标准</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1、由</w:t>
      </w:r>
      <w:r>
        <w:rPr>
          <w:rFonts w:cs="宋体" w:asciiTheme="minorEastAsia" w:hAnsiTheme="minorEastAsia"/>
          <w:color w:val="000000"/>
          <w:kern w:val="0"/>
          <w:szCs w:val="21"/>
          <w:lang w:val="zh-CN"/>
        </w:rPr>
        <w:t>采购人成立验收小组,按照采购合同的约定对</w:t>
      </w:r>
      <w:r>
        <w:rPr>
          <w:rFonts w:hint="eastAsia" w:cs="宋体" w:asciiTheme="minorEastAsia" w:hAnsiTheme="minorEastAsia"/>
          <w:color w:val="000000"/>
          <w:kern w:val="0"/>
          <w:szCs w:val="21"/>
          <w:lang w:val="zh-CN"/>
        </w:rPr>
        <w:t>中标人</w:t>
      </w:r>
      <w:r>
        <w:rPr>
          <w:rFonts w:cs="宋体" w:asciiTheme="minorEastAsia" w:hAnsiTheme="minorEastAsia"/>
          <w:color w:val="000000"/>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20" w:firstLineChars="200"/>
        <w:contextualSpacing/>
        <w:jc w:val="left"/>
        <w:rPr>
          <w:rFonts w:ascii="仿宋" w:hAnsi="仿宋" w:eastAsia="仿宋" w:cs="宋体"/>
          <w:color w:val="000000"/>
          <w:kern w:val="0"/>
          <w:szCs w:val="21"/>
          <w:lang w:val="zh-CN"/>
        </w:rPr>
      </w:pPr>
      <w:r>
        <w:rPr>
          <w:rFonts w:hint="eastAsia" w:cs="宋体" w:asciiTheme="minorEastAsia" w:hAnsiTheme="minorEastAsia"/>
          <w:color w:val="000000"/>
          <w:kern w:val="0"/>
          <w:szCs w:val="21"/>
          <w:lang w:val="zh-CN"/>
        </w:rPr>
        <w:t>2、按照招标文件要求、投标文件响应和承诺验收</w:t>
      </w:r>
      <w:r>
        <w:rPr>
          <w:rFonts w:hint="eastAsia" w:ascii="仿宋" w:hAnsi="仿宋" w:eastAsia="仿宋" w:cs="宋体"/>
          <w:color w:val="000000"/>
          <w:kern w:val="0"/>
          <w:szCs w:val="21"/>
          <w:lang w:val="zh-CN"/>
        </w:rPr>
        <w:t>。</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z w:val="21"/>
          <w:szCs w:val="21"/>
          <w:shd w:val="clear" w:color="auto" w:fill="FFFFFF"/>
        </w:rPr>
        <w:t>五、本项目预算金额：1667800元；最高限价：1667800元；</w:t>
      </w:r>
      <w:r>
        <w:rPr>
          <w:rFonts w:hint="eastAsia" w:cs="宋体" w:asciiTheme="minorEastAsia" w:hAnsiTheme="minorEastAsia" w:eastAsiaTheme="minorEastAsia"/>
          <w:b/>
          <w:color w:val="000000"/>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六、资金支付</w:t>
      </w:r>
    </w:p>
    <w:p>
      <w:pPr>
        <w:widowControl/>
        <w:numPr>
          <w:ilvl w:val="0"/>
          <w:numId w:val="5"/>
        </w:numPr>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支付方式：银行转账</w:t>
      </w:r>
    </w:p>
    <w:p>
      <w:pPr>
        <w:pStyle w:val="43"/>
        <w:widowControl/>
        <w:numPr>
          <w:ilvl w:val="0"/>
          <w:numId w:val="5"/>
        </w:numPr>
        <w:shd w:val="clear" w:color="auto" w:fill="FFFFFF"/>
        <w:spacing w:line="360" w:lineRule="auto"/>
        <w:ind w:firstLineChars="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支付时间及条件：交货验收合格后付总价款的90%，2年质保期每满一年后无质量问题支付合同剩余的5%（不响应者为无效标）。</w:t>
      </w: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left"/>
        <w:rPr>
          <w:rFonts w:ascii="宋体" w:cs="Arial"/>
          <w:b/>
          <w:szCs w:val="24"/>
        </w:rPr>
      </w:pPr>
    </w:p>
    <w:p>
      <w:pPr>
        <w:autoSpaceDE w:val="0"/>
        <w:autoSpaceDN w:val="0"/>
        <w:adjustRightInd w:val="0"/>
        <w:jc w:val="left"/>
        <w:rPr>
          <w:rFonts w:ascii="宋体" w:cs="Arial"/>
          <w:b/>
          <w:szCs w:val="24"/>
        </w:rPr>
      </w:pPr>
    </w:p>
    <w:p>
      <w:pPr>
        <w:autoSpaceDE w:val="0"/>
        <w:autoSpaceDN w:val="0"/>
        <w:adjustRightInd w:val="0"/>
        <w:jc w:val="left"/>
        <w:rPr>
          <w:rFonts w:ascii="宋体" w:cs="Arial"/>
          <w:b/>
          <w:szCs w:val="24"/>
        </w:rPr>
      </w:pPr>
    </w:p>
    <w:p>
      <w:pPr>
        <w:autoSpaceDE w:val="0"/>
        <w:autoSpaceDN w:val="0"/>
        <w:adjustRightInd w:val="0"/>
        <w:jc w:val="left"/>
        <w:rPr>
          <w:rFonts w:ascii="宋体" w:cs="Arial"/>
          <w:b/>
          <w:szCs w:val="24"/>
        </w:rPr>
      </w:pPr>
    </w:p>
    <w:p>
      <w:pPr>
        <w:autoSpaceDE w:val="0"/>
        <w:autoSpaceDN w:val="0"/>
        <w:adjustRightInd w:val="0"/>
        <w:jc w:val="left"/>
        <w:rPr>
          <w:rFonts w:ascii="宋体" w:cs="Arial"/>
          <w:b/>
          <w:szCs w:val="24"/>
        </w:rPr>
      </w:pPr>
    </w:p>
    <w:p>
      <w:pPr>
        <w:autoSpaceDE w:val="0"/>
        <w:autoSpaceDN w:val="0"/>
        <w:adjustRightInd w:val="0"/>
        <w:jc w:val="left"/>
        <w:rPr>
          <w:rFonts w:ascii="宋体" w:cs="Arial"/>
          <w:b/>
          <w:szCs w:val="24"/>
        </w:rPr>
      </w:pPr>
    </w:p>
    <w:p>
      <w:pPr>
        <w:autoSpaceDE w:val="0"/>
        <w:autoSpaceDN w:val="0"/>
        <w:adjustRightInd w:val="0"/>
        <w:jc w:val="left"/>
        <w:rPr>
          <w:rFonts w:ascii="宋体" w:cs="Arial"/>
          <w:b/>
          <w:szCs w:val="24"/>
        </w:rPr>
      </w:pPr>
    </w:p>
    <w:p>
      <w:pPr>
        <w:autoSpaceDE w:val="0"/>
        <w:autoSpaceDN w:val="0"/>
        <w:adjustRightInd w:val="0"/>
        <w:jc w:val="left"/>
        <w:rPr>
          <w:rFonts w:hAnsi="宋体"/>
          <w:b/>
          <w:bCs/>
          <w:sz w:val="28"/>
          <w:szCs w:val="28"/>
        </w:rPr>
      </w:pPr>
      <w:r>
        <w:rPr>
          <w:rFonts w:hint="eastAsia" w:ascii="宋体" w:cs="Arial"/>
          <w:b/>
          <w:szCs w:val="24"/>
        </w:rPr>
        <w:t>附件1：</w:t>
      </w:r>
      <w:r>
        <w:rPr>
          <w:rFonts w:hint="eastAsia" w:hAnsi="宋体"/>
          <w:b/>
          <w:bCs/>
          <w:sz w:val="28"/>
          <w:szCs w:val="28"/>
        </w:rPr>
        <w:t>二维码门牌参考样式</w:t>
      </w:r>
    </w:p>
    <w:p>
      <w:pPr>
        <w:autoSpaceDE w:val="0"/>
        <w:autoSpaceDN w:val="0"/>
        <w:adjustRightInd w:val="0"/>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drawing>
          <wp:inline distT="0" distB="0" distL="0" distR="0">
            <wp:extent cx="5610225" cy="8134350"/>
            <wp:effectExtent l="19050" t="0" r="9525" b="0"/>
            <wp:docPr id="8" name="图片 1" descr="C:\Users\ADMINI~1\AppData\Local\Temp\WeChat Files\397355610673613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1\AppData\Local\Temp\WeChat Files\397355610673613000.jpg"/>
                    <pic:cNvPicPr>
                      <a:picLocks noChangeAspect="1" noChangeArrowheads="1"/>
                    </pic:cNvPicPr>
                  </pic:nvPicPr>
                  <pic:blipFill>
                    <a:blip r:embed="rId6" cstate="print"/>
                    <a:srcRect/>
                    <a:stretch>
                      <a:fillRect/>
                    </a:stretch>
                  </pic:blipFill>
                  <pic:spPr>
                    <a:xfrm>
                      <a:off x="0" y="0"/>
                      <a:ext cx="5610225" cy="8134350"/>
                    </a:xfrm>
                    <a:prstGeom prst="rect">
                      <a:avLst/>
                    </a:prstGeom>
                    <a:noFill/>
                    <a:ln w="9525">
                      <a:noFill/>
                      <a:miter lim="800000"/>
                      <a:headEnd/>
                      <a:tailEnd/>
                    </a:ln>
                  </pic:spPr>
                </pic:pic>
              </a:graphicData>
            </a:graphic>
          </wp:inline>
        </w:drawing>
      </w:r>
      <w:r>
        <w:rPr>
          <w:rFonts w:cs="宋体" w:asciiTheme="majorEastAsia" w:hAnsiTheme="majorEastAsia" w:eastAsiaTheme="majorEastAsia"/>
          <w:b/>
          <w:kern w:val="0"/>
          <w:sz w:val="32"/>
          <w:szCs w:val="32"/>
        </w:rPr>
        <w:drawing>
          <wp:inline distT="0" distB="0" distL="0" distR="0">
            <wp:extent cx="5610225" cy="7524750"/>
            <wp:effectExtent l="19050" t="0" r="9525" b="0"/>
            <wp:docPr id="9" name="图片 2" descr="C:\Users\ADMINI~1\AppData\Local\Temp\WeChat Files\225307469474323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Users\ADMINI~1\AppData\Local\Temp\WeChat Files\225307469474323420.jpg"/>
                    <pic:cNvPicPr>
                      <a:picLocks noChangeAspect="1" noChangeArrowheads="1"/>
                    </pic:cNvPicPr>
                  </pic:nvPicPr>
                  <pic:blipFill>
                    <a:blip r:embed="rId7" cstate="print"/>
                    <a:srcRect/>
                    <a:stretch>
                      <a:fillRect/>
                    </a:stretch>
                  </pic:blipFill>
                  <pic:spPr>
                    <a:xfrm>
                      <a:off x="0" y="0"/>
                      <a:ext cx="5610225" cy="7524750"/>
                    </a:xfrm>
                    <a:prstGeom prst="rect">
                      <a:avLst/>
                    </a:prstGeom>
                    <a:noFill/>
                    <a:ln w="9525">
                      <a:noFill/>
                      <a:miter lim="800000"/>
                      <a:headEnd/>
                      <a:tailEnd/>
                    </a:ln>
                  </pic:spPr>
                </pic:pic>
              </a:graphicData>
            </a:graphic>
          </wp:inline>
        </w:drawing>
      </w:r>
      <w:r>
        <w:rPr>
          <w:rFonts w:cs="宋体" w:asciiTheme="majorEastAsia" w:hAnsiTheme="majorEastAsia" w:eastAsiaTheme="majorEastAsia"/>
          <w:b/>
          <w:kern w:val="0"/>
          <w:sz w:val="32"/>
          <w:szCs w:val="32"/>
        </w:rPr>
        <w:drawing>
          <wp:inline distT="0" distB="0" distL="0" distR="0">
            <wp:extent cx="5610225" cy="7486650"/>
            <wp:effectExtent l="19050" t="0" r="9525" b="0"/>
            <wp:docPr id="10" name="图片 3" descr="C:\Users\ADMINI~1\AppData\Local\Temp\WeChat Files\664435631813153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Users\ADMINI~1\AppData\Local\Temp\WeChat Files\664435631813153323.jpg"/>
                    <pic:cNvPicPr>
                      <a:picLocks noChangeAspect="1" noChangeArrowheads="1"/>
                    </pic:cNvPicPr>
                  </pic:nvPicPr>
                  <pic:blipFill>
                    <a:blip r:embed="rId8" cstate="print"/>
                    <a:srcRect/>
                    <a:stretch>
                      <a:fillRect/>
                    </a:stretch>
                  </pic:blipFill>
                  <pic:spPr>
                    <a:xfrm>
                      <a:off x="0" y="0"/>
                      <a:ext cx="5610225" cy="7486650"/>
                    </a:xfrm>
                    <a:prstGeom prst="rect">
                      <a:avLst/>
                    </a:prstGeom>
                    <a:noFill/>
                    <a:ln w="9525">
                      <a:noFill/>
                      <a:miter lim="800000"/>
                      <a:headEnd/>
                      <a:tailEnd/>
                    </a:ln>
                  </pic:spPr>
                </pic:pic>
              </a:graphicData>
            </a:graphic>
          </wp:inline>
        </w:drawing>
      </w: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3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项目名称：许昌市东城区民政局“二维码门楼牌设置安装项目”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项目编号：JZFCG-G2018132号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项目内容：详见招标公告</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采购人：许昌市东城区民政局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 址：许昌市新兴路东段东城区管委会</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联系人：李女士               联系电话：</w:t>
            </w:r>
            <w:r>
              <w:rPr>
                <w:rFonts w:cs="仿宋_GB2312" w:asciiTheme="minorEastAsia" w:hAnsiTheme="minorEastAsia"/>
                <w:szCs w:val="21"/>
              </w:rPr>
              <w:t>17603747566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代理机构：永明项目管理有限公司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 址：河南省许昌市瑞贝卡和天下</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联系人：徐会娇             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w:t>
            </w:r>
            <w:r>
              <w:rPr>
                <w:rFonts w:hint="eastAsia" w:cs="宋体" w:asciiTheme="minorEastAsia" w:hAnsiTheme="minorEastAsia"/>
                <w:bCs/>
                <w:szCs w:val="21"/>
              </w:rPr>
              <w:t>7</w:t>
            </w:r>
            <w:r>
              <w:rPr>
                <w:rFonts w:hint="eastAsia" w:cs="宋体" w:asciiTheme="minorEastAsia" w:hAnsiTheme="minorEastAsia"/>
                <w:bCs/>
                <w:szCs w:val="21"/>
                <w:lang w:val="zh-CN"/>
              </w:rPr>
              <w:t>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1、查询渠道：“信用中国”网站（www.creditchina.gov.cn）、“中国政府采购网”（www.ccgp.gov.cn）和“国家企业信用公示系统”网站（www.gsxt.gov.cn）；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最高限价：1667800元。超出最高限价的投标无效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2018年1月16日09时30分（北京时间）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许昌市公共资源交易中心三楼开标四室（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金额：叁万叁仟元整（¥</w:t>
            </w:r>
            <w:r>
              <w:rPr>
                <w:rFonts w:hint="eastAsia" w:cs="仿宋_GB2312" w:asciiTheme="minorEastAsia" w:hAnsiTheme="minorEastAsia"/>
                <w:szCs w:val="21"/>
              </w:rPr>
              <w:t>33000</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使用电子介质存储的备份文件2份（文件格式为：名称为“备份”的文件夹）。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rPr>
              <w:t>1.5</w:t>
            </w:r>
            <w:r>
              <w:rPr>
                <w:rFonts w:hint="eastAsia" w:cs="宋体" w:asciiTheme="minorEastAsia" w:hAnsiTheme="minorEastAsia"/>
                <w:color w:val="333333"/>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yongming0374@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43"/>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43"/>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w:t>
      </w:r>
      <w:bookmarkStart w:id="9" w:name="_GoBack"/>
      <w:bookmarkEnd w:id="9"/>
      <w:r>
        <w:rPr>
          <w:rFonts w:hint="eastAsia" w:cs="宋体" w:asciiTheme="minorEastAsia" w:hAnsiTheme="minorEastAsia"/>
          <w:kern w:val="0"/>
          <w:szCs w:val="21"/>
        </w:rPr>
        <w:t>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3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（1）2017年度经审计的财务报告，包括资产负债表、利润表、现金流量表、所有者权益变动表及其附注；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Theme="minorEastAsia" w:hAnsiTheme="minorEastAsia"/>
                <w:b/>
                <w:bCs/>
                <w:szCs w:val="21"/>
              </w:rPr>
              <w:t>8、未被列入“信用中国”网站(www.creditchina.gov.cn)失信被执行人、重大税收违法案件当事人名单、政府采购严重违法失信名单的投标人；“中国政府采购网”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经采购人认定的被列入失信被执行人、重大税收违法案件当事人名单、政府采购严重违法失信行为记录名单、严重违法失信企业名单（黑名单）的投标人（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（1）查询渠道：“信用中国”网站（www.creditchina.gov.cn）、“中国政府采购网”（www.ccgp.gov.cn）和“国家企业信用公示系统”网站（www.gsxt.gov.cn）；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bl>
    <w:p>
      <w:pPr>
        <w:pStyle w:val="16"/>
        <w:spacing w:line="360" w:lineRule="auto"/>
        <w:ind w:firstLine="482" w:firstLineChars="200"/>
        <w:contextualSpacing/>
        <w:rPr>
          <w:rFonts w:cs="仿宋_GB2312" w:asciiTheme="minorEastAsia" w:hAnsiTheme="minorEastAsia" w:eastAsiaTheme="minorEastAsia"/>
          <w:b/>
          <w:szCs w:val="24"/>
          <w:lang w:val="zh-CN"/>
        </w:rPr>
      </w:pPr>
    </w:p>
    <w:p>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2）符合性审查资料未按招标文件要求签署、盖章的；</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3）有下列情形之一的，视为投标人串通投标，其投标无效：</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a.不同投标人的投标文件由同一单位或者个人编制；</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b.不同投标人委托同一单位或者个人办理投标事宜；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c.不同投标人的投标文件载明的项目管理成员或者联系人员为同一人；</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d.不同投标人的投标文件异常一致或者投标报价呈规律性差异；</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e.不同投标人的投标文件相互混装；</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w:t>
      </w:r>
      <w:r>
        <w:rPr>
          <w:rFonts w:cs="仿宋_GB2312" w:asciiTheme="minorEastAsia" w:hAnsiTheme="minorEastAsia"/>
          <w:b/>
          <w:szCs w:val="21"/>
          <w:lang w:val="zh-CN"/>
        </w:rPr>
        <w:t>法律、法规和招标文件规定的其他无效情形。</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30"/>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szCs w:val="21"/>
              </w:rPr>
            </w:pPr>
            <w:r>
              <w:rPr>
                <w:rFonts w:hint="eastAsia" w:ascii="宋体" w:hAnsi="宋体"/>
                <w:szCs w:val="21"/>
              </w:rPr>
              <w:t>分值构成</w:t>
            </w:r>
          </w:p>
          <w:p>
            <w:pPr>
              <w:spacing w:line="360" w:lineRule="auto"/>
              <w:jc w:val="center"/>
              <w:rPr>
                <w:rFonts w:ascii="宋体" w:hAnsi="宋体"/>
                <w:color w:val="FF0000"/>
                <w:szCs w:val="21"/>
              </w:rPr>
            </w:pPr>
            <w:r>
              <w:rPr>
                <w:rFonts w:hint="eastAsia" w:ascii="宋体" w:hAnsi="宋体"/>
                <w:szCs w:val="21"/>
              </w:rPr>
              <w:t>(总分100分)</w:t>
            </w:r>
          </w:p>
        </w:tc>
        <w:tc>
          <w:tcPr>
            <w:tcW w:w="7204" w:type="dxa"/>
            <w:gridSpan w:val="2"/>
            <w:vAlign w:val="center"/>
          </w:tcPr>
          <w:p>
            <w:pPr>
              <w:spacing w:line="360" w:lineRule="auto"/>
              <w:ind w:firstLine="420" w:firstLineChars="200"/>
              <w:rPr>
                <w:rFonts w:ascii="宋体" w:hAnsi="宋体"/>
                <w:szCs w:val="21"/>
              </w:rPr>
            </w:pPr>
            <w:r>
              <w:rPr>
                <w:rFonts w:hint="eastAsia" w:ascii="宋体" w:hAnsi="宋体"/>
                <w:szCs w:val="21"/>
              </w:rPr>
              <w:t>价格分值：</w:t>
            </w:r>
            <w:r>
              <w:rPr>
                <w:rFonts w:hint="eastAsia" w:ascii="宋体" w:hAnsi="宋体"/>
                <w:szCs w:val="21"/>
                <w:u w:val="single"/>
              </w:rPr>
              <w:t>30</w:t>
            </w:r>
            <w:r>
              <w:rPr>
                <w:rFonts w:hint="eastAsia" w:ascii="宋体" w:hAnsi="宋体"/>
                <w:szCs w:val="21"/>
              </w:rPr>
              <w:t>分</w:t>
            </w:r>
          </w:p>
          <w:p>
            <w:pPr>
              <w:spacing w:line="360" w:lineRule="auto"/>
              <w:ind w:firstLine="420" w:firstLineChars="200"/>
              <w:rPr>
                <w:rFonts w:ascii="宋体" w:hAnsi="宋体"/>
                <w:szCs w:val="21"/>
              </w:rPr>
            </w:pPr>
            <w:r>
              <w:rPr>
                <w:rFonts w:hint="eastAsia" w:ascii="宋体" w:hAnsi="宋体"/>
                <w:szCs w:val="21"/>
              </w:rPr>
              <w:t>商务部分：</w:t>
            </w:r>
            <w:r>
              <w:rPr>
                <w:rFonts w:hint="eastAsia" w:ascii="宋体" w:hAnsi="宋体"/>
                <w:szCs w:val="21"/>
                <w:u w:val="single"/>
              </w:rPr>
              <w:t>25</w:t>
            </w:r>
            <w:r>
              <w:rPr>
                <w:rFonts w:hint="eastAsia" w:ascii="宋体" w:hAnsi="宋体"/>
                <w:szCs w:val="21"/>
              </w:rPr>
              <w:t>分</w:t>
            </w:r>
          </w:p>
          <w:p>
            <w:pPr>
              <w:spacing w:line="360" w:lineRule="auto"/>
              <w:ind w:firstLine="420" w:firstLineChars="200"/>
              <w:rPr>
                <w:rFonts w:ascii="宋体" w:hAnsi="宋体"/>
                <w:color w:val="FF0000"/>
                <w:szCs w:val="21"/>
              </w:rPr>
            </w:pPr>
            <w:r>
              <w:rPr>
                <w:rFonts w:hint="eastAsia" w:ascii="宋体" w:hAnsi="宋体"/>
                <w:szCs w:val="21"/>
              </w:rPr>
              <w:t>技术部分：</w:t>
            </w:r>
            <w:r>
              <w:rPr>
                <w:rFonts w:hint="eastAsia" w:ascii="宋体" w:hAnsi="宋体"/>
                <w:szCs w:val="21"/>
                <w:u w:val="single"/>
              </w:rPr>
              <w:t>45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b/>
                <w:szCs w:val="21"/>
              </w:rPr>
            </w:pPr>
            <w:r>
              <w:rPr>
                <w:rFonts w:hint="eastAsia" w:ascii="宋体" w:hAnsi="宋体"/>
                <w:b/>
                <w:szCs w:val="21"/>
              </w:rPr>
              <w:t>价格部分（满分</w:t>
            </w:r>
            <w:r>
              <w:rPr>
                <w:rFonts w:hint="eastAsia" w:ascii="宋体" w:hAnsi="宋体"/>
                <w:b/>
                <w:szCs w:val="21"/>
                <w:u w:val="single"/>
              </w:rPr>
              <w:t>30</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宋体" w:hAnsi="宋体"/>
                <w:b/>
                <w:szCs w:val="21"/>
              </w:rPr>
            </w:pPr>
            <w:r>
              <w:rPr>
                <w:rFonts w:hint="eastAsia" w:ascii="宋体" w:hAnsi="宋体"/>
                <w:b/>
                <w:szCs w:val="21"/>
              </w:rPr>
              <w:t>评分因素</w:t>
            </w:r>
          </w:p>
        </w:tc>
        <w:tc>
          <w:tcPr>
            <w:tcW w:w="6237" w:type="dxa"/>
            <w:tcBorders>
              <w:top w:val="single" w:color="auto" w:sz="4" w:space="0"/>
            </w:tcBorders>
            <w:vAlign w:val="center"/>
          </w:tcPr>
          <w:p>
            <w:pPr>
              <w:jc w:val="center"/>
              <w:rPr>
                <w:rFonts w:ascii="宋体" w:hAnsi="宋体"/>
                <w:b/>
                <w:szCs w:val="21"/>
              </w:rPr>
            </w:pPr>
            <w:r>
              <w:rPr>
                <w:rFonts w:hint="eastAsia" w:ascii="宋体" w:hAnsi="宋体"/>
                <w:b/>
                <w:szCs w:val="21"/>
              </w:rPr>
              <w:t>评标标准</w:t>
            </w:r>
          </w:p>
        </w:tc>
        <w:tc>
          <w:tcPr>
            <w:tcW w:w="967" w:type="dxa"/>
            <w:tcBorders>
              <w:top w:val="single" w:color="auto" w:sz="4" w:space="0"/>
            </w:tcBorders>
            <w:vAlign w:val="center"/>
          </w:tcPr>
          <w:p>
            <w:pPr>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投标报价</w:t>
            </w:r>
          </w:p>
          <w:p>
            <w:pPr>
              <w:spacing w:line="360" w:lineRule="auto"/>
              <w:jc w:val="center"/>
              <w:rPr>
                <w:rFonts w:ascii="宋体" w:hAnsi="宋体"/>
                <w:szCs w:val="21"/>
              </w:rPr>
            </w:pPr>
            <w:r>
              <w:rPr>
                <w:rFonts w:hint="eastAsia" w:ascii="宋体" w:hAnsi="宋体"/>
                <w:szCs w:val="21"/>
              </w:rPr>
              <w:t>评分标准</w:t>
            </w:r>
          </w:p>
        </w:tc>
        <w:tc>
          <w:tcPr>
            <w:tcW w:w="6237" w:type="dxa"/>
            <w:tcBorders>
              <w:top w:val="single" w:color="auto" w:sz="4" w:space="0"/>
            </w:tcBorders>
            <w:vAlign w:val="center"/>
          </w:tcPr>
          <w:p>
            <w:pPr>
              <w:spacing w:line="360" w:lineRule="auto"/>
              <w:rPr>
                <w:rFonts w:ascii="宋体" w:hAnsi="宋体"/>
                <w:szCs w:val="21"/>
              </w:rPr>
            </w:pPr>
            <w:r>
              <w:rPr>
                <w:rFonts w:hint="eastAsia" w:ascii="宋体" w:hAnsi="宋体"/>
                <w:szCs w:val="21"/>
              </w:rPr>
              <w:t>评标基准价：满足招标文件要求的有效投标报价中，最低的投标报价为评标基准价。</w:t>
            </w:r>
          </w:p>
          <w:p>
            <w:pPr>
              <w:spacing w:line="360" w:lineRule="auto"/>
              <w:rPr>
                <w:rFonts w:ascii="宋体" w:hAnsi="宋体" w:eastAsia="宋体"/>
                <w:szCs w:val="21"/>
              </w:rPr>
            </w:pPr>
            <w:r>
              <w:rPr>
                <w:rFonts w:hint="eastAsia" w:ascii="宋体" w:hAnsi="宋体"/>
                <w:szCs w:val="21"/>
              </w:rPr>
              <w:t>投标报价得分=（评标基准价/投标报价）×</w:t>
            </w:r>
            <w:r>
              <w:rPr>
                <w:rFonts w:hint="eastAsia" w:ascii="宋体" w:hAnsi="宋体"/>
                <w:szCs w:val="21"/>
                <w:u w:val="single"/>
              </w:rPr>
              <w:t>30</w:t>
            </w:r>
          </w:p>
        </w:tc>
        <w:tc>
          <w:tcPr>
            <w:tcW w:w="967" w:type="dxa"/>
            <w:tcBorders>
              <w:top w:val="single" w:color="auto" w:sz="4" w:space="0"/>
            </w:tcBorders>
            <w:vAlign w:val="center"/>
          </w:tcPr>
          <w:p>
            <w:pPr>
              <w:jc w:val="center"/>
              <w:rPr>
                <w:rFonts w:ascii="宋体" w:hAnsi="宋体"/>
                <w:szCs w:val="21"/>
              </w:rPr>
            </w:pPr>
            <w:r>
              <w:rPr>
                <w:rFonts w:hint="eastAsia" w:ascii="宋体" w:hAnsi="宋体"/>
                <w:szCs w:val="21"/>
                <w:u w:val="single"/>
              </w:rPr>
              <w:t>30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b/>
                <w:szCs w:val="21"/>
              </w:rPr>
            </w:pPr>
            <w:r>
              <w:rPr>
                <w:rFonts w:hint="eastAsia" w:ascii="宋体" w:hAnsi="宋体"/>
                <w:b/>
                <w:szCs w:val="21"/>
              </w:rPr>
              <w:t>商务部分（满分</w:t>
            </w:r>
            <w:r>
              <w:rPr>
                <w:rFonts w:hint="eastAsia" w:ascii="宋体" w:hAnsi="宋体"/>
                <w:b/>
                <w:szCs w:val="21"/>
                <w:u w:val="single"/>
              </w:rPr>
              <w:t>25</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宋体" w:hAnsi="宋体"/>
                <w:b/>
                <w:szCs w:val="21"/>
              </w:rPr>
            </w:pPr>
            <w:r>
              <w:rPr>
                <w:rFonts w:hint="eastAsia" w:ascii="宋体" w:hAnsi="宋体"/>
                <w:b/>
                <w:szCs w:val="21"/>
              </w:rPr>
              <w:t>评分因素</w:t>
            </w:r>
          </w:p>
        </w:tc>
        <w:tc>
          <w:tcPr>
            <w:tcW w:w="6237" w:type="dxa"/>
            <w:vAlign w:val="center"/>
          </w:tcPr>
          <w:p>
            <w:pPr>
              <w:jc w:val="center"/>
              <w:rPr>
                <w:rFonts w:ascii="宋体" w:hAnsi="宋体"/>
                <w:b/>
                <w:szCs w:val="21"/>
              </w:rPr>
            </w:pPr>
            <w:r>
              <w:rPr>
                <w:rFonts w:hint="eastAsia" w:ascii="宋体" w:hAnsi="宋体"/>
                <w:b/>
                <w:szCs w:val="21"/>
              </w:rPr>
              <w:t>评标标准</w:t>
            </w:r>
          </w:p>
        </w:tc>
        <w:tc>
          <w:tcPr>
            <w:tcW w:w="967" w:type="dxa"/>
            <w:vAlign w:val="center"/>
          </w:tcPr>
          <w:p>
            <w:pPr>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ind w:firstLine="482"/>
              <w:rPr>
                <w:rFonts w:ascii="宋体" w:hAnsi="宋体"/>
                <w:b/>
                <w:sz w:val="24"/>
              </w:rPr>
            </w:pPr>
            <w:r>
              <w:rPr>
                <w:rFonts w:hint="eastAsia" w:ascii="宋体" w:hAnsi="宋体"/>
                <w:b/>
                <w:sz w:val="24"/>
              </w:rPr>
              <w:t xml:space="preserve"> 业绩</w:t>
            </w:r>
          </w:p>
        </w:tc>
        <w:tc>
          <w:tcPr>
            <w:tcW w:w="6237" w:type="dxa"/>
            <w:vAlign w:val="center"/>
          </w:tcPr>
          <w:p>
            <w:pPr>
              <w:spacing w:line="360" w:lineRule="auto"/>
              <w:jc w:val="left"/>
              <w:rPr>
                <w:rFonts w:ascii="宋体" w:hAnsi="宋体" w:cs="仿宋_GB2312"/>
                <w:szCs w:val="21"/>
                <w:lang w:val="zh-CN"/>
              </w:rPr>
            </w:pPr>
            <w:r>
              <w:rPr>
                <w:rFonts w:hint="eastAsia" w:ascii="宋体" w:hAnsi="宋体" w:cs="仿宋_GB2312"/>
                <w:szCs w:val="21"/>
                <w:lang w:val="zh-CN"/>
              </w:rPr>
              <w:t>投标人提供近三年以来完成类似项目业绩，合同金额100万以上的，每项得2分，最多得6分。 （以业绩合同为准）</w:t>
            </w:r>
          </w:p>
        </w:tc>
        <w:tc>
          <w:tcPr>
            <w:tcW w:w="967" w:type="dxa"/>
            <w:vAlign w:val="center"/>
          </w:tcPr>
          <w:p>
            <w:pPr>
              <w:spacing w:line="430" w:lineRule="exact"/>
              <w:jc w:val="center"/>
              <w:rPr>
                <w:rFonts w:ascii="宋体" w:hAnsi="宋体"/>
                <w:szCs w:val="21"/>
              </w:rPr>
            </w:pPr>
            <w:r>
              <w:rPr>
                <w:rFonts w:hint="eastAsia" w:ascii="宋体" w:hAnsi="宋体"/>
                <w:szCs w:val="21"/>
                <w:u w:val="single"/>
              </w:rPr>
              <w:t>6</w:t>
            </w:r>
            <w:r>
              <w:rPr>
                <w:rFonts w:hint="eastAsia" w:ascii="宋体" w:hAnsi="宋体"/>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jc w:val="center"/>
              <w:rPr>
                <w:rFonts w:ascii="宋体" w:hAnsi="宋体"/>
                <w:b/>
                <w:sz w:val="24"/>
              </w:rPr>
            </w:pPr>
            <w:r>
              <w:rPr>
                <w:rFonts w:hint="eastAsia" w:ascii="宋体" w:hAnsi="宋体"/>
                <w:b/>
                <w:sz w:val="24"/>
              </w:rPr>
              <w:t>企业实力</w:t>
            </w:r>
          </w:p>
        </w:tc>
        <w:tc>
          <w:tcPr>
            <w:tcW w:w="6237" w:type="dxa"/>
            <w:vAlign w:val="center"/>
          </w:tcPr>
          <w:p>
            <w:pPr>
              <w:spacing w:line="360" w:lineRule="auto"/>
              <w:rPr>
                <w:rFonts w:ascii="宋体" w:hAnsi="宋体"/>
                <w:szCs w:val="21"/>
              </w:rPr>
            </w:pPr>
            <w:r>
              <w:rPr>
                <w:rFonts w:hint="eastAsia" w:ascii="宋体" w:hAnsi="宋体"/>
                <w:szCs w:val="21"/>
              </w:rPr>
              <w:t>1、提供环境管理体系认证证书的得分1分；</w:t>
            </w:r>
          </w:p>
          <w:p>
            <w:pPr>
              <w:spacing w:line="360" w:lineRule="auto"/>
              <w:rPr>
                <w:rFonts w:ascii="宋体" w:hAnsi="宋体"/>
                <w:szCs w:val="21"/>
              </w:rPr>
            </w:pPr>
            <w:r>
              <w:rPr>
                <w:rFonts w:hint="eastAsia" w:ascii="宋体" w:hAnsi="宋体"/>
                <w:szCs w:val="21"/>
              </w:rPr>
              <w:t>2、提供职业健康安全管理体系认证证书的得1分；</w:t>
            </w:r>
          </w:p>
          <w:p>
            <w:pPr>
              <w:spacing w:line="360" w:lineRule="auto"/>
              <w:rPr>
                <w:rFonts w:ascii="宋体" w:hAnsi="宋体"/>
                <w:szCs w:val="21"/>
              </w:rPr>
            </w:pPr>
            <w:r>
              <w:rPr>
                <w:rFonts w:hint="eastAsia" w:ascii="宋体" w:hAnsi="宋体"/>
                <w:szCs w:val="21"/>
              </w:rPr>
              <w:t>3、提供质量管理体系认证证书的得1分；</w:t>
            </w:r>
          </w:p>
        </w:tc>
        <w:tc>
          <w:tcPr>
            <w:tcW w:w="967" w:type="dxa"/>
            <w:vAlign w:val="center"/>
          </w:tcPr>
          <w:p>
            <w:pPr>
              <w:spacing w:line="430" w:lineRule="exact"/>
              <w:jc w:val="center"/>
              <w:rPr>
                <w:rFonts w:ascii="宋体" w:hAnsi="宋体"/>
                <w:szCs w:val="21"/>
                <w:u w:val="single"/>
              </w:rPr>
            </w:pPr>
            <w:r>
              <w:rPr>
                <w:rFonts w:hint="eastAsia" w:ascii="宋体" w:hAnsi="宋体"/>
                <w:szCs w:val="21"/>
                <w:u w:val="single"/>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jc w:val="center"/>
              <w:rPr>
                <w:rFonts w:ascii="仿宋" w:hAnsi="仿宋" w:eastAsia="仿宋" w:cs="Times New Roman"/>
                <w:b/>
                <w:i/>
                <w:kern w:val="0"/>
                <w:szCs w:val="21"/>
              </w:rPr>
            </w:pPr>
            <w:r>
              <w:rPr>
                <w:rFonts w:hint="eastAsia" w:ascii="宋体" w:hAnsi="宋体"/>
                <w:b/>
                <w:sz w:val="24"/>
              </w:rPr>
              <w:t>售后服务</w:t>
            </w:r>
          </w:p>
        </w:tc>
        <w:tc>
          <w:tcPr>
            <w:tcW w:w="6237" w:type="dxa"/>
            <w:vAlign w:val="center"/>
          </w:tcPr>
          <w:p>
            <w:pPr>
              <w:spacing w:line="360" w:lineRule="auto"/>
              <w:rPr>
                <w:rFonts w:ascii="宋体" w:hAnsi="宋体"/>
                <w:szCs w:val="21"/>
              </w:rPr>
            </w:pPr>
            <w:r>
              <w:rPr>
                <w:rFonts w:hint="eastAsia" w:ascii="宋体" w:hAnsi="宋体"/>
                <w:szCs w:val="21"/>
              </w:rPr>
              <w:t>1、投标人提供的售后服务方案、如何做好后续服务保障、项目完成后服务承诺，评委根据可行性、完整性、及合理性综合评定，好的得8分，较好的得4-7分，差的0-3分。</w:t>
            </w:r>
          </w:p>
          <w:p>
            <w:pPr>
              <w:spacing w:line="360" w:lineRule="auto"/>
              <w:rPr>
                <w:rFonts w:ascii="宋体" w:hAnsi="宋体"/>
                <w:szCs w:val="21"/>
              </w:rPr>
            </w:pPr>
            <w:r>
              <w:rPr>
                <w:rFonts w:hint="eastAsia" w:ascii="宋体" w:hAnsi="宋体"/>
                <w:szCs w:val="21"/>
              </w:rPr>
              <w:t>2、供应商所报质保期为两年者2分，在两年的基础上每延长1年加1分，满分为5分。</w:t>
            </w:r>
          </w:p>
          <w:p>
            <w:pPr>
              <w:spacing w:line="360" w:lineRule="auto"/>
              <w:jc w:val="left"/>
              <w:rPr>
                <w:rFonts w:ascii="宋体" w:hAnsi="宋体" w:cs="仿宋_GB2312"/>
                <w:szCs w:val="21"/>
              </w:rPr>
            </w:pPr>
            <w:r>
              <w:rPr>
                <w:rFonts w:hint="eastAsia" w:ascii="宋体" w:hAnsi="宋体"/>
                <w:szCs w:val="21"/>
              </w:rPr>
              <w:t>3、其他实质性承诺，根据情况而定，最多得3分。</w:t>
            </w:r>
          </w:p>
        </w:tc>
        <w:tc>
          <w:tcPr>
            <w:tcW w:w="967" w:type="dxa"/>
            <w:vAlign w:val="center"/>
          </w:tcPr>
          <w:p>
            <w:pPr>
              <w:spacing w:line="430" w:lineRule="exact"/>
              <w:jc w:val="center"/>
              <w:rPr>
                <w:rFonts w:ascii="宋体" w:hAnsi="宋体"/>
                <w:szCs w:val="21"/>
                <w:u w:val="single"/>
              </w:rPr>
            </w:pPr>
            <w:r>
              <w:rPr>
                <w:rFonts w:hint="eastAsia" w:ascii="宋体" w:hAnsi="宋体"/>
                <w:szCs w:val="21"/>
                <w:u w:val="single"/>
              </w:rPr>
              <w:t>16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b/>
                <w:szCs w:val="21"/>
              </w:rPr>
            </w:pPr>
            <w:r>
              <w:rPr>
                <w:rFonts w:hint="eastAsia" w:ascii="宋体" w:hAnsi="宋体"/>
                <w:b/>
                <w:szCs w:val="21"/>
              </w:rPr>
              <w:t>技术部分（满分</w:t>
            </w:r>
            <w:r>
              <w:rPr>
                <w:rFonts w:hint="eastAsia" w:ascii="宋体" w:hAnsi="宋体"/>
                <w:b/>
                <w:szCs w:val="21"/>
                <w:u w:val="single"/>
              </w:rPr>
              <w:t>45</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b/>
                <w:szCs w:val="21"/>
              </w:rPr>
            </w:pPr>
            <w:r>
              <w:rPr>
                <w:rFonts w:hint="eastAsia" w:ascii="宋体" w:hAnsi="宋体"/>
                <w:b/>
                <w:szCs w:val="21"/>
              </w:rPr>
              <w:t>评分因素</w:t>
            </w:r>
          </w:p>
        </w:tc>
        <w:tc>
          <w:tcPr>
            <w:tcW w:w="6237" w:type="dxa"/>
            <w:vAlign w:val="center"/>
          </w:tcPr>
          <w:p>
            <w:pPr>
              <w:jc w:val="center"/>
              <w:rPr>
                <w:rFonts w:ascii="宋体" w:hAnsi="宋体"/>
                <w:b/>
                <w:szCs w:val="21"/>
              </w:rPr>
            </w:pPr>
            <w:r>
              <w:rPr>
                <w:rFonts w:hint="eastAsia" w:ascii="宋体" w:hAnsi="宋体"/>
                <w:b/>
                <w:szCs w:val="21"/>
              </w:rPr>
              <w:t>评标标准</w:t>
            </w:r>
          </w:p>
        </w:tc>
        <w:tc>
          <w:tcPr>
            <w:tcW w:w="967" w:type="dxa"/>
            <w:vAlign w:val="center"/>
          </w:tcPr>
          <w:p>
            <w:pPr>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仿宋" w:hAnsi="仿宋" w:eastAsia="仿宋"/>
                <w:szCs w:val="21"/>
              </w:rPr>
            </w:pPr>
            <w:r>
              <w:rPr>
                <w:rFonts w:hint="eastAsia" w:ascii="宋体" w:hAnsi="宋体"/>
                <w:szCs w:val="21"/>
              </w:rPr>
              <w:t>投标文件的规范程度</w:t>
            </w:r>
          </w:p>
        </w:tc>
        <w:tc>
          <w:tcPr>
            <w:tcW w:w="6237" w:type="dxa"/>
            <w:vAlign w:val="center"/>
          </w:tcPr>
          <w:p>
            <w:pPr>
              <w:widowControl/>
              <w:jc w:val="left"/>
              <w:rPr>
                <w:rFonts w:ascii="宋体" w:hAnsi="宋体"/>
                <w:szCs w:val="21"/>
              </w:rPr>
            </w:pPr>
            <w:r>
              <w:rPr>
                <w:rFonts w:hint="eastAsia" w:ascii="宋体" w:hAnsi="宋体"/>
                <w:szCs w:val="21"/>
              </w:rPr>
              <w:t>1、投标文件的编制符合招标文件的规定，装订整齐规范的，得2分。</w:t>
            </w:r>
          </w:p>
        </w:tc>
        <w:tc>
          <w:tcPr>
            <w:tcW w:w="967" w:type="dxa"/>
            <w:vAlign w:val="center"/>
          </w:tcPr>
          <w:p>
            <w:pPr>
              <w:jc w:val="center"/>
              <w:rPr>
                <w:rFonts w:ascii="宋体" w:hAnsi="宋体"/>
                <w:szCs w:val="21"/>
              </w:rPr>
            </w:pPr>
            <w:r>
              <w:rPr>
                <w:rFonts w:hint="eastAsia" w:ascii="宋体" w:hAnsi="宋体"/>
                <w:szCs w:val="21"/>
                <w:u w:val="single"/>
              </w:rPr>
              <w:t>2</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auto"/>
              <w:jc w:val="center"/>
              <w:rPr>
                <w:rFonts w:ascii="仿宋" w:hAnsi="仿宋" w:eastAsia="仿宋"/>
                <w:szCs w:val="21"/>
              </w:rPr>
            </w:pPr>
          </w:p>
        </w:tc>
        <w:tc>
          <w:tcPr>
            <w:tcW w:w="6237" w:type="dxa"/>
            <w:vAlign w:val="center"/>
          </w:tcPr>
          <w:p>
            <w:pPr>
              <w:spacing w:line="360" w:lineRule="exact"/>
              <w:rPr>
                <w:rFonts w:ascii="宋体" w:hAnsi="宋体"/>
                <w:szCs w:val="21"/>
              </w:rPr>
            </w:pPr>
            <w:r>
              <w:rPr>
                <w:rFonts w:hint="eastAsia" w:ascii="宋体" w:hAnsi="宋体"/>
                <w:szCs w:val="21"/>
              </w:rPr>
              <w:t>2、投标人编制投标文件逻辑严紧、描述规范、无文字错误的，得3分。</w:t>
            </w:r>
          </w:p>
        </w:tc>
        <w:tc>
          <w:tcPr>
            <w:tcW w:w="967" w:type="dxa"/>
            <w:vAlign w:val="center"/>
          </w:tcPr>
          <w:p>
            <w:pPr>
              <w:jc w:val="center"/>
              <w:rPr>
                <w:rFonts w:ascii="宋体" w:hAnsi="宋体"/>
                <w:szCs w:val="21"/>
              </w:rPr>
            </w:pPr>
            <w:r>
              <w:rPr>
                <w:rFonts w:hint="eastAsia" w:ascii="宋体" w:hAnsi="宋体"/>
                <w:szCs w:val="21"/>
                <w:u w:val="single"/>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widowControl/>
              <w:jc w:val="center"/>
              <w:rPr>
                <w:rFonts w:ascii="宋体" w:hAnsi="宋体"/>
                <w:szCs w:val="21"/>
              </w:rPr>
            </w:pPr>
            <w:r>
              <w:rPr>
                <w:rFonts w:hint="eastAsia" w:ascii="宋体" w:hAnsi="宋体"/>
                <w:szCs w:val="21"/>
              </w:rPr>
              <w:t>对招标文件的响应程度</w:t>
            </w:r>
          </w:p>
        </w:tc>
        <w:tc>
          <w:tcPr>
            <w:tcW w:w="6237" w:type="dxa"/>
            <w:vAlign w:val="center"/>
          </w:tcPr>
          <w:p>
            <w:pPr>
              <w:spacing w:line="360" w:lineRule="auto"/>
              <w:rPr>
                <w:rFonts w:ascii="宋体" w:hAnsi="宋体"/>
                <w:szCs w:val="21"/>
              </w:rPr>
            </w:pPr>
            <w:r>
              <w:rPr>
                <w:rFonts w:hint="eastAsia" w:ascii="宋体" w:hAnsi="宋体"/>
                <w:szCs w:val="21"/>
              </w:rPr>
              <w:t>投标文件中有以下内容的，满分共36分。</w:t>
            </w:r>
          </w:p>
          <w:p>
            <w:pPr>
              <w:spacing w:line="360" w:lineRule="auto"/>
              <w:rPr>
                <w:rFonts w:ascii="宋体" w:hAnsi="宋体"/>
                <w:szCs w:val="21"/>
              </w:rPr>
            </w:pPr>
            <w:r>
              <w:rPr>
                <w:rFonts w:hint="eastAsia" w:ascii="宋体" w:hAnsi="宋体"/>
                <w:szCs w:val="21"/>
              </w:rPr>
              <w:t>1、评委根据各供应商加工及检测产品先进性、产品生产工艺及流程、质量保证措施等方面进行综合评定，健全的得10分，有的得5分，没有的不得分。</w:t>
            </w:r>
          </w:p>
          <w:p>
            <w:pPr>
              <w:spacing w:line="360" w:lineRule="auto"/>
              <w:rPr>
                <w:rFonts w:ascii="宋体" w:hAnsi="宋体"/>
                <w:szCs w:val="21"/>
              </w:rPr>
            </w:pPr>
            <w:r>
              <w:rPr>
                <w:rFonts w:hint="eastAsia" w:ascii="宋体" w:hAnsi="宋体"/>
                <w:szCs w:val="21"/>
              </w:rPr>
              <w:t>2、技术方案完全响应招标文件要求，对照用户服务需求详尽、明晰的得10分，有的得5分，没有的不得分。</w:t>
            </w:r>
          </w:p>
          <w:p>
            <w:pPr>
              <w:spacing w:line="360" w:lineRule="auto"/>
              <w:rPr>
                <w:rFonts w:ascii="宋体" w:hAnsi="宋体"/>
                <w:szCs w:val="21"/>
              </w:rPr>
            </w:pPr>
            <w:r>
              <w:rPr>
                <w:rFonts w:hint="eastAsia" w:ascii="宋体" w:hAnsi="宋体"/>
                <w:szCs w:val="21"/>
              </w:rPr>
              <w:t>3、对本次项目建设的任务、目标理解准确、全面，能够清晰说明本次项目服务内容的得10分，有的得5分，没有的不得分。</w:t>
            </w:r>
          </w:p>
          <w:p>
            <w:pPr>
              <w:spacing w:line="360" w:lineRule="auto"/>
              <w:rPr>
                <w:rFonts w:ascii="宋体" w:hAnsi="宋体"/>
                <w:szCs w:val="21"/>
              </w:rPr>
            </w:pPr>
            <w:r>
              <w:rPr>
                <w:rFonts w:hint="eastAsia" w:ascii="宋体" w:hAnsi="宋体"/>
                <w:szCs w:val="21"/>
              </w:rPr>
              <w:t>4、根据安排计划、施工组织措施、确保按期完成措施、事故防范</w:t>
            </w:r>
          </w:p>
          <w:p>
            <w:pPr>
              <w:spacing w:line="360" w:lineRule="auto"/>
              <w:rPr>
                <w:rFonts w:ascii="宋体" w:hAnsi="宋体"/>
                <w:szCs w:val="21"/>
              </w:rPr>
            </w:pPr>
            <w:r>
              <w:rPr>
                <w:rFonts w:hint="eastAsia" w:ascii="宋体" w:hAnsi="宋体"/>
                <w:szCs w:val="21"/>
              </w:rPr>
              <w:t>及应急预案，全面、有效的得10分，有的得5分，没有的不得分。</w:t>
            </w:r>
          </w:p>
        </w:tc>
        <w:tc>
          <w:tcPr>
            <w:tcW w:w="967" w:type="dxa"/>
            <w:vAlign w:val="center"/>
          </w:tcPr>
          <w:p>
            <w:pPr>
              <w:jc w:val="center"/>
              <w:rPr>
                <w:rFonts w:ascii="宋体" w:hAnsi="宋体"/>
                <w:szCs w:val="21"/>
                <w:u w:val="single"/>
              </w:rPr>
            </w:pPr>
            <w:r>
              <w:rPr>
                <w:rFonts w:hint="eastAsia" w:ascii="宋体" w:hAnsi="宋体"/>
                <w:szCs w:val="21"/>
                <w:u w:val="single"/>
              </w:rPr>
              <w:t>40</w:t>
            </w:r>
            <w:r>
              <w:rPr>
                <w:rFonts w:hint="eastAsia" w:ascii="宋体" w:hAnsi="宋体"/>
                <w:szCs w:val="21"/>
              </w:rPr>
              <w:t>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3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2530"/>
        <w:contextualSpacing/>
        <w:rPr>
          <w:rFonts w:ascii="Cambria" w:hAnsi="Cambria" w:eastAsia="Cambria" w:cs="宋体"/>
          <w:b/>
          <w:sz w:val="36"/>
          <w:szCs w:val="36"/>
        </w:rPr>
      </w:pPr>
      <w:r>
        <w:rPr>
          <w:rFonts w:hint="eastAsia" w:ascii="Cambria" w:hAnsi="Cambria" w:eastAsia="Cambria" w:cs="宋体"/>
          <w:b/>
          <w:sz w:val="36"/>
          <w:szCs w:val="36"/>
        </w:rPr>
        <w:t>（一）合同一般条款</w:t>
      </w:r>
    </w:p>
    <w:p>
      <w:pPr>
        <w:spacing w:line="360" w:lineRule="auto"/>
        <w:ind w:firstLine="480"/>
        <w:rPr>
          <w:rFonts w:ascii="宋体" w:hAnsi="宋体" w:cs="宋体"/>
          <w:sz w:val="24"/>
        </w:rPr>
      </w:pPr>
      <w:r>
        <w:rPr>
          <w:rFonts w:ascii="宋体" w:hAnsi="宋体" w:cs="宋体"/>
          <w:sz w:val="24"/>
        </w:rPr>
        <w:t xml:space="preserve">1. </w:t>
      </w:r>
      <w:r>
        <w:rPr>
          <w:rFonts w:hint="eastAsia" w:ascii="宋体" w:hAnsi="宋体" w:cs="宋体"/>
          <w:sz w:val="24"/>
        </w:rPr>
        <w:t>定义</w:t>
      </w:r>
    </w:p>
    <w:p>
      <w:pPr>
        <w:spacing w:line="360" w:lineRule="auto"/>
        <w:ind w:firstLine="480"/>
        <w:rPr>
          <w:rFonts w:ascii="宋体" w:hAnsi="宋体" w:cs="宋体"/>
          <w:sz w:val="24"/>
        </w:rPr>
      </w:pPr>
      <w:r>
        <w:rPr>
          <w:rFonts w:ascii="宋体" w:hAnsi="宋体" w:cs="宋体"/>
          <w:sz w:val="24"/>
        </w:rPr>
        <w:t>1.1</w:t>
      </w:r>
      <w:r>
        <w:rPr>
          <w:sz w:val="24"/>
        </w:rPr>
        <w:t>“</w:t>
      </w:r>
      <w:r>
        <w:rPr>
          <w:rFonts w:hint="eastAsia" w:ascii="宋体" w:hAnsi="宋体" w:cs="宋体"/>
          <w:sz w:val="24"/>
        </w:rPr>
        <w:t>合同</w:t>
      </w:r>
      <w:r>
        <w:rPr>
          <w:sz w:val="24"/>
        </w:rPr>
        <w:t>”</w:t>
      </w:r>
      <w:r>
        <w:rPr>
          <w:rFonts w:hint="eastAsia" w:ascii="宋体" w:hAnsi="宋体" w:cs="宋体"/>
          <w:sz w:val="24"/>
        </w:rPr>
        <w:t>系指甲方和乙方（简称合同双方）已达成的协议，即由双方签订的合同格式中的文件，包括所有的附件和组成合同部分的所有其他文件。</w:t>
      </w:r>
    </w:p>
    <w:p>
      <w:pPr>
        <w:spacing w:line="360" w:lineRule="auto"/>
        <w:ind w:firstLine="480"/>
        <w:rPr>
          <w:rFonts w:ascii="宋体" w:hAnsi="宋体" w:cs="宋体"/>
          <w:sz w:val="24"/>
        </w:rPr>
      </w:pPr>
      <w:r>
        <w:rPr>
          <w:rFonts w:ascii="宋体" w:hAnsi="宋体" w:cs="宋体"/>
          <w:sz w:val="24"/>
        </w:rPr>
        <w:t>1.2</w:t>
      </w:r>
      <w:r>
        <w:rPr>
          <w:sz w:val="24"/>
        </w:rPr>
        <w:t>“</w:t>
      </w:r>
      <w:r>
        <w:rPr>
          <w:rFonts w:hint="eastAsia" w:ascii="宋体" w:hAnsi="宋体" w:cs="宋体"/>
          <w:sz w:val="24"/>
        </w:rPr>
        <w:t>合同价格</w:t>
      </w:r>
      <w:r>
        <w:rPr>
          <w:sz w:val="24"/>
        </w:rPr>
        <w:t>”</w:t>
      </w:r>
      <w:r>
        <w:rPr>
          <w:rFonts w:hint="eastAsia" w:ascii="宋体" w:hAnsi="宋体" w:cs="宋体"/>
          <w:sz w:val="24"/>
        </w:rPr>
        <w:t>系指根据合同规定，在乙方全面正确地履行合同义务时应支付给乙方的款项。</w:t>
      </w:r>
    </w:p>
    <w:p>
      <w:pPr>
        <w:spacing w:line="360" w:lineRule="auto"/>
        <w:ind w:firstLine="480"/>
        <w:rPr>
          <w:rFonts w:ascii="宋体" w:hAnsi="宋体" w:cs="宋体"/>
          <w:sz w:val="24"/>
        </w:rPr>
      </w:pPr>
      <w:r>
        <w:rPr>
          <w:rFonts w:ascii="宋体" w:hAnsi="宋体" w:cs="宋体"/>
          <w:sz w:val="24"/>
        </w:rPr>
        <w:t>1.3</w:t>
      </w:r>
      <w:r>
        <w:rPr>
          <w:sz w:val="24"/>
        </w:rPr>
        <w:t>“</w:t>
      </w:r>
      <w:r>
        <w:rPr>
          <w:rFonts w:hint="eastAsia" w:ascii="宋体" w:hAnsi="宋体" w:cs="宋体"/>
          <w:sz w:val="24"/>
        </w:rPr>
        <w:t>甲方</w:t>
      </w:r>
      <w:r>
        <w:rPr>
          <w:sz w:val="24"/>
        </w:rPr>
        <w:t>”</w:t>
      </w:r>
      <w:r>
        <w:rPr>
          <w:rFonts w:hint="eastAsia" w:ascii="宋体" w:hAnsi="宋体" w:cs="宋体"/>
          <w:sz w:val="24"/>
        </w:rPr>
        <w:t>系指通过招标方式，接受合同服务的采购人</w:t>
      </w:r>
    </w:p>
    <w:p>
      <w:pPr>
        <w:spacing w:line="360" w:lineRule="auto"/>
        <w:ind w:firstLine="480"/>
        <w:rPr>
          <w:rFonts w:ascii="宋体" w:hAnsi="宋体" w:cs="宋体"/>
          <w:sz w:val="24"/>
        </w:rPr>
      </w:pPr>
      <w:r>
        <w:rPr>
          <w:rFonts w:ascii="宋体" w:hAnsi="宋体" w:cs="宋体"/>
          <w:sz w:val="24"/>
        </w:rPr>
        <w:t>1.4</w:t>
      </w:r>
      <w:r>
        <w:rPr>
          <w:sz w:val="24"/>
        </w:rPr>
        <w:t>“</w:t>
      </w:r>
      <w:r>
        <w:rPr>
          <w:rFonts w:hint="eastAsia" w:ascii="宋体" w:hAnsi="宋体" w:cs="宋体"/>
          <w:sz w:val="24"/>
        </w:rPr>
        <w:t>乙方</w:t>
      </w:r>
      <w:r>
        <w:rPr>
          <w:sz w:val="24"/>
        </w:rPr>
        <w:t>”</w:t>
      </w:r>
      <w:r>
        <w:rPr>
          <w:rFonts w:hint="eastAsia" w:ascii="宋体" w:hAnsi="宋体" w:cs="宋体"/>
          <w:sz w:val="24"/>
        </w:rPr>
        <w:t>系指中标后提供合同服务的</w:t>
      </w:r>
      <w:r>
        <w:rPr>
          <w:rFonts w:hint="eastAsia" w:ascii="宋体" w:hAnsi="宋体" w:cs="宋体"/>
          <w:bCs/>
          <w:sz w:val="24"/>
        </w:rPr>
        <w:t>中标方</w:t>
      </w:r>
      <w:r>
        <w:rPr>
          <w:rFonts w:hint="eastAsia" w:ascii="宋体" w:hAnsi="宋体" w:cs="宋体"/>
          <w:sz w:val="24"/>
        </w:rPr>
        <w:t>或供应商。</w:t>
      </w:r>
    </w:p>
    <w:p>
      <w:pPr>
        <w:spacing w:line="360" w:lineRule="auto"/>
        <w:ind w:firstLine="480"/>
        <w:rPr>
          <w:rFonts w:ascii="宋体" w:hAnsi="宋体" w:cs="宋体"/>
          <w:sz w:val="24"/>
        </w:rPr>
      </w:pPr>
      <w:r>
        <w:rPr>
          <w:rFonts w:ascii="宋体" w:hAnsi="宋体" w:cs="宋体"/>
          <w:sz w:val="24"/>
        </w:rPr>
        <w:t>2.</w:t>
      </w:r>
      <w:r>
        <w:rPr>
          <w:rFonts w:hint="eastAsia" w:ascii="宋体" w:hAnsi="宋体" w:cs="宋体"/>
          <w:sz w:val="24"/>
        </w:rPr>
        <w:t>适用范围</w:t>
      </w:r>
    </w:p>
    <w:p>
      <w:pPr>
        <w:spacing w:line="360" w:lineRule="auto"/>
        <w:ind w:firstLine="480"/>
        <w:rPr>
          <w:rFonts w:ascii="宋体" w:hAnsi="宋体" w:cs="宋体"/>
          <w:sz w:val="24"/>
        </w:rPr>
      </w:pPr>
      <w:r>
        <w:rPr>
          <w:rFonts w:hint="eastAsia" w:ascii="宋体" w:hAnsi="宋体" w:cs="宋体"/>
          <w:sz w:val="24"/>
        </w:rPr>
        <w:t>本合同条款仅适用于本次招标活动。</w:t>
      </w:r>
    </w:p>
    <w:p>
      <w:pPr>
        <w:spacing w:line="360" w:lineRule="auto"/>
        <w:ind w:firstLine="480"/>
        <w:rPr>
          <w:rFonts w:ascii="宋体" w:hAnsi="宋体" w:cs="宋体"/>
          <w:sz w:val="24"/>
        </w:rPr>
      </w:pPr>
      <w:r>
        <w:rPr>
          <w:rFonts w:ascii="宋体" w:hAnsi="宋体" w:cs="宋体"/>
          <w:sz w:val="24"/>
        </w:rPr>
        <w:t>3.</w:t>
      </w:r>
      <w:r>
        <w:rPr>
          <w:rFonts w:hint="eastAsia" w:ascii="宋体" w:hAnsi="宋体" w:cs="宋体"/>
          <w:sz w:val="24"/>
        </w:rPr>
        <w:t>技术规格和标准</w:t>
      </w:r>
    </w:p>
    <w:p>
      <w:pPr>
        <w:spacing w:line="360" w:lineRule="auto"/>
        <w:ind w:firstLine="480"/>
        <w:rPr>
          <w:rFonts w:ascii="宋体" w:hAnsi="宋体" w:cs="宋体"/>
          <w:sz w:val="24"/>
        </w:rPr>
      </w:pPr>
      <w:r>
        <w:rPr>
          <w:rFonts w:hint="eastAsia" w:ascii="宋体" w:hAnsi="宋体" w:cs="宋体"/>
          <w:sz w:val="24"/>
        </w:rPr>
        <w:t>本合同项下所提供货物设备和服务应与本招标文件规定的标准相一致。</w:t>
      </w:r>
    </w:p>
    <w:p>
      <w:pPr>
        <w:spacing w:line="360" w:lineRule="auto"/>
        <w:ind w:firstLine="480"/>
        <w:rPr>
          <w:rFonts w:ascii="宋体" w:hAnsi="宋体" w:cs="宋体"/>
          <w:sz w:val="24"/>
        </w:rPr>
      </w:pPr>
      <w:r>
        <w:rPr>
          <w:rFonts w:ascii="宋体" w:hAnsi="宋体" w:cs="宋体"/>
          <w:sz w:val="24"/>
        </w:rPr>
        <w:t>4.</w:t>
      </w:r>
      <w:r>
        <w:rPr>
          <w:rFonts w:hint="eastAsia" w:ascii="宋体" w:hAnsi="宋体" w:cs="宋体"/>
          <w:sz w:val="24"/>
        </w:rPr>
        <w:t>合同期限</w:t>
      </w:r>
    </w:p>
    <w:p>
      <w:pPr>
        <w:spacing w:line="360" w:lineRule="auto"/>
        <w:ind w:firstLine="480"/>
        <w:rPr>
          <w:rFonts w:ascii="宋体" w:hAnsi="宋体" w:cs="宋体"/>
          <w:sz w:val="24"/>
        </w:rPr>
      </w:pPr>
      <w:r>
        <w:rPr>
          <w:rFonts w:hint="eastAsia" w:ascii="宋体" w:hAnsi="宋体" w:cs="宋体"/>
          <w:sz w:val="24"/>
        </w:rPr>
        <w:t>即自</w:t>
      </w:r>
      <w:r>
        <w:rPr>
          <w:rFonts w:ascii="宋体" w:hAnsi="宋体" w:cs="宋体"/>
          <w:sz w:val="24"/>
        </w:rPr>
        <w:tab/>
      </w:r>
      <w:r>
        <w:rPr>
          <w:rFonts w:hint="eastAsia" w:ascii="宋体" w:hAnsi="宋体" w:cs="宋体"/>
          <w:sz w:val="24"/>
        </w:rPr>
        <w:t>年</w:t>
      </w:r>
      <w:r>
        <w:rPr>
          <w:rFonts w:ascii="宋体" w:hAnsi="宋体" w:cs="宋体"/>
          <w:sz w:val="24"/>
        </w:rPr>
        <w:tab/>
      </w:r>
      <w:r>
        <w:rPr>
          <w:rFonts w:hint="eastAsia" w:ascii="宋体" w:hAnsi="宋体" w:cs="宋体"/>
          <w:sz w:val="24"/>
        </w:rPr>
        <w:t>月</w:t>
      </w:r>
      <w:r>
        <w:rPr>
          <w:rFonts w:ascii="宋体" w:hAnsi="宋体" w:cs="宋体"/>
          <w:sz w:val="24"/>
        </w:rPr>
        <w:tab/>
      </w:r>
      <w:r>
        <w:rPr>
          <w:rFonts w:hint="eastAsia" w:ascii="宋体" w:hAnsi="宋体" w:cs="宋体"/>
          <w:sz w:val="24"/>
        </w:rPr>
        <w:t>日起至</w:t>
      </w:r>
      <w:r>
        <w:rPr>
          <w:rFonts w:ascii="宋体" w:hAnsi="宋体" w:cs="宋体"/>
          <w:sz w:val="24"/>
        </w:rPr>
        <w:tab/>
      </w:r>
      <w:r>
        <w:rPr>
          <w:rFonts w:hint="eastAsia" w:ascii="宋体" w:hAnsi="宋体" w:cs="宋体"/>
          <w:sz w:val="24"/>
        </w:rPr>
        <w:t>年</w:t>
      </w:r>
      <w:r>
        <w:rPr>
          <w:rFonts w:ascii="宋体" w:hAnsi="宋体" w:cs="宋体"/>
          <w:sz w:val="24"/>
        </w:rPr>
        <w:tab/>
      </w:r>
      <w:r>
        <w:rPr>
          <w:rFonts w:hint="eastAsia" w:ascii="宋体" w:hAnsi="宋体" w:cs="宋体"/>
          <w:sz w:val="24"/>
        </w:rPr>
        <w:t>月</w:t>
      </w:r>
      <w:r>
        <w:rPr>
          <w:rFonts w:ascii="宋体" w:hAnsi="宋体" w:cs="宋体"/>
          <w:sz w:val="24"/>
        </w:rPr>
        <w:tab/>
      </w:r>
      <w:r>
        <w:rPr>
          <w:rFonts w:hint="eastAsia" w:ascii="宋体" w:hAnsi="宋体" w:cs="宋体"/>
          <w:sz w:val="24"/>
        </w:rPr>
        <w:t>日止。</w:t>
      </w:r>
    </w:p>
    <w:p>
      <w:pPr>
        <w:spacing w:line="360" w:lineRule="auto"/>
        <w:ind w:firstLine="480"/>
        <w:rPr>
          <w:rFonts w:ascii="宋体" w:hAnsi="宋体" w:cs="宋体"/>
          <w:sz w:val="24"/>
        </w:rPr>
      </w:pPr>
      <w:r>
        <w:rPr>
          <w:rFonts w:ascii="宋体" w:hAnsi="宋体" w:cs="宋体"/>
          <w:sz w:val="24"/>
        </w:rPr>
        <w:t>5.</w:t>
      </w:r>
      <w:r>
        <w:rPr>
          <w:rFonts w:hint="eastAsia" w:ascii="宋体" w:hAnsi="宋体" w:cs="宋体"/>
          <w:sz w:val="24"/>
        </w:rPr>
        <w:t>价格</w:t>
      </w:r>
    </w:p>
    <w:p>
      <w:pPr>
        <w:spacing w:line="360" w:lineRule="auto"/>
        <w:ind w:firstLine="480"/>
        <w:rPr>
          <w:rFonts w:ascii="宋体" w:hAnsi="宋体" w:cs="宋体"/>
          <w:sz w:val="24"/>
        </w:rPr>
      </w:pPr>
      <w:r>
        <w:rPr>
          <w:rFonts w:hint="eastAsia" w:ascii="宋体" w:hAnsi="宋体" w:cs="宋体"/>
          <w:sz w:val="24"/>
        </w:rPr>
        <w:t>除非合同中另有规定，乙方为其所提供货物设备和服务而要求甲方支付的金额应与其投标报价一致。</w:t>
      </w:r>
    </w:p>
    <w:p>
      <w:pPr>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索赔</w:t>
      </w:r>
    </w:p>
    <w:p>
      <w:pPr>
        <w:spacing w:line="360" w:lineRule="auto"/>
        <w:ind w:firstLine="480"/>
        <w:rPr>
          <w:rFonts w:ascii="宋体" w:hAnsi="宋体" w:cs="宋体"/>
          <w:sz w:val="24"/>
        </w:rPr>
      </w:pPr>
      <w:r>
        <w:rPr>
          <w:rFonts w:ascii="宋体" w:hAnsi="宋体" w:cs="宋体"/>
          <w:sz w:val="24"/>
        </w:rPr>
        <w:t>6.1</w:t>
      </w:r>
      <w:r>
        <w:rPr>
          <w:rFonts w:hint="eastAsia" w:ascii="宋体" w:hAnsi="宋体" w:cs="宋体"/>
          <w:sz w:val="24"/>
        </w:rPr>
        <w:t>乙方对所提供货物设备和服务与合同要求不符负有责任，并且甲方已于合同规定的期限内提出索赔，乙方应按甲方同意的下述一种或多种方法解决索赔事宜。</w:t>
      </w:r>
    </w:p>
    <w:p>
      <w:pPr>
        <w:spacing w:line="360" w:lineRule="auto"/>
        <w:ind w:firstLine="480"/>
        <w:rPr>
          <w:rFonts w:ascii="宋体" w:hAnsi="宋体" w:cs="宋体"/>
          <w:sz w:val="24"/>
        </w:rPr>
      </w:pPr>
      <w:r>
        <w:rPr>
          <w:rFonts w:ascii="宋体" w:hAnsi="宋体" w:cs="宋体"/>
          <w:sz w:val="24"/>
        </w:rPr>
        <w:t>6.1.1</w:t>
      </w:r>
      <w:r>
        <w:rPr>
          <w:rFonts w:hint="eastAsia" w:ascii="宋体" w:hAnsi="宋体" w:cs="宋体"/>
          <w:sz w:val="24"/>
        </w:rPr>
        <w:t>乙方同意甲方取消其不符合要求的货物设备和服务项目，退还已经收取的该类货物设备的货款。</w:t>
      </w:r>
    </w:p>
    <w:p>
      <w:pPr>
        <w:spacing w:line="360" w:lineRule="auto"/>
        <w:ind w:firstLine="480"/>
        <w:rPr>
          <w:rFonts w:ascii="宋体" w:hAnsi="宋体" w:cs="宋体"/>
          <w:sz w:val="24"/>
        </w:rPr>
      </w:pPr>
      <w:r>
        <w:rPr>
          <w:rFonts w:ascii="宋体" w:hAnsi="宋体" w:cs="宋体"/>
          <w:sz w:val="24"/>
        </w:rPr>
        <w:t>6.1.2</w:t>
      </w:r>
      <w:r>
        <w:rPr>
          <w:rFonts w:hint="eastAsia" w:ascii="宋体" w:hAnsi="宋体" w:cs="宋体"/>
          <w:sz w:val="24"/>
        </w:rPr>
        <w:t>对于情节严重、造成甲方损失金额巨大的，同意甲方终止全部项目合同，并赔偿甲方因此造成的损失。</w:t>
      </w:r>
    </w:p>
    <w:p>
      <w:pPr>
        <w:spacing w:line="360" w:lineRule="auto"/>
        <w:ind w:firstLine="480"/>
        <w:rPr>
          <w:rFonts w:ascii="宋体" w:hAnsi="宋体" w:cs="宋体"/>
          <w:sz w:val="24"/>
        </w:rPr>
      </w:pPr>
      <w:r>
        <w:rPr>
          <w:rFonts w:ascii="宋体" w:hAnsi="宋体" w:cs="宋体"/>
          <w:sz w:val="24"/>
        </w:rPr>
        <w:t xml:space="preserve">6.2 </w:t>
      </w:r>
      <w:r>
        <w:rPr>
          <w:rFonts w:hint="eastAsia" w:ascii="宋体" w:hAnsi="宋体" w:cs="宋体"/>
          <w:sz w:val="24"/>
        </w:rPr>
        <w:t>如果甲方提出索赔通知后</w:t>
      </w:r>
      <w:r>
        <w:rPr>
          <w:rFonts w:ascii="宋体" w:hAnsi="宋体" w:cs="宋体"/>
          <w:sz w:val="24"/>
        </w:rPr>
        <w:t xml:space="preserve"> 30</w:t>
      </w:r>
      <w:r>
        <w:rPr>
          <w:rFonts w:hint="eastAsia" w:ascii="宋体" w:hAnsi="宋体" w:cs="宋体"/>
          <w:sz w:val="24"/>
        </w:rPr>
        <w:t>天内乙方未能予以签复，该索赔应视为已被乙方接受。若乙方未能在甲方提出索赔通知的</w:t>
      </w:r>
      <w:r>
        <w:rPr>
          <w:rFonts w:ascii="宋体" w:hAnsi="宋体" w:cs="宋体"/>
          <w:sz w:val="24"/>
        </w:rPr>
        <w:t xml:space="preserve"> 30</w:t>
      </w:r>
      <w:r>
        <w:rPr>
          <w:rFonts w:hint="eastAsia" w:ascii="宋体" w:hAnsi="宋体" w:cs="宋体"/>
          <w:sz w:val="24"/>
        </w:rPr>
        <w:t>天内或甲方同意的更长一些的时间内，按甲方同意的上述任何一种方式处理索赔事宜，甲方将乙方提供的履约保证金中扣回索赔金额，同时保留进一步要求赔偿的权利。</w:t>
      </w:r>
    </w:p>
    <w:p>
      <w:pPr>
        <w:spacing w:line="360" w:lineRule="auto"/>
        <w:ind w:firstLine="480"/>
        <w:rPr>
          <w:rFonts w:ascii="宋体" w:hAnsi="宋体" w:cs="宋体"/>
          <w:sz w:val="24"/>
        </w:rPr>
      </w:pPr>
      <w:r>
        <w:rPr>
          <w:rFonts w:ascii="宋体" w:hAnsi="宋体" w:cs="宋体"/>
          <w:sz w:val="24"/>
        </w:rPr>
        <w:t>7.</w:t>
      </w:r>
      <w:r>
        <w:rPr>
          <w:rFonts w:hint="eastAsia" w:ascii="宋体" w:hAnsi="宋体" w:cs="宋体"/>
          <w:sz w:val="24"/>
        </w:rPr>
        <w:t>不可抗力</w:t>
      </w:r>
    </w:p>
    <w:p>
      <w:pPr>
        <w:spacing w:line="360" w:lineRule="auto"/>
        <w:ind w:firstLine="480"/>
        <w:rPr>
          <w:rFonts w:ascii="宋体" w:hAnsi="宋体" w:cs="宋体"/>
          <w:sz w:val="24"/>
        </w:rPr>
      </w:pPr>
      <w:r>
        <w:rPr>
          <w:rFonts w:ascii="宋体" w:hAnsi="宋体" w:cs="宋体"/>
          <w:sz w:val="24"/>
        </w:rPr>
        <w:t>7.1</w:t>
      </w:r>
      <w:r>
        <w:rPr>
          <w:rFonts w:hint="eastAsia" w:ascii="宋体" w:hAnsi="宋体" w:cs="宋体"/>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rPr>
          <w:rFonts w:ascii="宋体" w:hAnsi="宋体" w:cs="宋体"/>
          <w:sz w:val="24"/>
        </w:rPr>
      </w:pPr>
      <w:r>
        <w:rPr>
          <w:rFonts w:ascii="宋体" w:hAnsi="宋体" w:cs="宋体"/>
          <w:sz w:val="24"/>
        </w:rPr>
        <w:t>7.2</w:t>
      </w:r>
      <w:r>
        <w:rPr>
          <w:rFonts w:hint="eastAsia" w:ascii="宋体" w:hAnsi="宋体" w:cs="宋体"/>
          <w:sz w:val="24"/>
        </w:rPr>
        <w:t>受损一方应在不可抗力事故发生后尽快用电报、传真或电传通知对方，并于事故发生后</w:t>
      </w:r>
      <w:r>
        <w:rPr>
          <w:rFonts w:ascii="宋体" w:hAnsi="宋体" w:cs="宋体"/>
          <w:sz w:val="24"/>
        </w:rPr>
        <w:t xml:space="preserve"> 14</w:t>
      </w:r>
      <w:r>
        <w:rPr>
          <w:rFonts w:hint="eastAsia" w:ascii="宋体" w:hAnsi="宋体" w:cs="宋体"/>
          <w:sz w:val="24"/>
        </w:rPr>
        <w:t>天内将有关部门出具的证明文件用特快专递或挂号信寄给对方审阅确认。一旦不可抗力事故的影响持续</w:t>
      </w:r>
      <w:r>
        <w:rPr>
          <w:rFonts w:ascii="宋体" w:hAnsi="宋体" w:cs="宋体"/>
          <w:sz w:val="24"/>
        </w:rPr>
        <w:t xml:space="preserve"> 60</w:t>
      </w:r>
      <w:r>
        <w:rPr>
          <w:rFonts w:hint="eastAsia" w:ascii="宋体" w:hAnsi="宋体" w:cs="宋体"/>
          <w:sz w:val="24"/>
        </w:rPr>
        <w:t>天以上，双方应通过友好协商，在合理的时间内达成进一步履行合同的协议。</w:t>
      </w:r>
    </w:p>
    <w:p>
      <w:pPr>
        <w:spacing w:line="360" w:lineRule="auto"/>
        <w:ind w:firstLine="480"/>
        <w:rPr>
          <w:rFonts w:ascii="宋体" w:hAnsi="宋体" w:cs="宋体"/>
          <w:sz w:val="24"/>
        </w:rPr>
      </w:pPr>
      <w:r>
        <w:rPr>
          <w:rFonts w:ascii="宋体" w:hAnsi="宋体" w:cs="宋体"/>
          <w:sz w:val="24"/>
        </w:rPr>
        <w:t>8.</w:t>
      </w:r>
      <w:r>
        <w:rPr>
          <w:rFonts w:hint="eastAsia" w:ascii="宋体" w:hAnsi="宋体" w:cs="宋体"/>
          <w:sz w:val="24"/>
        </w:rPr>
        <w:t>履约保证金</w:t>
      </w:r>
    </w:p>
    <w:p>
      <w:pPr>
        <w:spacing w:line="360" w:lineRule="auto"/>
        <w:ind w:firstLine="480"/>
        <w:rPr>
          <w:rFonts w:ascii="宋体" w:hAnsi="宋体" w:cs="宋体"/>
          <w:sz w:val="24"/>
        </w:rPr>
      </w:pPr>
      <w:r>
        <w:rPr>
          <w:rFonts w:ascii="宋体" w:hAnsi="宋体" w:cs="宋体"/>
          <w:sz w:val="24"/>
        </w:rPr>
        <w:t>8.1</w:t>
      </w:r>
      <w:r>
        <w:rPr>
          <w:rFonts w:hint="eastAsia" w:ascii="宋体" w:hAnsi="宋体" w:cs="宋体"/>
          <w:sz w:val="24"/>
        </w:rPr>
        <w:t>履约保证金的有效期至供货完毕且验收合格。</w:t>
      </w:r>
    </w:p>
    <w:p>
      <w:pPr>
        <w:spacing w:line="360" w:lineRule="auto"/>
        <w:ind w:firstLine="480"/>
        <w:rPr>
          <w:rFonts w:ascii="宋体" w:hAnsi="宋体" w:cs="宋体"/>
          <w:sz w:val="24"/>
        </w:rPr>
      </w:pPr>
      <w:r>
        <w:rPr>
          <w:rFonts w:ascii="宋体" w:hAnsi="宋体" w:cs="宋体"/>
          <w:sz w:val="24"/>
        </w:rPr>
        <w:t>8.2</w:t>
      </w:r>
      <w:r>
        <w:rPr>
          <w:rFonts w:hint="eastAsia" w:ascii="宋体" w:hAnsi="宋体" w:cs="宋体"/>
          <w:sz w:val="24"/>
        </w:rPr>
        <w:t>乙方提供的履约保证金按规定格式转帐支票、电汇的形式提供，与此有关的费用由乙方负担。</w:t>
      </w:r>
    </w:p>
    <w:p>
      <w:pPr>
        <w:spacing w:line="360" w:lineRule="auto"/>
        <w:ind w:firstLine="480"/>
        <w:rPr>
          <w:rFonts w:ascii="宋体" w:hAnsi="宋体" w:cs="宋体"/>
          <w:sz w:val="24"/>
        </w:rPr>
      </w:pPr>
      <w:r>
        <w:rPr>
          <w:rFonts w:ascii="宋体" w:hAnsi="宋体" w:cs="宋体"/>
          <w:sz w:val="24"/>
        </w:rPr>
        <w:t>8.4</w:t>
      </w:r>
      <w:r>
        <w:rPr>
          <w:rFonts w:hint="eastAsia" w:ascii="宋体" w:hAnsi="宋体" w:cs="宋体"/>
          <w:sz w:val="24"/>
        </w:rPr>
        <w:t>如果乙方未能按合同规定履行其义务，甲方有权从履约保证金取得补偿。</w:t>
      </w:r>
    </w:p>
    <w:p>
      <w:pPr>
        <w:spacing w:line="360" w:lineRule="auto"/>
        <w:ind w:firstLine="480"/>
        <w:rPr>
          <w:rFonts w:ascii="宋体" w:hAnsi="宋体" w:cs="宋体"/>
          <w:sz w:val="24"/>
        </w:rPr>
      </w:pPr>
      <w:r>
        <w:rPr>
          <w:rFonts w:ascii="宋体" w:hAnsi="宋体" w:cs="宋体"/>
          <w:sz w:val="24"/>
        </w:rPr>
        <w:t>9.</w:t>
      </w:r>
      <w:r>
        <w:rPr>
          <w:rFonts w:hint="eastAsia" w:ascii="宋体" w:hAnsi="宋体" w:cs="宋体"/>
          <w:sz w:val="24"/>
        </w:rPr>
        <w:t>争议的解决</w:t>
      </w:r>
    </w:p>
    <w:p>
      <w:pPr>
        <w:spacing w:line="360" w:lineRule="auto"/>
        <w:ind w:firstLine="480"/>
        <w:rPr>
          <w:rFonts w:ascii="宋体" w:hAnsi="宋体" w:cs="宋体"/>
          <w:sz w:val="24"/>
        </w:rPr>
      </w:pPr>
      <w:r>
        <w:rPr>
          <w:rFonts w:ascii="宋体" w:hAnsi="宋体" w:cs="宋体"/>
          <w:sz w:val="24"/>
        </w:rPr>
        <w:t>9.1</w:t>
      </w:r>
      <w:r>
        <w:rPr>
          <w:rFonts w:hint="eastAsia" w:ascii="宋体" w:hAnsi="宋体" w:cs="宋体"/>
          <w:sz w:val="24"/>
        </w:rPr>
        <w:t>在执行合同中发生的与本合同有关的争端，双方应通过友好协商解决，经协商在</w:t>
      </w:r>
      <w:r>
        <w:rPr>
          <w:rFonts w:ascii="宋体" w:hAnsi="宋体" w:cs="宋体"/>
          <w:sz w:val="24"/>
        </w:rPr>
        <w:t xml:space="preserve"> 60</w:t>
      </w:r>
      <w:r>
        <w:rPr>
          <w:rFonts w:hint="eastAsia" w:ascii="宋体" w:hAnsi="宋体" w:cs="宋体"/>
          <w:sz w:val="24"/>
        </w:rPr>
        <w:t>天内不能达成协议时，应提交仲裁。</w:t>
      </w:r>
    </w:p>
    <w:p>
      <w:pPr>
        <w:spacing w:line="360" w:lineRule="auto"/>
        <w:ind w:firstLine="480"/>
        <w:rPr>
          <w:rFonts w:ascii="宋体" w:hAnsi="宋体" w:cs="宋体"/>
          <w:sz w:val="24"/>
        </w:rPr>
      </w:pPr>
      <w:r>
        <w:rPr>
          <w:rFonts w:ascii="宋体" w:hAnsi="宋体" w:cs="宋体"/>
          <w:sz w:val="24"/>
        </w:rPr>
        <w:t xml:space="preserve">9.2 </w:t>
      </w:r>
      <w:r>
        <w:rPr>
          <w:rFonts w:hint="eastAsia" w:ascii="宋体" w:hAnsi="宋体" w:cs="宋体"/>
          <w:sz w:val="24"/>
        </w:rPr>
        <w:t>提交正式仲裁的争端属涉外的，应在北京或中国国内其他地点，由指定的国际经济仲裁委员会根据该委员会的仲裁程序或规则予以最终裁决。</w:t>
      </w:r>
    </w:p>
    <w:p>
      <w:pPr>
        <w:spacing w:line="360" w:lineRule="auto"/>
        <w:ind w:firstLine="480"/>
        <w:rPr>
          <w:rFonts w:ascii="宋体" w:hAnsi="宋体" w:cs="宋体"/>
          <w:sz w:val="24"/>
        </w:rPr>
      </w:pPr>
      <w:r>
        <w:rPr>
          <w:rFonts w:ascii="宋体" w:hAnsi="宋体" w:cs="宋体"/>
          <w:sz w:val="24"/>
        </w:rPr>
        <w:t xml:space="preserve">9.3 </w:t>
      </w:r>
      <w:r>
        <w:rPr>
          <w:rFonts w:hint="eastAsia" w:ascii="宋体" w:hAnsi="宋体" w:cs="宋体"/>
          <w:sz w:val="24"/>
        </w:rPr>
        <w:t>合同双方均为国内法人的，其争端的仲裁应由合同发生地许昌仲裁委员会根据其仲裁程序进行。</w:t>
      </w:r>
    </w:p>
    <w:p>
      <w:pPr>
        <w:spacing w:line="360" w:lineRule="auto"/>
        <w:ind w:firstLine="480"/>
        <w:rPr>
          <w:rFonts w:ascii="宋体" w:hAnsi="宋体" w:cs="宋体"/>
          <w:sz w:val="24"/>
        </w:rPr>
      </w:pPr>
      <w:r>
        <w:rPr>
          <w:rFonts w:ascii="宋体" w:hAnsi="宋体" w:cs="宋体"/>
          <w:sz w:val="24"/>
        </w:rPr>
        <w:t xml:space="preserve">9.4 </w:t>
      </w:r>
      <w:r>
        <w:rPr>
          <w:rFonts w:hint="eastAsia" w:ascii="宋体" w:hAnsi="宋体" w:cs="宋体"/>
          <w:sz w:val="24"/>
        </w:rPr>
        <w:t>仲裁裁决应为最终决定，并对双方具有约束力。</w:t>
      </w:r>
    </w:p>
    <w:p>
      <w:pPr>
        <w:spacing w:line="360" w:lineRule="auto"/>
        <w:ind w:firstLine="480"/>
        <w:rPr>
          <w:rFonts w:ascii="宋体" w:hAnsi="宋体" w:cs="宋体"/>
          <w:sz w:val="24"/>
        </w:rPr>
      </w:pPr>
      <w:r>
        <w:rPr>
          <w:rFonts w:ascii="宋体" w:hAnsi="宋体" w:cs="宋体"/>
          <w:sz w:val="24"/>
        </w:rPr>
        <w:t xml:space="preserve">9.5 </w:t>
      </w:r>
      <w:r>
        <w:rPr>
          <w:rFonts w:hint="eastAsia" w:ascii="宋体" w:hAnsi="宋体" w:cs="宋体"/>
          <w:sz w:val="24"/>
        </w:rPr>
        <w:t>除另有裁决外，仲裁费应由败诉方负担。</w:t>
      </w:r>
    </w:p>
    <w:p>
      <w:pPr>
        <w:spacing w:line="360" w:lineRule="auto"/>
        <w:ind w:firstLine="480"/>
        <w:rPr>
          <w:rFonts w:ascii="宋体" w:hAnsi="宋体" w:cs="宋体"/>
          <w:sz w:val="24"/>
        </w:rPr>
      </w:pPr>
      <w:r>
        <w:rPr>
          <w:rFonts w:ascii="宋体" w:hAnsi="宋体" w:cs="宋体"/>
          <w:sz w:val="24"/>
        </w:rPr>
        <w:t xml:space="preserve">9.6 </w:t>
      </w:r>
      <w:r>
        <w:rPr>
          <w:rFonts w:hint="eastAsia" w:ascii="宋体" w:hAnsi="宋体" w:cs="宋体"/>
          <w:sz w:val="24"/>
        </w:rPr>
        <w:t>在仲裁期间，除正在进行的仲裁部分外，合同其他部分继续执行。</w:t>
      </w:r>
    </w:p>
    <w:p>
      <w:pPr>
        <w:spacing w:line="360" w:lineRule="auto"/>
        <w:ind w:firstLine="480"/>
        <w:rPr>
          <w:rFonts w:ascii="宋体" w:hAnsi="宋体" w:cs="宋体"/>
          <w:sz w:val="24"/>
        </w:rPr>
      </w:pPr>
      <w:r>
        <w:rPr>
          <w:rFonts w:ascii="宋体" w:hAnsi="宋体" w:cs="宋体"/>
          <w:sz w:val="24"/>
        </w:rPr>
        <w:t>10.</w:t>
      </w:r>
      <w:r>
        <w:rPr>
          <w:rFonts w:hint="eastAsia" w:ascii="宋体" w:hAnsi="宋体" w:cs="宋体"/>
          <w:sz w:val="24"/>
        </w:rPr>
        <w:t>合同终止</w:t>
      </w:r>
    </w:p>
    <w:p>
      <w:pPr>
        <w:spacing w:line="360" w:lineRule="auto"/>
        <w:ind w:firstLine="480"/>
        <w:rPr>
          <w:rFonts w:ascii="宋体" w:hAnsi="宋体" w:cs="宋体"/>
          <w:sz w:val="24"/>
        </w:rPr>
      </w:pPr>
      <w:r>
        <w:rPr>
          <w:rFonts w:ascii="宋体" w:hAnsi="宋体" w:cs="宋体"/>
          <w:sz w:val="24"/>
        </w:rPr>
        <w:t>10.1</w:t>
      </w:r>
      <w:r>
        <w:rPr>
          <w:rFonts w:hint="eastAsia" w:ascii="宋体" w:hAnsi="宋体" w:cs="宋体"/>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rPr>
          <w:rFonts w:ascii="宋体" w:hAnsi="宋体" w:cs="宋体"/>
          <w:sz w:val="24"/>
        </w:rPr>
      </w:pPr>
      <w:r>
        <w:rPr>
          <w:rFonts w:ascii="宋体" w:hAnsi="宋体" w:cs="宋体"/>
          <w:sz w:val="24"/>
        </w:rPr>
        <w:t xml:space="preserve">10.2 </w:t>
      </w:r>
      <w:r>
        <w:rPr>
          <w:rFonts w:hint="eastAsia" w:ascii="宋体" w:hAnsi="宋体" w:cs="宋体"/>
          <w:sz w:val="24"/>
        </w:rPr>
        <w:t>出现下列情况时合同自动终止：</w:t>
      </w:r>
    </w:p>
    <w:p>
      <w:pPr>
        <w:spacing w:line="360" w:lineRule="auto"/>
        <w:ind w:firstLine="480"/>
        <w:rPr>
          <w:rFonts w:ascii="宋体" w:hAnsi="宋体" w:cs="宋体"/>
          <w:sz w:val="24"/>
        </w:rPr>
      </w:pPr>
      <w:r>
        <w:rPr>
          <w:rFonts w:ascii="宋体" w:hAnsi="宋体" w:cs="宋体"/>
          <w:sz w:val="24"/>
        </w:rPr>
        <w:t>10.2.1</w:t>
      </w:r>
      <w:r>
        <w:rPr>
          <w:rFonts w:hint="eastAsia" w:ascii="宋体" w:hAnsi="宋体" w:cs="宋体"/>
          <w:sz w:val="24"/>
        </w:rPr>
        <w:t>发生不可抗力时。</w:t>
      </w:r>
    </w:p>
    <w:p>
      <w:pPr>
        <w:spacing w:line="360" w:lineRule="auto"/>
        <w:ind w:firstLine="480"/>
        <w:rPr>
          <w:rFonts w:ascii="宋体" w:hAnsi="宋体" w:cs="宋体"/>
          <w:sz w:val="24"/>
        </w:rPr>
      </w:pPr>
      <w:r>
        <w:rPr>
          <w:rFonts w:ascii="宋体" w:hAnsi="宋体" w:cs="宋体"/>
          <w:sz w:val="24"/>
        </w:rPr>
        <w:t>10.2.2</w:t>
      </w:r>
      <w:r>
        <w:rPr>
          <w:rFonts w:hint="eastAsia" w:ascii="宋体" w:hAnsi="宋体" w:cs="宋体"/>
          <w:sz w:val="24"/>
        </w:rPr>
        <w:t>一方不履行合同条款，造成另一方无法执行合同协议，协商又不能求得解决，合同终止，责任方赔偿损失。</w:t>
      </w:r>
    </w:p>
    <w:p>
      <w:pPr>
        <w:spacing w:line="360" w:lineRule="auto"/>
        <w:ind w:firstLine="480"/>
        <w:rPr>
          <w:rFonts w:ascii="宋体" w:hAnsi="宋体" w:cs="宋体"/>
          <w:sz w:val="24"/>
        </w:rPr>
      </w:pPr>
      <w:r>
        <w:rPr>
          <w:rFonts w:ascii="宋体" w:hAnsi="宋体" w:cs="宋体"/>
          <w:sz w:val="24"/>
        </w:rPr>
        <w:t>11.</w:t>
      </w:r>
      <w:r>
        <w:rPr>
          <w:rFonts w:hint="eastAsia" w:ascii="宋体" w:hAnsi="宋体" w:cs="宋体"/>
          <w:sz w:val="24"/>
        </w:rPr>
        <w:t>合同修改</w:t>
      </w:r>
    </w:p>
    <w:p>
      <w:pPr>
        <w:spacing w:line="360" w:lineRule="auto"/>
        <w:ind w:firstLine="480"/>
        <w:rPr>
          <w:rFonts w:ascii="宋体" w:hAnsi="宋体" w:cs="宋体"/>
          <w:sz w:val="24"/>
        </w:rPr>
      </w:pPr>
      <w:r>
        <w:rPr>
          <w:rFonts w:hint="eastAsia" w:ascii="宋体" w:hAnsi="宋体" w:cs="宋体"/>
          <w:sz w:val="24"/>
        </w:rPr>
        <w:t>对于合同的未尽事宜，需进行修改、补充和完善的，甲乙双方必须就所修改的内容签订书面的合同修改书，作为合同的补充协议。</w:t>
      </w:r>
    </w:p>
    <w:p>
      <w:pPr>
        <w:spacing w:line="360" w:lineRule="auto"/>
        <w:ind w:firstLine="480"/>
        <w:rPr>
          <w:rFonts w:ascii="宋体" w:hAnsi="宋体" w:cs="宋体"/>
          <w:sz w:val="24"/>
        </w:rPr>
      </w:pPr>
      <w:r>
        <w:rPr>
          <w:rFonts w:ascii="宋体" w:hAnsi="宋体" w:cs="宋体"/>
          <w:sz w:val="24"/>
        </w:rPr>
        <w:t>12.</w:t>
      </w:r>
      <w:r>
        <w:rPr>
          <w:rFonts w:hint="eastAsia" w:ascii="宋体" w:hAnsi="宋体" w:cs="宋体"/>
          <w:sz w:val="24"/>
        </w:rPr>
        <w:t>适用法律</w:t>
      </w:r>
    </w:p>
    <w:p>
      <w:pPr>
        <w:spacing w:line="360" w:lineRule="auto"/>
        <w:ind w:firstLine="480"/>
        <w:rPr>
          <w:rFonts w:ascii="宋体" w:hAnsi="宋体" w:cs="宋体"/>
          <w:sz w:val="24"/>
        </w:rPr>
      </w:pPr>
      <w:r>
        <w:rPr>
          <w:rFonts w:hint="eastAsia" w:ascii="宋体" w:hAnsi="宋体" w:cs="宋体"/>
          <w:sz w:val="24"/>
        </w:rPr>
        <w:t>本合同应按中华人民共和国的法律解释。</w:t>
      </w:r>
    </w:p>
    <w:p>
      <w:pPr>
        <w:spacing w:line="360" w:lineRule="auto"/>
        <w:ind w:firstLine="480"/>
        <w:rPr>
          <w:rFonts w:ascii="宋体" w:hAnsi="宋体" w:cs="宋体"/>
          <w:sz w:val="24"/>
        </w:rPr>
      </w:pPr>
      <w:r>
        <w:rPr>
          <w:rFonts w:ascii="宋体" w:hAnsi="宋体" w:cs="宋体"/>
          <w:sz w:val="24"/>
        </w:rPr>
        <w:t>13.</w:t>
      </w:r>
      <w:r>
        <w:rPr>
          <w:rFonts w:hint="eastAsia" w:ascii="宋体" w:hAnsi="宋体" w:cs="宋体"/>
          <w:sz w:val="24"/>
        </w:rPr>
        <w:t>主导语言与计量单位</w:t>
      </w:r>
    </w:p>
    <w:p>
      <w:pPr>
        <w:spacing w:line="360" w:lineRule="auto"/>
        <w:ind w:firstLine="480"/>
        <w:rPr>
          <w:rFonts w:ascii="宋体" w:hAnsi="宋体" w:cs="宋体"/>
          <w:sz w:val="24"/>
        </w:rPr>
      </w:pPr>
      <w:r>
        <w:rPr>
          <w:rFonts w:ascii="宋体" w:hAnsi="宋体" w:cs="宋体"/>
          <w:sz w:val="24"/>
        </w:rPr>
        <w:t xml:space="preserve">13.1 </w:t>
      </w:r>
      <w:r>
        <w:rPr>
          <w:rFonts w:hint="eastAsia" w:ascii="宋体" w:hAnsi="宋体" w:cs="宋体"/>
          <w:sz w:val="24"/>
        </w:rPr>
        <w:t>合同书写应用中文书写。甲乙双方及相关部门各执一份，具有同等法律效力。</w:t>
      </w:r>
    </w:p>
    <w:p>
      <w:pPr>
        <w:spacing w:line="360" w:lineRule="auto"/>
        <w:ind w:firstLine="480"/>
        <w:rPr>
          <w:rFonts w:ascii="宋体" w:hAnsi="宋体" w:cs="宋体"/>
          <w:sz w:val="24"/>
        </w:rPr>
      </w:pPr>
      <w:r>
        <w:rPr>
          <w:rFonts w:ascii="宋体" w:hAnsi="宋体" w:cs="宋体"/>
          <w:sz w:val="24"/>
        </w:rPr>
        <w:t xml:space="preserve">13.2 </w:t>
      </w:r>
      <w:r>
        <w:rPr>
          <w:rFonts w:hint="eastAsia" w:ascii="宋体" w:hAnsi="宋体" w:cs="宋体"/>
          <w:sz w:val="24"/>
        </w:rPr>
        <w:t>除技术规格另有规定外，计量单位均使用中华人民共和国法定计量单位。</w:t>
      </w:r>
    </w:p>
    <w:p>
      <w:pPr>
        <w:spacing w:line="360" w:lineRule="auto"/>
        <w:ind w:firstLine="480"/>
        <w:rPr>
          <w:rFonts w:ascii="宋体" w:hAnsi="宋体" w:cs="宋体"/>
          <w:sz w:val="24"/>
        </w:rPr>
      </w:pPr>
      <w:r>
        <w:rPr>
          <w:rFonts w:ascii="宋体" w:hAnsi="宋体" w:cs="宋体"/>
          <w:sz w:val="24"/>
        </w:rPr>
        <w:t>14.</w:t>
      </w:r>
      <w:r>
        <w:rPr>
          <w:rFonts w:hint="eastAsia" w:ascii="宋体" w:hAnsi="宋体" w:cs="宋体"/>
          <w:sz w:val="24"/>
        </w:rPr>
        <w:t>合同生效</w:t>
      </w:r>
    </w:p>
    <w:p>
      <w:pPr>
        <w:spacing w:line="360" w:lineRule="auto"/>
        <w:ind w:firstLine="480"/>
        <w:rPr>
          <w:rFonts w:ascii="宋体" w:hAnsi="宋体" w:cs="宋体"/>
          <w:sz w:val="24"/>
        </w:rPr>
      </w:pPr>
      <w:r>
        <w:rPr>
          <w:rFonts w:hint="eastAsia" w:ascii="宋体" w:hAnsi="宋体" w:cs="宋体"/>
          <w:sz w:val="24"/>
        </w:rPr>
        <w:t>除非合同中另有说明，本合同经双方签字盖章，并在招标人收到乙方的履约保证金后，即开始生效。</w:t>
      </w:r>
    </w:p>
    <w:p>
      <w:pPr>
        <w:spacing w:line="360" w:lineRule="auto"/>
        <w:jc w:val="center"/>
        <w:rPr>
          <w:rFonts w:ascii="黑体" w:hAnsi="黑体" w:eastAsia="黑体" w:cs="黑体"/>
          <w:b/>
          <w:bCs/>
          <w:sz w:val="28"/>
          <w:szCs w:val="28"/>
        </w:rPr>
      </w:pPr>
    </w:p>
    <w:p>
      <w:pPr>
        <w:spacing w:line="360" w:lineRule="auto"/>
        <w:contextualSpacing/>
        <w:jc w:val="center"/>
        <w:rPr>
          <w:rFonts w:ascii="Cambria" w:hAnsi="Cambria" w:eastAsia="Cambria" w:cs="宋体"/>
          <w:b/>
          <w:sz w:val="36"/>
          <w:szCs w:val="36"/>
        </w:rPr>
      </w:pPr>
    </w:p>
    <w:p>
      <w:pPr>
        <w:spacing w:line="360" w:lineRule="auto"/>
        <w:contextualSpacing/>
        <w:jc w:val="center"/>
        <w:rPr>
          <w:rFonts w:ascii="Cambria" w:hAnsi="Cambria" w:eastAsia="Cambria" w:cs="宋体"/>
          <w:b/>
          <w:sz w:val="36"/>
          <w:szCs w:val="36"/>
        </w:rPr>
      </w:pPr>
    </w:p>
    <w:p>
      <w:pPr>
        <w:spacing w:line="360" w:lineRule="auto"/>
        <w:jc w:val="center"/>
        <w:outlineLvl w:val="0"/>
        <w:rPr>
          <w:rFonts w:ascii="Cambria" w:hAnsi="Cambria" w:eastAsia="Cambria" w:cs="宋体"/>
          <w:b/>
          <w:sz w:val="36"/>
          <w:szCs w:val="36"/>
        </w:rPr>
      </w:pPr>
      <w:r>
        <w:rPr>
          <w:rFonts w:hint="eastAsia" w:ascii="Cambria" w:hAnsi="Cambria" w:eastAsia="Cambria" w:cs="宋体"/>
          <w:b/>
          <w:sz w:val="36"/>
          <w:szCs w:val="36"/>
        </w:rPr>
        <w:t>（二）合同特殊条款</w:t>
      </w:r>
    </w:p>
    <w:p>
      <w:pPr>
        <w:spacing w:line="360" w:lineRule="auto"/>
        <w:jc w:val="center"/>
        <w:rPr>
          <w:rFonts w:ascii="宋体" w:hAnsi="宋体" w:cs="宋体"/>
          <w:b/>
          <w:bCs/>
          <w:sz w:val="30"/>
          <w:szCs w:val="30"/>
        </w:rPr>
      </w:pPr>
    </w:p>
    <w:p>
      <w:pPr>
        <w:spacing w:line="360" w:lineRule="auto"/>
        <w:ind w:firstLine="480"/>
        <w:rPr>
          <w:rFonts w:ascii="宋体" w:hAnsi="宋体" w:cs="宋体"/>
          <w:sz w:val="24"/>
        </w:rPr>
      </w:pPr>
      <w:r>
        <w:rPr>
          <w:rFonts w:hint="eastAsia" w:ascii="宋体" w:hAnsi="宋体" w:cs="宋体"/>
          <w:sz w:val="24"/>
        </w:rPr>
        <w:t>（具体条款由甲乙双方根据该项目的特殊性协商约定）略。</w:t>
      </w:r>
    </w:p>
    <w:p>
      <w:pPr>
        <w:spacing w:line="360" w:lineRule="auto"/>
        <w:ind w:firstLine="480"/>
        <w:rPr>
          <w:rFonts w:ascii="宋体" w:hAnsi="宋体" w:cs="宋体"/>
          <w:sz w:val="24"/>
        </w:rPr>
      </w:pPr>
      <w:r>
        <w:rPr>
          <w:rFonts w:hint="eastAsia" w:ascii="宋体" w:hAnsi="宋体" w:cs="宋体"/>
          <w:sz w:val="24"/>
        </w:rPr>
        <w:t>合同特殊条款是合同一般条款的补充和修改。如果两者之间有抵触，应以特殊条款为准。</w:t>
      </w:r>
    </w:p>
    <w:p>
      <w:pPr>
        <w:pStyle w:val="16"/>
        <w:spacing w:line="360" w:lineRule="auto"/>
        <w:contextualSpacing/>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6"/>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6"/>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3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供货期        （日历天）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法定代表人授权代表：  （签字或加盖名章）</w:t>
      </w: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0"/>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0"/>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0"/>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10"/>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0"/>
              <w:spacing w:line="360" w:lineRule="auto"/>
              <w:rPr>
                <w:rFonts w:ascii="宋体" w:hAnsi="宋体" w:eastAsia="宋体" w:cs="Times New Roman"/>
                <w:sz w:val="21"/>
                <w:szCs w:val="21"/>
              </w:rPr>
            </w:pPr>
          </w:p>
        </w:tc>
        <w:tc>
          <w:tcPr>
            <w:tcW w:w="991" w:type="dxa"/>
            <w:vAlign w:val="center"/>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135" w:type="dxa"/>
          </w:tcPr>
          <w:p>
            <w:pPr>
              <w:pStyle w:val="10"/>
              <w:spacing w:line="360" w:lineRule="auto"/>
              <w:rPr>
                <w:rFonts w:ascii="宋体" w:hAnsi="宋体" w:eastAsia="宋体" w:cs="Times New Roman"/>
                <w:sz w:val="21"/>
                <w:szCs w:val="21"/>
              </w:rPr>
            </w:pPr>
          </w:p>
        </w:tc>
        <w:tc>
          <w:tcPr>
            <w:tcW w:w="1276" w:type="dxa"/>
          </w:tcPr>
          <w:p>
            <w:pPr>
              <w:pStyle w:val="10"/>
              <w:spacing w:line="360" w:lineRule="auto"/>
              <w:rPr>
                <w:rFonts w:ascii="宋体" w:hAnsi="宋体" w:eastAsia="宋体" w:cs="Times New Roman"/>
                <w:sz w:val="21"/>
                <w:szCs w:val="21"/>
              </w:rPr>
            </w:pPr>
          </w:p>
        </w:tc>
        <w:tc>
          <w:tcPr>
            <w:tcW w:w="1439" w:type="dxa"/>
          </w:tcPr>
          <w:p>
            <w:pPr>
              <w:pStyle w:val="10"/>
              <w:spacing w:line="360" w:lineRule="auto"/>
              <w:rPr>
                <w:rFonts w:ascii="宋体" w:hAnsi="宋体" w:eastAsia="宋体" w:cs="Times New Roman"/>
                <w:sz w:val="21"/>
                <w:szCs w:val="21"/>
              </w:rPr>
            </w:pPr>
          </w:p>
        </w:tc>
        <w:tc>
          <w:tcPr>
            <w:tcW w:w="1252" w:type="dxa"/>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4.10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pPr>
      <w:r>
        <w:rPr>
          <w:rFonts w:ascii="宋体" w:hAnsi="宋体"/>
          <w:b/>
          <w:bCs/>
          <w:color w:val="000000"/>
          <w:sz w:val="28"/>
          <w:szCs w:val="28"/>
        </w:rPr>
        <w:t>除招标文件另有规定外，投标人认为需要提交的其他证明材料或资料加盖投标人的单位公章后应在此项下提交。</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70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1B19D"/>
    <w:multiLevelType w:val="singleLevel"/>
    <w:tmpl w:val="8A21B19D"/>
    <w:lvl w:ilvl="0" w:tentative="0">
      <w:start w:val="1"/>
      <w:numFmt w:val="decimal"/>
      <w:suff w:val="nothing"/>
      <w:lvlText w:val="%1、"/>
      <w:lvlJc w:val="left"/>
    </w:lvl>
  </w:abstractNum>
  <w:abstractNum w:abstractNumId="1">
    <w:nsid w:val="D7E2D66A"/>
    <w:multiLevelType w:val="singleLevel"/>
    <w:tmpl w:val="D7E2D66A"/>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E8"/>
    <w:multiLevelType w:val="singleLevel"/>
    <w:tmpl w:val="59F817E8"/>
    <w:lvl w:ilvl="0" w:tentative="0">
      <w:start w:val="1"/>
      <w:numFmt w:val="chineseCounting"/>
      <w:pStyle w:val="54"/>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5"/>
  </w:num>
  <w:num w:numId="4">
    <w:abstractNumId w:val="1"/>
  </w:num>
  <w:num w:numId="5">
    <w:abstractNumId w:val="0"/>
  </w:num>
  <w:num w:numId="6">
    <w:abstractNumId w:val="9"/>
  </w:num>
  <w:num w:numId="7">
    <w:abstractNumId w:val="16"/>
  </w:num>
  <w:num w:numId="8">
    <w:abstractNumId w:val="17"/>
  </w:num>
  <w:num w:numId="9">
    <w:abstractNumId w:val="13"/>
  </w:num>
  <w:num w:numId="10">
    <w:abstractNumId w:val="10"/>
  </w:num>
  <w:num w:numId="11">
    <w:abstractNumId w:val="6"/>
  </w:num>
  <w:num w:numId="12">
    <w:abstractNumId w:val="7"/>
  </w:num>
  <w:num w:numId="13">
    <w:abstractNumId w:val="19"/>
  </w:num>
  <w:num w:numId="14">
    <w:abstractNumId w:val="12"/>
  </w:num>
  <w:num w:numId="15">
    <w:abstractNumId w:val="18"/>
  </w:num>
  <w:num w:numId="16">
    <w:abstractNumId w:val="5"/>
  </w:num>
  <w:num w:numId="17">
    <w:abstractNumId w:val="8"/>
  </w:num>
  <w:num w:numId="18">
    <w:abstractNumId w:val="14"/>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20A3"/>
    <w:rsid w:val="00000A27"/>
    <w:rsid w:val="00002C3B"/>
    <w:rsid w:val="000043E4"/>
    <w:rsid w:val="00012712"/>
    <w:rsid w:val="000178D4"/>
    <w:rsid w:val="00020353"/>
    <w:rsid w:val="00022000"/>
    <w:rsid w:val="00022021"/>
    <w:rsid w:val="000255CA"/>
    <w:rsid w:val="0002750D"/>
    <w:rsid w:val="000300B0"/>
    <w:rsid w:val="000318E9"/>
    <w:rsid w:val="00033D27"/>
    <w:rsid w:val="00034324"/>
    <w:rsid w:val="000475FF"/>
    <w:rsid w:val="000554D6"/>
    <w:rsid w:val="00061EBD"/>
    <w:rsid w:val="00066076"/>
    <w:rsid w:val="00074086"/>
    <w:rsid w:val="00086AFB"/>
    <w:rsid w:val="00091149"/>
    <w:rsid w:val="000938BE"/>
    <w:rsid w:val="000A7A0E"/>
    <w:rsid w:val="000B0639"/>
    <w:rsid w:val="000B6D68"/>
    <w:rsid w:val="000B76FE"/>
    <w:rsid w:val="000C15AC"/>
    <w:rsid w:val="000C5472"/>
    <w:rsid w:val="000D0385"/>
    <w:rsid w:val="000D0962"/>
    <w:rsid w:val="000D24B4"/>
    <w:rsid w:val="000D25DF"/>
    <w:rsid w:val="000D3714"/>
    <w:rsid w:val="000D4F8E"/>
    <w:rsid w:val="000D56C3"/>
    <w:rsid w:val="000D7157"/>
    <w:rsid w:val="000E102E"/>
    <w:rsid w:val="000E1688"/>
    <w:rsid w:val="000E4849"/>
    <w:rsid w:val="000F3964"/>
    <w:rsid w:val="000F5A57"/>
    <w:rsid w:val="0010161C"/>
    <w:rsid w:val="00113A6C"/>
    <w:rsid w:val="00114F7B"/>
    <w:rsid w:val="00127303"/>
    <w:rsid w:val="001305F1"/>
    <w:rsid w:val="001309C7"/>
    <w:rsid w:val="00134D45"/>
    <w:rsid w:val="0013622E"/>
    <w:rsid w:val="001413B0"/>
    <w:rsid w:val="0014292A"/>
    <w:rsid w:val="001453AC"/>
    <w:rsid w:val="00152066"/>
    <w:rsid w:val="00156391"/>
    <w:rsid w:val="00157BFD"/>
    <w:rsid w:val="00160FB1"/>
    <w:rsid w:val="0016162A"/>
    <w:rsid w:val="00162961"/>
    <w:rsid w:val="001729F5"/>
    <w:rsid w:val="00175E00"/>
    <w:rsid w:val="001812E3"/>
    <w:rsid w:val="001A1B6C"/>
    <w:rsid w:val="001A3DE4"/>
    <w:rsid w:val="001A4CA9"/>
    <w:rsid w:val="001B3201"/>
    <w:rsid w:val="001B3B1F"/>
    <w:rsid w:val="001B3FA7"/>
    <w:rsid w:val="001C128F"/>
    <w:rsid w:val="001D1F28"/>
    <w:rsid w:val="001D2862"/>
    <w:rsid w:val="001D6D29"/>
    <w:rsid w:val="001E3E55"/>
    <w:rsid w:val="001F2B9E"/>
    <w:rsid w:val="00212A04"/>
    <w:rsid w:val="00217892"/>
    <w:rsid w:val="00220A8C"/>
    <w:rsid w:val="00231DC8"/>
    <w:rsid w:val="00234499"/>
    <w:rsid w:val="00235DB3"/>
    <w:rsid w:val="002373EF"/>
    <w:rsid w:val="002408D3"/>
    <w:rsid w:val="002447F3"/>
    <w:rsid w:val="00246993"/>
    <w:rsid w:val="00247D4B"/>
    <w:rsid w:val="00247EBC"/>
    <w:rsid w:val="00251DBD"/>
    <w:rsid w:val="0025438E"/>
    <w:rsid w:val="002557F6"/>
    <w:rsid w:val="00257170"/>
    <w:rsid w:val="00257C0C"/>
    <w:rsid w:val="00257C27"/>
    <w:rsid w:val="00261521"/>
    <w:rsid w:val="00262EC9"/>
    <w:rsid w:val="002641D5"/>
    <w:rsid w:val="002644FB"/>
    <w:rsid w:val="00274792"/>
    <w:rsid w:val="00274F8B"/>
    <w:rsid w:val="00282D0F"/>
    <w:rsid w:val="002833DC"/>
    <w:rsid w:val="00283B04"/>
    <w:rsid w:val="002A40BF"/>
    <w:rsid w:val="002A4363"/>
    <w:rsid w:val="002A4A94"/>
    <w:rsid w:val="002C5E86"/>
    <w:rsid w:val="002D40F3"/>
    <w:rsid w:val="002D5CAA"/>
    <w:rsid w:val="002E3710"/>
    <w:rsid w:val="002F1CC6"/>
    <w:rsid w:val="002F1D5E"/>
    <w:rsid w:val="002F2E5A"/>
    <w:rsid w:val="002F56B1"/>
    <w:rsid w:val="002F68B9"/>
    <w:rsid w:val="00300379"/>
    <w:rsid w:val="00301814"/>
    <w:rsid w:val="003021BF"/>
    <w:rsid w:val="00304216"/>
    <w:rsid w:val="0030490D"/>
    <w:rsid w:val="00307037"/>
    <w:rsid w:val="003103B1"/>
    <w:rsid w:val="00310C56"/>
    <w:rsid w:val="003113F3"/>
    <w:rsid w:val="00313750"/>
    <w:rsid w:val="00315BEB"/>
    <w:rsid w:val="00322385"/>
    <w:rsid w:val="00323200"/>
    <w:rsid w:val="00323447"/>
    <w:rsid w:val="00323B0A"/>
    <w:rsid w:val="00325EC7"/>
    <w:rsid w:val="003315A3"/>
    <w:rsid w:val="00333DA4"/>
    <w:rsid w:val="003341BD"/>
    <w:rsid w:val="0033593F"/>
    <w:rsid w:val="00336C58"/>
    <w:rsid w:val="00337220"/>
    <w:rsid w:val="00342D6B"/>
    <w:rsid w:val="00355A48"/>
    <w:rsid w:val="00357449"/>
    <w:rsid w:val="00361029"/>
    <w:rsid w:val="00361EF7"/>
    <w:rsid w:val="0036560B"/>
    <w:rsid w:val="00365D02"/>
    <w:rsid w:val="003679BB"/>
    <w:rsid w:val="00371CCF"/>
    <w:rsid w:val="00372983"/>
    <w:rsid w:val="003729BB"/>
    <w:rsid w:val="0037403C"/>
    <w:rsid w:val="00380D7C"/>
    <w:rsid w:val="00383B76"/>
    <w:rsid w:val="003878AA"/>
    <w:rsid w:val="003B28E2"/>
    <w:rsid w:val="003B47AA"/>
    <w:rsid w:val="003B602C"/>
    <w:rsid w:val="003B6371"/>
    <w:rsid w:val="003D2B2F"/>
    <w:rsid w:val="003D3FB5"/>
    <w:rsid w:val="003E149A"/>
    <w:rsid w:val="003E2DBE"/>
    <w:rsid w:val="003F3ED4"/>
    <w:rsid w:val="003F7D7C"/>
    <w:rsid w:val="0041124B"/>
    <w:rsid w:val="00412829"/>
    <w:rsid w:val="00414486"/>
    <w:rsid w:val="00415A4E"/>
    <w:rsid w:val="00417373"/>
    <w:rsid w:val="004212CB"/>
    <w:rsid w:val="0042172E"/>
    <w:rsid w:val="004226E9"/>
    <w:rsid w:val="00425942"/>
    <w:rsid w:val="00436090"/>
    <w:rsid w:val="00445971"/>
    <w:rsid w:val="00447141"/>
    <w:rsid w:val="00453CFB"/>
    <w:rsid w:val="004555C7"/>
    <w:rsid w:val="00471A6D"/>
    <w:rsid w:val="00471D9E"/>
    <w:rsid w:val="00476BF0"/>
    <w:rsid w:val="00486B48"/>
    <w:rsid w:val="0048788B"/>
    <w:rsid w:val="00495A52"/>
    <w:rsid w:val="004969DA"/>
    <w:rsid w:val="004A3EBE"/>
    <w:rsid w:val="004B1F64"/>
    <w:rsid w:val="004B2239"/>
    <w:rsid w:val="004B22D3"/>
    <w:rsid w:val="004B6F46"/>
    <w:rsid w:val="004B7646"/>
    <w:rsid w:val="004C3729"/>
    <w:rsid w:val="004C488A"/>
    <w:rsid w:val="004D1A8D"/>
    <w:rsid w:val="004D339F"/>
    <w:rsid w:val="004D7656"/>
    <w:rsid w:val="004E2C91"/>
    <w:rsid w:val="004E5C86"/>
    <w:rsid w:val="004E6481"/>
    <w:rsid w:val="004F1DBB"/>
    <w:rsid w:val="004F5BE4"/>
    <w:rsid w:val="00500BC4"/>
    <w:rsid w:val="005020CD"/>
    <w:rsid w:val="00512A12"/>
    <w:rsid w:val="005215B9"/>
    <w:rsid w:val="00521E2C"/>
    <w:rsid w:val="00522091"/>
    <w:rsid w:val="005225B2"/>
    <w:rsid w:val="00522697"/>
    <w:rsid w:val="00533498"/>
    <w:rsid w:val="00541925"/>
    <w:rsid w:val="00544270"/>
    <w:rsid w:val="00547C51"/>
    <w:rsid w:val="005549F8"/>
    <w:rsid w:val="00561C5B"/>
    <w:rsid w:val="00565F82"/>
    <w:rsid w:val="00567E93"/>
    <w:rsid w:val="00573D06"/>
    <w:rsid w:val="00573D0B"/>
    <w:rsid w:val="00576083"/>
    <w:rsid w:val="005768AB"/>
    <w:rsid w:val="00577061"/>
    <w:rsid w:val="0058043E"/>
    <w:rsid w:val="00583258"/>
    <w:rsid w:val="00583EBA"/>
    <w:rsid w:val="005856E5"/>
    <w:rsid w:val="005A0399"/>
    <w:rsid w:val="005A0CBC"/>
    <w:rsid w:val="005A14CE"/>
    <w:rsid w:val="005A3071"/>
    <w:rsid w:val="005B3D2A"/>
    <w:rsid w:val="005B5CFC"/>
    <w:rsid w:val="005E0FCF"/>
    <w:rsid w:val="005E3409"/>
    <w:rsid w:val="005E3F3F"/>
    <w:rsid w:val="005E68BD"/>
    <w:rsid w:val="005F087A"/>
    <w:rsid w:val="005F0B1E"/>
    <w:rsid w:val="005F1DF2"/>
    <w:rsid w:val="00601524"/>
    <w:rsid w:val="00603D47"/>
    <w:rsid w:val="006043B9"/>
    <w:rsid w:val="0060569D"/>
    <w:rsid w:val="006074A9"/>
    <w:rsid w:val="00614304"/>
    <w:rsid w:val="0061792B"/>
    <w:rsid w:val="00620D95"/>
    <w:rsid w:val="00622B0B"/>
    <w:rsid w:val="00623A9A"/>
    <w:rsid w:val="00623EF7"/>
    <w:rsid w:val="00624843"/>
    <w:rsid w:val="006357B0"/>
    <w:rsid w:val="006369BE"/>
    <w:rsid w:val="00636AAD"/>
    <w:rsid w:val="0063754C"/>
    <w:rsid w:val="00640CB4"/>
    <w:rsid w:val="0065294F"/>
    <w:rsid w:val="00653D9B"/>
    <w:rsid w:val="00654B93"/>
    <w:rsid w:val="006626FF"/>
    <w:rsid w:val="006668BD"/>
    <w:rsid w:val="00670E22"/>
    <w:rsid w:val="00671C38"/>
    <w:rsid w:val="0067408D"/>
    <w:rsid w:val="00674726"/>
    <w:rsid w:val="00684F86"/>
    <w:rsid w:val="006906FE"/>
    <w:rsid w:val="00695567"/>
    <w:rsid w:val="006A7085"/>
    <w:rsid w:val="006B11BB"/>
    <w:rsid w:val="006B59F9"/>
    <w:rsid w:val="006B66A2"/>
    <w:rsid w:val="006C1ABC"/>
    <w:rsid w:val="006C4A8D"/>
    <w:rsid w:val="006D203B"/>
    <w:rsid w:val="006D2F3B"/>
    <w:rsid w:val="006D5390"/>
    <w:rsid w:val="006D6C7A"/>
    <w:rsid w:val="006E061F"/>
    <w:rsid w:val="006E6EAB"/>
    <w:rsid w:val="006F0427"/>
    <w:rsid w:val="006F2C6A"/>
    <w:rsid w:val="006F68CC"/>
    <w:rsid w:val="0070010A"/>
    <w:rsid w:val="00704BF9"/>
    <w:rsid w:val="00705BA9"/>
    <w:rsid w:val="00716F27"/>
    <w:rsid w:val="007207C9"/>
    <w:rsid w:val="00721711"/>
    <w:rsid w:val="00734045"/>
    <w:rsid w:val="00735FF6"/>
    <w:rsid w:val="00737DB9"/>
    <w:rsid w:val="007401C3"/>
    <w:rsid w:val="00740E91"/>
    <w:rsid w:val="00746A32"/>
    <w:rsid w:val="007568C2"/>
    <w:rsid w:val="007570E2"/>
    <w:rsid w:val="00760543"/>
    <w:rsid w:val="00760EC3"/>
    <w:rsid w:val="007634B9"/>
    <w:rsid w:val="007727E6"/>
    <w:rsid w:val="0077455F"/>
    <w:rsid w:val="0077558E"/>
    <w:rsid w:val="00784774"/>
    <w:rsid w:val="0078780A"/>
    <w:rsid w:val="00787B8C"/>
    <w:rsid w:val="00787E47"/>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3D65"/>
    <w:rsid w:val="007F6FB7"/>
    <w:rsid w:val="007F7EC9"/>
    <w:rsid w:val="0080260F"/>
    <w:rsid w:val="008101FB"/>
    <w:rsid w:val="00811BB1"/>
    <w:rsid w:val="0081227E"/>
    <w:rsid w:val="00813010"/>
    <w:rsid w:val="00817BE0"/>
    <w:rsid w:val="00832E87"/>
    <w:rsid w:val="00833C6A"/>
    <w:rsid w:val="0084302F"/>
    <w:rsid w:val="00847088"/>
    <w:rsid w:val="008478B5"/>
    <w:rsid w:val="0085213A"/>
    <w:rsid w:val="00854005"/>
    <w:rsid w:val="008561DD"/>
    <w:rsid w:val="0086265C"/>
    <w:rsid w:val="008656DB"/>
    <w:rsid w:val="008734AD"/>
    <w:rsid w:val="008753FE"/>
    <w:rsid w:val="00877C6C"/>
    <w:rsid w:val="00882DB0"/>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077D"/>
    <w:rsid w:val="008E62A2"/>
    <w:rsid w:val="008F0E43"/>
    <w:rsid w:val="008F3208"/>
    <w:rsid w:val="00900599"/>
    <w:rsid w:val="00902A7F"/>
    <w:rsid w:val="00905A17"/>
    <w:rsid w:val="00917710"/>
    <w:rsid w:val="00920609"/>
    <w:rsid w:val="00920892"/>
    <w:rsid w:val="009209F7"/>
    <w:rsid w:val="009224D3"/>
    <w:rsid w:val="0092409E"/>
    <w:rsid w:val="00930F65"/>
    <w:rsid w:val="00932EE8"/>
    <w:rsid w:val="0093437D"/>
    <w:rsid w:val="00945983"/>
    <w:rsid w:val="00947844"/>
    <w:rsid w:val="00952B84"/>
    <w:rsid w:val="00962A22"/>
    <w:rsid w:val="009676BB"/>
    <w:rsid w:val="00973D36"/>
    <w:rsid w:val="0097535A"/>
    <w:rsid w:val="009822DB"/>
    <w:rsid w:val="00985AC1"/>
    <w:rsid w:val="00985EBA"/>
    <w:rsid w:val="0098622D"/>
    <w:rsid w:val="00994BEA"/>
    <w:rsid w:val="00996B13"/>
    <w:rsid w:val="009A452D"/>
    <w:rsid w:val="009B1B46"/>
    <w:rsid w:val="009B2B36"/>
    <w:rsid w:val="009B5BC7"/>
    <w:rsid w:val="009B6EA8"/>
    <w:rsid w:val="009C12AB"/>
    <w:rsid w:val="009C5BE8"/>
    <w:rsid w:val="009C5BF0"/>
    <w:rsid w:val="009D12E0"/>
    <w:rsid w:val="009D1F9C"/>
    <w:rsid w:val="009D203C"/>
    <w:rsid w:val="009D20A3"/>
    <w:rsid w:val="009D3502"/>
    <w:rsid w:val="009E6699"/>
    <w:rsid w:val="00A045C1"/>
    <w:rsid w:val="00A0474D"/>
    <w:rsid w:val="00A159FC"/>
    <w:rsid w:val="00A15E4D"/>
    <w:rsid w:val="00A15F7A"/>
    <w:rsid w:val="00A21DDF"/>
    <w:rsid w:val="00A23F1B"/>
    <w:rsid w:val="00A27AA9"/>
    <w:rsid w:val="00A339F0"/>
    <w:rsid w:val="00A36206"/>
    <w:rsid w:val="00A4096D"/>
    <w:rsid w:val="00A42751"/>
    <w:rsid w:val="00A44605"/>
    <w:rsid w:val="00A452B1"/>
    <w:rsid w:val="00A52737"/>
    <w:rsid w:val="00A54E5B"/>
    <w:rsid w:val="00A61AF6"/>
    <w:rsid w:val="00A62646"/>
    <w:rsid w:val="00A63C44"/>
    <w:rsid w:val="00A65C9D"/>
    <w:rsid w:val="00A678EF"/>
    <w:rsid w:val="00A71F0A"/>
    <w:rsid w:val="00A73A53"/>
    <w:rsid w:val="00A75A79"/>
    <w:rsid w:val="00A82323"/>
    <w:rsid w:val="00A910F1"/>
    <w:rsid w:val="00AA0F1B"/>
    <w:rsid w:val="00AA4CCD"/>
    <w:rsid w:val="00AB0175"/>
    <w:rsid w:val="00AB25A2"/>
    <w:rsid w:val="00AC49CE"/>
    <w:rsid w:val="00AC4FD2"/>
    <w:rsid w:val="00AE3298"/>
    <w:rsid w:val="00AF304D"/>
    <w:rsid w:val="00B02024"/>
    <w:rsid w:val="00B045F5"/>
    <w:rsid w:val="00B05115"/>
    <w:rsid w:val="00B07980"/>
    <w:rsid w:val="00B12A55"/>
    <w:rsid w:val="00B15872"/>
    <w:rsid w:val="00B16E78"/>
    <w:rsid w:val="00B20FA0"/>
    <w:rsid w:val="00B24D17"/>
    <w:rsid w:val="00B25866"/>
    <w:rsid w:val="00B277AA"/>
    <w:rsid w:val="00B30127"/>
    <w:rsid w:val="00B32542"/>
    <w:rsid w:val="00B32A03"/>
    <w:rsid w:val="00B35272"/>
    <w:rsid w:val="00B4067A"/>
    <w:rsid w:val="00B41493"/>
    <w:rsid w:val="00B42330"/>
    <w:rsid w:val="00B42703"/>
    <w:rsid w:val="00B45435"/>
    <w:rsid w:val="00B47396"/>
    <w:rsid w:val="00B5289C"/>
    <w:rsid w:val="00B53BAE"/>
    <w:rsid w:val="00B601A6"/>
    <w:rsid w:val="00B61615"/>
    <w:rsid w:val="00B616DF"/>
    <w:rsid w:val="00B73EB1"/>
    <w:rsid w:val="00B775F1"/>
    <w:rsid w:val="00BA68F5"/>
    <w:rsid w:val="00BA729B"/>
    <w:rsid w:val="00BB1F82"/>
    <w:rsid w:val="00BB2ACA"/>
    <w:rsid w:val="00BB33D2"/>
    <w:rsid w:val="00BB33E6"/>
    <w:rsid w:val="00BB6706"/>
    <w:rsid w:val="00BC09E9"/>
    <w:rsid w:val="00BC0F7E"/>
    <w:rsid w:val="00BC30AC"/>
    <w:rsid w:val="00BC4761"/>
    <w:rsid w:val="00BC548C"/>
    <w:rsid w:val="00BD0B99"/>
    <w:rsid w:val="00BD26E3"/>
    <w:rsid w:val="00BD39C8"/>
    <w:rsid w:val="00BD46B3"/>
    <w:rsid w:val="00BD4844"/>
    <w:rsid w:val="00BD4F16"/>
    <w:rsid w:val="00BD62A9"/>
    <w:rsid w:val="00BD6B19"/>
    <w:rsid w:val="00BD7252"/>
    <w:rsid w:val="00BD77B4"/>
    <w:rsid w:val="00BF1566"/>
    <w:rsid w:val="00BF2BE8"/>
    <w:rsid w:val="00BF5728"/>
    <w:rsid w:val="00C0177A"/>
    <w:rsid w:val="00C16235"/>
    <w:rsid w:val="00C214C3"/>
    <w:rsid w:val="00C21A0B"/>
    <w:rsid w:val="00C22847"/>
    <w:rsid w:val="00C23C88"/>
    <w:rsid w:val="00C3639D"/>
    <w:rsid w:val="00C41183"/>
    <w:rsid w:val="00C42E82"/>
    <w:rsid w:val="00C43617"/>
    <w:rsid w:val="00C44B22"/>
    <w:rsid w:val="00C463BB"/>
    <w:rsid w:val="00C46BF7"/>
    <w:rsid w:val="00C70AC1"/>
    <w:rsid w:val="00C70FB9"/>
    <w:rsid w:val="00C73B5B"/>
    <w:rsid w:val="00C821C3"/>
    <w:rsid w:val="00C854D6"/>
    <w:rsid w:val="00C94F44"/>
    <w:rsid w:val="00C967BD"/>
    <w:rsid w:val="00CA60C0"/>
    <w:rsid w:val="00CA68EB"/>
    <w:rsid w:val="00CB5D80"/>
    <w:rsid w:val="00CB5EF0"/>
    <w:rsid w:val="00CC209B"/>
    <w:rsid w:val="00CC635B"/>
    <w:rsid w:val="00CD03A9"/>
    <w:rsid w:val="00CD07E0"/>
    <w:rsid w:val="00CD0DF3"/>
    <w:rsid w:val="00CD1688"/>
    <w:rsid w:val="00CD275D"/>
    <w:rsid w:val="00CE0D24"/>
    <w:rsid w:val="00CE1B0A"/>
    <w:rsid w:val="00CE1F97"/>
    <w:rsid w:val="00CE2477"/>
    <w:rsid w:val="00CE2E17"/>
    <w:rsid w:val="00CE3B68"/>
    <w:rsid w:val="00CE5C22"/>
    <w:rsid w:val="00CF0D54"/>
    <w:rsid w:val="00D03251"/>
    <w:rsid w:val="00D07188"/>
    <w:rsid w:val="00D13B7F"/>
    <w:rsid w:val="00D1430E"/>
    <w:rsid w:val="00D17952"/>
    <w:rsid w:val="00D22B67"/>
    <w:rsid w:val="00D255E5"/>
    <w:rsid w:val="00D273E8"/>
    <w:rsid w:val="00D276CD"/>
    <w:rsid w:val="00D301AB"/>
    <w:rsid w:val="00D306DE"/>
    <w:rsid w:val="00D37098"/>
    <w:rsid w:val="00D42A85"/>
    <w:rsid w:val="00D43605"/>
    <w:rsid w:val="00D4470C"/>
    <w:rsid w:val="00D50424"/>
    <w:rsid w:val="00D520A7"/>
    <w:rsid w:val="00D53F80"/>
    <w:rsid w:val="00D615B9"/>
    <w:rsid w:val="00D63B65"/>
    <w:rsid w:val="00D65B94"/>
    <w:rsid w:val="00D65D54"/>
    <w:rsid w:val="00D804F5"/>
    <w:rsid w:val="00DA173C"/>
    <w:rsid w:val="00DB0DE6"/>
    <w:rsid w:val="00DC21F0"/>
    <w:rsid w:val="00DC624F"/>
    <w:rsid w:val="00DC6509"/>
    <w:rsid w:val="00DE246E"/>
    <w:rsid w:val="00DE35F4"/>
    <w:rsid w:val="00DF1A9A"/>
    <w:rsid w:val="00DF2776"/>
    <w:rsid w:val="00DF323D"/>
    <w:rsid w:val="00E02E28"/>
    <w:rsid w:val="00E03266"/>
    <w:rsid w:val="00E057B3"/>
    <w:rsid w:val="00E06726"/>
    <w:rsid w:val="00E15472"/>
    <w:rsid w:val="00E2259C"/>
    <w:rsid w:val="00E300CA"/>
    <w:rsid w:val="00E301A5"/>
    <w:rsid w:val="00E31290"/>
    <w:rsid w:val="00E33B1D"/>
    <w:rsid w:val="00E34343"/>
    <w:rsid w:val="00E343D3"/>
    <w:rsid w:val="00E37BB7"/>
    <w:rsid w:val="00E4117E"/>
    <w:rsid w:val="00E415CA"/>
    <w:rsid w:val="00E45B79"/>
    <w:rsid w:val="00E533A3"/>
    <w:rsid w:val="00E53E54"/>
    <w:rsid w:val="00E554FC"/>
    <w:rsid w:val="00E57228"/>
    <w:rsid w:val="00E7246F"/>
    <w:rsid w:val="00E81BC8"/>
    <w:rsid w:val="00E87303"/>
    <w:rsid w:val="00E917BD"/>
    <w:rsid w:val="00E96BD2"/>
    <w:rsid w:val="00E970F5"/>
    <w:rsid w:val="00EA678F"/>
    <w:rsid w:val="00EB122F"/>
    <w:rsid w:val="00EC12C7"/>
    <w:rsid w:val="00EC52FD"/>
    <w:rsid w:val="00EC5F8C"/>
    <w:rsid w:val="00EC6291"/>
    <w:rsid w:val="00ED12B1"/>
    <w:rsid w:val="00ED4E2E"/>
    <w:rsid w:val="00ED57DC"/>
    <w:rsid w:val="00ED6128"/>
    <w:rsid w:val="00EE15D9"/>
    <w:rsid w:val="00EF18CA"/>
    <w:rsid w:val="00EF1B01"/>
    <w:rsid w:val="00EF5261"/>
    <w:rsid w:val="00F001F0"/>
    <w:rsid w:val="00F04FC6"/>
    <w:rsid w:val="00F105D7"/>
    <w:rsid w:val="00F17F20"/>
    <w:rsid w:val="00F2552C"/>
    <w:rsid w:val="00F270AE"/>
    <w:rsid w:val="00F2739F"/>
    <w:rsid w:val="00F36EAE"/>
    <w:rsid w:val="00F54F7F"/>
    <w:rsid w:val="00F566F9"/>
    <w:rsid w:val="00F60895"/>
    <w:rsid w:val="00F6323A"/>
    <w:rsid w:val="00F6614B"/>
    <w:rsid w:val="00F700DD"/>
    <w:rsid w:val="00F726CB"/>
    <w:rsid w:val="00F771F3"/>
    <w:rsid w:val="00F823FB"/>
    <w:rsid w:val="00F84F9D"/>
    <w:rsid w:val="00F8613B"/>
    <w:rsid w:val="00F94449"/>
    <w:rsid w:val="00F95117"/>
    <w:rsid w:val="00F958A6"/>
    <w:rsid w:val="00F978E3"/>
    <w:rsid w:val="00FA3464"/>
    <w:rsid w:val="00FA69A3"/>
    <w:rsid w:val="00FB4DF0"/>
    <w:rsid w:val="00FC056F"/>
    <w:rsid w:val="00FC5877"/>
    <w:rsid w:val="00FC5937"/>
    <w:rsid w:val="00FC7550"/>
    <w:rsid w:val="00FD2FE5"/>
    <w:rsid w:val="00FD3E03"/>
    <w:rsid w:val="00FD65E6"/>
    <w:rsid w:val="00FE0F7C"/>
    <w:rsid w:val="00FE6A83"/>
    <w:rsid w:val="00FF2E8B"/>
    <w:rsid w:val="00FF7E23"/>
    <w:rsid w:val="01344B90"/>
    <w:rsid w:val="02556118"/>
    <w:rsid w:val="032E4B56"/>
    <w:rsid w:val="06B04F5D"/>
    <w:rsid w:val="09EE79D0"/>
    <w:rsid w:val="0BE85B86"/>
    <w:rsid w:val="0F3449F6"/>
    <w:rsid w:val="118201FE"/>
    <w:rsid w:val="122A308D"/>
    <w:rsid w:val="13634EA3"/>
    <w:rsid w:val="169A682D"/>
    <w:rsid w:val="17E20A1A"/>
    <w:rsid w:val="1B8902F1"/>
    <w:rsid w:val="1D587037"/>
    <w:rsid w:val="1DC37E6C"/>
    <w:rsid w:val="1EFB0997"/>
    <w:rsid w:val="21D71FC9"/>
    <w:rsid w:val="221048D4"/>
    <w:rsid w:val="265C685E"/>
    <w:rsid w:val="26E02136"/>
    <w:rsid w:val="2A536A6A"/>
    <w:rsid w:val="2A8F25C1"/>
    <w:rsid w:val="2B436F45"/>
    <w:rsid w:val="2F7F6296"/>
    <w:rsid w:val="35E15C8A"/>
    <w:rsid w:val="36EB4E34"/>
    <w:rsid w:val="376C0321"/>
    <w:rsid w:val="396122F1"/>
    <w:rsid w:val="397A0FE2"/>
    <w:rsid w:val="39BF7608"/>
    <w:rsid w:val="3A196A3C"/>
    <w:rsid w:val="3F8A3FF0"/>
    <w:rsid w:val="4037554C"/>
    <w:rsid w:val="43922A22"/>
    <w:rsid w:val="47003600"/>
    <w:rsid w:val="498F0318"/>
    <w:rsid w:val="4B462826"/>
    <w:rsid w:val="4B480935"/>
    <w:rsid w:val="4F4359B1"/>
    <w:rsid w:val="511C6B84"/>
    <w:rsid w:val="54D55EAF"/>
    <w:rsid w:val="559E4679"/>
    <w:rsid w:val="56AF23B3"/>
    <w:rsid w:val="56EC6C9C"/>
    <w:rsid w:val="597A6160"/>
    <w:rsid w:val="5D143458"/>
    <w:rsid w:val="5F5E5F3E"/>
    <w:rsid w:val="5F875690"/>
    <w:rsid w:val="61A57FEB"/>
    <w:rsid w:val="68510038"/>
    <w:rsid w:val="69C45CC8"/>
    <w:rsid w:val="6AE91E45"/>
    <w:rsid w:val="6AEF33EE"/>
    <w:rsid w:val="6B4D22EC"/>
    <w:rsid w:val="6DF666FB"/>
    <w:rsid w:val="7004680E"/>
    <w:rsid w:val="71A52DC9"/>
    <w:rsid w:val="737F66CD"/>
    <w:rsid w:val="75E7576D"/>
    <w:rsid w:val="761E0977"/>
    <w:rsid w:val="793446D1"/>
    <w:rsid w:val="7CA949FF"/>
    <w:rsid w:val="7D1238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Body Text First Indent"/>
    <w:basedOn w:val="8"/>
    <w:link w:val="56"/>
    <w:qFormat/>
    <w:uiPriority w:val="0"/>
    <w:pPr>
      <w:ind w:firstLine="420" w:firstLineChars="100"/>
    </w:pPr>
    <w:rPr>
      <w:rFonts w:ascii="宋体" w:hAnsi="Times New Roman" w:eastAsia="宋体" w:cs="Times New Roman"/>
      <w:kern w:val="0"/>
      <w:sz w:val="34"/>
      <w:szCs w:val="20"/>
    </w:rPr>
  </w:style>
  <w:style w:type="paragraph" w:styleId="8">
    <w:name w:val="Body Text"/>
    <w:basedOn w:val="1"/>
    <w:link w:val="55"/>
    <w:semiHidden/>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semiHidden/>
    <w:unhideWhenUsed/>
    <w:uiPriority w:val="99"/>
    <w:pPr>
      <w:jc w:val="left"/>
    </w:pPr>
  </w:style>
  <w:style w:type="paragraph" w:styleId="12">
    <w:name w:val="Body Text 3"/>
    <w:basedOn w:val="1"/>
    <w:link w:val="51"/>
    <w:qFormat/>
    <w:uiPriority w:val="0"/>
    <w:rPr>
      <w:rFonts w:ascii="Times New Roman" w:hAnsi="Times New Roman" w:eastAsia="宋体" w:cs="Times New Roman"/>
      <w:color w:val="FF0000"/>
      <w:sz w:val="24"/>
      <w:szCs w:val="24"/>
    </w:rPr>
  </w:style>
  <w:style w:type="paragraph" w:styleId="13">
    <w:name w:val="Block Text"/>
    <w:basedOn w:val="1"/>
    <w:qFormat/>
    <w:uiPriority w:val="0"/>
    <w:pPr>
      <w:ind w:left="1440" w:leftChars="700" w:right="700" w:rightChars="700"/>
    </w:p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6"/>
    <w:qFormat/>
    <w:uiPriority w:val="0"/>
    <w:rPr>
      <w:rFonts w:eastAsia="宋体"/>
      <w:sz w:val="24"/>
    </w:rPr>
  </w:style>
  <w:style w:type="paragraph" w:styleId="17">
    <w:name w:val="Date"/>
    <w:basedOn w:val="1"/>
    <w:next w:val="1"/>
    <w:link w:val="37"/>
    <w:unhideWhenUsed/>
    <w:qFormat/>
    <w:uiPriority w:val="99"/>
    <w:pPr>
      <w:ind w:left="100" w:leftChars="2500"/>
    </w:pPr>
  </w:style>
  <w:style w:type="paragraph" w:styleId="18">
    <w:name w:val="Balloon Text"/>
    <w:basedOn w:val="1"/>
    <w:link w:val="68"/>
    <w:semiHidden/>
    <w:unhideWhenUsed/>
    <w:qFormat/>
    <w:uiPriority w:val="99"/>
    <w:rPr>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style>
  <w:style w:type="character" w:styleId="28">
    <w:name w:val="Hyperlink"/>
    <w:basedOn w:val="24"/>
    <w:unhideWhenUsed/>
    <w:qFormat/>
    <w:uiPriority w:val="99"/>
    <w:rPr>
      <w:color w:val="000000"/>
      <w:u w:val="none"/>
    </w:rPr>
  </w:style>
  <w:style w:type="character" w:styleId="29">
    <w:name w:val="annotation reference"/>
    <w:basedOn w:val="24"/>
    <w:semiHidden/>
    <w:unhideWhenUsed/>
    <w:qFormat/>
    <w:uiPriority w:val="99"/>
    <w:rPr>
      <w:sz w:val="21"/>
      <w:szCs w:val="21"/>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标题 1 Char"/>
    <w:basedOn w:val="24"/>
    <w:link w:val="3"/>
    <w:qFormat/>
    <w:uiPriority w:val="0"/>
    <w:rPr>
      <w:rFonts w:ascii="Calibri" w:hAnsi="Calibri" w:eastAsia="宋体" w:cs="Times New Roman"/>
      <w:b/>
      <w:bCs/>
      <w:kern w:val="44"/>
      <w:sz w:val="44"/>
      <w:szCs w:val="44"/>
    </w:rPr>
  </w:style>
  <w:style w:type="character" w:customStyle="1" w:styleId="33">
    <w:name w:val="标题 2 Char"/>
    <w:basedOn w:val="24"/>
    <w:link w:val="4"/>
    <w:qFormat/>
    <w:uiPriority w:val="0"/>
    <w:rPr>
      <w:rFonts w:ascii="Arial" w:hAnsi="Arial" w:eastAsia="黑体" w:cs="Times New Roman"/>
      <w:b/>
      <w:bCs/>
      <w:kern w:val="0"/>
      <w:sz w:val="32"/>
      <w:szCs w:val="32"/>
    </w:rPr>
  </w:style>
  <w:style w:type="character" w:customStyle="1" w:styleId="34">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4"/>
    <w:link w:val="6"/>
    <w:qFormat/>
    <w:uiPriority w:val="0"/>
    <w:rPr>
      <w:rFonts w:ascii="Arial" w:hAnsi="Arial" w:eastAsia="黑体" w:cs="Times New Roman"/>
      <w:b/>
      <w:bCs/>
      <w:kern w:val="0"/>
      <w:sz w:val="28"/>
      <w:szCs w:val="28"/>
    </w:rPr>
  </w:style>
  <w:style w:type="character" w:customStyle="1" w:styleId="36">
    <w:name w:val="纯文本 Char"/>
    <w:basedOn w:val="24"/>
    <w:link w:val="16"/>
    <w:qFormat/>
    <w:uiPriority w:val="0"/>
    <w:rPr>
      <w:rFonts w:eastAsia="宋体"/>
      <w:sz w:val="24"/>
    </w:rPr>
  </w:style>
  <w:style w:type="character" w:customStyle="1" w:styleId="37">
    <w:name w:val="日期 Char"/>
    <w:basedOn w:val="24"/>
    <w:link w:val="17"/>
    <w:qFormat/>
    <w:uiPriority w:val="99"/>
  </w:style>
  <w:style w:type="character" w:customStyle="1" w:styleId="38">
    <w:name w:val="页脚 Char"/>
    <w:basedOn w:val="24"/>
    <w:link w:val="19"/>
    <w:qFormat/>
    <w:uiPriority w:val="99"/>
    <w:rPr>
      <w:sz w:val="18"/>
      <w:szCs w:val="18"/>
    </w:rPr>
  </w:style>
  <w:style w:type="character" w:customStyle="1" w:styleId="39">
    <w:name w:val="页眉 Char"/>
    <w:basedOn w:val="24"/>
    <w:link w:val="20"/>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4"/>
    <w:link w:val="12"/>
    <w:qFormat/>
    <w:uiPriority w:val="0"/>
    <w:rPr>
      <w:rFonts w:ascii="Times New Roman" w:hAnsi="Times New Roman" w:eastAsia="宋体" w:cs="Times New Roman"/>
      <w:color w:val="FF0000"/>
      <w:sz w:val="24"/>
      <w:szCs w:val="24"/>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4"/>
    <w:link w:val="8"/>
    <w:semiHidden/>
    <w:qFormat/>
    <w:uiPriority w:val="99"/>
  </w:style>
  <w:style w:type="character" w:customStyle="1" w:styleId="56">
    <w:name w:val="正文首行缩进 Char"/>
    <w:basedOn w:val="55"/>
    <w:link w:val="7"/>
    <w:qFormat/>
    <w:uiPriority w:val="0"/>
    <w:rPr>
      <w:rFonts w:ascii="宋体" w:hAnsi="Times New Roman" w:eastAsia="宋体" w:cs="Times New Roman"/>
      <w:kern w:val="0"/>
      <w:sz w:val="34"/>
      <w:szCs w:val="20"/>
    </w:rPr>
  </w:style>
  <w:style w:type="character" w:customStyle="1" w:styleId="57">
    <w:name w:val="HTML 预设格式 Char"/>
    <w:basedOn w:val="24"/>
    <w:link w:val="22"/>
    <w:semiHidden/>
    <w:qFormat/>
    <w:uiPriority w:val="99"/>
    <w:rPr>
      <w:rFonts w:ascii="宋体" w:hAnsi="宋体" w:eastAsia="宋体" w:cs="宋体"/>
      <w:kern w:val="0"/>
      <w:sz w:val="24"/>
      <w:szCs w:val="24"/>
    </w:rPr>
  </w:style>
  <w:style w:type="character" w:customStyle="1" w:styleId="58">
    <w:name w:val="red"/>
    <w:basedOn w:val="24"/>
    <w:qFormat/>
    <w:uiPriority w:val="0"/>
    <w:rPr>
      <w:color w:val="FF0000"/>
      <w:sz w:val="18"/>
      <w:szCs w:val="18"/>
    </w:rPr>
  </w:style>
  <w:style w:type="character" w:customStyle="1" w:styleId="59">
    <w:name w:val="red1"/>
    <w:basedOn w:val="24"/>
    <w:qFormat/>
    <w:uiPriority w:val="0"/>
    <w:rPr>
      <w:color w:val="FF0000"/>
      <w:sz w:val="18"/>
      <w:szCs w:val="18"/>
    </w:rPr>
  </w:style>
  <w:style w:type="character" w:customStyle="1" w:styleId="60">
    <w:name w:val="red2"/>
    <w:basedOn w:val="24"/>
    <w:qFormat/>
    <w:uiPriority w:val="0"/>
    <w:rPr>
      <w:color w:val="FF0000"/>
    </w:rPr>
  </w:style>
  <w:style w:type="character" w:customStyle="1" w:styleId="61">
    <w:name w:val="green"/>
    <w:basedOn w:val="24"/>
    <w:qFormat/>
    <w:uiPriority w:val="0"/>
    <w:rPr>
      <w:color w:val="66AE00"/>
      <w:sz w:val="18"/>
      <w:szCs w:val="18"/>
    </w:rPr>
  </w:style>
  <w:style w:type="character" w:customStyle="1" w:styleId="62">
    <w:name w:val="green1"/>
    <w:basedOn w:val="24"/>
    <w:qFormat/>
    <w:uiPriority w:val="0"/>
    <w:rPr>
      <w:color w:val="66AE00"/>
      <w:sz w:val="18"/>
      <w:szCs w:val="18"/>
    </w:rPr>
  </w:style>
  <w:style w:type="character" w:customStyle="1" w:styleId="63">
    <w:name w:val="blue"/>
    <w:basedOn w:val="24"/>
    <w:qFormat/>
    <w:uiPriority w:val="0"/>
    <w:rPr>
      <w:color w:val="0371C6"/>
      <w:sz w:val="21"/>
      <w:szCs w:val="21"/>
    </w:rPr>
  </w:style>
  <w:style w:type="character" w:customStyle="1" w:styleId="64">
    <w:name w:val="right"/>
    <w:basedOn w:val="24"/>
    <w:qFormat/>
    <w:uiPriority w:val="0"/>
    <w:rPr>
      <w:color w:val="999999"/>
      <w:sz w:val="18"/>
      <w:szCs w:val="18"/>
    </w:rPr>
  </w:style>
  <w:style w:type="character" w:customStyle="1" w:styleId="65">
    <w:name w:val="hover24"/>
    <w:basedOn w:val="24"/>
    <w:qFormat/>
    <w:uiPriority w:val="0"/>
  </w:style>
  <w:style w:type="character" w:customStyle="1" w:styleId="66">
    <w:name w:val="gb-jt"/>
    <w:basedOn w:val="24"/>
    <w:qFormat/>
    <w:uiPriority w:val="0"/>
  </w:style>
  <w:style w:type="paragraph" w:customStyle="1" w:styleId="67">
    <w:name w:val="纯文本1"/>
    <w:basedOn w:val="1"/>
    <w:qFormat/>
    <w:uiPriority w:val="0"/>
    <w:rPr>
      <w:rFonts w:eastAsia="宋体"/>
      <w:sz w:val="24"/>
    </w:rPr>
  </w:style>
  <w:style w:type="character" w:customStyle="1" w:styleId="68">
    <w:name w:val="批注框文本 Char"/>
    <w:basedOn w:val="24"/>
    <w:link w:val="18"/>
    <w:semiHidden/>
    <w:qFormat/>
    <w:uiPriority w:val="99"/>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5FE24-4127-4F08-815C-9B63C78C7CA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70</Pages>
  <Words>5472</Words>
  <Characters>31194</Characters>
  <Lines>259</Lines>
  <Paragraphs>73</Paragraphs>
  <TotalTime>203</TotalTime>
  <ScaleCrop>false</ScaleCrop>
  <LinksUpToDate>false</LinksUpToDate>
  <CharactersWithSpaces>36593</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永明项目管理有限公司:永明项目管理有限公司</cp:lastModifiedBy>
  <dcterms:modified xsi:type="dcterms:W3CDTF">2018-12-19T05:09:51Z</dcterms:modified>
  <cp:revision>619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