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1"/>
          <w:szCs w:val="20"/>
        </w:rPr>
      </w:pPr>
    </w:p>
    <w:p>
      <w:pPr>
        <w:jc w:val="center"/>
        <w:rPr>
          <w:rFonts w:ascii="隶书" w:hAnsi="隶书" w:eastAsia="隶书"/>
          <w:b/>
          <w:sz w:val="44"/>
          <w:szCs w:val="44"/>
        </w:rPr>
      </w:pPr>
      <w:r>
        <w:rPr>
          <w:rFonts w:hint="eastAsia" w:ascii="隶书" w:hAnsi="隶书" w:eastAsia="隶书"/>
          <w:b/>
          <w:sz w:val="44"/>
          <w:szCs w:val="44"/>
        </w:rPr>
        <w:t>中央厨房“指挥调度系统”项目</w:t>
      </w:r>
    </w:p>
    <w:p>
      <w:pPr>
        <w:jc w:val="center"/>
        <w:rPr>
          <w:rFonts w:ascii="黑体" w:hAnsi="黑体" w:eastAsia="黑体"/>
          <w:b/>
          <w:sz w:val="36"/>
          <w:szCs w:val="36"/>
        </w:rPr>
      </w:pPr>
    </w:p>
    <w:p>
      <w:pPr>
        <w:jc w:val="center"/>
        <w:rPr>
          <w:rFonts w:ascii="黑体" w:hAnsi="黑体" w:eastAsia="黑体"/>
          <w:b/>
          <w:sz w:val="52"/>
          <w:szCs w:val="52"/>
        </w:rPr>
      </w:pPr>
    </w:p>
    <w:p>
      <w:pPr>
        <w:jc w:val="center"/>
        <w:rPr>
          <w:rFonts w:ascii="隶书" w:hAnsi="隶书" w:eastAsia="隶书"/>
          <w:b/>
          <w:sz w:val="52"/>
          <w:szCs w:val="52"/>
        </w:rPr>
      </w:pPr>
    </w:p>
    <w:p>
      <w:pPr>
        <w:jc w:val="center"/>
        <w:rPr>
          <w:rFonts w:ascii="隶书" w:hAnsi="隶书" w:eastAsia="隶书"/>
          <w:b/>
          <w:sz w:val="52"/>
          <w:szCs w:val="52"/>
        </w:rPr>
      </w:pPr>
      <w:r>
        <w:rPr>
          <w:rFonts w:hint="eastAsia" w:ascii="隶书" w:hAnsi="隶书" w:eastAsia="隶书"/>
          <w:b/>
          <w:sz w:val="52"/>
          <w:szCs w:val="52"/>
        </w:rPr>
        <w:t>竞争性磋商文件</w:t>
      </w:r>
    </w:p>
    <w:p>
      <w:pPr>
        <w:jc w:val="center"/>
        <w:outlineLvl w:val="0"/>
        <w:rPr>
          <w:rFonts w:ascii="隶书" w:hAnsi="隶书" w:eastAsia="隶书" w:cs="仿宋"/>
          <w:b/>
          <w:sz w:val="36"/>
          <w:szCs w:val="36"/>
        </w:rPr>
      </w:pPr>
    </w:p>
    <w:p>
      <w:pPr>
        <w:jc w:val="center"/>
        <w:rPr>
          <w:b/>
          <w:szCs w:val="24"/>
        </w:rPr>
      </w:pPr>
    </w:p>
    <w:p>
      <w:pPr>
        <w:jc w:val="center"/>
        <w:rPr>
          <w:b/>
          <w:szCs w:val="24"/>
        </w:rPr>
      </w:pPr>
      <w:r>
        <w:rPr>
          <w:sz w:val="21"/>
          <w:szCs w:val="20"/>
        </w:rPr>
        <w:drawing>
          <wp:inline distT="0" distB="0" distL="114300" distR="114300">
            <wp:extent cx="1152525" cy="11239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1152525" cy="1123950"/>
                    </a:xfrm>
                    <a:prstGeom prst="rect">
                      <a:avLst/>
                    </a:prstGeom>
                    <a:noFill/>
                    <a:ln w="9525">
                      <a:noFill/>
                    </a:ln>
                  </pic:spPr>
                </pic:pic>
              </a:graphicData>
            </a:graphic>
          </wp:inline>
        </w:drawing>
      </w:r>
    </w:p>
    <w:p>
      <w:pPr>
        <w:spacing w:line="360" w:lineRule="auto"/>
        <w:rPr>
          <w:rFonts w:ascii="隶书" w:hAnsi="隶书" w:eastAsia="隶书"/>
          <w:sz w:val="28"/>
          <w:szCs w:val="28"/>
        </w:rPr>
      </w:pPr>
    </w:p>
    <w:p>
      <w:pPr>
        <w:ind w:firstLine="941"/>
        <w:rPr>
          <w:rFonts w:ascii="隶书" w:hAnsi="隶书" w:eastAsia="隶书"/>
          <w:sz w:val="28"/>
          <w:szCs w:val="28"/>
        </w:rPr>
      </w:pPr>
    </w:p>
    <w:p>
      <w:pPr>
        <w:ind w:firstLine="941"/>
        <w:rPr>
          <w:rFonts w:ascii="隶书" w:hAnsi="隶书" w:eastAsia="隶书"/>
          <w:sz w:val="28"/>
          <w:szCs w:val="28"/>
        </w:rPr>
      </w:pPr>
    </w:p>
    <w:p>
      <w:pPr>
        <w:ind w:firstLine="941"/>
        <w:rPr>
          <w:rFonts w:ascii="隶书" w:hAnsi="隶书" w:eastAsia="隶书"/>
          <w:sz w:val="28"/>
          <w:szCs w:val="28"/>
        </w:rPr>
      </w:pPr>
    </w:p>
    <w:p>
      <w:pPr>
        <w:pStyle w:val="2"/>
        <w:rPr>
          <w:rFonts w:ascii="隶书" w:hAnsi="隶书" w:eastAsia="隶书"/>
          <w:sz w:val="28"/>
          <w:szCs w:val="28"/>
        </w:rPr>
      </w:pPr>
    </w:p>
    <w:p>
      <w:pPr>
        <w:pStyle w:val="2"/>
        <w:rPr>
          <w:rFonts w:ascii="隶书" w:hAnsi="隶书" w:eastAsia="隶书"/>
          <w:sz w:val="28"/>
          <w:szCs w:val="28"/>
        </w:rPr>
      </w:pPr>
    </w:p>
    <w:p>
      <w:pPr>
        <w:pStyle w:val="2"/>
        <w:rPr>
          <w:rFonts w:ascii="隶书" w:hAnsi="隶书" w:eastAsia="隶书"/>
          <w:sz w:val="28"/>
          <w:szCs w:val="28"/>
        </w:rPr>
      </w:pPr>
    </w:p>
    <w:p>
      <w:pPr>
        <w:pStyle w:val="2"/>
        <w:rPr>
          <w:rFonts w:ascii="隶书" w:hAnsi="隶书" w:eastAsia="隶书"/>
          <w:sz w:val="28"/>
          <w:szCs w:val="28"/>
        </w:rPr>
      </w:pPr>
    </w:p>
    <w:p>
      <w:pPr>
        <w:ind w:firstLine="941"/>
        <w:rPr>
          <w:rFonts w:hint="eastAsia" w:ascii="隶书" w:hAnsi="隶书" w:eastAsia="隶书"/>
          <w:sz w:val="28"/>
          <w:szCs w:val="28"/>
        </w:rPr>
      </w:pPr>
    </w:p>
    <w:p>
      <w:pPr>
        <w:ind w:firstLine="941"/>
        <w:rPr>
          <w:rFonts w:hint="eastAsia" w:ascii="隶书" w:hAnsi="隶书" w:eastAsia="隶书"/>
          <w:sz w:val="28"/>
          <w:szCs w:val="28"/>
        </w:rPr>
      </w:pPr>
    </w:p>
    <w:p>
      <w:pPr>
        <w:ind w:firstLine="941"/>
        <w:rPr>
          <w:rFonts w:hint="eastAsia" w:ascii="隶书" w:hAnsi="隶书" w:eastAsia="隶书"/>
          <w:sz w:val="28"/>
          <w:szCs w:val="28"/>
        </w:rPr>
      </w:pPr>
    </w:p>
    <w:p>
      <w:pPr>
        <w:ind w:firstLine="941"/>
        <w:rPr>
          <w:rFonts w:hint="eastAsia" w:ascii="隶书" w:hAnsi="隶书" w:eastAsia="隶书"/>
          <w:sz w:val="28"/>
          <w:szCs w:val="28"/>
        </w:rPr>
      </w:pPr>
    </w:p>
    <w:p>
      <w:pPr>
        <w:ind w:firstLine="941"/>
        <w:rPr>
          <w:rFonts w:hint="eastAsia" w:ascii="隶书" w:hAnsi="隶书" w:eastAsia="隶书"/>
          <w:sz w:val="28"/>
          <w:szCs w:val="28"/>
          <w:lang w:eastAsia="zh-CN"/>
        </w:rPr>
      </w:pPr>
      <w:r>
        <w:rPr>
          <w:rFonts w:hint="eastAsia" w:ascii="隶书" w:hAnsi="隶书" w:eastAsia="隶书"/>
          <w:sz w:val="28"/>
          <w:szCs w:val="28"/>
        </w:rPr>
        <w:t>项目名称：中央厨房“指挥调度系统”</w:t>
      </w:r>
    </w:p>
    <w:p>
      <w:pPr>
        <w:ind w:firstLine="941"/>
        <w:rPr>
          <w:rFonts w:hint="eastAsia" w:ascii="隶书" w:hAnsi="隶书" w:eastAsia="隶书"/>
          <w:sz w:val="28"/>
          <w:szCs w:val="28"/>
        </w:rPr>
      </w:pPr>
      <w:r>
        <w:rPr>
          <w:rFonts w:hint="eastAsia" w:ascii="隶书" w:hAnsi="隶书" w:eastAsia="隶书"/>
          <w:sz w:val="28"/>
          <w:szCs w:val="28"/>
        </w:rPr>
        <w:t>项目编号：JZFCG-C201</w:t>
      </w:r>
      <w:r>
        <w:rPr>
          <w:rFonts w:hint="eastAsia" w:ascii="隶书" w:hAnsi="隶书" w:eastAsia="隶书"/>
          <w:sz w:val="28"/>
          <w:szCs w:val="28"/>
          <w:lang w:val="en-US" w:eastAsia="zh-CN"/>
        </w:rPr>
        <w:t>9001</w:t>
      </w:r>
      <w:r>
        <w:rPr>
          <w:rFonts w:hint="eastAsia" w:ascii="隶书" w:hAnsi="隶书" w:eastAsia="隶书"/>
          <w:sz w:val="28"/>
          <w:szCs w:val="28"/>
        </w:rPr>
        <w:t>号</w:t>
      </w:r>
    </w:p>
    <w:p>
      <w:pPr>
        <w:ind w:firstLine="941"/>
        <w:rPr>
          <w:rFonts w:ascii="隶书" w:hAnsi="隶书" w:eastAsia="隶书"/>
          <w:b/>
          <w:sz w:val="44"/>
          <w:szCs w:val="44"/>
        </w:rPr>
      </w:pPr>
      <w:r>
        <w:rPr>
          <w:rFonts w:hint="eastAsia" w:ascii="隶书" w:hAnsi="隶书" w:eastAsia="隶书"/>
          <w:sz w:val="28"/>
          <w:szCs w:val="28"/>
        </w:rPr>
        <w:t>采 购 人：许昌融智传媒有限公司</w:t>
      </w:r>
    </w:p>
    <w:p>
      <w:pPr>
        <w:ind w:firstLine="941"/>
        <w:rPr>
          <w:rFonts w:ascii="隶书" w:hAnsi="隶书" w:eastAsia="隶书"/>
          <w:sz w:val="28"/>
          <w:szCs w:val="28"/>
        </w:rPr>
      </w:pPr>
      <w:r>
        <w:rPr>
          <w:rFonts w:hint="eastAsia" w:ascii="隶书" w:hAnsi="隶书" w:eastAsia="隶书"/>
          <w:sz w:val="28"/>
          <w:szCs w:val="28"/>
        </w:rPr>
        <w:t>代理机构：许昌光大电子商务技术服务有限公司</w:t>
      </w:r>
    </w:p>
    <w:p>
      <w:pPr>
        <w:ind w:firstLine="941"/>
        <w:rPr>
          <w:rFonts w:ascii="黑体" w:hAnsi="黑体" w:eastAsia="黑体"/>
          <w:sz w:val="24"/>
          <w:szCs w:val="24"/>
        </w:rPr>
      </w:pPr>
      <w:r>
        <w:rPr>
          <w:rFonts w:hint="eastAsia" w:ascii="隶书" w:hAnsi="隶书" w:eastAsia="隶书"/>
          <w:sz w:val="28"/>
          <w:szCs w:val="28"/>
        </w:rPr>
        <w:t>时    间：二〇一</w:t>
      </w:r>
      <w:r>
        <w:rPr>
          <w:rFonts w:hint="eastAsia" w:ascii="隶书" w:hAnsi="隶书" w:eastAsia="隶书"/>
          <w:sz w:val="28"/>
          <w:szCs w:val="28"/>
          <w:lang w:val="en-US" w:eastAsia="zh-CN"/>
        </w:rPr>
        <w:t>九</w:t>
      </w:r>
      <w:r>
        <w:rPr>
          <w:rFonts w:hint="eastAsia" w:ascii="隶书" w:hAnsi="隶书" w:eastAsia="隶书"/>
          <w:sz w:val="28"/>
          <w:szCs w:val="28"/>
        </w:rPr>
        <w:t>年</w:t>
      </w:r>
      <w:r>
        <w:rPr>
          <w:rFonts w:hint="eastAsia" w:ascii="隶书" w:hAnsi="隶书" w:eastAsia="隶书"/>
          <w:sz w:val="28"/>
          <w:szCs w:val="28"/>
          <w:lang w:val="en-US" w:eastAsia="zh-CN"/>
        </w:rPr>
        <w:t>一</w:t>
      </w:r>
      <w:r>
        <w:rPr>
          <w:rFonts w:hint="eastAsia" w:ascii="隶书" w:hAnsi="隶书" w:eastAsia="隶书"/>
          <w:sz w:val="28"/>
          <w:szCs w:val="28"/>
        </w:rPr>
        <w:t>月</w:t>
      </w:r>
    </w:p>
    <w:p>
      <w:pPr>
        <w:pStyle w:val="54"/>
        <w:jc w:val="center"/>
        <w:rPr>
          <w:rFonts w:ascii="黑体" w:hAnsi="黑体" w:eastAsia="黑体"/>
          <w:sz w:val="32"/>
          <w:szCs w:val="32"/>
        </w:rPr>
      </w:pPr>
    </w:p>
    <w:p>
      <w:pPr>
        <w:pStyle w:val="54"/>
        <w:jc w:val="center"/>
        <w:rPr>
          <w:rFonts w:ascii="黑体" w:hAnsi="黑体" w:eastAsia="黑体"/>
          <w:sz w:val="32"/>
          <w:szCs w:val="32"/>
        </w:rPr>
      </w:pPr>
    </w:p>
    <w:p>
      <w:pPr>
        <w:jc w:val="both"/>
        <w:rPr>
          <w:rFonts w:hint="eastAsia"/>
          <w:b/>
          <w:bCs/>
          <w:sz w:val="48"/>
          <w:szCs w:val="48"/>
        </w:rPr>
      </w:pPr>
      <w:bookmarkStart w:id="59" w:name="_GoBack"/>
      <w:bookmarkEnd w:id="59"/>
    </w:p>
    <w:p>
      <w:pPr>
        <w:jc w:val="center"/>
        <w:rPr>
          <w:b/>
          <w:bCs/>
          <w:sz w:val="48"/>
          <w:szCs w:val="48"/>
        </w:rPr>
      </w:pPr>
      <w:r>
        <w:rPr>
          <w:rFonts w:hint="eastAsia"/>
          <w:b/>
          <w:bCs/>
          <w:sz w:val="48"/>
          <w:szCs w:val="48"/>
        </w:rPr>
        <w:t>目  录</w:t>
      </w:r>
    </w:p>
    <w:p>
      <w:pPr>
        <w:rPr>
          <w:sz w:val="48"/>
          <w:szCs w:val="48"/>
        </w:rPr>
      </w:pPr>
    </w:p>
    <w:p>
      <w:pPr>
        <w:pStyle w:val="54"/>
        <w:tabs>
          <w:tab w:val="right" w:pos="8296"/>
        </w:tabs>
        <w:spacing w:line="360" w:lineRule="exact"/>
        <w:jc w:val="both"/>
        <w:rPr>
          <w:rFonts w:ascii="黑体" w:hAnsi="黑体" w:eastAsia="黑体" w:cs="宋体"/>
          <w:sz w:val="36"/>
          <w:szCs w:val="36"/>
        </w:rPr>
      </w:pPr>
      <w:r>
        <w:rPr>
          <w:rFonts w:ascii="黑体" w:hAnsi="黑体" w:eastAsia="黑体" w:cs="宋体"/>
          <w:sz w:val="36"/>
          <w:szCs w:val="36"/>
        </w:rPr>
        <w:fldChar w:fldCharType="begin"/>
      </w:r>
      <w:r>
        <w:rPr>
          <w:rFonts w:ascii="黑体" w:hAnsi="黑体" w:eastAsia="黑体" w:cs="宋体"/>
          <w:sz w:val="36"/>
          <w:szCs w:val="36"/>
        </w:rPr>
        <w:instrText xml:space="preserve"> TOC \o </w:instrText>
      </w:r>
      <w:r>
        <w:rPr>
          <w:rFonts w:ascii="黑体" w:hAnsi="黑体" w:eastAsia="黑体" w:cs="宋体"/>
          <w:sz w:val="36"/>
          <w:szCs w:val="36"/>
        </w:rPr>
        <w:fldChar w:fldCharType="separate"/>
      </w:r>
      <w:r>
        <w:rPr>
          <w:rFonts w:hint="eastAsia" w:ascii="黑体" w:hAnsi="黑体" w:eastAsia="黑体" w:cs="宋体"/>
          <w:sz w:val="36"/>
          <w:szCs w:val="36"/>
        </w:rPr>
        <w:t>第一章  采购邀请</w:t>
      </w:r>
      <w:r>
        <w:rPr>
          <w:rFonts w:ascii="黑体" w:hAnsi="黑体" w:eastAsia="黑体" w:cs="宋体"/>
          <w:sz w:val="36"/>
          <w:szCs w:val="36"/>
        </w:rPr>
        <w:t>...........................3</w:t>
      </w:r>
    </w:p>
    <w:p>
      <w:pPr>
        <w:pStyle w:val="54"/>
        <w:tabs>
          <w:tab w:val="right" w:pos="8296"/>
        </w:tabs>
        <w:spacing w:line="360" w:lineRule="exact"/>
        <w:jc w:val="both"/>
        <w:rPr>
          <w:rFonts w:ascii="黑体" w:hAnsi="黑体" w:eastAsia="黑体" w:cs="宋体"/>
          <w:sz w:val="36"/>
          <w:szCs w:val="36"/>
        </w:rPr>
      </w:pPr>
    </w:p>
    <w:p>
      <w:pPr>
        <w:pStyle w:val="54"/>
        <w:tabs>
          <w:tab w:val="right" w:pos="8296"/>
        </w:tabs>
        <w:spacing w:line="360" w:lineRule="exact"/>
        <w:jc w:val="both"/>
        <w:rPr>
          <w:rFonts w:ascii="黑体" w:hAnsi="黑体" w:eastAsia="黑体" w:cs="宋体"/>
          <w:sz w:val="36"/>
          <w:szCs w:val="36"/>
        </w:rPr>
      </w:pPr>
      <w:r>
        <w:rPr>
          <w:rFonts w:hint="eastAsia" w:ascii="黑体" w:hAnsi="黑体" w:eastAsia="黑体" w:cs="宋体"/>
          <w:sz w:val="36"/>
          <w:szCs w:val="36"/>
        </w:rPr>
        <w:t>第二章  项目采购需求及要求</w:t>
      </w:r>
      <w:r>
        <w:rPr>
          <w:rFonts w:ascii="黑体" w:hAnsi="黑体" w:eastAsia="黑体" w:cs="宋体"/>
          <w:sz w:val="36"/>
          <w:szCs w:val="36"/>
        </w:rPr>
        <w:t>.................</w:t>
      </w:r>
      <w:r>
        <w:rPr>
          <w:rFonts w:hint="eastAsia" w:ascii="黑体" w:hAnsi="黑体" w:eastAsia="黑体" w:cs="宋体"/>
          <w:sz w:val="36"/>
          <w:szCs w:val="36"/>
        </w:rPr>
        <w:t>5</w:t>
      </w:r>
    </w:p>
    <w:p>
      <w:pPr>
        <w:pStyle w:val="54"/>
        <w:tabs>
          <w:tab w:val="right" w:pos="8296"/>
        </w:tabs>
        <w:spacing w:line="360" w:lineRule="exact"/>
        <w:jc w:val="both"/>
        <w:rPr>
          <w:rFonts w:ascii="黑体" w:hAnsi="黑体" w:eastAsia="黑体" w:cs="宋体"/>
          <w:sz w:val="36"/>
          <w:szCs w:val="36"/>
        </w:rPr>
      </w:pPr>
    </w:p>
    <w:p>
      <w:pPr>
        <w:pStyle w:val="54"/>
        <w:tabs>
          <w:tab w:val="right" w:pos="8296"/>
        </w:tabs>
        <w:spacing w:line="360" w:lineRule="exact"/>
        <w:jc w:val="both"/>
        <w:rPr>
          <w:rFonts w:hint="eastAsia" w:ascii="黑体" w:hAnsi="黑体" w:eastAsia="黑体" w:cs="宋体"/>
          <w:sz w:val="36"/>
          <w:szCs w:val="36"/>
          <w:lang w:eastAsia="zh-CN"/>
        </w:rPr>
      </w:pPr>
      <w:r>
        <w:rPr>
          <w:rFonts w:hint="eastAsia" w:ascii="黑体" w:hAnsi="黑体" w:eastAsia="黑体" w:cs="宋体"/>
          <w:sz w:val="36"/>
          <w:szCs w:val="36"/>
        </w:rPr>
        <w:t>第三章  竞争性磋商须知</w:t>
      </w:r>
      <w:r>
        <w:rPr>
          <w:rFonts w:ascii="黑体" w:hAnsi="黑体" w:eastAsia="黑体" w:cs="宋体"/>
          <w:sz w:val="36"/>
          <w:szCs w:val="36"/>
        </w:rPr>
        <w:t>....................1</w:t>
      </w:r>
      <w:r>
        <w:rPr>
          <w:rFonts w:hint="eastAsia" w:ascii="黑体" w:hAnsi="黑体" w:eastAsia="黑体" w:cs="宋体"/>
          <w:sz w:val="36"/>
          <w:szCs w:val="36"/>
          <w:lang w:val="en-US" w:eastAsia="zh-CN"/>
        </w:rPr>
        <w:t>2</w:t>
      </w:r>
    </w:p>
    <w:p>
      <w:pPr>
        <w:pStyle w:val="54"/>
        <w:tabs>
          <w:tab w:val="right" w:pos="8296"/>
        </w:tabs>
        <w:spacing w:line="360" w:lineRule="exact"/>
        <w:jc w:val="both"/>
        <w:rPr>
          <w:rFonts w:ascii="黑体" w:hAnsi="黑体" w:eastAsia="黑体" w:cs="宋体"/>
          <w:sz w:val="36"/>
          <w:szCs w:val="36"/>
        </w:rPr>
      </w:pPr>
    </w:p>
    <w:p>
      <w:pPr>
        <w:pStyle w:val="54"/>
        <w:tabs>
          <w:tab w:val="right" w:pos="8296"/>
        </w:tabs>
        <w:spacing w:line="360" w:lineRule="exact"/>
        <w:jc w:val="both"/>
        <w:rPr>
          <w:rFonts w:ascii="黑体" w:hAnsi="黑体" w:eastAsia="黑体" w:cs="宋体"/>
          <w:sz w:val="36"/>
          <w:szCs w:val="36"/>
        </w:rPr>
      </w:pPr>
      <w:r>
        <w:rPr>
          <w:rFonts w:hint="eastAsia" w:ascii="黑体" w:hAnsi="黑体" w:eastAsia="黑体" w:cs="宋体"/>
          <w:sz w:val="36"/>
          <w:szCs w:val="36"/>
        </w:rPr>
        <w:t>第四章  评审办法</w:t>
      </w:r>
      <w:r>
        <w:rPr>
          <w:rFonts w:ascii="黑体" w:hAnsi="黑体" w:eastAsia="黑体" w:cs="宋体"/>
          <w:sz w:val="36"/>
          <w:szCs w:val="36"/>
        </w:rPr>
        <w:t>..........................25</w:t>
      </w:r>
      <w:r>
        <w:rPr>
          <w:rFonts w:ascii="黑体" w:hAnsi="黑体" w:eastAsia="黑体" w:cs="宋体"/>
          <w:sz w:val="36"/>
          <w:szCs w:val="36"/>
        </w:rPr>
        <w:fldChar w:fldCharType="end"/>
      </w:r>
    </w:p>
    <w:p>
      <w:pPr>
        <w:pStyle w:val="54"/>
        <w:tabs>
          <w:tab w:val="right" w:pos="8296"/>
        </w:tabs>
        <w:spacing w:line="360" w:lineRule="exact"/>
        <w:jc w:val="both"/>
        <w:rPr>
          <w:rFonts w:ascii="黑体" w:hAnsi="黑体" w:eastAsia="黑体" w:cs="宋体"/>
          <w:sz w:val="36"/>
          <w:szCs w:val="36"/>
        </w:rPr>
      </w:pPr>
    </w:p>
    <w:p>
      <w:pPr>
        <w:pStyle w:val="54"/>
        <w:tabs>
          <w:tab w:val="right" w:pos="8296"/>
        </w:tabs>
        <w:spacing w:line="360" w:lineRule="exact"/>
        <w:jc w:val="both"/>
        <w:rPr>
          <w:rFonts w:hint="eastAsia" w:ascii="黑体" w:hAnsi="黑体" w:eastAsia="黑体" w:cs="宋体"/>
          <w:sz w:val="36"/>
          <w:szCs w:val="36"/>
          <w:lang w:val="en-US" w:eastAsia="zh-CN"/>
        </w:rPr>
      </w:pPr>
      <w:r>
        <w:rPr>
          <w:rFonts w:hint="eastAsia" w:ascii="黑体" w:hAnsi="黑体" w:eastAsia="黑体" w:cs="宋体"/>
          <w:sz w:val="36"/>
          <w:szCs w:val="36"/>
        </w:rPr>
        <w:t>第五章  合同格式</w:t>
      </w:r>
      <w:r>
        <w:rPr>
          <w:rFonts w:ascii="黑体" w:hAnsi="黑体" w:eastAsia="黑体" w:cs="宋体"/>
          <w:sz w:val="36"/>
          <w:szCs w:val="36"/>
        </w:rPr>
        <w:t>..........................</w:t>
      </w:r>
      <w:r>
        <w:rPr>
          <w:rFonts w:hint="eastAsia" w:ascii="黑体" w:hAnsi="黑体" w:eastAsia="黑体" w:cs="宋体"/>
          <w:sz w:val="36"/>
          <w:szCs w:val="36"/>
          <w:lang w:val="en-US" w:eastAsia="zh-CN"/>
        </w:rPr>
        <w:t>31</w:t>
      </w:r>
    </w:p>
    <w:p>
      <w:pPr>
        <w:pStyle w:val="54"/>
        <w:tabs>
          <w:tab w:val="right" w:pos="8296"/>
        </w:tabs>
        <w:spacing w:line="360" w:lineRule="exact"/>
        <w:jc w:val="both"/>
        <w:rPr>
          <w:rFonts w:ascii="黑体" w:hAnsi="黑体" w:eastAsia="黑体" w:cs="宋体"/>
          <w:sz w:val="36"/>
          <w:szCs w:val="36"/>
        </w:rPr>
      </w:pPr>
    </w:p>
    <w:p>
      <w:pPr>
        <w:pStyle w:val="54"/>
        <w:numPr>
          <w:ilvl w:val="0"/>
          <w:numId w:val="1"/>
        </w:numPr>
        <w:jc w:val="both"/>
        <w:rPr>
          <w:rFonts w:ascii="黑体" w:hAnsi="黑体" w:eastAsia="黑体" w:cs="宋体"/>
          <w:sz w:val="36"/>
          <w:szCs w:val="36"/>
        </w:rPr>
      </w:pPr>
      <w:r>
        <w:rPr>
          <w:rFonts w:hint="eastAsia" w:ascii="黑体" w:hAnsi="黑体" w:eastAsia="黑体" w:cs="宋体"/>
          <w:sz w:val="36"/>
          <w:szCs w:val="36"/>
        </w:rPr>
        <w:t xml:space="preserve"> 响应文件格式</w:t>
      </w:r>
      <w:r>
        <w:rPr>
          <w:rFonts w:ascii="黑体" w:hAnsi="黑体" w:eastAsia="黑体" w:cs="宋体"/>
          <w:sz w:val="36"/>
          <w:szCs w:val="36"/>
        </w:rPr>
        <w:t>......................</w:t>
      </w:r>
      <w:r>
        <w:rPr>
          <w:rFonts w:hint="eastAsia" w:ascii="黑体" w:hAnsi="黑体" w:eastAsia="黑体" w:cs="宋体"/>
          <w:sz w:val="36"/>
          <w:szCs w:val="36"/>
        </w:rPr>
        <w:t>3</w:t>
      </w:r>
      <w:r>
        <w:rPr>
          <w:rFonts w:hint="eastAsia" w:ascii="黑体" w:hAnsi="黑体" w:eastAsia="黑体" w:cs="宋体"/>
          <w:sz w:val="36"/>
          <w:szCs w:val="36"/>
          <w:lang w:val="en-US" w:eastAsia="zh-CN"/>
        </w:rPr>
        <w:t>3</w:t>
      </w:r>
    </w:p>
    <w:p>
      <w:pPr>
        <w:pStyle w:val="54"/>
        <w:ind w:firstLine="0"/>
        <w:jc w:val="both"/>
        <w:rPr>
          <w:b/>
          <w:bCs/>
          <w:sz w:val="32"/>
          <w:szCs w:val="32"/>
        </w:rPr>
      </w:pPr>
    </w:p>
    <w:p>
      <w:pPr>
        <w:pStyle w:val="54"/>
        <w:ind w:firstLine="0"/>
        <w:jc w:val="center"/>
        <w:rPr>
          <w:rFonts w:ascii="黑体" w:hAnsi="黑体" w:eastAsia="黑体"/>
          <w:sz w:val="32"/>
          <w:szCs w:val="32"/>
        </w:rPr>
      </w:pPr>
    </w:p>
    <w:p>
      <w:pPr>
        <w:pStyle w:val="54"/>
        <w:ind w:firstLine="0"/>
        <w:jc w:val="center"/>
        <w:rPr>
          <w:rFonts w:ascii="黑体" w:hAnsi="黑体" w:eastAsia="黑体"/>
          <w:sz w:val="32"/>
          <w:szCs w:val="32"/>
        </w:rPr>
      </w:pPr>
    </w:p>
    <w:p>
      <w:pPr>
        <w:pStyle w:val="54"/>
        <w:ind w:firstLine="0"/>
        <w:jc w:val="center"/>
        <w:rPr>
          <w:rFonts w:ascii="黑体" w:hAnsi="黑体" w:eastAsia="黑体"/>
          <w:sz w:val="32"/>
          <w:szCs w:val="32"/>
        </w:rPr>
      </w:pPr>
    </w:p>
    <w:p>
      <w:pPr>
        <w:pStyle w:val="54"/>
        <w:ind w:firstLine="0"/>
        <w:jc w:val="center"/>
        <w:rPr>
          <w:rFonts w:ascii="黑体" w:hAnsi="黑体" w:eastAsia="黑体"/>
          <w:sz w:val="32"/>
          <w:szCs w:val="32"/>
        </w:rPr>
      </w:pPr>
    </w:p>
    <w:p>
      <w:pPr>
        <w:pStyle w:val="54"/>
        <w:ind w:firstLine="0"/>
        <w:jc w:val="center"/>
        <w:rPr>
          <w:rFonts w:ascii="黑体" w:hAnsi="黑体" w:eastAsia="黑体"/>
          <w:sz w:val="32"/>
          <w:szCs w:val="32"/>
        </w:rPr>
      </w:pPr>
    </w:p>
    <w:p>
      <w:pPr>
        <w:pStyle w:val="54"/>
        <w:ind w:firstLine="0"/>
        <w:jc w:val="center"/>
        <w:rPr>
          <w:rFonts w:ascii="黑体" w:hAnsi="黑体" w:eastAsia="黑体"/>
          <w:sz w:val="32"/>
          <w:szCs w:val="32"/>
        </w:rPr>
      </w:pPr>
    </w:p>
    <w:p>
      <w:pPr>
        <w:pStyle w:val="54"/>
        <w:ind w:firstLine="0"/>
        <w:jc w:val="center"/>
        <w:rPr>
          <w:rFonts w:ascii="黑体" w:hAnsi="黑体" w:eastAsia="黑体"/>
          <w:sz w:val="32"/>
          <w:szCs w:val="32"/>
        </w:rPr>
      </w:pPr>
    </w:p>
    <w:p>
      <w:pPr>
        <w:pStyle w:val="54"/>
        <w:ind w:firstLine="0"/>
        <w:jc w:val="center"/>
        <w:rPr>
          <w:rFonts w:ascii="黑体" w:hAnsi="黑体" w:eastAsia="黑体"/>
          <w:sz w:val="32"/>
          <w:szCs w:val="32"/>
        </w:rPr>
      </w:pPr>
    </w:p>
    <w:p>
      <w:pPr>
        <w:pStyle w:val="54"/>
        <w:ind w:firstLine="0"/>
        <w:jc w:val="center"/>
        <w:rPr>
          <w:rFonts w:ascii="黑体" w:hAnsi="黑体" w:eastAsia="黑体"/>
          <w:sz w:val="32"/>
          <w:szCs w:val="32"/>
        </w:rPr>
      </w:pPr>
    </w:p>
    <w:p>
      <w:pPr>
        <w:pStyle w:val="54"/>
        <w:ind w:firstLine="0"/>
        <w:jc w:val="center"/>
        <w:rPr>
          <w:rFonts w:ascii="黑体" w:hAnsi="黑体" w:eastAsia="黑体"/>
          <w:sz w:val="32"/>
          <w:szCs w:val="32"/>
        </w:rPr>
      </w:pPr>
    </w:p>
    <w:p>
      <w:pPr>
        <w:pStyle w:val="54"/>
        <w:ind w:firstLine="0"/>
        <w:jc w:val="center"/>
        <w:rPr>
          <w:rFonts w:ascii="黑体" w:hAnsi="黑体" w:eastAsia="黑体"/>
          <w:sz w:val="32"/>
          <w:szCs w:val="32"/>
        </w:rPr>
      </w:pPr>
    </w:p>
    <w:p>
      <w:pPr>
        <w:pStyle w:val="54"/>
        <w:ind w:firstLine="0"/>
        <w:jc w:val="center"/>
        <w:rPr>
          <w:rFonts w:ascii="黑体" w:hAnsi="黑体" w:eastAsia="黑体"/>
          <w:sz w:val="32"/>
          <w:szCs w:val="32"/>
        </w:rPr>
      </w:pPr>
    </w:p>
    <w:p>
      <w:pPr>
        <w:pStyle w:val="54"/>
        <w:ind w:firstLine="0"/>
        <w:jc w:val="center"/>
        <w:rPr>
          <w:rFonts w:ascii="黑体" w:hAnsi="黑体" w:eastAsia="黑体"/>
          <w:sz w:val="32"/>
          <w:szCs w:val="32"/>
        </w:rPr>
      </w:pPr>
    </w:p>
    <w:p>
      <w:pPr>
        <w:pStyle w:val="54"/>
        <w:ind w:firstLine="0"/>
        <w:jc w:val="center"/>
        <w:rPr>
          <w:rFonts w:ascii="黑体" w:hAnsi="黑体" w:eastAsia="黑体"/>
          <w:sz w:val="32"/>
          <w:szCs w:val="32"/>
        </w:rPr>
      </w:pPr>
    </w:p>
    <w:p>
      <w:pPr>
        <w:pStyle w:val="54"/>
        <w:ind w:firstLine="0"/>
        <w:jc w:val="center"/>
        <w:rPr>
          <w:rFonts w:ascii="黑体" w:hAnsi="黑体" w:eastAsia="黑体"/>
          <w:sz w:val="32"/>
          <w:szCs w:val="32"/>
        </w:rPr>
      </w:pPr>
    </w:p>
    <w:p>
      <w:pPr>
        <w:pStyle w:val="54"/>
        <w:ind w:firstLine="0"/>
        <w:jc w:val="center"/>
        <w:rPr>
          <w:rFonts w:ascii="黑体" w:hAnsi="黑体" w:eastAsia="黑体"/>
          <w:sz w:val="32"/>
          <w:szCs w:val="32"/>
        </w:rPr>
      </w:pPr>
    </w:p>
    <w:p>
      <w:pPr>
        <w:pStyle w:val="54"/>
        <w:ind w:firstLine="0"/>
        <w:jc w:val="center"/>
        <w:rPr>
          <w:rFonts w:ascii="黑体" w:hAnsi="黑体" w:eastAsia="黑体"/>
          <w:sz w:val="32"/>
          <w:szCs w:val="32"/>
        </w:rPr>
      </w:pPr>
    </w:p>
    <w:p>
      <w:pPr>
        <w:pStyle w:val="54"/>
        <w:ind w:firstLine="0"/>
        <w:jc w:val="center"/>
        <w:rPr>
          <w:rFonts w:ascii="黑体" w:hAnsi="黑体" w:eastAsia="黑体"/>
          <w:sz w:val="32"/>
          <w:szCs w:val="32"/>
        </w:rPr>
      </w:pPr>
    </w:p>
    <w:p>
      <w:pPr>
        <w:pStyle w:val="54"/>
        <w:ind w:firstLine="0"/>
        <w:jc w:val="center"/>
        <w:rPr>
          <w:b/>
          <w:bCs/>
          <w:sz w:val="32"/>
          <w:szCs w:val="32"/>
        </w:rPr>
      </w:pPr>
      <w:r>
        <w:rPr>
          <w:rFonts w:hint="eastAsia" w:ascii="黑体" w:hAnsi="黑体" w:eastAsia="黑体"/>
          <w:sz w:val="32"/>
          <w:szCs w:val="32"/>
        </w:rPr>
        <w:t>第一章  竞争性磋商邀请</w:t>
      </w:r>
      <w:r>
        <w:rPr>
          <w:rFonts w:hint="eastAsia"/>
          <w:b/>
          <w:bCs/>
          <w:sz w:val="32"/>
          <w:szCs w:val="32"/>
        </w:rPr>
        <w:t>函</w:t>
      </w:r>
    </w:p>
    <w:p>
      <w:pPr>
        <w:pStyle w:val="30"/>
        <w:widowControl/>
        <w:shd w:val="clear" w:color="auto" w:fill="FFFFFF"/>
        <w:spacing w:line="360" w:lineRule="auto"/>
        <w:ind w:firstLine="482" w:firstLineChars="200"/>
        <w:contextualSpacing/>
        <w:jc w:val="left"/>
        <w:rPr>
          <w:rFonts w:cs="黑体" w:asciiTheme="minorEastAsia" w:hAnsiTheme="minorEastAsia" w:eastAsiaTheme="minorEastAsia"/>
          <w:b/>
          <w:bCs/>
          <w:color w:val="000000"/>
        </w:rPr>
      </w:pPr>
      <w:r>
        <w:rPr>
          <w:rFonts w:hint="eastAsia" w:cs="黑体" w:asciiTheme="minorEastAsia" w:hAnsiTheme="minorEastAsia" w:eastAsiaTheme="minorEastAsia"/>
          <w:b/>
          <w:bCs/>
          <w:color w:val="000000"/>
          <w:shd w:val="clear" w:color="auto" w:fill="FFFFFF"/>
        </w:rPr>
        <w:t>一、项目基本情况</w:t>
      </w:r>
    </w:p>
    <w:p>
      <w:pPr>
        <w:pStyle w:val="30"/>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lang w:eastAsia="zh-CN"/>
        </w:rPr>
      </w:pPr>
      <w:r>
        <w:rPr>
          <w:rFonts w:hint="eastAsia" w:cs="仿宋_GB2312" w:asciiTheme="minorEastAsia" w:hAnsiTheme="minorEastAsia" w:eastAsiaTheme="minorEastAsia"/>
          <w:color w:val="000000"/>
          <w:shd w:val="clear" w:color="auto" w:fill="FFFFFF"/>
        </w:rPr>
        <w:t>（一）项目名称：</w:t>
      </w:r>
      <w:r>
        <w:rPr>
          <w:rFonts w:hint="eastAsia" w:cs="仿宋_GB2312" w:asciiTheme="minorEastAsia" w:hAnsiTheme="minorEastAsia" w:eastAsiaTheme="minorEastAsia"/>
          <w:color w:val="000000"/>
          <w:shd w:val="clear" w:color="auto" w:fill="FFFFFF"/>
          <w:lang w:eastAsia="zh-CN"/>
        </w:rPr>
        <w:t>中央厨房“指挥调度系统”</w:t>
      </w:r>
    </w:p>
    <w:p>
      <w:pPr>
        <w:pStyle w:val="30"/>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（二）项目编号：JZFCG-C201</w:t>
      </w:r>
      <w:r>
        <w:rPr>
          <w:rFonts w:hint="eastAsia" w:cs="仿宋_GB2312" w:asciiTheme="minorEastAsia" w:hAnsiTheme="minorEastAsia" w:eastAsiaTheme="minorEastAsia"/>
          <w:color w:val="000000"/>
          <w:shd w:val="clear" w:color="auto" w:fill="FFFFFF"/>
          <w:lang w:val="en-US" w:eastAsia="zh-CN"/>
        </w:rPr>
        <w:t>9001</w:t>
      </w:r>
      <w:r>
        <w:rPr>
          <w:rFonts w:hint="eastAsia" w:cs="仿宋_GB2312" w:asciiTheme="minorEastAsia" w:hAnsiTheme="minorEastAsia" w:eastAsiaTheme="minorEastAsia"/>
          <w:color w:val="000000"/>
          <w:shd w:val="clear" w:color="auto" w:fill="FFFFFF"/>
        </w:rPr>
        <w:t>号</w:t>
      </w:r>
    </w:p>
    <w:p>
      <w:pPr>
        <w:pStyle w:val="30"/>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lang w:eastAsia="zh-CN"/>
        </w:rPr>
      </w:pPr>
      <w:r>
        <w:rPr>
          <w:rFonts w:hint="eastAsia" w:cs="仿宋_GB2312" w:asciiTheme="minorEastAsia" w:hAnsiTheme="minorEastAsia" w:eastAsiaTheme="minorEastAsia"/>
          <w:color w:val="000000"/>
          <w:shd w:val="clear" w:color="auto" w:fill="FFFFFF"/>
        </w:rPr>
        <w:t>（三）采购方式：</w:t>
      </w:r>
      <w:r>
        <w:rPr>
          <w:rFonts w:hint="eastAsia" w:cs="仿宋_GB2312" w:asciiTheme="minorEastAsia" w:hAnsiTheme="minorEastAsia" w:eastAsiaTheme="minorEastAsia"/>
          <w:color w:val="000000"/>
          <w:shd w:val="clear" w:color="auto" w:fill="FFFFFF"/>
          <w:lang w:eastAsia="zh-CN"/>
        </w:rPr>
        <w:t>竞争性磋商</w:t>
      </w:r>
    </w:p>
    <w:p>
      <w:pPr>
        <w:pStyle w:val="30"/>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lang w:eastAsia="zh-CN"/>
        </w:rPr>
      </w:pPr>
      <w:r>
        <w:rPr>
          <w:rFonts w:hint="eastAsia" w:cs="仿宋_GB2312" w:asciiTheme="minorEastAsia" w:hAnsiTheme="minorEastAsia" w:eastAsiaTheme="minorEastAsia"/>
          <w:color w:val="000000"/>
          <w:shd w:val="clear" w:color="auto" w:fill="FFFFFF"/>
        </w:rPr>
        <w:t>（四）项目主要内容、数量及要求：本项目主要包括DLP大屏幕显示单元及投影机单元、多屏处理器、、大屏幕基础底座、线缆</w:t>
      </w:r>
      <w:r>
        <w:rPr>
          <w:rFonts w:hint="eastAsia" w:cs="仿宋_GB2312" w:asciiTheme="minorEastAsia" w:hAnsiTheme="minorEastAsia" w:eastAsiaTheme="minorEastAsia"/>
          <w:color w:val="000000"/>
          <w:shd w:val="clear" w:color="auto" w:fill="FFFFFF"/>
          <w:lang w:eastAsia="zh-CN"/>
        </w:rPr>
        <w:t>、</w:t>
      </w:r>
      <w:r>
        <w:rPr>
          <w:rFonts w:hint="eastAsia" w:cs="仿宋_GB2312" w:asciiTheme="minorEastAsia" w:hAnsiTheme="minorEastAsia" w:eastAsiaTheme="minorEastAsia"/>
          <w:color w:val="000000"/>
          <w:shd w:val="clear" w:color="auto" w:fill="FFFFFF"/>
        </w:rPr>
        <w:t>控制管理软件、</w:t>
      </w:r>
      <w:r>
        <w:rPr>
          <w:rFonts w:hint="eastAsia" w:cs="仿宋_GB2312" w:asciiTheme="minorEastAsia" w:hAnsiTheme="minorEastAsia" w:eastAsiaTheme="minorEastAsia"/>
          <w:color w:val="000000"/>
          <w:shd w:val="clear" w:color="auto" w:fill="FFFFFF"/>
          <w:lang w:val="zh-CN"/>
        </w:rPr>
        <w:t>大数据可视化集控应用系统软件</w:t>
      </w:r>
      <w:r>
        <w:rPr>
          <w:rFonts w:hint="eastAsia" w:cs="仿宋_GB2312" w:asciiTheme="minorEastAsia" w:hAnsiTheme="minorEastAsia" w:eastAsiaTheme="minorEastAsia"/>
          <w:color w:val="000000"/>
          <w:shd w:val="clear" w:color="auto" w:fill="FFFFFF"/>
        </w:rPr>
        <w:t>等</w:t>
      </w:r>
      <w:r>
        <w:rPr>
          <w:rFonts w:hint="eastAsia" w:cs="仿宋_GB2312" w:asciiTheme="minorEastAsia" w:hAnsiTheme="minorEastAsia" w:eastAsiaTheme="minorEastAsia"/>
          <w:color w:val="000000"/>
          <w:shd w:val="clear" w:color="auto" w:fill="FFFFFF"/>
          <w:lang w:eastAsia="zh-CN"/>
        </w:rPr>
        <w:t>内容。还</w:t>
      </w:r>
      <w:r>
        <w:rPr>
          <w:rFonts w:hint="eastAsia" w:cs="仿宋_GB2312" w:asciiTheme="minorEastAsia" w:hAnsiTheme="minorEastAsia" w:eastAsiaTheme="minorEastAsia"/>
          <w:color w:val="000000"/>
          <w:shd w:val="clear" w:color="auto" w:fill="FFFFFF"/>
          <w:lang w:val="zh-CN"/>
        </w:rPr>
        <w:t>包括有融媒体大数据、地区</w:t>
      </w:r>
      <w:r>
        <w:rPr>
          <w:rFonts w:hint="eastAsia" w:cs="仿宋_GB2312" w:asciiTheme="minorEastAsia" w:hAnsiTheme="minorEastAsia" w:eastAsiaTheme="minorEastAsia"/>
          <w:color w:val="000000"/>
          <w:shd w:val="clear" w:color="auto" w:fill="FFFFFF"/>
          <w:lang w:val="en-US" w:eastAsia="zh-CN"/>
        </w:rPr>
        <w:t>舆情分析、领导决策支持与无线数据推送等系统开发</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shd w:val="clear" w:color="auto" w:fill="FFFFFF"/>
          <w:lang w:eastAsia="zh-CN"/>
        </w:rPr>
        <w:t>（详见采购需求）</w:t>
      </w:r>
    </w:p>
    <w:p>
      <w:pPr>
        <w:pStyle w:val="30"/>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（五）预算金额：</w:t>
      </w:r>
      <w:r>
        <w:rPr>
          <w:rFonts w:hint="eastAsia" w:cs="仿宋_GB2312" w:asciiTheme="minorEastAsia" w:hAnsiTheme="minorEastAsia" w:eastAsiaTheme="minorEastAsia"/>
          <w:color w:val="000000"/>
          <w:u w:val="single"/>
          <w:shd w:val="clear" w:color="auto" w:fill="FFFFFF"/>
          <w:lang w:val="en-US" w:eastAsia="zh-CN"/>
        </w:rPr>
        <w:t>15600</w:t>
      </w:r>
      <w:r>
        <w:rPr>
          <w:rFonts w:hint="eastAsia" w:cs="仿宋_GB2312" w:asciiTheme="minorEastAsia" w:hAnsiTheme="minorEastAsia" w:eastAsiaTheme="minorEastAsia"/>
          <w:color w:val="000000"/>
          <w:u w:val="single"/>
          <w:shd w:val="clear" w:color="auto" w:fill="FFFFFF"/>
        </w:rPr>
        <w:t>00.00</w:t>
      </w:r>
      <w:r>
        <w:rPr>
          <w:rFonts w:hint="eastAsia" w:cs="仿宋_GB2312" w:asciiTheme="minorEastAsia" w:hAnsiTheme="minorEastAsia" w:eastAsiaTheme="minorEastAsia"/>
          <w:color w:val="000000"/>
          <w:shd w:val="clear" w:color="auto" w:fill="FFFFFF"/>
        </w:rPr>
        <w:t>元；最高限价：</w:t>
      </w:r>
      <w:r>
        <w:rPr>
          <w:rFonts w:hint="eastAsia" w:cs="仿宋_GB2312" w:asciiTheme="minorEastAsia" w:hAnsiTheme="minorEastAsia" w:eastAsiaTheme="minorEastAsia"/>
          <w:color w:val="000000"/>
          <w:u w:val="single"/>
          <w:shd w:val="clear" w:color="auto" w:fill="FFFFFF"/>
          <w:lang w:val="en-US" w:eastAsia="zh-CN"/>
        </w:rPr>
        <w:t>15600</w:t>
      </w:r>
      <w:r>
        <w:rPr>
          <w:rFonts w:hint="eastAsia" w:cs="仿宋_GB2312" w:asciiTheme="minorEastAsia" w:hAnsiTheme="minorEastAsia" w:eastAsiaTheme="minorEastAsia"/>
          <w:color w:val="000000"/>
          <w:u w:val="single"/>
          <w:shd w:val="clear" w:color="auto" w:fill="FFFFFF"/>
        </w:rPr>
        <w:t>00.00</w:t>
      </w:r>
      <w:r>
        <w:rPr>
          <w:rFonts w:hint="eastAsia" w:cs="仿宋_GB2312" w:asciiTheme="minorEastAsia" w:hAnsiTheme="minorEastAsia" w:eastAsiaTheme="minorEastAsia"/>
          <w:color w:val="000000"/>
          <w:shd w:val="clear" w:color="auto" w:fill="FFFFFF"/>
        </w:rPr>
        <w:t>元。</w:t>
      </w:r>
    </w:p>
    <w:p>
      <w:pPr>
        <w:pStyle w:val="30"/>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lang w:val="en-US" w:eastAsia="zh-CN"/>
        </w:rPr>
      </w:pPr>
      <w:r>
        <w:rPr>
          <w:rFonts w:hint="eastAsia" w:cs="仿宋_GB2312" w:asciiTheme="minorEastAsia" w:hAnsiTheme="minorEastAsia" w:eastAsiaTheme="minorEastAsia"/>
          <w:color w:val="000000"/>
          <w:shd w:val="clear" w:color="auto" w:fill="FFFFFF"/>
        </w:rPr>
        <w:t>（六）交付（服务、完工）时间：</w:t>
      </w:r>
      <w:r>
        <w:rPr>
          <w:rFonts w:hint="eastAsia" w:cs="仿宋_GB2312" w:asciiTheme="minorEastAsia" w:hAnsiTheme="minorEastAsia" w:eastAsiaTheme="minorEastAsia"/>
          <w:color w:val="000000"/>
          <w:u w:val="single"/>
          <w:shd w:val="clear" w:color="auto" w:fill="FFFFFF"/>
          <w:lang w:val="en-US" w:eastAsia="zh-CN"/>
        </w:rPr>
        <w:t xml:space="preserve"> 30 </w:t>
      </w:r>
      <w:r>
        <w:rPr>
          <w:rFonts w:hint="eastAsia" w:cs="仿宋_GB2312" w:asciiTheme="minorEastAsia" w:hAnsiTheme="minorEastAsia" w:eastAsiaTheme="minorEastAsia"/>
          <w:color w:val="000000"/>
          <w:shd w:val="clear" w:color="auto" w:fill="FFFFFF"/>
        </w:rPr>
        <w:t>日历天</w:t>
      </w:r>
      <w:r>
        <w:rPr>
          <w:rFonts w:hint="eastAsia" w:cs="仿宋_GB2312" w:asciiTheme="minorEastAsia" w:hAnsiTheme="minorEastAsia" w:eastAsiaTheme="minorEastAsia"/>
          <w:color w:val="000000"/>
          <w:shd w:val="clear" w:color="auto" w:fill="FFFFFF"/>
          <w:lang w:eastAsia="zh-CN"/>
        </w:rPr>
        <w:t>。</w:t>
      </w:r>
    </w:p>
    <w:p>
      <w:pPr>
        <w:pStyle w:val="30"/>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（七）交付（服务、完工）地点：</w:t>
      </w:r>
      <w:r>
        <w:rPr>
          <w:rFonts w:hint="eastAsia" w:cs="仿宋_GB2312" w:asciiTheme="minorEastAsia" w:hAnsiTheme="minorEastAsia"/>
          <w:sz w:val="24"/>
          <w:szCs w:val="24"/>
        </w:rPr>
        <w:t>许昌市魏都区龙兴路报业大厦</w:t>
      </w:r>
      <w:r>
        <w:rPr>
          <w:rFonts w:hint="eastAsia" w:cs="仿宋_GB2312" w:asciiTheme="minorEastAsia" w:hAnsiTheme="minorEastAsia" w:eastAsiaTheme="minorEastAsia"/>
          <w:color w:val="000000"/>
          <w:shd w:val="clear" w:color="auto" w:fill="FFFFFF"/>
        </w:rPr>
        <w:t>。</w:t>
      </w:r>
    </w:p>
    <w:p>
      <w:pPr>
        <w:pStyle w:val="30"/>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二、需要落实的政府采购政策</w:t>
      </w:r>
    </w:p>
    <w:p>
      <w:pPr>
        <w:pStyle w:val="30"/>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本项目落实</w:t>
      </w:r>
      <w:r>
        <w:rPr>
          <w:rFonts w:hint="eastAsia" w:cs="仿宋_GB2312" w:asciiTheme="minorEastAsia" w:hAnsiTheme="minorEastAsia" w:eastAsiaTheme="minorEastAsia"/>
          <w:color w:val="000000"/>
          <w:u w:val="single"/>
          <w:shd w:val="clear" w:color="auto" w:fill="FFFFFF"/>
        </w:rPr>
        <w:t>节能环保</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中小微型企业</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监狱企业</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残疾人福利性单位</w:t>
      </w:r>
      <w:r>
        <w:rPr>
          <w:rFonts w:hint="eastAsia" w:cs="仿宋_GB2312" w:asciiTheme="minorEastAsia" w:hAnsiTheme="minorEastAsia" w:eastAsiaTheme="minorEastAsia"/>
          <w:color w:val="000000"/>
          <w:shd w:val="clear" w:color="auto" w:fill="FFFFFF"/>
        </w:rPr>
        <w:t>扶持等相关政府采购政策。</w:t>
      </w:r>
    </w:p>
    <w:p>
      <w:pPr>
        <w:pStyle w:val="30"/>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三、投标人资格要求</w:t>
      </w:r>
    </w:p>
    <w:p>
      <w:pPr>
        <w:pStyle w:val="30"/>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（一）符合《中华人民共和国政府采购法》第二十二条之规定；</w:t>
      </w:r>
    </w:p>
    <w:p>
      <w:pPr>
        <w:pStyle w:val="30"/>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（二）未被列入“信用中国”网站</w:t>
      </w:r>
      <w:r>
        <w:rPr>
          <w:rFonts w:hint="eastAsia" w:cs="仿宋_GB2312" w:asciiTheme="minorEastAsia" w:hAnsiTheme="minorEastAsia" w:eastAsiaTheme="minorEastAsia"/>
          <w:color w:val="000000"/>
          <w:shd w:val="clear" w:color="auto" w:fill="FFFFFF"/>
          <w:lang w:val="en-US"/>
        </w:rPr>
        <w:t>(www.creditchina.gov.cn)</w:t>
      </w:r>
      <w:r>
        <w:rPr>
          <w:rFonts w:hint="eastAsia" w:cs="仿宋_GB2312" w:asciiTheme="minorEastAsia" w:hAnsiTheme="minorEastAsia" w:eastAsiaTheme="minorEastAsia"/>
          <w:color w:val="000000"/>
          <w:shd w:val="clear" w:color="auto" w:fill="FFFFFF"/>
        </w:rPr>
        <w:t>失信被执行人、重大税收违法案件当事人名单、政府采购严重违法失信名单的投标人；“中国政府采购网”</w:t>
      </w:r>
      <w:r>
        <w:rPr>
          <w:rFonts w:hint="eastAsia" w:cs="仿宋_GB2312" w:asciiTheme="minorEastAsia" w:hAnsiTheme="minorEastAsia" w:eastAsiaTheme="minorEastAsia"/>
          <w:color w:val="000000"/>
          <w:shd w:val="clear" w:color="auto" w:fill="FFFFFF"/>
          <w:lang w:val="en-US"/>
        </w:rPr>
        <w:t> (www.ccgp.gov.cn)</w:t>
      </w:r>
      <w:r>
        <w:rPr>
          <w:rFonts w:hint="eastAsia" w:cs="仿宋_GB2312" w:asciiTheme="minorEastAsia" w:hAnsiTheme="minorEastAsia" w:eastAsiaTheme="minorEastAsia"/>
          <w:color w:val="000000"/>
          <w:shd w:val="clear" w:color="auto" w:fill="FFFFFF"/>
        </w:rPr>
        <w:t>政府采购严重违法失信行为记录名单的投标人；“国家企业信用公示系统”网站（</w:t>
      </w:r>
      <w:r>
        <w:rPr>
          <w:rFonts w:hint="eastAsia" w:cs="仿宋_GB2312" w:asciiTheme="minorEastAsia" w:hAnsiTheme="minorEastAsia" w:eastAsiaTheme="minorEastAsia"/>
          <w:color w:val="000000"/>
          <w:shd w:val="clear" w:color="auto" w:fill="FFFFFF"/>
          <w:lang w:val="en-US"/>
        </w:rPr>
        <w:t>www.gsxt.gov.cn</w:t>
      </w:r>
      <w:r>
        <w:rPr>
          <w:rFonts w:hint="eastAsia" w:cs="仿宋_GB2312" w:asciiTheme="minorEastAsia" w:hAnsiTheme="minorEastAsia" w:eastAsiaTheme="minorEastAsia"/>
          <w:color w:val="000000"/>
          <w:shd w:val="clear" w:color="auto" w:fill="FFFFFF"/>
        </w:rPr>
        <w:t>）严重违法失信企业名单（黑名单）的投标人；</w:t>
      </w:r>
    </w:p>
    <w:p>
      <w:pPr>
        <w:pStyle w:val="30"/>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（三）本</w:t>
      </w:r>
      <w:r>
        <w:rPr>
          <w:rFonts w:hint="eastAsia" w:cs="仿宋_GB2312" w:asciiTheme="minorEastAsia" w:hAnsiTheme="minorEastAsia" w:eastAsiaTheme="minorEastAsia"/>
          <w:color w:val="000000"/>
          <w:shd w:val="clear" w:color="auto" w:fill="FFFFFF"/>
          <w:lang w:eastAsia="zh-CN"/>
        </w:rPr>
        <w:t>项目</w:t>
      </w:r>
      <w:r>
        <w:rPr>
          <w:rFonts w:hint="eastAsia" w:cs="仿宋_GB2312" w:asciiTheme="minorEastAsia" w:hAnsiTheme="minorEastAsia" w:eastAsiaTheme="minorEastAsia"/>
          <w:color w:val="000000"/>
          <w:shd w:val="clear" w:color="auto" w:fill="FFFFFF"/>
        </w:rPr>
        <w:t>不接受联合体。</w:t>
      </w:r>
    </w:p>
    <w:p>
      <w:pPr>
        <w:pStyle w:val="30"/>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四、招标文件的获取</w:t>
      </w:r>
    </w:p>
    <w:p>
      <w:pPr>
        <w:pStyle w:val="30"/>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（一）网上下载招标文件</w:t>
      </w:r>
    </w:p>
    <w:p>
      <w:pPr>
        <w:pStyle w:val="30"/>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30"/>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30"/>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（二）招标文件售价300元/套，投标人在递交投标文件时向采购代理机构交纳采购文件费用，售后不退。</w:t>
      </w:r>
    </w:p>
    <w:p>
      <w:pPr>
        <w:pStyle w:val="30"/>
        <w:widowControl/>
        <w:shd w:val="clear" w:color="auto" w:fill="FFFFFF"/>
        <w:spacing w:line="360" w:lineRule="auto"/>
        <w:ind w:firstLine="420"/>
        <w:contextualSpacing/>
        <w:jc w:val="left"/>
        <w:rPr>
          <w:rFonts w:hint="eastAsia"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五、响应文件接收截止时间、磋商时间及地点</w:t>
      </w:r>
    </w:p>
    <w:p>
      <w:pPr>
        <w:pStyle w:val="30"/>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（一）</w:t>
      </w:r>
      <w:r>
        <w:rPr>
          <w:rFonts w:hint="eastAsia"/>
          <w:shd w:val="clear" w:color="auto" w:fill="FFFFFF"/>
        </w:rPr>
        <w:t>响应文件接收截止及磋商</w:t>
      </w:r>
      <w:r>
        <w:rPr>
          <w:rFonts w:hint="eastAsia" w:cs="仿宋_GB2312" w:asciiTheme="minorEastAsia" w:hAnsiTheme="minorEastAsia" w:eastAsiaTheme="minorEastAsia"/>
          <w:color w:val="000000"/>
        </w:rPr>
        <w:t>时间：201</w:t>
      </w:r>
      <w:r>
        <w:rPr>
          <w:rFonts w:hint="eastAsia" w:cs="仿宋_GB2312" w:asciiTheme="minorEastAsia" w:hAnsiTheme="minorEastAsia" w:eastAsiaTheme="minorEastAsia"/>
          <w:color w:val="000000"/>
          <w:lang w:val="en-US" w:eastAsia="zh-CN"/>
        </w:rPr>
        <w:t>9</w:t>
      </w:r>
      <w:r>
        <w:rPr>
          <w:rFonts w:hint="eastAsia" w:cs="仿宋_GB2312" w:asciiTheme="minorEastAsia" w:hAnsiTheme="minorEastAsia" w:eastAsiaTheme="minorEastAsia"/>
          <w:color w:val="000000"/>
        </w:rPr>
        <w:t>年</w:t>
      </w:r>
      <w:r>
        <w:rPr>
          <w:rFonts w:hint="eastAsia" w:cs="仿宋_GB2312" w:asciiTheme="minorEastAsia" w:hAnsiTheme="minorEastAsia" w:eastAsiaTheme="minorEastAsia"/>
          <w:color w:val="000000"/>
          <w:lang w:val="en-US" w:eastAsia="zh-CN"/>
        </w:rPr>
        <w:t>1</w:t>
      </w:r>
      <w:r>
        <w:rPr>
          <w:rFonts w:hint="eastAsia" w:cs="仿宋_GB2312" w:asciiTheme="minorEastAsia" w:hAnsiTheme="minorEastAsia" w:eastAsiaTheme="minorEastAsia"/>
          <w:color w:val="000000"/>
        </w:rPr>
        <w:t>月</w:t>
      </w:r>
      <w:r>
        <w:rPr>
          <w:rFonts w:hint="eastAsia" w:cs="仿宋_GB2312" w:asciiTheme="minorEastAsia" w:hAnsiTheme="minorEastAsia" w:eastAsiaTheme="minorEastAsia"/>
          <w:color w:val="000000"/>
          <w:lang w:val="en-US" w:eastAsia="zh-CN"/>
        </w:rPr>
        <w:t>16</w:t>
      </w:r>
      <w:r>
        <w:rPr>
          <w:rFonts w:hint="eastAsia" w:cs="仿宋_GB2312" w:asciiTheme="minorEastAsia" w:hAnsiTheme="minorEastAsia" w:eastAsiaTheme="minorEastAsia"/>
          <w:color w:val="000000"/>
        </w:rPr>
        <w:t>日</w:t>
      </w:r>
      <w:r>
        <w:rPr>
          <w:rFonts w:hint="eastAsia" w:cs="仿宋_GB2312" w:asciiTheme="minorEastAsia" w:hAnsiTheme="minorEastAsia" w:eastAsiaTheme="minorEastAsia"/>
          <w:color w:val="000000"/>
          <w:lang w:val="en-US" w:eastAsia="zh-CN"/>
        </w:rPr>
        <w:t>10</w:t>
      </w:r>
      <w:r>
        <w:rPr>
          <w:rFonts w:hint="eastAsia" w:cs="仿宋_GB2312" w:asciiTheme="minorEastAsia" w:hAnsiTheme="minorEastAsia" w:eastAsiaTheme="minorEastAsia"/>
          <w:color w:val="000000"/>
        </w:rPr>
        <w:t>时30分（北京时间），逾期提交或不符合规定的投标文件不予接受。</w:t>
      </w:r>
    </w:p>
    <w:p>
      <w:pPr>
        <w:pStyle w:val="30"/>
        <w:widowControl/>
        <w:shd w:val="clear" w:color="auto" w:fill="FFFFFF"/>
        <w:spacing w:line="360" w:lineRule="auto"/>
        <w:ind w:firstLine="420"/>
        <w:contextualSpacing/>
        <w:jc w:val="left"/>
        <w:rPr>
          <w:rFonts w:hint="eastAsia" w:cs="仿宋_GB2312" w:asciiTheme="minorEastAsia" w:hAnsiTheme="minorEastAsia" w:eastAsiaTheme="minorEastAsia"/>
          <w:color w:val="000000"/>
        </w:rPr>
      </w:pPr>
      <w:r>
        <w:rPr>
          <w:rFonts w:hint="eastAsia" w:cs="仿宋_GB2312" w:asciiTheme="minorEastAsia" w:hAnsiTheme="minorEastAsia" w:eastAsiaTheme="minorEastAsia"/>
          <w:color w:val="000000"/>
        </w:rPr>
        <w:t>（二）开标地点：许昌市公共资源交易中心（</w:t>
      </w:r>
      <w:r>
        <w:rPr>
          <w:rFonts w:cs="Arial" w:asciiTheme="minorEastAsia" w:hAnsiTheme="minorEastAsia" w:eastAsiaTheme="minorEastAsia"/>
          <w:color w:val="000000"/>
        </w:rPr>
        <w:t>龙兴路与竹林路交汇处</w:t>
      </w:r>
      <w:r>
        <w:rPr>
          <w:rFonts w:hint="eastAsia" w:cs="仿宋_GB2312" w:asciiTheme="minorEastAsia" w:hAnsiTheme="minorEastAsia" w:eastAsiaTheme="minorEastAsia"/>
          <w:color w:val="000000"/>
        </w:rPr>
        <w:t>公共资源大厦）三楼开标</w:t>
      </w:r>
      <w:r>
        <w:rPr>
          <w:rFonts w:hint="eastAsia" w:cs="仿宋_GB2312" w:asciiTheme="minorEastAsia" w:hAnsiTheme="minorEastAsia" w:eastAsiaTheme="minorEastAsia"/>
          <w:color w:val="000000"/>
          <w:lang w:val="en-US" w:eastAsia="zh-CN"/>
        </w:rPr>
        <w:t>5</w:t>
      </w:r>
      <w:r>
        <w:rPr>
          <w:rFonts w:hint="eastAsia" w:cs="仿宋_GB2312" w:asciiTheme="minorEastAsia" w:hAnsiTheme="minorEastAsia" w:eastAsiaTheme="minorEastAsia"/>
          <w:color w:val="000000"/>
        </w:rPr>
        <w:t>室。</w:t>
      </w:r>
    </w:p>
    <w:p>
      <w:pPr>
        <w:pStyle w:val="30"/>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六、本次招标公告同时在《中国政府采购网》、《河南省政府采购网》、《许昌市政府采购网》、《全国公共资源交易平台（河南省·许昌市）》发布。</w:t>
      </w:r>
    </w:p>
    <w:p>
      <w:pPr>
        <w:pStyle w:val="30"/>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七、公告期限</w:t>
      </w:r>
    </w:p>
    <w:p>
      <w:pPr>
        <w:pStyle w:val="30"/>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本招标公告自发布之日起公告期限为5个工作日。</w:t>
      </w:r>
    </w:p>
    <w:p>
      <w:pPr>
        <w:pStyle w:val="30"/>
        <w:widowControl/>
        <w:shd w:val="clear" w:color="auto" w:fill="FFFFFF"/>
        <w:spacing w:line="360" w:lineRule="auto"/>
        <w:ind w:firstLine="420"/>
        <w:contextualSpacing/>
        <w:jc w:val="left"/>
        <w:rPr>
          <w:rFonts w:cs="黑体" w:asciiTheme="minorEastAsia" w:hAnsiTheme="minorEastAsia" w:eastAsiaTheme="minorEastAsia"/>
          <w:b/>
          <w:bCs/>
          <w:color w:val="000000"/>
        </w:rPr>
      </w:pPr>
      <w:r>
        <w:rPr>
          <w:rFonts w:hint="eastAsia" w:cs="黑体" w:asciiTheme="minorEastAsia" w:hAnsiTheme="minorEastAsia" w:eastAsiaTheme="minorEastAsia"/>
          <w:b/>
          <w:bCs/>
          <w:color w:val="000000"/>
        </w:rPr>
        <w:t>八、联系方式</w:t>
      </w:r>
    </w:p>
    <w:p>
      <w:pPr>
        <w:pStyle w:val="30"/>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（一）采</w:t>
      </w:r>
      <w:r>
        <w:rPr>
          <w:rFonts w:hint="eastAsia" w:ascii="宋体" w:hAnsi="宋体" w:cs="宋体"/>
          <w:kern w:val="0"/>
        </w:rPr>
        <w:t>购人：许昌融智传媒有限公司；地址：许昌市魏都区龙兴路报业大厦；联系人：刘先生；电话：13837475511。</w:t>
      </w:r>
    </w:p>
    <w:p>
      <w:pPr>
        <w:pStyle w:val="30"/>
        <w:widowControl/>
        <w:shd w:val="clear" w:color="auto" w:fill="FFFFFF"/>
        <w:spacing w:line="360" w:lineRule="auto"/>
        <w:ind w:firstLine="420"/>
        <w:contextualSpacing/>
        <w:jc w:val="left"/>
        <w:rPr>
          <w:rFonts w:cs="仿宋_GB2312" w:asciiTheme="minorEastAsia" w:hAnsiTheme="minorEastAsia"/>
          <w:color w:val="000000"/>
          <w:shd w:val="clear" w:color="auto" w:fill="FFFFFF"/>
        </w:rPr>
      </w:pPr>
      <w:r>
        <w:rPr>
          <w:rFonts w:hint="eastAsia" w:cs="仿宋_GB2312" w:asciiTheme="minorEastAsia" w:hAnsiTheme="minorEastAsia" w:eastAsiaTheme="minorEastAsia"/>
          <w:color w:val="000000"/>
        </w:rPr>
        <w:t>（二）代理机构：</w:t>
      </w:r>
      <w:r>
        <w:rPr>
          <w:rFonts w:hint="eastAsia" w:ascii="宋体" w:hAnsi="宋体"/>
          <w:spacing w:val="-3"/>
        </w:rPr>
        <w:t>许昌光大电子商务技术服务有限公司；</w:t>
      </w:r>
      <w:r>
        <w:rPr>
          <w:rFonts w:hint="eastAsia" w:cs="仿宋_GB2312" w:asciiTheme="minorEastAsia" w:hAnsiTheme="minorEastAsia" w:eastAsiaTheme="minorEastAsia"/>
          <w:color w:val="000000"/>
        </w:rPr>
        <w:t>地址：</w:t>
      </w:r>
      <w:r>
        <w:rPr>
          <w:rFonts w:hint="eastAsia" w:ascii="宋体" w:hAnsi="宋体"/>
          <w:spacing w:val="-3"/>
        </w:rPr>
        <w:t>许昌市智慧大道亨源通世纪广场1号楼401室；</w:t>
      </w:r>
      <w:r>
        <w:rPr>
          <w:rFonts w:hint="eastAsia" w:cs="仿宋_GB2312" w:asciiTheme="minorEastAsia" w:hAnsiTheme="minorEastAsia" w:eastAsiaTheme="minorEastAsia"/>
          <w:color w:val="000000"/>
        </w:rPr>
        <w:t>联系人：靳天天；联系电话：13323993003。</w:t>
      </w:r>
    </w:p>
    <w:p>
      <w:pPr>
        <w:spacing w:line="440" w:lineRule="exact"/>
        <w:ind w:firstLine="6924" w:firstLineChars="2885"/>
        <w:jc w:val="right"/>
        <w:rPr>
          <w:rFonts w:ascii="宋体" w:hAnsi="宋体" w:cs="宋体"/>
          <w:szCs w:val="24"/>
        </w:rPr>
      </w:pPr>
      <w:r>
        <w:rPr>
          <w:rFonts w:hint="eastAsia" w:asciiTheme="minorEastAsia" w:hAnsiTheme="minorEastAsia" w:cstheme="majorEastAsia"/>
          <w:sz w:val="24"/>
          <w:szCs w:val="24"/>
          <w:lang w:val="zh-CN"/>
        </w:rPr>
        <w:t xml:space="preserve">   许昌融智传媒有限公司</w:t>
      </w:r>
    </w:p>
    <w:p>
      <w:pPr>
        <w:spacing w:line="440" w:lineRule="exact"/>
        <w:jc w:val="right"/>
        <w:rPr>
          <w:rFonts w:ascii="宋体" w:hAnsi="宋体" w:cs="Arial"/>
        </w:rPr>
      </w:pPr>
      <w:r>
        <w:rPr>
          <w:rFonts w:hint="eastAsia" w:ascii="宋体" w:hAnsi="宋体" w:cs="宋体"/>
          <w:kern w:val="0"/>
        </w:rPr>
        <w:t xml:space="preserve">                                      二○一</w:t>
      </w:r>
      <w:r>
        <w:rPr>
          <w:rFonts w:hint="eastAsia" w:ascii="宋体" w:hAnsi="宋体" w:cs="宋体"/>
          <w:kern w:val="0"/>
          <w:lang w:eastAsia="zh-CN"/>
        </w:rPr>
        <w:t>九</w:t>
      </w:r>
      <w:r>
        <w:rPr>
          <w:rFonts w:hint="eastAsia" w:ascii="宋体" w:hAnsi="宋体" w:cs="宋体"/>
          <w:kern w:val="0"/>
        </w:rPr>
        <w:t>年</w:t>
      </w:r>
      <w:r>
        <w:rPr>
          <w:rFonts w:hint="eastAsia" w:ascii="宋体" w:hAnsi="宋体" w:cs="宋体"/>
          <w:kern w:val="0"/>
          <w:lang w:val="en-US" w:eastAsia="zh-CN"/>
        </w:rPr>
        <w:t>一</w:t>
      </w:r>
      <w:r>
        <w:rPr>
          <w:rFonts w:hint="eastAsia" w:ascii="宋体" w:hAnsi="宋体" w:cs="宋体"/>
          <w:kern w:val="0"/>
        </w:rPr>
        <w:t>月</w:t>
      </w:r>
      <w:r>
        <w:rPr>
          <w:rFonts w:hint="eastAsia" w:ascii="宋体" w:hAnsi="宋体" w:cs="宋体"/>
          <w:kern w:val="0"/>
          <w:lang w:val="en-US" w:eastAsia="zh-CN"/>
        </w:rPr>
        <w:t>四</w:t>
      </w:r>
      <w:r>
        <w:rPr>
          <w:rFonts w:hint="eastAsia" w:ascii="宋体" w:hAnsi="宋体" w:cs="宋体"/>
          <w:kern w:val="0"/>
        </w:rPr>
        <w:t>日</w:t>
      </w:r>
    </w:p>
    <w:p>
      <w:pPr>
        <w:spacing w:line="440" w:lineRule="exact"/>
        <w:jc w:val="right"/>
        <w:rPr>
          <w:rFonts w:ascii="宋体" w:hAnsi="宋体" w:cs="Arial"/>
        </w:rPr>
      </w:pPr>
    </w:p>
    <w:p>
      <w:pPr>
        <w:spacing w:line="360" w:lineRule="auto"/>
        <w:jc w:val="center"/>
        <w:rPr>
          <w:sz w:val="32"/>
          <w:szCs w:val="32"/>
        </w:rPr>
      </w:pPr>
      <w:r>
        <w:br w:type="page"/>
      </w:r>
      <w:r>
        <w:rPr>
          <w:rFonts w:hint="eastAsia" w:ascii="黑体" w:hAnsi="黑体" w:eastAsia="黑体"/>
          <w:sz w:val="32"/>
          <w:szCs w:val="32"/>
        </w:rPr>
        <w:t>第二章  采购需求及要求</w:t>
      </w:r>
    </w:p>
    <w:p>
      <w:pPr>
        <w:widowControl/>
        <w:shd w:val="clear" w:color="auto" w:fill="FFFFFF"/>
        <w:spacing w:line="360" w:lineRule="auto"/>
        <w:ind w:firstLine="482" w:firstLineChars="200"/>
        <w:contextualSpacing/>
        <w:jc w:val="left"/>
        <w:rPr>
          <w:rFonts w:asciiTheme="minorEastAsia" w:hAnsiTheme="minorEastAsia"/>
          <w:b/>
          <w:bCs/>
          <w:color w:val="000000"/>
          <w:szCs w:val="24"/>
          <w:shd w:val="clear" w:color="auto" w:fill="FFFFFF"/>
        </w:rPr>
      </w:pPr>
      <w:bookmarkStart w:id="0" w:name="_Toc13979"/>
      <w:bookmarkEnd w:id="0"/>
    </w:p>
    <w:p>
      <w:pPr>
        <w:widowControl/>
        <w:shd w:val="clear" w:color="auto" w:fill="FFFFFF"/>
        <w:spacing w:line="360" w:lineRule="auto"/>
        <w:ind w:firstLine="482" w:firstLineChars="200"/>
        <w:contextualSpacing/>
        <w:jc w:val="left"/>
        <w:rPr>
          <w:rFonts w:asciiTheme="minorEastAsia" w:hAnsiTheme="minorEastAsia"/>
          <w:b/>
          <w:bCs/>
          <w:color w:val="000000"/>
          <w:szCs w:val="24"/>
          <w:shd w:val="clear" w:color="auto" w:fill="FFFFFF"/>
        </w:rPr>
      </w:pPr>
      <w:r>
        <w:rPr>
          <w:rFonts w:hint="eastAsia" w:asciiTheme="minorEastAsia" w:hAnsiTheme="minorEastAsia"/>
          <w:b/>
          <w:bCs/>
          <w:color w:val="000000"/>
          <w:szCs w:val="24"/>
          <w:shd w:val="clear" w:color="auto" w:fill="FFFFFF"/>
        </w:rPr>
        <w:t>一、总体要求</w:t>
      </w:r>
    </w:p>
    <w:p>
      <w:pPr>
        <w:widowControl/>
        <w:shd w:val="clear" w:color="auto" w:fill="FFFFFF"/>
        <w:spacing w:line="360" w:lineRule="auto"/>
        <w:ind w:firstLine="480" w:firstLineChars="200"/>
        <w:contextualSpacing/>
        <w:jc w:val="left"/>
        <w:rPr>
          <w:rFonts w:asciiTheme="minorEastAsia" w:hAnsiTheme="minorEastAsia"/>
          <w:color w:val="000000"/>
          <w:szCs w:val="24"/>
          <w:shd w:val="clear" w:color="auto" w:fill="FFFFFF"/>
        </w:rPr>
      </w:pPr>
      <w:r>
        <w:rPr>
          <w:rFonts w:hint="eastAsia" w:cs="黑体" w:asciiTheme="minorEastAsia" w:hAnsiTheme="minorEastAsia"/>
          <w:b w:val="0"/>
          <w:bCs w:val="0"/>
          <w:color w:val="000000"/>
          <w:sz w:val="24"/>
          <w:szCs w:val="24"/>
          <w:shd w:val="clear" w:color="auto" w:fill="FFFFFF"/>
          <w:lang w:val="zh-CN"/>
        </w:rPr>
        <w:t>中央厨房“指挥调度系统”</w:t>
      </w:r>
      <w:r>
        <w:rPr>
          <w:rFonts w:hint="eastAsia" w:asciiTheme="minorEastAsia" w:hAnsiTheme="minorEastAsia"/>
          <w:color w:val="000000"/>
          <w:szCs w:val="24"/>
          <w:shd w:val="clear" w:color="auto" w:fill="FFFFFF"/>
          <w:lang w:val="zh-CN"/>
        </w:rPr>
        <w:t>由8套70吋"的DLP投影单元、</w:t>
      </w:r>
      <w:r>
        <w:rPr>
          <w:rFonts w:hint="eastAsia" w:asciiTheme="minorEastAsia" w:hAnsiTheme="minorEastAsia"/>
          <w:color w:val="000000"/>
          <w:szCs w:val="24"/>
          <w:shd w:val="clear" w:color="auto" w:fill="FFFFFF"/>
        </w:rPr>
        <w:t>4套50</w:t>
      </w:r>
      <w:r>
        <w:rPr>
          <w:rFonts w:hint="eastAsia" w:asciiTheme="minorEastAsia" w:hAnsiTheme="minorEastAsia"/>
          <w:color w:val="000000"/>
          <w:szCs w:val="24"/>
          <w:shd w:val="clear" w:color="auto" w:fill="FFFFFF"/>
          <w:lang w:val="zh-CN"/>
        </w:rPr>
        <w:t>吋"</w:t>
      </w:r>
      <w:r>
        <w:rPr>
          <w:rFonts w:hint="eastAsia" w:asciiTheme="minorEastAsia" w:hAnsiTheme="minorEastAsia"/>
          <w:color w:val="000000"/>
          <w:szCs w:val="24"/>
          <w:shd w:val="clear" w:color="auto" w:fill="FFFFFF"/>
        </w:rPr>
        <w:t>LED液晶显示单元、</w:t>
      </w:r>
      <w:r>
        <w:rPr>
          <w:rFonts w:hint="eastAsia" w:asciiTheme="minorEastAsia" w:hAnsiTheme="minorEastAsia"/>
          <w:color w:val="000000"/>
          <w:szCs w:val="24"/>
          <w:shd w:val="clear" w:color="auto" w:fill="FFFFFF"/>
          <w:lang w:val="zh-CN"/>
        </w:rPr>
        <w:t>多屏处理器、控制管理软件、大数据可视化集控应用系统软件及附属的外围设备组成。整套系统采用最新一代数字图像处理技术，采用模块化设计。设备供应商应提供</w:t>
      </w:r>
      <w:r>
        <w:rPr>
          <w:rFonts w:hint="eastAsia" w:asciiTheme="minorEastAsia" w:hAnsiTheme="minorEastAsia"/>
          <w:color w:val="000000"/>
          <w:szCs w:val="24"/>
          <w:shd w:val="clear" w:color="auto" w:fill="FFFFFF"/>
        </w:rPr>
        <w:t>智能集控平台、信息资源共享平台、分析决策平台和指挥调度平台，实现各个子系统直观、实时、全方位</w:t>
      </w:r>
      <w:r>
        <w:rPr>
          <w:rFonts w:hint="eastAsia" w:asciiTheme="minorEastAsia" w:hAnsiTheme="minorEastAsia"/>
          <w:color w:val="000000"/>
          <w:szCs w:val="24"/>
          <w:shd w:val="clear" w:color="auto" w:fill="FFFFFF"/>
          <w:lang w:eastAsia="zh-CN"/>
        </w:rPr>
        <w:t>的</w:t>
      </w:r>
      <w:r>
        <w:rPr>
          <w:rFonts w:hint="eastAsia" w:asciiTheme="minorEastAsia" w:hAnsiTheme="minorEastAsia"/>
          <w:color w:val="000000"/>
          <w:szCs w:val="24"/>
          <w:shd w:val="clear" w:color="auto" w:fill="FFFFFF"/>
        </w:rPr>
        <w:t>信息集中显示，并对显示信息进行智能化管理，便于指挥调度中心实时审阅、掌握</w:t>
      </w:r>
      <w:r>
        <w:rPr>
          <w:rFonts w:hint="eastAsia" w:asciiTheme="minorEastAsia" w:hAnsiTheme="minorEastAsia"/>
          <w:color w:val="000000"/>
          <w:szCs w:val="24"/>
          <w:shd w:val="clear" w:color="auto" w:fill="FFFFFF"/>
          <w:lang w:eastAsia="zh-CN"/>
        </w:rPr>
        <w:t>多维</w:t>
      </w:r>
      <w:r>
        <w:rPr>
          <w:rFonts w:hint="eastAsia" w:asciiTheme="minorEastAsia" w:hAnsiTheme="minorEastAsia"/>
          <w:color w:val="000000"/>
          <w:szCs w:val="24"/>
          <w:shd w:val="clear" w:color="auto" w:fill="FFFFFF"/>
        </w:rPr>
        <w:t>采编数据并做出正确决策、提高效率，全面优化各信息显示的直观性和可操作性。总体要求如下：</w:t>
      </w:r>
    </w:p>
    <w:p>
      <w:pPr>
        <w:widowControl/>
        <w:shd w:val="clear" w:color="auto" w:fill="FFFFFF"/>
        <w:spacing w:line="360" w:lineRule="auto"/>
        <w:ind w:firstLine="480" w:firstLineChars="200"/>
        <w:contextualSpacing/>
        <w:jc w:val="left"/>
        <w:rPr>
          <w:rFonts w:asciiTheme="minorEastAsia" w:hAnsiTheme="minorEastAsia" w:eastAsiaTheme="minorEastAsia"/>
          <w:color w:val="000000"/>
          <w:szCs w:val="24"/>
          <w:shd w:val="clear" w:color="auto" w:fill="FFFFFF"/>
        </w:rPr>
      </w:pPr>
      <w:r>
        <w:rPr>
          <w:rFonts w:hint="eastAsia" w:asciiTheme="minorEastAsia" w:hAnsiTheme="minorEastAsia"/>
          <w:color w:val="000000"/>
          <w:szCs w:val="24"/>
          <w:shd w:val="clear" w:color="auto" w:fill="FFFFFF"/>
        </w:rPr>
        <w:t>1.兼容性要求</w:t>
      </w:r>
      <w:r>
        <w:rPr>
          <w:rFonts w:hint="eastAsia" w:asciiTheme="minorEastAsia" w:hAnsiTheme="minorEastAsia"/>
          <w:color w:val="000000"/>
          <w:szCs w:val="24"/>
          <w:shd w:val="clear" w:color="auto" w:fill="FFFFFF"/>
          <w:lang w:eastAsia="zh-CN"/>
        </w:rPr>
        <w:t>。</w:t>
      </w:r>
      <w:r>
        <w:rPr>
          <w:rFonts w:hint="eastAsia" w:asciiTheme="minorEastAsia" w:hAnsiTheme="minorEastAsia"/>
          <w:color w:val="000000"/>
          <w:szCs w:val="24"/>
          <w:shd w:val="clear" w:color="auto" w:fill="FFFFFF"/>
        </w:rPr>
        <w:t>为了保证整套系统的兼容性，本项目所提供的DLP大屏幕显示单元及投影机、多屏处理器、控制管理软件都要采用同一个厂商的产品，并提供相应技术证明文件。</w:t>
      </w:r>
    </w:p>
    <w:p>
      <w:pPr>
        <w:widowControl/>
        <w:shd w:val="clear" w:color="auto" w:fill="FFFFFF"/>
        <w:spacing w:line="360" w:lineRule="auto"/>
        <w:ind w:firstLine="480" w:firstLineChars="200"/>
        <w:contextualSpacing/>
        <w:jc w:val="left"/>
        <w:rPr>
          <w:rFonts w:asciiTheme="minorEastAsia" w:hAnsiTheme="minorEastAsia" w:eastAsiaTheme="minorEastAsia"/>
          <w:color w:val="000000"/>
          <w:szCs w:val="24"/>
          <w:shd w:val="clear" w:color="auto" w:fill="FFFFFF"/>
        </w:rPr>
      </w:pPr>
      <w:r>
        <w:rPr>
          <w:rFonts w:hint="eastAsia" w:asciiTheme="minorEastAsia" w:hAnsiTheme="minorEastAsia"/>
          <w:color w:val="000000"/>
          <w:szCs w:val="24"/>
          <w:shd w:val="clear" w:color="auto" w:fill="FFFFFF"/>
        </w:rPr>
        <w:t>2.产品一致性要求</w:t>
      </w:r>
      <w:r>
        <w:rPr>
          <w:rFonts w:hint="eastAsia" w:asciiTheme="minorEastAsia" w:hAnsiTheme="minorEastAsia"/>
          <w:color w:val="000000"/>
          <w:szCs w:val="24"/>
          <w:shd w:val="clear" w:color="auto" w:fill="FFFFFF"/>
          <w:lang w:eastAsia="zh-CN"/>
        </w:rPr>
        <w:t>。</w:t>
      </w:r>
      <w:r>
        <w:rPr>
          <w:rFonts w:hint="eastAsia" w:asciiTheme="minorEastAsia" w:hAnsiTheme="minorEastAsia"/>
          <w:color w:val="000000"/>
          <w:szCs w:val="24"/>
          <w:shd w:val="clear" w:color="auto" w:fill="FFFFFF"/>
        </w:rPr>
        <w:t>投标产品</w:t>
      </w:r>
      <w:r>
        <w:rPr>
          <w:rFonts w:hint="eastAsia" w:asciiTheme="minorEastAsia" w:hAnsiTheme="minorEastAsia"/>
          <w:color w:val="000000"/>
          <w:szCs w:val="24"/>
          <w:shd w:val="clear" w:color="auto" w:fill="FFFFFF"/>
          <w:lang w:val="zh-CN"/>
        </w:rPr>
        <w:t>DLP投影单元</w:t>
      </w:r>
      <w:r>
        <w:rPr>
          <w:rFonts w:hint="eastAsia" w:asciiTheme="minorEastAsia" w:hAnsiTheme="minorEastAsia"/>
          <w:color w:val="000000"/>
          <w:szCs w:val="24"/>
          <w:shd w:val="clear" w:color="auto" w:fill="FFFFFF"/>
        </w:rPr>
        <w:t>及投影机</w:t>
      </w:r>
      <w:r>
        <w:rPr>
          <w:rFonts w:hint="eastAsia" w:asciiTheme="minorEastAsia" w:hAnsiTheme="minorEastAsia"/>
          <w:color w:val="000000"/>
          <w:szCs w:val="24"/>
          <w:shd w:val="clear" w:color="auto" w:fill="FFFFFF"/>
          <w:lang w:val="zh-CN"/>
        </w:rPr>
        <w:t>、多屏处理器</w:t>
      </w:r>
      <w:r>
        <w:rPr>
          <w:rFonts w:hint="eastAsia" w:asciiTheme="minorEastAsia" w:hAnsiTheme="minorEastAsia"/>
          <w:color w:val="000000"/>
          <w:szCs w:val="24"/>
          <w:shd w:val="clear" w:color="auto" w:fill="FFFFFF"/>
        </w:rPr>
        <w:t>均应通过中国CCC认证。</w:t>
      </w:r>
    </w:p>
    <w:p>
      <w:pPr>
        <w:widowControl/>
        <w:shd w:val="clear" w:color="auto" w:fill="FFFFFF"/>
        <w:spacing w:line="360" w:lineRule="auto"/>
        <w:ind w:firstLine="480" w:firstLineChars="200"/>
        <w:contextualSpacing/>
        <w:jc w:val="left"/>
        <w:rPr>
          <w:rFonts w:asciiTheme="minorEastAsia" w:hAnsiTheme="minorEastAsia"/>
          <w:color w:val="000000"/>
          <w:szCs w:val="24"/>
          <w:shd w:val="clear" w:color="auto" w:fill="FFFFFF"/>
        </w:rPr>
      </w:pPr>
      <w:r>
        <w:rPr>
          <w:rFonts w:hint="eastAsia" w:asciiTheme="minorEastAsia" w:hAnsiTheme="minorEastAsia"/>
          <w:color w:val="000000"/>
          <w:szCs w:val="24"/>
          <w:shd w:val="clear" w:color="auto" w:fill="FFFFFF"/>
        </w:rPr>
        <w:t>3.系统稳定性要求</w:t>
      </w:r>
      <w:r>
        <w:rPr>
          <w:rFonts w:hint="eastAsia" w:asciiTheme="minorEastAsia" w:hAnsiTheme="minorEastAsia"/>
          <w:color w:val="000000"/>
          <w:szCs w:val="24"/>
          <w:shd w:val="clear" w:color="auto" w:fill="FFFFFF"/>
          <w:lang w:eastAsia="zh-CN"/>
        </w:rPr>
        <w:t>。</w:t>
      </w:r>
      <w:r>
        <w:rPr>
          <w:rFonts w:hint="eastAsia" w:asciiTheme="minorEastAsia" w:hAnsiTheme="minorEastAsia"/>
          <w:color w:val="000000"/>
          <w:szCs w:val="24"/>
          <w:shd w:val="clear" w:color="auto" w:fill="FFFFFF"/>
        </w:rPr>
        <w:t>系统要求冗余设计、板卡热插拔以满足7×24小时不间断工作。</w:t>
      </w:r>
    </w:p>
    <w:p>
      <w:pPr>
        <w:widowControl/>
        <w:shd w:val="clear" w:color="auto" w:fill="FFFFFF"/>
        <w:spacing w:line="360" w:lineRule="auto"/>
        <w:ind w:firstLine="480" w:firstLineChars="200"/>
        <w:contextualSpacing/>
        <w:jc w:val="left"/>
        <w:rPr>
          <w:rFonts w:asciiTheme="minorEastAsia" w:hAnsiTheme="minorEastAsia"/>
          <w:color w:val="000000"/>
          <w:szCs w:val="24"/>
          <w:shd w:val="clear" w:color="auto" w:fill="FFFFFF"/>
        </w:rPr>
      </w:pPr>
      <w:r>
        <w:rPr>
          <w:rFonts w:hint="eastAsia" w:asciiTheme="minorEastAsia" w:hAnsiTheme="minorEastAsia"/>
          <w:color w:val="000000"/>
          <w:szCs w:val="24"/>
          <w:shd w:val="clear" w:color="auto" w:fill="FFFFFF"/>
        </w:rPr>
        <w:t>4.设备软硬件应遵循工业标准要求</w:t>
      </w:r>
      <w:r>
        <w:rPr>
          <w:rFonts w:hint="eastAsia" w:asciiTheme="minorEastAsia" w:hAnsiTheme="minorEastAsia"/>
          <w:color w:val="000000"/>
          <w:szCs w:val="24"/>
          <w:shd w:val="clear" w:color="auto" w:fill="FFFFFF"/>
          <w:lang w:eastAsia="zh-CN"/>
        </w:rPr>
        <w:t>。</w:t>
      </w:r>
      <w:r>
        <w:rPr>
          <w:rFonts w:hint="eastAsia" w:asciiTheme="minorEastAsia" w:hAnsiTheme="minorEastAsia"/>
          <w:color w:val="000000"/>
          <w:szCs w:val="24"/>
          <w:shd w:val="clear" w:color="auto" w:fill="FFFFFF"/>
        </w:rPr>
        <w:t>所设计的设备软件应能与操作系统兼容，并能支持不同供货商所使用的硬件或软件。投标产品制造厂商软件能力具有成熟度认证。</w:t>
      </w:r>
    </w:p>
    <w:p>
      <w:pPr>
        <w:widowControl/>
        <w:shd w:val="clear" w:color="auto" w:fill="FFFFFF"/>
        <w:spacing w:line="360" w:lineRule="auto"/>
        <w:ind w:firstLine="480" w:firstLineChars="200"/>
        <w:contextualSpacing/>
        <w:jc w:val="left"/>
        <w:rPr>
          <w:rFonts w:asciiTheme="minorEastAsia" w:hAnsiTheme="minorEastAsia"/>
          <w:color w:val="000000"/>
          <w:szCs w:val="24"/>
          <w:shd w:val="clear" w:color="auto" w:fill="FFFFFF"/>
        </w:rPr>
      </w:pPr>
      <w:r>
        <w:rPr>
          <w:rFonts w:hint="eastAsia" w:asciiTheme="minorEastAsia" w:hAnsiTheme="minorEastAsia"/>
          <w:color w:val="000000"/>
          <w:szCs w:val="24"/>
          <w:shd w:val="clear" w:color="auto" w:fill="FFFFFF"/>
        </w:rPr>
        <w:t>5.整套系统要求实现信</w:t>
      </w:r>
      <w:r>
        <w:rPr>
          <w:rFonts w:hint="eastAsia" w:asciiTheme="minorEastAsia" w:hAnsiTheme="minorEastAsia"/>
          <w:color w:val="000000"/>
          <w:szCs w:val="24"/>
          <w:shd w:val="clear" w:color="auto" w:fill="FFFFFF"/>
          <w:lang w:eastAsia="zh-CN"/>
        </w:rPr>
        <w:t>息</w:t>
      </w:r>
      <w:r>
        <w:rPr>
          <w:rFonts w:hint="eastAsia" w:asciiTheme="minorEastAsia" w:hAnsiTheme="minorEastAsia"/>
          <w:color w:val="000000"/>
          <w:szCs w:val="24"/>
          <w:shd w:val="clear" w:color="auto" w:fill="FFFFFF"/>
        </w:rPr>
        <w:t>互联互通、可视化呈现、图形化交互、集中控制等功能。</w:t>
      </w:r>
    </w:p>
    <w:p>
      <w:pPr>
        <w:widowControl/>
        <w:shd w:val="clear" w:color="auto" w:fill="FFFFFF"/>
        <w:spacing w:line="360" w:lineRule="auto"/>
        <w:ind w:firstLine="480" w:firstLineChars="200"/>
        <w:contextualSpacing/>
        <w:jc w:val="left"/>
        <w:rPr>
          <w:rFonts w:asciiTheme="minorEastAsia" w:hAnsiTheme="minorEastAsia"/>
          <w:color w:val="000000"/>
          <w:szCs w:val="24"/>
          <w:shd w:val="clear" w:color="auto" w:fill="FFFFFF"/>
        </w:rPr>
      </w:pPr>
      <w:r>
        <w:rPr>
          <w:rFonts w:hint="eastAsia" w:asciiTheme="minorEastAsia" w:hAnsiTheme="minorEastAsia"/>
          <w:color w:val="000000"/>
          <w:szCs w:val="24"/>
          <w:shd w:val="clear" w:color="auto" w:fill="FFFFFF"/>
        </w:rPr>
        <w:t>6.系统具备投屏推送功能，可直接通过网络（4G或互联网）向用户接入终端推送相关数据，可控可调</w:t>
      </w:r>
      <w:r>
        <w:rPr>
          <w:rFonts w:hint="eastAsia" w:asciiTheme="minorEastAsia" w:hAnsiTheme="minorEastAsia"/>
          <w:color w:val="000000"/>
          <w:szCs w:val="24"/>
          <w:shd w:val="clear" w:color="auto" w:fill="FFFFFF"/>
          <w:lang w:eastAsia="zh-CN"/>
        </w:rPr>
        <w:t>可触摸</w:t>
      </w:r>
      <w:r>
        <w:rPr>
          <w:rFonts w:hint="eastAsia" w:asciiTheme="minorEastAsia" w:hAnsiTheme="minorEastAsia"/>
          <w:color w:val="000000"/>
          <w:szCs w:val="24"/>
          <w:shd w:val="clear" w:color="auto" w:fill="FFFFFF"/>
        </w:rPr>
        <w:t>。</w:t>
      </w:r>
    </w:p>
    <w:p>
      <w:pPr>
        <w:widowControl/>
        <w:shd w:val="clear" w:color="auto" w:fill="FFFFFF"/>
        <w:spacing w:line="360" w:lineRule="auto"/>
        <w:ind w:firstLine="480" w:firstLineChars="200"/>
        <w:contextualSpacing/>
        <w:jc w:val="left"/>
      </w:pPr>
      <w:r>
        <w:rPr>
          <w:rFonts w:hint="eastAsia" w:asciiTheme="minorEastAsia" w:hAnsiTheme="minorEastAsia" w:eastAsiaTheme="minorEastAsia"/>
          <w:color w:val="000000"/>
          <w:kern w:val="2"/>
          <w:szCs w:val="24"/>
          <w:shd w:val="clear" w:color="auto" w:fill="FFFFFF"/>
        </w:rPr>
        <w:t>7.</w:t>
      </w:r>
      <w:r>
        <w:rPr>
          <w:rFonts w:hint="eastAsia" w:asciiTheme="minorEastAsia" w:hAnsiTheme="minorEastAsia" w:eastAsiaTheme="minorEastAsia"/>
          <w:color w:val="000000"/>
          <w:kern w:val="2"/>
          <w:szCs w:val="24"/>
          <w:shd w:val="clear" w:color="auto" w:fill="FFFFFF"/>
          <w:lang w:val="zh-CN"/>
        </w:rPr>
        <w:t>全媒体中央厨房物理空间建设已经完成，报导指挥系统已包含在整体规划设计方案中，本子项目建设是其中的一部分，必须与整体相融合。</w:t>
      </w:r>
    </w:p>
    <w:p>
      <w:pPr>
        <w:widowControl/>
        <w:shd w:val="clear" w:color="auto" w:fill="FFFFFF"/>
        <w:spacing w:line="360" w:lineRule="auto"/>
        <w:ind w:firstLine="482" w:firstLineChars="200"/>
        <w:contextualSpacing/>
        <w:jc w:val="left"/>
        <w:rPr>
          <w:rFonts w:eastAsiaTheme="minorEastAsia"/>
        </w:rPr>
      </w:pPr>
      <w:r>
        <w:rPr>
          <w:rFonts w:hint="eastAsia" w:asciiTheme="minorEastAsia" w:hAnsiTheme="minorEastAsia"/>
          <w:b/>
          <w:bCs/>
          <w:color w:val="000000"/>
          <w:szCs w:val="24"/>
          <w:shd w:val="clear" w:color="auto" w:fill="FFFFFF"/>
        </w:rPr>
        <w:t>二、采购需求</w:t>
      </w:r>
    </w:p>
    <w:p>
      <w:pPr>
        <w:widowControl/>
        <w:shd w:val="clear" w:color="auto" w:fill="FFFFFF"/>
        <w:spacing w:line="360" w:lineRule="auto"/>
        <w:ind w:firstLine="417" w:firstLineChars="174"/>
        <w:contextualSpacing/>
        <w:jc w:val="left"/>
        <w:rPr>
          <w:rFonts w:asciiTheme="minorEastAsia" w:hAnsiTheme="minorEastAsia"/>
          <w:color w:val="000000"/>
          <w:szCs w:val="24"/>
          <w:shd w:val="clear" w:color="auto" w:fill="FFFFFF"/>
        </w:rPr>
      </w:pPr>
      <w:r>
        <w:rPr>
          <w:rFonts w:hint="eastAsia" w:asciiTheme="minorEastAsia" w:hAnsiTheme="minorEastAsia"/>
          <w:color w:val="000000"/>
          <w:szCs w:val="24"/>
          <w:shd w:val="clear" w:color="auto" w:fill="FFFFFF"/>
        </w:rPr>
        <w:t>1.本项目主要包括DLP大屏幕显示单元及投影机单元、多屏处理器、控制管理软件、</w:t>
      </w:r>
      <w:r>
        <w:rPr>
          <w:rFonts w:hint="eastAsia" w:asciiTheme="minorEastAsia" w:hAnsiTheme="minorEastAsia"/>
          <w:color w:val="000000"/>
          <w:szCs w:val="24"/>
          <w:shd w:val="clear" w:color="auto" w:fill="FFFFFF"/>
          <w:lang w:val="zh-CN"/>
        </w:rPr>
        <w:t>大数据可视化集控应用系统软件</w:t>
      </w:r>
      <w:r>
        <w:rPr>
          <w:rFonts w:hint="eastAsia" w:asciiTheme="minorEastAsia" w:hAnsiTheme="minorEastAsia"/>
          <w:color w:val="000000"/>
          <w:szCs w:val="24"/>
          <w:shd w:val="clear" w:color="auto" w:fill="FFFFFF"/>
        </w:rPr>
        <w:t>、大屏幕基础底座、线缆等构成。主要采购需及数量如下：</w:t>
      </w:r>
    </w:p>
    <w:tbl>
      <w:tblPr>
        <w:tblStyle w:val="34"/>
        <w:tblW w:w="9788" w:type="dxa"/>
        <w:tblInd w:w="76" w:type="dxa"/>
        <w:tblLayout w:type="fixed"/>
        <w:tblCellMar>
          <w:top w:w="0" w:type="dxa"/>
          <w:left w:w="108" w:type="dxa"/>
          <w:bottom w:w="0" w:type="dxa"/>
          <w:right w:w="108" w:type="dxa"/>
        </w:tblCellMar>
      </w:tblPr>
      <w:tblGrid>
        <w:gridCol w:w="480"/>
        <w:gridCol w:w="1056"/>
        <w:gridCol w:w="6114"/>
        <w:gridCol w:w="659"/>
        <w:gridCol w:w="658"/>
        <w:gridCol w:w="821"/>
      </w:tblGrid>
      <w:tr>
        <w:tblPrEx>
          <w:tblLayout w:type="fixed"/>
          <w:tblCellMar>
            <w:top w:w="0" w:type="dxa"/>
            <w:left w:w="108" w:type="dxa"/>
            <w:bottom w:w="0" w:type="dxa"/>
            <w:right w:w="108" w:type="dxa"/>
          </w:tblCellMar>
        </w:tblPrEx>
        <w:trPr>
          <w:trHeight w:val="339" w:hRule="atLeast"/>
        </w:trPr>
        <w:tc>
          <w:tcPr>
            <w:tcW w:w="4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序号</w:t>
            </w:r>
          </w:p>
        </w:tc>
        <w:tc>
          <w:tcPr>
            <w:tcW w:w="1056" w:type="dxa"/>
            <w:tcBorders>
              <w:top w:val="single" w:color="auto" w:sz="4" w:space="0"/>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名称</w:t>
            </w:r>
          </w:p>
        </w:tc>
        <w:tc>
          <w:tcPr>
            <w:tcW w:w="6114"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规格型号</w:t>
            </w:r>
          </w:p>
        </w:tc>
        <w:tc>
          <w:tcPr>
            <w:tcW w:w="659" w:type="dxa"/>
            <w:tcBorders>
              <w:top w:val="single" w:color="auto" w:sz="4" w:space="0"/>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单位</w:t>
            </w:r>
          </w:p>
        </w:tc>
        <w:tc>
          <w:tcPr>
            <w:tcW w:w="658" w:type="dxa"/>
            <w:tcBorders>
              <w:top w:val="single" w:color="auto" w:sz="4" w:space="0"/>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数量</w:t>
            </w:r>
          </w:p>
        </w:tc>
        <w:tc>
          <w:tcPr>
            <w:tcW w:w="821" w:type="dxa"/>
            <w:tcBorders>
              <w:top w:val="single" w:color="auto" w:sz="4" w:space="0"/>
              <w:left w:val="nil"/>
              <w:bottom w:val="single" w:color="auto" w:sz="4" w:space="0"/>
              <w:right w:val="single" w:color="auto" w:sz="4" w:space="0"/>
            </w:tcBorders>
            <w:noWrap/>
            <w:vAlign w:val="center"/>
          </w:tcPr>
          <w:p>
            <w:pPr>
              <w:widowControl/>
              <w:ind w:right="-113" w:rightChars="-47"/>
              <w:jc w:val="center"/>
              <w:rPr>
                <w:rFonts w:asciiTheme="minorEastAsia" w:hAnsiTheme="minorEastAsia" w:eastAsiaTheme="minorEastAsia" w:cstheme="minorEastAsia"/>
                <w:b/>
                <w:bCs/>
                <w:sz w:val="21"/>
                <w:szCs w:val="21"/>
              </w:rPr>
            </w:pPr>
            <w:r>
              <w:rPr>
                <w:rFonts w:hint="eastAsia" w:asciiTheme="minorEastAsia" w:hAnsiTheme="minorEastAsia" w:cstheme="minorEastAsia"/>
                <w:b/>
                <w:bCs/>
                <w:sz w:val="21"/>
                <w:szCs w:val="21"/>
              </w:rPr>
              <w:t>是否核心产品</w:t>
            </w:r>
          </w:p>
        </w:tc>
      </w:tr>
      <w:tr>
        <w:tblPrEx>
          <w:tblLayout w:type="fixed"/>
          <w:tblCellMar>
            <w:top w:w="0" w:type="dxa"/>
            <w:left w:w="108" w:type="dxa"/>
            <w:bottom w:w="0" w:type="dxa"/>
            <w:right w:w="108" w:type="dxa"/>
          </w:tblCellMar>
        </w:tblPrEx>
        <w:trPr>
          <w:trHeight w:val="103" w:hRule="atLeast"/>
        </w:trPr>
        <w:tc>
          <w:tcPr>
            <w:tcW w:w="4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056" w:type="dxa"/>
            <w:tcBorders>
              <w:top w:val="single" w:color="auto" w:sz="4" w:space="0"/>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DLP显示单元</w:t>
            </w:r>
          </w:p>
        </w:tc>
        <w:tc>
          <w:tcPr>
            <w:tcW w:w="6114" w:type="dxa"/>
            <w:tcBorders>
              <w:top w:val="single" w:color="auto" w:sz="4" w:space="0"/>
              <w:left w:val="nil"/>
              <w:bottom w:val="single" w:color="auto" w:sz="4" w:space="0"/>
              <w:right w:val="single" w:color="auto" w:sz="4" w:space="0"/>
            </w:tcBorders>
            <w:vAlign w:val="center"/>
          </w:tcPr>
          <w:p>
            <w:pPr>
              <w:pStyle w:val="90"/>
              <w:widowControl/>
              <w:tabs>
                <w:tab w:val="left" w:pos="567"/>
              </w:tabs>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本项目的大屏幕显示系统拼接墙由8套DLP一体化显示单元以2（行）×4（列）的方式拼接而成，单个投影箱体屏幕对角线尺寸为70英寸，具体要求如下：</w:t>
            </w:r>
          </w:p>
          <w:p>
            <w:pPr>
              <w:pStyle w:val="90"/>
              <w:widowControl/>
              <w:tabs>
                <w:tab w:val="left" w:pos="567"/>
              </w:tabs>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1.投影机采用以DLP为核心技术的产品（单片，0.95" DMD，12° LVDS）。</w:t>
            </w:r>
          </w:p>
          <w:p>
            <w:pPr>
              <w:pStyle w:val="90"/>
              <w:widowControl/>
              <w:tabs>
                <w:tab w:val="left" w:pos="567"/>
              </w:tabs>
              <w:ind w:left="0" w:leftChars="0"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2.单机原始分辨率≥1920×1090，投影机亮度不低于1200ANSI流明。</w:t>
            </w:r>
          </w:p>
          <w:p>
            <w:pPr>
              <w:pStyle w:val="90"/>
              <w:widowControl/>
              <w:tabs>
                <w:tab w:val="left" w:pos="567"/>
              </w:tabs>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3.投影机采用3×6点阵式冗余LED光源，采用先进的散热方式，投标方需就散热方式提供详细的技术描述。</w:t>
            </w:r>
          </w:p>
          <w:p>
            <w:pPr>
              <w:pStyle w:val="90"/>
              <w:widowControl/>
              <w:tabs>
                <w:tab w:val="left" w:pos="567"/>
              </w:tabs>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★4.对比度≥2500：均匀性≥95%，基本色度不均匀性≤0.01，整墙屏前色度不均匀性≤0.01。</w:t>
            </w:r>
          </w:p>
          <w:p>
            <w:pPr>
              <w:pStyle w:val="90"/>
              <w:widowControl/>
              <w:tabs>
                <w:tab w:val="left" w:pos="567"/>
              </w:tabs>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5.LED光源应具有光源驱动冗余保护措施，确保光源正常稳定工作，投标人需详细阐述技术原理。</w:t>
            </w:r>
          </w:p>
          <w:p>
            <w:pPr>
              <w:pStyle w:val="90"/>
              <w:widowControl/>
              <w:tabs>
                <w:tab w:val="left" w:pos="567"/>
              </w:tabs>
              <w:ind w:left="0" w:leftChars="0"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6.投影机必须具备良好的防尘结构设计，达到IP5X等级。</w:t>
            </w:r>
          </w:p>
          <w:p>
            <w:pPr>
              <w:pStyle w:val="90"/>
              <w:widowControl/>
              <w:tabs>
                <w:tab w:val="left" w:pos="567"/>
              </w:tabs>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★7.投标产品必须是投标品牌的自主知识产权产品，所投产品投影机应具有软件著作权登记证书</w:t>
            </w:r>
            <w:r>
              <w:rPr>
                <w:rFonts w:hint="eastAsia" w:asciiTheme="minorEastAsia" w:hAnsiTheme="minorEastAsia" w:cstheme="minorEastAsia"/>
                <w:szCs w:val="21"/>
              </w:rPr>
              <w:t>。</w:t>
            </w:r>
          </w:p>
          <w:p>
            <w:pPr>
              <w:pStyle w:val="90"/>
              <w:widowControl/>
              <w:tabs>
                <w:tab w:val="left" w:pos="567"/>
              </w:tabs>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hint="eastAsia" w:asciiTheme="minorEastAsia" w:hAnsiTheme="minorEastAsia" w:cstheme="minorEastAsia"/>
                <w:szCs w:val="21"/>
              </w:rPr>
              <w:t>8.</w:t>
            </w:r>
            <w:r>
              <w:rPr>
                <w:rFonts w:hint="eastAsia" w:asciiTheme="minorEastAsia" w:hAnsiTheme="minorEastAsia" w:eastAsiaTheme="minorEastAsia" w:cstheme="minorEastAsia"/>
                <w:szCs w:val="21"/>
              </w:rPr>
              <w:t>显示单元采用纯树脂屏幕，屏幕的水平半增益视角不小于36°，垂直半增益视角不小于33°，屏幕增益不小于1.2，物理拼缝小于0.5mm，平整度≤0.3mm；屏幕必须具备宽视角、防反光、防变形、易清洁维护等性能满足环境要求。</w:t>
            </w:r>
          </w:p>
          <w:p>
            <w:pPr>
              <w:pStyle w:val="90"/>
              <w:widowControl/>
              <w:tabs>
                <w:tab w:val="left" w:pos="567"/>
              </w:tabs>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9.拼墙系统各单元采用网络互连控制，RJ45网络接口控制符合TCP/IP协议。</w:t>
            </w:r>
          </w:p>
          <w:p>
            <w:pPr>
              <w:pStyle w:val="90"/>
              <w:widowControl/>
              <w:tabs>
                <w:tab w:val="left" w:pos="567"/>
              </w:tabs>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10.显示单元具有故障告警检测及运行状态自监控功能，详细描述该功能，并提供软件截图。 </w:t>
            </w:r>
          </w:p>
          <w:p>
            <w:pPr>
              <w:pStyle w:val="90"/>
              <w:widowControl/>
              <w:tabs>
                <w:tab w:val="left" w:pos="567"/>
              </w:tabs>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11.显示单元具有亮度色彩自动调整技术，投标人需详细阐述技术原理。</w:t>
            </w:r>
          </w:p>
          <w:p>
            <w:pPr>
              <w:pStyle w:val="90"/>
              <w:widowControl/>
              <w:tabs>
                <w:tab w:val="left" w:pos="567"/>
              </w:tabs>
              <w:ind w:firstLine="0" w:firstLineChars="0"/>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12.显示单元不需要额外增加处理器，可扩展支持S-VIDEO、VIDEO、YPRPB、HDMI、SDI、DRGB、ARGB、DualLink DVI、DP等信号输入，同时支持4K分辨率信号的输入</w:t>
            </w:r>
            <w:r>
              <w:rPr>
                <w:rFonts w:hint="eastAsia" w:asciiTheme="minorEastAsia" w:hAnsiTheme="minorEastAsia" w:eastAsiaTheme="minorEastAsia" w:cstheme="minorEastAsia"/>
                <w:szCs w:val="21"/>
                <w:lang w:eastAsia="zh-CN"/>
              </w:rPr>
              <w:t>。</w:t>
            </w:r>
          </w:p>
          <w:p>
            <w:pPr>
              <w:pStyle w:val="90"/>
              <w:widowControl/>
              <w:tabs>
                <w:tab w:val="left" w:pos="567"/>
              </w:tabs>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13.要求可扩展支持DP数字环接通道，实现最高4K分辨率信号的环接任意跨屏显示，需提供DP环接接口实物照片</w:t>
            </w:r>
            <w:r>
              <w:rPr>
                <w:rFonts w:hint="eastAsia" w:asciiTheme="minorEastAsia" w:hAnsiTheme="minorEastAsia" w:cstheme="minorEastAsia"/>
                <w:szCs w:val="21"/>
              </w:rPr>
              <w:t>。</w:t>
            </w:r>
          </w:p>
          <w:p>
            <w:pPr>
              <w:pStyle w:val="90"/>
              <w:widowControl/>
              <w:tabs>
                <w:tab w:val="left" w:pos="567"/>
              </w:tabs>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显示单元具有RJ45网络端口可扩展支持IP信号接入，每个显示单元可支持4路1080P信号解码上墙，支持H.264/H.265码流，GB28281、ONVIF、RTSP等协议，解码后的图像窗口可在全屏任意M×N的区域内任意开窗、漫游、叠加、缩放。</w:t>
            </w:r>
          </w:p>
          <w:p>
            <w:pPr>
              <w:pStyle w:val="90"/>
              <w:widowControl/>
              <w:tabs>
                <w:tab w:val="left" w:pos="567"/>
              </w:tabs>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15.显示单元信号处理板卡支持热插拔以及业务自动恢复功能，业务自动恢复时间≤30秒。</w:t>
            </w:r>
          </w:p>
          <w:p>
            <w:pPr>
              <w:pStyle w:val="90"/>
              <w:widowControl/>
              <w:tabs>
                <w:tab w:val="left" w:pos="567"/>
              </w:tabs>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cstheme="minorEastAsia"/>
                <w:szCs w:val="21"/>
              </w:rPr>
              <w:t>6</w:t>
            </w:r>
            <w:r>
              <w:rPr>
                <w:rFonts w:hint="eastAsia" w:asciiTheme="minorEastAsia" w:hAnsiTheme="minorEastAsia" w:eastAsiaTheme="minorEastAsia" w:cstheme="minorEastAsia"/>
                <w:szCs w:val="21"/>
              </w:rPr>
              <w:t>.大屏幕系统应能满足不低于8度烈度抗震设计要求，同时具备通过不少于2层拼接系统的抗震性能检测。</w:t>
            </w:r>
          </w:p>
          <w:p>
            <w:pPr>
              <w:pStyle w:val="90"/>
              <w:widowControl/>
              <w:tabs>
                <w:tab w:val="left" w:pos="567"/>
              </w:tabs>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cstheme="minorEastAsia"/>
                <w:szCs w:val="21"/>
              </w:rPr>
              <w:t>7</w:t>
            </w:r>
            <w:r>
              <w:rPr>
                <w:rFonts w:hint="eastAsia" w:asciiTheme="minorEastAsia" w:hAnsiTheme="minorEastAsia" w:eastAsiaTheme="minorEastAsia" w:cstheme="minorEastAsia"/>
                <w:szCs w:val="21"/>
              </w:rPr>
              <w:t>.显示单元的MTBF平均无故障时间不低于100000小时，MTTR平均修复时间小于30分钟，可用度大于99.999%，需提供MTBF相关计算依据和说明</w:t>
            </w:r>
            <w:r>
              <w:rPr>
                <w:rFonts w:hint="eastAsia" w:asciiTheme="minorEastAsia" w:hAnsiTheme="minorEastAsia" w:cstheme="minorEastAsia"/>
                <w:szCs w:val="21"/>
              </w:rPr>
              <w:t>。</w:t>
            </w:r>
          </w:p>
          <w:p>
            <w:pPr>
              <w:pStyle w:val="90"/>
              <w:widowControl/>
              <w:tabs>
                <w:tab w:val="left" w:pos="567"/>
              </w:tabs>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cstheme="minorEastAsia"/>
                <w:szCs w:val="21"/>
              </w:rPr>
              <w:t>8</w:t>
            </w:r>
            <w:r>
              <w:rPr>
                <w:rFonts w:hint="eastAsia" w:asciiTheme="minorEastAsia" w:hAnsiTheme="minorEastAsia" w:eastAsiaTheme="minorEastAsia" w:cstheme="minorEastAsia"/>
                <w:szCs w:val="21"/>
              </w:rPr>
              <w:t>.根据国家GB/T18313-2001(声学信息技术设备和通信设备空气噪音的测量)标准，显示单元必须具备良好的降噪音性能，屏前声压级小于23dB（A），屏左声压级小于28 dB（A），屏后声压级小于40 dB（A），屏右声压级小于30 dB（A）</w:t>
            </w:r>
            <w:r>
              <w:rPr>
                <w:rFonts w:hint="eastAsia" w:asciiTheme="minorEastAsia" w:hAnsiTheme="minorEastAsia" w:cstheme="minorEastAsia"/>
                <w:szCs w:val="21"/>
              </w:rPr>
              <w:t>。</w:t>
            </w:r>
          </w:p>
        </w:tc>
        <w:tc>
          <w:tcPr>
            <w:tcW w:w="659" w:type="dxa"/>
            <w:tcBorders>
              <w:top w:val="single" w:color="auto" w:sz="4" w:space="0"/>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c>
          <w:tcPr>
            <w:tcW w:w="658" w:type="dxa"/>
            <w:tcBorders>
              <w:top w:val="single" w:color="auto" w:sz="4" w:space="0"/>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p>
        </w:tc>
        <w:tc>
          <w:tcPr>
            <w:tcW w:w="821" w:type="dxa"/>
            <w:tcBorders>
              <w:top w:val="single" w:color="auto" w:sz="4" w:space="0"/>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rPr>
              <w:t>是</w:t>
            </w:r>
          </w:p>
        </w:tc>
      </w:tr>
      <w:tr>
        <w:tblPrEx>
          <w:tblLayout w:type="fixed"/>
          <w:tblCellMar>
            <w:top w:w="0" w:type="dxa"/>
            <w:left w:w="108" w:type="dxa"/>
            <w:bottom w:w="0" w:type="dxa"/>
            <w:right w:w="108" w:type="dxa"/>
          </w:tblCellMar>
        </w:tblPrEx>
        <w:trPr>
          <w:trHeight w:val="103" w:hRule="atLeast"/>
        </w:trPr>
        <w:tc>
          <w:tcPr>
            <w:tcW w:w="4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056" w:type="dxa"/>
            <w:tcBorders>
              <w:top w:val="single" w:color="auto" w:sz="4" w:space="0"/>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多屏处理器</w:t>
            </w:r>
          </w:p>
        </w:tc>
        <w:tc>
          <w:tcPr>
            <w:tcW w:w="6114" w:type="dxa"/>
            <w:tcBorders>
              <w:top w:val="single" w:color="auto" w:sz="4" w:space="0"/>
              <w:left w:val="nil"/>
              <w:bottom w:val="single" w:color="auto" w:sz="4" w:space="0"/>
              <w:right w:val="single" w:color="auto" w:sz="4" w:space="0"/>
            </w:tcBorders>
            <w:vAlign w:val="center"/>
          </w:tcPr>
          <w:p>
            <w:pPr>
              <w:pStyle w:val="90"/>
              <w:widowControl/>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支持不少于8路DVI信号、4路HDMI、2路DP输入，所有信号与应用窗口可以在全墙任意位置、任意大小、任意顺序叠加显示，具体要求如下：</w:t>
            </w:r>
          </w:p>
          <w:p>
            <w:pPr>
              <w:pStyle w:val="90"/>
              <w:widowControl/>
              <w:tabs>
                <w:tab w:val="left" w:pos="567"/>
              </w:tabs>
              <w:ind w:firstLine="0" w:firstLineChars="0"/>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1.多屏处理器系统采用纯硬件架构，无需操作系统，完全杜绝计算机病毒侵扰。系统总带宽≥400Gbps</w:t>
            </w:r>
            <w:r>
              <w:rPr>
                <w:rFonts w:hint="eastAsia" w:asciiTheme="minorEastAsia" w:hAnsiTheme="minorEastAsia" w:eastAsiaTheme="minorEastAsia" w:cstheme="minorEastAsia"/>
                <w:szCs w:val="21"/>
                <w:lang w:eastAsia="zh-CN"/>
              </w:rPr>
              <w:t>。</w:t>
            </w:r>
          </w:p>
          <w:p>
            <w:pPr>
              <w:pStyle w:val="90"/>
              <w:widowControl/>
              <w:tabs>
                <w:tab w:val="left" w:pos="567"/>
              </w:tabs>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2.系统支持分辨率叠加：2×4全屏分辨率应达到(1920×4) × (1080×2) =7680×2160。</w:t>
            </w:r>
          </w:p>
          <w:p>
            <w:pPr>
              <w:pStyle w:val="90"/>
              <w:widowControl/>
              <w:tabs>
                <w:tab w:val="left" w:pos="567"/>
              </w:tabs>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3.处理器系统有超强的IP信号显示能力，单台处理器系统可支持100路以上1080p信号同时显示。</w:t>
            </w:r>
          </w:p>
          <w:p>
            <w:pPr>
              <w:pStyle w:val="90"/>
              <w:widowControl/>
              <w:tabs>
                <w:tab w:val="left" w:pos="567"/>
              </w:tabs>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4.系统具备强大的IP视频信号解码能力，支持200、500、700、800万像素的IP视频信号源解码。</w:t>
            </w:r>
          </w:p>
          <w:p>
            <w:pPr>
              <w:pStyle w:val="90"/>
              <w:widowControl/>
              <w:tabs>
                <w:tab w:val="left" w:pos="567"/>
              </w:tabs>
              <w:ind w:firstLine="0" w:firstLineChars="0"/>
              <w:rPr>
                <w:rFonts w:asciiTheme="minorEastAsia" w:hAnsiTheme="minorEastAsia" w:eastAsiaTheme="minorEastAsia" w:cstheme="minorEastAsia"/>
                <w:szCs w:val="21"/>
              </w:rPr>
            </w:pPr>
            <w:r>
              <w:rPr>
                <w:rFonts w:hint="eastAsia" w:asciiTheme="minorEastAsia" w:hAnsiTheme="minorEastAsia" w:cstheme="minorEastAsia"/>
                <w:szCs w:val="21"/>
              </w:rPr>
              <w:t>5.</w:t>
            </w:r>
            <w:r>
              <w:rPr>
                <w:rFonts w:hint="eastAsia" w:asciiTheme="minorEastAsia" w:hAnsiTheme="minorEastAsia" w:eastAsiaTheme="minorEastAsia" w:cstheme="minorEastAsia"/>
                <w:szCs w:val="21"/>
              </w:rPr>
              <w:t>系统具有超强的兼容性，可支持IP视频接入协议：支持H.264/H.265/码流，GB28181、ONVIF、RTSP等协议</w:t>
            </w:r>
            <w:r>
              <w:rPr>
                <w:rFonts w:hint="eastAsia" w:asciiTheme="minorEastAsia" w:hAnsiTheme="minorEastAsia" w:cstheme="minorEastAsia"/>
                <w:szCs w:val="21"/>
              </w:rPr>
              <w:t>。</w:t>
            </w:r>
          </w:p>
          <w:p>
            <w:pPr>
              <w:pStyle w:val="90"/>
              <w:widowControl/>
              <w:tabs>
                <w:tab w:val="left" w:pos="567"/>
              </w:tabs>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6.系统支持信号板卡混插功能，支持输入、输出板卡可混合插入该信号槽，实现机箱的有效利用</w:t>
            </w:r>
            <w:r>
              <w:rPr>
                <w:rFonts w:hint="eastAsia" w:asciiTheme="minorEastAsia" w:hAnsiTheme="minorEastAsia" w:cstheme="minorEastAsia"/>
                <w:szCs w:val="21"/>
              </w:rPr>
              <w:t>。</w:t>
            </w:r>
          </w:p>
          <w:p>
            <w:pPr>
              <w:pStyle w:val="90"/>
              <w:widowControl/>
              <w:tabs>
                <w:tab w:val="left" w:pos="567"/>
              </w:tabs>
              <w:ind w:firstLine="0" w:firstLineChars="0"/>
              <w:rPr>
                <w:rFonts w:asciiTheme="minorEastAsia" w:hAnsiTheme="minorEastAsia" w:eastAsiaTheme="minorEastAsia" w:cstheme="minorEastAsia"/>
                <w:szCs w:val="21"/>
              </w:rPr>
            </w:pPr>
            <w:r>
              <w:rPr>
                <w:rFonts w:hint="eastAsia" w:asciiTheme="minorEastAsia" w:hAnsiTheme="minorEastAsia" w:cstheme="minorEastAsia"/>
                <w:szCs w:val="21"/>
              </w:rPr>
              <w:t>7.</w:t>
            </w:r>
            <w:r>
              <w:rPr>
                <w:rFonts w:hint="eastAsia" w:asciiTheme="minorEastAsia" w:hAnsiTheme="minorEastAsia" w:eastAsiaTheme="minorEastAsia" w:cstheme="minorEastAsia"/>
                <w:szCs w:val="21"/>
              </w:rPr>
              <w:t>系统具有快速开启功能，开机时间≤30秒</w:t>
            </w:r>
            <w:r>
              <w:rPr>
                <w:rFonts w:hint="eastAsia" w:asciiTheme="minorEastAsia" w:hAnsiTheme="minorEastAsia" w:cstheme="minorEastAsia"/>
                <w:szCs w:val="21"/>
              </w:rPr>
              <w:t>。</w:t>
            </w:r>
          </w:p>
          <w:p>
            <w:pPr>
              <w:pStyle w:val="90"/>
              <w:widowControl/>
              <w:tabs>
                <w:tab w:val="left" w:pos="567"/>
              </w:tabs>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★8.系统可扩展支持预览显示及全墙回显显示功能，最大支持32路输入信号预览显示和全墙回显，回显帧率不低于30帧/秒，需提供第三方检测报告。</w:t>
            </w:r>
          </w:p>
          <w:p>
            <w:pPr>
              <w:pStyle w:val="90"/>
              <w:widowControl/>
              <w:tabs>
                <w:tab w:val="left" w:pos="567"/>
              </w:tabs>
              <w:ind w:firstLine="0" w:firstLineChars="0"/>
              <w:rPr>
                <w:rFonts w:asciiTheme="minorEastAsia" w:hAnsiTheme="minorEastAsia" w:eastAsiaTheme="minorEastAsia" w:cstheme="minorEastAsia"/>
                <w:szCs w:val="21"/>
              </w:rPr>
            </w:pPr>
            <w:r>
              <w:rPr>
                <w:rFonts w:hint="eastAsia" w:asciiTheme="minorEastAsia" w:hAnsiTheme="minorEastAsia" w:cstheme="minorEastAsia"/>
                <w:szCs w:val="21"/>
              </w:rPr>
              <w:t>9.</w:t>
            </w:r>
            <w:r>
              <w:rPr>
                <w:rFonts w:hint="eastAsia" w:asciiTheme="minorEastAsia" w:hAnsiTheme="minorEastAsia" w:eastAsiaTheme="minorEastAsia" w:cstheme="minorEastAsia"/>
                <w:szCs w:val="21"/>
              </w:rPr>
              <w:t>★系统自带液晶显示面板，实现设备运行状态可视化。</w:t>
            </w:r>
          </w:p>
          <w:p>
            <w:pPr>
              <w:pStyle w:val="90"/>
              <w:widowControl/>
              <w:tabs>
                <w:tab w:val="left" w:pos="567"/>
              </w:tabs>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10.系统具备7×24小时的连续工作能力，具备高可靠性和高维护性的特点，投标方需对如何保证处理器的可靠性和安全性进行详细描述。</w:t>
            </w:r>
          </w:p>
          <w:p>
            <w:pPr>
              <w:pStyle w:val="90"/>
              <w:widowControl/>
              <w:tabs>
                <w:tab w:val="left" w:pos="567"/>
              </w:tabs>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highlight w:val="none"/>
              </w:rPr>
              <w:t>11.★</w:t>
            </w:r>
            <w:r>
              <w:rPr>
                <w:rFonts w:asciiTheme="minorEastAsia" w:hAnsiTheme="minorEastAsia" w:eastAsiaTheme="minorEastAsia" w:cstheme="minorEastAsia"/>
                <w:szCs w:val="21"/>
                <w:highlight w:val="none"/>
              </w:rPr>
              <w:t>平均无故障时间大于100,000 小时，平均修复时间小于30分钟，</w:t>
            </w:r>
            <w:r>
              <w:rPr>
                <w:rFonts w:hint="eastAsia" w:asciiTheme="minorEastAsia" w:hAnsiTheme="minorEastAsia" w:eastAsiaTheme="minorEastAsia" w:cstheme="minorEastAsia"/>
                <w:szCs w:val="21"/>
                <w:highlight w:val="none"/>
              </w:rPr>
              <w:t>需提供第三方专业检测机构出具的</w:t>
            </w:r>
            <w:r>
              <w:rPr>
                <w:rFonts w:asciiTheme="minorEastAsia" w:hAnsiTheme="minorEastAsia" w:eastAsiaTheme="minorEastAsia" w:cstheme="minorEastAsia"/>
                <w:szCs w:val="21"/>
                <w:highlight w:val="none"/>
              </w:rPr>
              <w:t>可靠性预计报告</w:t>
            </w:r>
            <w:r>
              <w:rPr>
                <w:rFonts w:hint="eastAsia" w:asciiTheme="minorEastAsia" w:hAnsiTheme="minorEastAsia" w:eastAsiaTheme="minorEastAsia" w:cstheme="minorEastAsia"/>
                <w:szCs w:val="21"/>
                <w:highlight w:val="none"/>
              </w:rPr>
              <w:t>。</w:t>
            </w:r>
          </w:p>
        </w:tc>
        <w:tc>
          <w:tcPr>
            <w:tcW w:w="659" w:type="dxa"/>
            <w:tcBorders>
              <w:top w:val="single" w:color="auto" w:sz="4" w:space="0"/>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658" w:type="dxa"/>
            <w:tcBorders>
              <w:top w:val="single" w:color="auto" w:sz="4" w:space="0"/>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821" w:type="dxa"/>
            <w:tcBorders>
              <w:top w:val="single" w:color="auto" w:sz="4" w:space="0"/>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rPr>
              <w:t>是</w:t>
            </w:r>
          </w:p>
        </w:tc>
      </w:tr>
      <w:tr>
        <w:tblPrEx>
          <w:tblLayout w:type="fixed"/>
          <w:tblCellMar>
            <w:top w:w="0" w:type="dxa"/>
            <w:left w:w="108" w:type="dxa"/>
            <w:bottom w:w="0" w:type="dxa"/>
            <w:right w:w="108" w:type="dxa"/>
          </w:tblCellMar>
        </w:tblPrEx>
        <w:trPr>
          <w:trHeight w:val="76" w:hRule="atLeast"/>
        </w:trPr>
        <w:tc>
          <w:tcPr>
            <w:tcW w:w="4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056" w:type="dxa"/>
            <w:tcBorders>
              <w:top w:val="single" w:color="auto" w:sz="4" w:space="0"/>
              <w:left w:val="single" w:color="auto" w:sz="4" w:space="0"/>
              <w:bottom w:val="single" w:color="000000" w:sz="4" w:space="0"/>
              <w:right w:val="single" w:color="auto" w:sz="4" w:space="0"/>
            </w:tcBorders>
            <w:shd w:val="clear" w:color="000000" w:fill="FFFFFF"/>
            <w:noWrap/>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控制管理软件</w:t>
            </w:r>
          </w:p>
        </w:tc>
        <w:tc>
          <w:tcPr>
            <w:tcW w:w="6114" w:type="dxa"/>
            <w:tcBorders>
              <w:top w:val="single" w:color="auto" w:sz="4" w:space="0"/>
              <w:left w:val="nil"/>
              <w:bottom w:val="single" w:color="auto" w:sz="4" w:space="0"/>
              <w:right w:val="single" w:color="auto" w:sz="4" w:space="0"/>
            </w:tcBorders>
            <w:vAlign w:val="center"/>
          </w:tcPr>
          <w:p>
            <w:pPr>
              <w:pStyle w:val="90"/>
              <w:widowControl/>
              <w:tabs>
                <w:tab w:val="left" w:pos="567"/>
              </w:tabs>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1.★具备C/S和B/S结构，既可以通过客户端软件登录控制软件管理大屏幕系统，也可以通过WEB浏览方式在IE等浏览器上远程登录控制软件管理大屏幕系统。</w:t>
            </w:r>
          </w:p>
          <w:p>
            <w:pPr>
              <w:pStyle w:val="90"/>
              <w:widowControl/>
              <w:tabs>
                <w:tab w:val="left" w:pos="567"/>
              </w:tabs>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2.软件支持Windows</w:t>
            </w:r>
            <w:r>
              <w:rPr>
                <w:rFonts w:hint="eastAsia" w:asciiTheme="minorEastAsia" w:hAnsiTheme="minorEastAsia" w:cstheme="minorEastAsia"/>
                <w:szCs w:val="21"/>
              </w:rPr>
              <w:t>、</w:t>
            </w:r>
            <w:r>
              <w:rPr>
                <w:rFonts w:hint="eastAsia" w:asciiTheme="minorEastAsia" w:hAnsiTheme="minorEastAsia" w:eastAsiaTheme="minorEastAsia" w:cstheme="minorEastAsia"/>
                <w:szCs w:val="21"/>
              </w:rPr>
              <w:t>Linux等操作系统平台上使用，</w:t>
            </w:r>
          </w:p>
          <w:p>
            <w:pPr>
              <w:pStyle w:val="90"/>
              <w:widowControl/>
              <w:tabs>
                <w:tab w:val="left" w:pos="567"/>
              </w:tabs>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3.控制管理软件具备信号管理、模式管理、预案管理、用户管理、设备管理等功能。投标人请详细描述。</w:t>
            </w:r>
          </w:p>
          <w:p>
            <w:pPr>
              <w:pStyle w:val="90"/>
              <w:widowControl/>
              <w:tabs>
                <w:tab w:val="left" w:pos="567"/>
              </w:tabs>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4.支持多客户端同时在线操作，允许同一用户账号在多台工作站同时在线对大屏幕进行操作。支持对各级用户设定对应权限。</w:t>
            </w:r>
          </w:p>
          <w:p>
            <w:pPr>
              <w:pStyle w:val="90"/>
              <w:widowControl/>
              <w:tabs>
                <w:tab w:val="left" w:pos="567"/>
              </w:tabs>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5.具有完整的二次开发接口，可为用户提供大屏幕应用的二次开发需要，真正发挥大屏幕系统高分辨率、多信号源、跨平台、集中显示的优势。</w:t>
            </w:r>
          </w:p>
          <w:p>
            <w:pPr>
              <w:pStyle w:val="90"/>
              <w:widowControl/>
              <w:tabs>
                <w:tab w:val="left" w:pos="567"/>
              </w:tabs>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6.需提供DLP大屏幕系统投标品牌具有的大屏幕控制管理软件的计算机软件著作权登记证书扫描件。</w:t>
            </w:r>
          </w:p>
        </w:tc>
        <w:tc>
          <w:tcPr>
            <w:tcW w:w="659" w:type="dxa"/>
            <w:tcBorders>
              <w:top w:val="nil"/>
              <w:left w:val="single" w:color="auto" w:sz="4" w:space="0"/>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c>
          <w:tcPr>
            <w:tcW w:w="658"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821"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rPr>
              <w:t>否</w:t>
            </w:r>
          </w:p>
        </w:tc>
      </w:tr>
      <w:tr>
        <w:tblPrEx>
          <w:tblLayout w:type="fixed"/>
          <w:tblCellMar>
            <w:top w:w="0" w:type="dxa"/>
            <w:left w:w="108" w:type="dxa"/>
            <w:bottom w:w="0" w:type="dxa"/>
            <w:right w:w="108" w:type="dxa"/>
          </w:tblCellMar>
        </w:tblPrEx>
        <w:trPr>
          <w:trHeight w:val="127" w:hRule="atLeast"/>
        </w:trPr>
        <w:tc>
          <w:tcPr>
            <w:tcW w:w="480" w:type="dxa"/>
            <w:tcBorders>
              <w:top w:val="nil"/>
              <w:left w:val="single" w:color="auto" w:sz="4" w:space="0"/>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1056"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zh-CN"/>
              </w:rPr>
              <w:t>大数据可视化集控应用系统软件</w:t>
            </w:r>
          </w:p>
        </w:tc>
        <w:tc>
          <w:tcPr>
            <w:tcW w:w="6114" w:type="dxa"/>
            <w:tcBorders>
              <w:top w:val="single" w:color="auto" w:sz="4" w:space="0"/>
              <w:left w:val="nil"/>
              <w:bottom w:val="single" w:color="auto" w:sz="4" w:space="0"/>
              <w:right w:val="single" w:color="auto" w:sz="4" w:space="0"/>
            </w:tcBorders>
            <w:vAlign w:val="center"/>
          </w:tcPr>
          <w:p>
            <w:pPr>
              <w:pStyle w:val="90"/>
              <w:widowControl/>
              <w:tabs>
                <w:tab w:val="left" w:pos="567"/>
              </w:tabs>
              <w:ind w:firstLine="315" w:firstLine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融媒体高分可视化平台建设任务主要有集中化融合呈现场景定制、支撑系统软件开发两部分。其中支撑系统软件提供集中化融合展示场景定制所需的工具和展示场景运行所需的相关软件。通过支撑系统软件实现场景的呈现调用、大屏交互控制和专题场景自定义配置。</w:t>
            </w:r>
          </w:p>
          <w:p>
            <w:pPr>
              <w:pStyle w:val="90"/>
              <w:widowControl/>
              <w:tabs>
                <w:tab w:val="left" w:pos="567"/>
              </w:tabs>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★1.可视化服务器需具有CCC、ROHS认证证书。</w:t>
            </w:r>
          </w:p>
          <w:p>
            <w:pPr>
              <w:pStyle w:val="90"/>
              <w:widowControl/>
              <w:tabs>
                <w:tab w:val="left" w:pos="567"/>
              </w:tabs>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2.提供制作超高分显示内容的一整套工具集，包括内容编辑制作工具，内容发布工具，内容播放显示工具，内容交互控制工具。</w:t>
            </w:r>
          </w:p>
          <w:p>
            <w:pPr>
              <w:pStyle w:val="90"/>
              <w:widowControl/>
              <w:tabs>
                <w:tab w:val="left" w:pos="567"/>
              </w:tabs>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编辑制作工具可以支持超高分显示，根据拼接墙系统分辨率（1920*4）X(1080*2)创建相同分辨率的显示平台，可以对图文、业务系统的信号进行综合编排和展示。支持所见即所得的编排设计，简单快速制作出适合拼接墙展示的专业演示方案。</w:t>
            </w:r>
          </w:p>
          <w:p>
            <w:pPr>
              <w:pStyle w:val="90"/>
              <w:widowControl/>
              <w:tabs>
                <w:tab w:val="left" w:pos="567"/>
              </w:tabs>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hint="eastAsia" w:asciiTheme="minorEastAsia" w:hAnsiTheme="minorEastAsia" w:cstheme="minorEastAsia"/>
                <w:szCs w:val="21"/>
              </w:rPr>
              <w:t>4</w:t>
            </w:r>
            <w:r>
              <w:rPr>
                <w:rFonts w:hint="eastAsia" w:asciiTheme="minorEastAsia" w:hAnsiTheme="minorEastAsia" w:eastAsiaTheme="minorEastAsia" w:cstheme="minorEastAsia"/>
                <w:szCs w:val="21"/>
              </w:rPr>
              <w:t>.本次融媒体超高分可视化展示平台需要提供多种界面的显示功能，包含超高分辨率大屏幕界面、PC控制端（Windows）界面、移动控制端界面等三个显示展示平台。移动控制客户端支持苹果应用商城、安卓应用商城上下载。</w:t>
            </w:r>
          </w:p>
          <w:p>
            <w:pPr>
              <w:pStyle w:val="90"/>
              <w:widowControl/>
              <w:tabs>
                <w:tab w:val="left" w:pos="567"/>
              </w:tabs>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hint="eastAsia" w:asciiTheme="minorEastAsia" w:hAnsiTheme="minorEastAsia" w:cstheme="minorEastAsia"/>
                <w:szCs w:val="21"/>
              </w:rPr>
              <w:t>5</w:t>
            </w:r>
            <w:r>
              <w:rPr>
                <w:rFonts w:hint="eastAsia" w:asciiTheme="minorEastAsia" w:hAnsiTheme="minorEastAsia" w:eastAsiaTheme="minorEastAsia" w:cstheme="minorEastAsia"/>
                <w:szCs w:val="21"/>
              </w:rPr>
              <w:t>.对所有多媒体素材、实时视频信号和整合的业务应用进行灵活编辑排版，支持新建、删除、复制、剪切、粘贴、缩放、移动、旋转、撤销操作，满足客户所见即所得的展示效果；支持对象边框样式设置；设置对象层次并对页内所有层次进行管理。</w:t>
            </w:r>
          </w:p>
          <w:p>
            <w:pPr>
              <w:pStyle w:val="90"/>
              <w:widowControl/>
              <w:tabs>
                <w:tab w:val="left" w:pos="567"/>
              </w:tabs>
              <w:ind w:firstLine="0" w:firstLineChars="0"/>
              <w:rPr>
                <w:rFonts w:asciiTheme="minorEastAsia" w:hAnsiTheme="minorEastAsia" w:eastAsiaTheme="minorEastAsia" w:cstheme="minorEastAsia"/>
                <w:szCs w:val="21"/>
              </w:rPr>
            </w:pPr>
            <w:r>
              <w:rPr>
                <w:rFonts w:hint="eastAsia" w:asciiTheme="minorEastAsia" w:hAnsiTheme="minorEastAsia" w:cstheme="minorEastAsia"/>
                <w:szCs w:val="21"/>
              </w:rPr>
              <w:t>6</w:t>
            </w:r>
            <w:r>
              <w:rPr>
                <w:rFonts w:hint="eastAsia" w:asciiTheme="minorEastAsia" w:hAnsiTheme="minorEastAsia" w:eastAsiaTheme="minorEastAsia" w:cstheme="minorEastAsia"/>
                <w:szCs w:val="21"/>
              </w:rPr>
              <w:t>.支持多层次、多维度业务展示，包括事件和热点关联、位置关联，逐层呈现，满足客户对全局信息掌控需求。</w:t>
            </w:r>
          </w:p>
          <w:p>
            <w:pPr>
              <w:pStyle w:val="90"/>
              <w:widowControl/>
              <w:tabs>
                <w:tab w:val="left" w:pos="567"/>
              </w:tabs>
              <w:ind w:firstLine="0" w:firstLineChars="0"/>
              <w:rPr>
                <w:rFonts w:asciiTheme="minorEastAsia" w:hAnsiTheme="minorEastAsia" w:eastAsiaTheme="minorEastAsia" w:cstheme="minorEastAsia"/>
                <w:szCs w:val="21"/>
              </w:rPr>
            </w:pPr>
            <w:r>
              <w:rPr>
                <w:rFonts w:hint="eastAsia" w:asciiTheme="minorEastAsia" w:hAnsiTheme="minorEastAsia" w:cstheme="minorEastAsia"/>
                <w:szCs w:val="21"/>
              </w:rPr>
              <w:t>7</w:t>
            </w:r>
            <w:r>
              <w:rPr>
                <w:rFonts w:hint="eastAsia" w:asciiTheme="minorEastAsia" w:hAnsiTheme="minorEastAsia" w:eastAsiaTheme="minorEastAsia" w:cstheme="minorEastAsia"/>
                <w:szCs w:val="21"/>
              </w:rPr>
              <w:t>.支持常用对象组件，包括文本、图片、视频、几何图形、大屏信号源列表，也支持图表组件,包括柱状图、饼状图、环形图，仪表图、雷达图、面积图，折线图等，可使用组件快速编辑超高分展示场景。</w:t>
            </w:r>
          </w:p>
          <w:p>
            <w:pPr>
              <w:pStyle w:val="90"/>
              <w:widowControl/>
              <w:tabs>
                <w:tab w:val="left" w:pos="567"/>
              </w:tabs>
              <w:ind w:firstLine="0" w:firstLineChars="0"/>
              <w:rPr>
                <w:rFonts w:asciiTheme="minorEastAsia" w:hAnsiTheme="minorEastAsia" w:eastAsiaTheme="minorEastAsia" w:cstheme="minorEastAsia"/>
                <w:szCs w:val="21"/>
              </w:rPr>
            </w:pPr>
            <w:r>
              <w:rPr>
                <w:rFonts w:hint="eastAsia" w:asciiTheme="minorEastAsia" w:hAnsiTheme="minorEastAsia" w:cstheme="minorEastAsia"/>
                <w:szCs w:val="21"/>
              </w:rPr>
              <w:t>8</w:t>
            </w:r>
            <w:r>
              <w:rPr>
                <w:rFonts w:hint="eastAsia" w:asciiTheme="minorEastAsia" w:hAnsiTheme="minorEastAsia" w:eastAsiaTheme="minorEastAsia" w:cstheme="minorEastAsia"/>
                <w:szCs w:val="21"/>
              </w:rPr>
              <w:t>.具备业务系统图像的直接接入能力，支持通过信号处理器调用RGB、VIDEO、远程桌面和IP视频的信号窗口等信号源，可控制其在高分展示平台的叠加位置，并能通过组件渲染实现融合一致平滑画面效果。</w:t>
            </w:r>
          </w:p>
          <w:p>
            <w:pPr>
              <w:pStyle w:val="90"/>
              <w:widowControl/>
              <w:tabs>
                <w:tab w:val="left" w:pos="567"/>
              </w:tabs>
              <w:ind w:firstLine="0" w:firstLineChars="0"/>
              <w:rPr>
                <w:rFonts w:asciiTheme="minorEastAsia" w:hAnsiTheme="minorEastAsia" w:eastAsiaTheme="minorEastAsia" w:cstheme="minorEastAsia"/>
                <w:szCs w:val="21"/>
              </w:rPr>
            </w:pPr>
            <w:r>
              <w:rPr>
                <w:rFonts w:hint="eastAsia" w:asciiTheme="minorEastAsia" w:hAnsiTheme="minorEastAsia" w:cstheme="minorEastAsia"/>
                <w:szCs w:val="21"/>
              </w:rPr>
              <w:t>9</w:t>
            </w:r>
            <w:r>
              <w:rPr>
                <w:rFonts w:hint="eastAsia" w:asciiTheme="minorEastAsia" w:hAnsiTheme="minorEastAsia" w:eastAsiaTheme="minorEastAsia" w:cstheme="minorEastAsia"/>
                <w:szCs w:val="21"/>
              </w:rPr>
              <w:t>.支持超高分辨率和高速显示刷新功能：真实利用拼接大屏整个物理分辨率，采用高速图像处理技术整屏显示，全屏刷新时间小于1秒，保证业务信息高效显示。</w:t>
            </w:r>
          </w:p>
          <w:p>
            <w:pPr>
              <w:pStyle w:val="90"/>
              <w:widowControl/>
              <w:tabs>
                <w:tab w:val="left" w:pos="567"/>
              </w:tabs>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cstheme="minorEastAsia"/>
                <w:szCs w:val="21"/>
              </w:rPr>
              <w:t>0</w:t>
            </w:r>
            <w:r>
              <w:rPr>
                <w:rFonts w:hint="eastAsia" w:asciiTheme="minorEastAsia" w:hAnsiTheme="minorEastAsia" w:eastAsiaTheme="minorEastAsia" w:cstheme="minorEastAsia"/>
                <w:szCs w:val="21"/>
              </w:rPr>
              <w:t>.具备全屏画面同步显示功能：全屏超高分辨率画面显示具有极高的同步性和平滑性，充分发挥拼接大屏超高分辨率海量信息显示的优势。</w:t>
            </w:r>
          </w:p>
          <w:p>
            <w:pPr>
              <w:pStyle w:val="90"/>
              <w:widowControl/>
              <w:tabs>
                <w:tab w:val="left" w:pos="567"/>
              </w:tabs>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cstheme="minorEastAsia"/>
                <w:szCs w:val="21"/>
              </w:rPr>
              <w:t>1</w:t>
            </w:r>
            <w:r>
              <w:rPr>
                <w:rFonts w:hint="eastAsia" w:asciiTheme="minorEastAsia" w:hAnsiTheme="minorEastAsia" w:eastAsiaTheme="minorEastAsia" w:cstheme="minorEastAsia"/>
                <w:szCs w:val="21"/>
              </w:rPr>
              <w:t>.支持GIS地图组件，显示GIS地图，可进行放大，平移操作和图层控制。支持WEB组件，嵌入和显示基于浏览器的Html页面内容。支持数据库组件，可视化图表可以配置连接数据库，动态更新数据。</w:t>
            </w:r>
          </w:p>
          <w:p>
            <w:pPr>
              <w:pStyle w:val="90"/>
              <w:widowControl/>
              <w:tabs>
                <w:tab w:val="left" w:pos="567"/>
              </w:tabs>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cstheme="minorEastAsia"/>
                <w:szCs w:val="21"/>
              </w:rPr>
              <w:t>2</w:t>
            </w:r>
            <w:r>
              <w:rPr>
                <w:rFonts w:hint="eastAsia" w:asciiTheme="minorEastAsia" w:hAnsiTheme="minorEastAsia" w:eastAsiaTheme="minorEastAsia" w:cstheme="minorEastAsia"/>
                <w:szCs w:val="21"/>
              </w:rPr>
              <w:t>.可视化组件配置。提供可视化组件配置界面，用户可通过浏览器自行配置可视化组件布局、大小、颜色、状态、皮肤、自适应性指标等，配合的生效范围可控制在用户级、系统级。具备集成浏览器页面的能力，方便将基于浏览器开发的各种应用系统进行集中调用，高分可视化系统对集成的浏览器页面具备裁剪能力，可以截取浏览器的部分内容作为组件进行展示。</w:t>
            </w:r>
          </w:p>
          <w:p>
            <w:pPr>
              <w:pStyle w:val="90"/>
              <w:widowControl/>
              <w:tabs>
                <w:tab w:val="left" w:pos="567"/>
              </w:tabs>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cstheme="minorEastAsia"/>
                <w:szCs w:val="21"/>
              </w:rPr>
              <w:t>3</w:t>
            </w:r>
            <w:r>
              <w:rPr>
                <w:rFonts w:hint="eastAsia" w:asciiTheme="minorEastAsia" w:hAnsiTheme="minorEastAsia" w:eastAsiaTheme="minorEastAsia" w:cstheme="minorEastAsia"/>
                <w:szCs w:val="21"/>
              </w:rPr>
              <w:t>.系统具有高安全性，严格的权限控制：根据系统对象的不同，提供多类用户权限：系统管理权限、普通管理员权限、操作员权限。支持对墙、信号源、模式、拼墙区域、应用场景按照不同权限分配给不同用户。</w:t>
            </w:r>
          </w:p>
          <w:p>
            <w:pPr>
              <w:pStyle w:val="90"/>
              <w:widowControl/>
              <w:tabs>
                <w:tab w:val="left" w:pos="567"/>
              </w:tabs>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cstheme="minorEastAsia"/>
                <w:szCs w:val="21"/>
              </w:rPr>
              <w:t>4</w:t>
            </w:r>
            <w:r>
              <w:rPr>
                <w:rFonts w:hint="eastAsia" w:asciiTheme="minorEastAsia" w:hAnsiTheme="minorEastAsia" w:eastAsiaTheme="minorEastAsia" w:cstheme="minorEastAsia"/>
                <w:szCs w:val="21"/>
              </w:rPr>
              <w:t>.支持超高分控制，高分可视化内容可以实时回显在操作终端(PAD、手机、触控PC)，可以任意放大倍数查看、实时进行交互点击操作。按照大屏幕分辨率实际回显并完成控制，回显效果跟分辨率大小及操作客户端的性能有关，支持android系统、iOS系统鼠标点击操作，支持Windows系统的鼠标点击、键盘输入操作。</w:t>
            </w:r>
          </w:p>
          <w:p>
            <w:pPr>
              <w:pStyle w:val="90"/>
              <w:widowControl/>
              <w:tabs>
                <w:tab w:val="left" w:pos="567"/>
              </w:tabs>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cstheme="minorEastAsia"/>
                <w:szCs w:val="21"/>
              </w:rPr>
              <w:t>5</w:t>
            </w:r>
            <w:r>
              <w:rPr>
                <w:rFonts w:hint="eastAsia" w:asciiTheme="minorEastAsia" w:hAnsiTheme="minorEastAsia" w:eastAsiaTheme="minorEastAsia" w:cstheme="minorEastAsia"/>
                <w:szCs w:val="21"/>
              </w:rPr>
              <w:t>.支持组件库功能，可将场景内一个或多个对象进行组合和解除组合操作；支持场景内一个或多个对象以组件方式保存到组件库；支持组件库管理，可在节目中预览或调用组件库中的组件对象。</w:t>
            </w:r>
          </w:p>
          <w:p>
            <w:pPr>
              <w:pStyle w:val="90"/>
              <w:widowControl/>
              <w:tabs>
                <w:tab w:val="left" w:pos="567"/>
              </w:tabs>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cstheme="minorEastAsia"/>
                <w:szCs w:val="21"/>
              </w:rPr>
              <w:t>6</w:t>
            </w:r>
            <w:r>
              <w:rPr>
                <w:rFonts w:hint="eastAsia" w:asciiTheme="minorEastAsia" w:hAnsiTheme="minorEastAsia" w:eastAsiaTheme="minorEastAsia" w:cstheme="minorEastAsia"/>
                <w:szCs w:val="21"/>
              </w:rPr>
              <w:t>.支持信号可视化调度与操作，系统使用所见即所得的控制方式：即所有可操作的信号在操作终端中必须提供实时预览；所有受控大屏幕、应用系统显示，在操作终端中必须提供实时全屏回显；所有信号操作（如开关窗、移动、放大缩小、替换），都能实时在操作终端中显示。</w:t>
            </w:r>
          </w:p>
          <w:p>
            <w:pPr>
              <w:pStyle w:val="90"/>
              <w:widowControl/>
              <w:tabs>
                <w:tab w:val="left" w:pos="567"/>
              </w:tabs>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cstheme="minorEastAsia"/>
                <w:szCs w:val="21"/>
              </w:rPr>
              <w:t>7</w:t>
            </w:r>
            <w:r>
              <w:rPr>
                <w:rFonts w:hint="eastAsia" w:asciiTheme="minorEastAsia" w:hAnsiTheme="minorEastAsia" w:eastAsiaTheme="minorEastAsia" w:cstheme="minorEastAsia"/>
                <w:szCs w:val="21"/>
              </w:rPr>
              <w:t>.支持流程化控制与操作，流程中可集成模式和延时操作, 能够按照指定的顺序和间隔时间来控制控制室内的设备（处理器、信号源、信号路由设备等）、计算机上可以打开的各种应用程序、文档、图片、视频等；支持手动和自动启动，自动启动可以按日、周、月、年循环自动启动，也可以定时循环固定次数自动启动。</w:t>
            </w:r>
          </w:p>
          <w:p>
            <w:pPr>
              <w:pStyle w:val="90"/>
              <w:widowControl/>
              <w:tabs>
                <w:tab w:val="left" w:pos="567"/>
              </w:tabs>
              <w:ind w:firstLine="0" w:firstLineChars="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1</w:t>
            </w:r>
            <w:r>
              <w:rPr>
                <w:rFonts w:hint="eastAsia" w:asciiTheme="minorEastAsia" w:hAnsiTheme="minorEastAsia" w:cstheme="minorEastAsia"/>
                <w:szCs w:val="21"/>
              </w:rPr>
              <w:t>8</w:t>
            </w:r>
            <w:r>
              <w:rPr>
                <w:rFonts w:hint="eastAsia" w:asciiTheme="minorEastAsia" w:hAnsiTheme="minorEastAsia" w:eastAsiaTheme="minorEastAsia" w:cstheme="minorEastAsia"/>
                <w:szCs w:val="21"/>
              </w:rPr>
              <w:t>.信号互联互通，通过触摸控制端可以推送信号到手机等其他客户端 （IOS、android、触摸显示终端），在手机上可以查看推送的信号，也可以查看具有查看权限的信号，对推送过来的信号可以进行标注决策，并把标注决策指令推送回控制室，实现移动办公，远程讨论及决策。</w:t>
            </w:r>
          </w:p>
          <w:p>
            <w:pPr>
              <w:pStyle w:val="90"/>
              <w:widowControl/>
              <w:tabs>
                <w:tab w:val="left" w:pos="567"/>
              </w:tabs>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★19.3D的可视化交互控制：提供2个3D控制室模型给用户选择，在3D模型场景中可漫游，并可在模型中直接控制大屏</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包括开窗、关窗、替换窗口、全屏窗口、平铺窗口、实时画面回显。针对多个大屏，支持 3D 控制室的多墙联动，在同一场景下可完成对多个拼墙的实时控制和实时画面回显。支持对控制室的环境控制，并且动态操作展示，包括灯光的点亮与关闭、窗帘的拉起和打开等。</w:t>
            </w:r>
          </w:p>
          <w:p>
            <w:pPr>
              <w:pStyle w:val="90"/>
              <w:widowControl/>
              <w:tabs>
                <w:tab w:val="left" w:pos="567"/>
              </w:tabs>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cstheme="minorEastAsia"/>
                <w:szCs w:val="21"/>
              </w:rPr>
              <w:t>0</w:t>
            </w:r>
            <w:r>
              <w:rPr>
                <w:rFonts w:hint="eastAsia" w:asciiTheme="minorEastAsia" w:hAnsiTheme="minorEastAsia" w:eastAsiaTheme="minorEastAsia" w:cstheme="minorEastAsia"/>
                <w:szCs w:val="21"/>
              </w:rPr>
              <w:t>.大数据系统对接，云服务对接，通过云服务开放的接口或协议方式对接，获取需要展示的新闻信息，实现多层次、多级别展现最新新闻信息。</w:t>
            </w:r>
          </w:p>
          <w:p>
            <w:pPr>
              <w:pStyle w:val="90"/>
              <w:widowControl/>
              <w:tabs>
                <w:tab w:val="left" w:pos="567"/>
              </w:tabs>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cstheme="minorEastAsia"/>
                <w:szCs w:val="21"/>
              </w:rPr>
              <w:t>1</w:t>
            </w:r>
            <w:r>
              <w:rPr>
                <w:rFonts w:hint="eastAsia" w:asciiTheme="minorEastAsia" w:hAnsiTheme="minorEastAsia" w:eastAsiaTheme="minorEastAsia" w:cstheme="minorEastAsia"/>
                <w:szCs w:val="21"/>
              </w:rPr>
              <w:t>.采编平台对接，支持通过多种方式（包括数据库方式）实现数据对接，可以根据客户开放的数据库权限以及提供的指定数据的查询SQL语句，实现数据的分类和梳理，便于全局呈现。</w:t>
            </w:r>
          </w:p>
          <w:p>
            <w:pPr>
              <w:pStyle w:val="90"/>
              <w:widowControl/>
              <w:tabs>
                <w:tab w:val="left" w:pos="567"/>
              </w:tabs>
              <w:ind w:firstLine="0" w:firstLineChars="0"/>
              <w:rPr>
                <w:rFonts w:asciiTheme="minorEastAsia" w:hAnsiTheme="minorEastAsia" w:eastAsiaTheme="minorEastAsia" w:cstheme="minorEastAsia"/>
                <w:szCs w:val="21"/>
                <w:lang w:val="zh-CN"/>
              </w:rPr>
            </w:pPr>
            <w:r>
              <w:rPr>
                <w:rFonts w:hint="eastAsia" w:asciiTheme="minorEastAsia" w:hAnsiTheme="minorEastAsia" w:cstheme="minorEastAsia"/>
                <w:szCs w:val="21"/>
              </w:rPr>
              <w:t>22</w:t>
            </w:r>
            <w:r>
              <w:rPr>
                <w:rFonts w:hint="eastAsia" w:asciiTheme="minorEastAsia" w:hAnsiTheme="minorEastAsia" w:eastAsiaTheme="minorEastAsia" w:cstheme="minorEastAsia"/>
                <w:szCs w:val="21"/>
              </w:rPr>
              <w:t>.所提供产品需要为成熟稳定产品，厂家具有自主知识产权产品，须提供大数据可视化应用软件著作权登记证书扫描件。</w:t>
            </w:r>
          </w:p>
        </w:tc>
        <w:tc>
          <w:tcPr>
            <w:tcW w:w="659"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c>
          <w:tcPr>
            <w:tcW w:w="658"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821"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rPr>
              <w:t>否</w:t>
            </w:r>
          </w:p>
        </w:tc>
      </w:tr>
      <w:tr>
        <w:tblPrEx>
          <w:tblLayout w:type="fixed"/>
          <w:tblCellMar>
            <w:top w:w="0" w:type="dxa"/>
            <w:left w:w="108" w:type="dxa"/>
            <w:bottom w:w="0" w:type="dxa"/>
            <w:right w:w="108" w:type="dxa"/>
          </w:tblCellMar>
        </w:tblPrEx>
        <w:trPr>
          <w:trHeight w:val="76" w:hRule="atLeast"/>
        </w:trPr>
        <w:tc>
          <w:tcPr>
            <w:tcW w:w="480" w:type="dxa"/>
            <w:tcBorders>
              <w:top w:val="nil"/>
              <w:left w:val="single" w:color="auto" w:sz="4" w:space="0"/>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1056"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大屏幕基础底座</w:t>
            </w:r>
          </w:p>
        </w:tc>
        <w:tc>
          <w:tcPr>
            <w:tcW w:w="6114" w:type="dxa"/>
            <w:tcBorders>
              <w:top w:val="single" w:color="auto" w:sz="4" w:space="0"/>
              <w:left w:val="nil"/>
              <w:bottom w:val="single" w:color="auto" w:sz="4" w:space="0"/>
              <w:right w:val="single" w:color="auto" w:sz="4" w:space="0"/>
            </w:tcBorders>
            <w:vAlign w:val="center"/>
          </w:tcPr>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高度根据实际情况定制。</w:t>
            </w:r>
          </w:p>
        </w:tc>
        <w:tc>
          <w:tcPr>
            <w:tcW w:w="659"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c>
          <w:tcPr>
            <w:tcW w:w="658"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821"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rPr>
              <w:t>否</w:t>
            </w:r>
          </w:p>
        </w:tc>
      </w:tr>
      <w:tr>
        <w:tblPrEx>
          <w:tblLayout w:type="fixed"/>
          <w:tblCellMar>
            <w:top w:w="0" w:type="dxa"/>
            <w:left w:w="108" w:type="dxa"/>
            <w:bottom w:w="0" w:type="dxa"/>
            <w:right w:w="108" w:type="dxa"/>
          </w:tblCellMar>
        </w:tblPrEx>
        <w:trPr>
          <w:trHeight w:val="76" w:hRule="atLeast"/>
        </w:trPr>
        <w:tc>
          <w:tcPr>
            <w:tcW w:w="480" w:type="dxa"/>
            <w:tcBorders>
              <w:top w:val="nil"/>
              <w:left w:val="single" w:color="auto" w:sz="4" w:space="0"/>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1056"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线缆</w:t>
            </w:r>
          </w:p>
        </w:tc>
        <w:tc>
          <w:tcPr>
            <w:tcW w:w="6114" w:type="dxa"/>
            <w:tcBorders>
              <w:left w:val="nil"/>
              <w:bottom w:val="single" w:color="auto" w:sz="4" w:space="0"/>
              <w:right w:val="single" w:color="auto" w:sz="4" w:space="0"/>
            </w:tcBorders>
            <w:vAlign w:val="center"/>
          </w:tcPr>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网线、DVI线缆等。</w:t>
            </w:r>
          </w:p>
        </w:tc>
        <w:tc>
          <w:tcPr>
            <w:tcW w:w="659"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c>
          <w:tcPr>
            <w:tcW w:w="658"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821"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rPr>
              <w:t>否</w:t>
            </w:r>
          </w:p>
        </w:tc>
      </w:tr>
      <w:tr>
        <w:tblPrEx>
          <w:tblLayout w:type="fixed"/>
          <w:tblCellMar>
            <w:top w:w="0" w:type="dxa"/>
            <w:left w:w="108" w:type="dxa"/>
            <w:bottom w:w="0" w:type="dxa"/>
            <w:right w:w="108" w:type="dxa"/>
          </w:tblCellMar>
        </w:tblPrEx>
        <w:trPr>
          <w:trHeight w:val="76" w:hRule="atLeast"/>
        </w:trPr>
        <w:tc>
          <w:tcPr>
            <w:tcW w:w="480" w:type="dxa"/>
            <w:tcBorders>
              <w:top w:val="nil"/>
              <w:left w:val="single" w:color="auto" w:sz="4" w:space="0"/>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1056"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壁挂全频扬声器</w:t>
            </w:r>
          </w:p>
        </w:tc>
        <w:tc>
          <w:tcPr>
            <w:tcW w:w="6114" w:type="dxa"/>
            <w:tcBorders>
              <w:left w:val="nil"/>
              <w:bottom w:val="single" w:color="auto" w:sz="4" w:space="0"/>
              <w:right w:val="single" w:color="auto" w:sz="4" w:space="0"/>
            </w:tcBorders>
            <w:vAlign w:val="center"/>
          </w:tcPr>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低频驱动器：2×3.5"</w:t>
            </w:r>
            <w:r>
              <w:rPr>
                <w:rFonts w:hint="eastAsia" w:asciiTheme="minorEastAsia" w:hAnsiTheme="minorEastAsia" w:cstheme="minorEastAsia"/>
                <w:sz w:val="21"/>
                <w:szCs w:val="21"/>
              </w:rPr>
              <w:t>；</w:t>
            </w:r>
            <w:r>
              <w:rPr>
                <w:rFonts w:hint="eastAsia" w:asciiTheme="minorEastAsia" w:hAnsiTheme="minorEastAsia" w:eastAsiaTheme="minorEastAsia" w:cstheme="minorEastAsia"/>
                <w:sz w:val="21"/>
                <w:szCs w:val="21"/>
              </w:rPr>
              <w:t>高频驱动器：0.75"</w:t>
            </w:r>
            <w:r>
              <w:rPr>
                <w:rFonts w:hint="eastAsia" w:asciiTheme="minorEastAsia" w:hAnsiTheme="minorEastAsia" w:cstheme="minorEastAsia"/>
                <w:sz w:val="21"/>
                <w:szCs w:val="21"/>
              </w:rPr>
              <w:t>；</w:t>
            </w:r>
            <w:r>
              <w:rPr>
                <w:rFonts w:hint="eastAsia" w:asciiTheme="minorEastAsia" w:hAnsiTheme="minorEastAsia" w:eastAsiaTheme="minorEastAsia" w:cstheme="minorEastAsia"/>
                <w:sz w:val="21"/>
                <w:szCs w:val="21"/>
              </w:rPr>
              <w:t>频率响应（-10dB）：85Hz ~ 20kHz</w:t>
            </w:r>
            <w:r>
              <w:rPr>
                <w:rFonts w:hint="eastAsia" w:asciiTheme="minorEastAsia" w:hAnsiTheme="minorEastAsia" w:cstheme="minorEastAsia"/>
                <w:sz w:val="21"/>
                <w:szCs w:val="21"/>
              </w:rPr>
              <w:t>；</w:t>
            </w:r>
            <w:r>
              <w:rPr>
                <w:rFonts w:hint="eastAsia" w:asciiTheme="minorEastAsia" w:hAnsiTheme="minorEastAsia" w:eastAsiaTheme="minorEastAsia" w:cstheme="minorEastAsia"/>
                <w:sz w:val="21"/>
                <w:szCs w:val="21"/>
              </w:rPr>
              <w:t>覆盖角度（水平×垂直，-6dB）：140° × 100°</w:t>
            </w:r>
            <w:r>
              <w:rPr>
                <w:rFonts w:hint="eastAsia" w:asciiTheme="minorEastAsia" w:hAnsiTheme="minorEastAsia" w:cstheme="minorEastAsia"/>
                <w:sz w:val="21"/>
                <w:szCs w:val="21"/>
              </w:rPr>
              <w:t>；</w:t>
            </w:r>
            <w:r>
              <w:rPr>
                <w:rFonts w:hint="eastAsia" w:asciiTheme="minorEastAsia" w:hAnsiTheme="minorEastAsia" w:eastAsiaTheme="minorEastAsia" w:cstheme="minorEastAsia"/>
                <w:sz w:val="21"/>
                <w:szCs w:val="21"/>
              </w:rPr>
              <w:t>持续/峰值功率：75W/300W</w:t>
            </w:r>
            <w:r>
              <w:rPr>
                <w:rFonts w:hint="eastAsia" w:asciiTheme="minorEastAsia" w:hAnsiTheme="minorEastAsia" w:cstheme="minorEastAsia"/>
                <w:sz w:val="21"/>
                <w:szCs w:val="21"/>
              </w:rPr>
              <w:t>；</w:t>
            </w:r>
            <w:r>
              <w:rPr>
                <w:rFonts w:hint="eastAsia" w:asciiTheme="minorEastAsia" w:hAnsiTheme="minorEastAsia" w:eastAsiaTheme="minorEastAsia" w:cstheme="minorEastAsia"/>
                <w:sz w:val="21"/>
                <w:szCs w:val="21"/>
              </w:rPr>
              <w:t>灵敏度：87dB</w:t>
            </w:r>
            <w:r>
              <w:rPr>
                <w:rFonts w:hint="eastAsia" w:asciiTheme="minorEastAsia" w:hAnsiTheme="minorEastAsia" w:cstheme="minorEastAsia"/>
                <w:sz w:val="21"/>
                <w:szCs w:val="21"/>
              </w:rPr>
              <w:t>；</w:t>
            </w:r>
            <w:r>
              <w:rPr>
                <w:rFonts w:hint="eastAsia" w:asciiTheme="minorEastAsia" w:hAnsiTheme="minorEastAsia" w:eastAsiaTheme="minorEastAsia" w:cstheme="minorEastAsia"/>
                <w:sz w:val="21"/>
                <w:szCs w:val="21"/>
              </w:rPr>
              <w:t>最大声压级：112dB</w:t>
            </w:r>
            <w:r>
              <w:rPr>
                <w:rFonts w:hint="eastAsia" w:asciiTheme="minorEastAsia" w:hAnsiTheme="minorEastAsia" w:cstheme="minorEastAsia"/>
                <w:sz w:val="21"/>
                <w:szCs w:val="21"/>
              </w:rPr>
              <w:t>；</w:t>
            </w:r>
            <w:r>
              <w:rPr>
                <w:rFonts w:hint="eastAsia" w:asciiTheme="minorEastAsia" w:hAnsiTheme="minorEastAsia" w:eastAsiaTheme="minorEastAsia" w:cstheme="minorEastAsia"/>
                <w:sz w:val="21"/>
                <w:szCs w:val="21"/>
              </w:rPr>
              <w:t>阻抗：8Ω</w:t>
            </w:r>
            <w:r>
              <w:rPr>
                <w:rFonts w:hint="eastAsia" w:asciiTheme="minorEastAsia" w:hAnsiTheme="minorEastAsia" w:cstheme="minorEastAsia"/>
                <w:sz w:val="21"/>
                <w:szCs w:val="21"/>
              </w:rPr>
              <w:t>。</w:t>
            </w:r>
          </w:p>
        </w:tc>
        <w:tc>
          <w:tcPr>
            <w:tcW w:w="659"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658"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821"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rPr>
              <w:t>否</w:t>
            </w:r>
          </w:p>
        </w:tc>
      </w:tr>
      <w:tr>
        <w:tblPrEx>
          <w:tblLayout w:type="fixed"/>
          <w:tblCellMar>
            <w:top w:w="0" w:type="dxa"/>
            <w:left w:w="108" w:type="dxa"/>
            <w:bottom w:w="0" w:type="dxa"/>
            <w:right w:w="108" w:type="dxa"/>
          </w:tblCellMar>
        </w:tblPrEx>
        <w:trPr>
          <w:trHeight w:val="76" w:hRule="atLeast"/>
        </w:trPr>
        <w:tc>
          <w:tcPr>
            <w:tcW w:w="480" w:type="dxa"/>
            <w:tcBorders>
              <w:top w:val="nil"/>
              <w:left w:val="single" w:color="auto" w:sz="4" w:space="0"/>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p>
        </w:tc>
        <w:tc>
          <w:tcPr>
            <w:tcW w:w="1056"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功放</w:t>
            </w:r>
          </w:p>
        </w:tc>
        <w:tc>
          <w:tcPr>
            <w:tcW w:w="6114" w:type="dxa"/>
            <w:tcBorders>
              <w:left w:val="nil"/>
              <w:bottom w:val="single" w:color="auto" w:sz="4" w:space="0"/>
              <w:right w:val="single" w:color="auto" w:sz="4" w:space="0"/>
            </w:tcBorders>
            <w:vAlign w:val="center"/>
          </w:tcPr>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输出功率：250W+250W</w:t>
            </w:r>
            <w:r>
              <w:rPr>
                <w:rFonts w:hint="eastAsia" w:asciiTheme="minorEastAsia" w:hAnsiTheme="minorEastAsia" w:cstheme="minorEastAsia"/>
                <w:sz w:val="21"/>
                <w:szCs w:val="21"/>
              </w:rPr>
              <w:t>；</w:t>
            </w:r>
            <w:r>
              <w:rPr>
                <w:rFonts w:hint="eastAsia" w:asciiTheme="minorEastAsia" w:hAnsiTheme="minorEastAsia" w:eastAsiaTheme="minorEastAsia" w:cstheme="minorEastAsia"/>
                <w:sz w:val="21"/>
                <w:szCs w:val="21"/>
              </w:rPr>
              <w:t>电源消耗：530W</w:t>
            </w:r>
            <w:r>
              <w:rPr>
                <w:rFonts w:hint="eastAsia" w:asciiTheme="minorEastAsia" w:hAnsiTheme="minorEastAsia" w:cstheme="minorEastAsia"/>
                <w:sz w:val="21"/>
                <w:szCs w:val="21"/>
              </w:rPr>
              <w:t>；</w:t>
            </w:r>
            <w:r>
              <w:rPr>
                <w:rFonts w:hint="eastAsia" w:asciiTheme="minorEastAsia" w:hAnsiTheme="minorEastAsia" w:eastAsiaTheme="minorEastAsia" w:cstheme="minorEastAsia"/>
                <w:sz w:val="21"/>
                <w:szCs w:val="21"/>
              </w:rPr>
              <w:t>静态功率消耗：30W</w:t>
            </w:r>
            <w:r>
              <w:rPr>
                <w:rFonts w:hint="eastAsia" w:asciiTheme="minorEastAsia" w:hAnsiTheme="minorEastAsia" w:cstheme="minorEastAsia"/>
                <w:sz w:val="21"/>
                <w:szCs w:val="21"/>
              </w:rPr>
              <w:t>；</w:t>
            </w:r>
            <w:r>
              <w:rPr>
                <w:rFonts w:hint="eastAsia" w:asciiTheme="minorEastAsia" w:hAnsiTheme="minorEastAsia" w:eastAsiaTheme="minorEastAsia" w:cstheme="minorEastAsia"/>
                <w:sz w:val="21"/>
                <w:szCs w:val="21"/>
              </w:rPr>
              <w:t>输出阻抗：4 Ω-16 Ω</w:t>
            </w:r>
            <w:r>
              <w:rPr>
                <w:rFonts w:hint="eastAsia" w:asciiTheme="minorEastAsia" w:hAnsiTheme="minorEastAsia" w:cstheme="minorEastAsia"/>
                <w:sz w:val="21"/>
                <w:szCs w:val="21"/>
              </w:rPr>
              <w:t>；</w:t>
            </w:r>
            <w:r>
              <w:rPr>
                <w:rFonts w:hint="eastAsia" w:asciiTheme="minorEastAsia" w:hAnsiTheme="minorEastAsia" w:eastAsiaTheme="minorEastAsia" w:cstheme="minorEastAsia"/>
                <w:sz w:val="21"/>
                <w:szCs w:val="21"/>
              </w:rPr>
              <w:t>总谐波失真：THD&lt;0.01%频率响应：20Hz-20KHz</w:t>
            </w:r>
            <w:r>
              <w:rPr>
                <w:rFonts w:hint="eastAsia" w:asciiTheme="minorEastAsia" w:hAnsiTheme="minorEastAsia" w:cstheme="minorEastAsia"/>
                <w:sz w:val="21"/>
                <w:szCs w:val="21"/>
              </w:rPr>
              <w:t>。</w:t>
            </w:r>
          </w:p>
        </w:tc>
        <w:tc>
          <w:tcPr>
            <w:tcW w:w="659"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c>
          <w:tcPr>
            <w:tcW w:w="658"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821"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rPr>
              <w:t>否</w:t>
            </w:r>
          </w:p>
        </w:tc>
      </w:tr>
      <w:tr>
        <w:tblPrEx>
          <w:tblLayout w:type="fixed"/>
          <w:tblCellMar>
            <w:top w:w="0" w:type="dxa"/>
            <w:left w:w="108" w:type="dxa"/>
            <w:bottom w:w="0" w:type="dxa"/>
            <w:right w:w="108" w:type="dxa"/>
          </w:tblCellMar>
        </w:tblPrEx>
        <w:trPr>
          <w:trHeight w:val="76" w:hRule="atLeast"/>
        </w:trPr>
        <w:tc>
          <w:tcPr>
            <w:tcW w:w="480" w:type="dxa"/>
            <w:tcBorders>
              <w:top w:val="nil"/>
              <w:left w:val="single" w:color="auto" w:sz="4" w:space="0"/>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w:t>
            </w:r>
          </w:p>
        </w:tc>
        <w:tc>
          <w:tcPr>
            <w:tcW w:w="1056"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无线话筒</w:t>
            </w:r>
          </w:p>
        </w:tc>
        <w:tc>
          <w:tcPr>
            <w:tcW w:w="6114" w:type="dxa"/>
            <w:tcBorders>
              <w:left w:val="nil"/>
              <w:bottom w:val="single" w:color="auto" w:sz="4" w:space="0"/>
              <w:right w:val="single" w:color="auto" w:sz="4" w:space="0"/>
            </w:tcBorders>
            <w:vAlign w:val="center"/>
          </w:tcPr>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载波频率范围: UHF 710MHz-865MHz </w:t>
            </w:r>
            <w:r>
              <w:rPr>
                <w:rFonts w:hint="eastAsia" w:asciiTheme="minorEastAsia" w:hAnsiTheme="minorEastAsia" w:cstheme="minorEastAsia"/>
                <w:sz w:val="21"/>
                <w:szCs w:val="21"/>
              </w:rPr>
              <w:t>；</w:t>
            </w:r>
            <w:r>
              <w:rPr>
                <w:rFonts w:hint="eastAsia" w:asciiTheme="minorEastAsia" w:hAnsiTheme="minorEastAsia" w:eastAsiaTheme="minorEastAsia" w:cstheme="minorEastAsia"/>
                <w:sz w:val="21"/>
                <w:szCs w:val="21"/>
              </w:rPr>
              <w:t xml:space="preserve">频率振荡模式: 锁相环回路 </w:t>
            </w:r>
            <w:r>
              <w:rPr>
                <w:rFonts w:hint="eastAsia" w:asciiTheme="minorEastAsia" w:hAnsiTheme="minorEastAsia" w:cstheme="minorEastAsia"/>
                <w:sz w:val="21"/>
                <w:szCs w:val="21"/>
              </w:rPr>
              <w:t>；</w:t>
            </w:r>
            <w:r>
              <w:rPr>
                <w:rFonts w:hint="eastAsia" w:asciiTheme="minorEastAsia" w:hAnsiTheme="minorEastAsia" w:eastAsiaTheme="minorEastAsia" w:cstheme="minorEastAsia"/>
                <w:sz w:val="21"/>
                <w:szCs w:val="21"/>
              </w:rPr>
              <w:t xml:space="preserve">频道总数: 1000CH </w:t>
            </w:r>
            <w:r>
              <w:rPr>
                <w:rFonts w:hint="eastAsia" w:asciiTheme="minorEastAsia" w:hAnsiTheme="minorEastAsia" w:cstheme="minorEastAsia"/>
                <w:sz w:val="21"/>
                <w:szCs w:val="21"/>
              </w:rPr>
              <w:t>；</w:t>
            </w:r>
            <w:r>
              <w:rPr>
                <w:rFonts w:hint="eastAsia" w:asciiTheme="minorEastAsia" w:hAnsiTheme="minorEastAsia" w:eastAsiaTheme="minorEastAsia" w:cstheme="minorEastAsia"/>
                <w:sz w:val="21"/>
                <w:szCs w:val="21"/>
              </w:rPr>
              <w:t>频率响应: 50 Hz-18KHz</w:t>
            </w:r>
            <w:r>
              <w:rPr>
                <w:rFonts w:hint="eastAsia" w:asciiTheme="minorEastAsia" w:hAnsiTheme="minorEastAsia" w:cstheme="minorEastAsia"/>
                <w:sz w:val="21"/>
                <w:szCs w:val="21"/>
              </w:rPr>
              <w:t>；</w:t>
            </w:r>
            <w:r>
              <w:rPr>
                <w:rFonts w:hint="eastAsia" w:asciiTheme="minorEastAsia" w:hAnsiTheme="minorEastAsia" w:eastAsiaTheme="minorEastAsia" w:cstheme="minorEastAsia"/>
                <w:sz w:val="21"/>
                <w:szCs w:val="21"/>
              </w:rPr>
              <w:t xml:space="preserve"> 频带宽度: 24MHz </w:t>
            </w:r>
            <w:r>
              <w:rPr>
                <w:rFonts w:hint="eastAsia" w:asciiTheme="minorEastAsia" w:hAnsiTheme="minorEastAsia" w:cstheme="minorEastAsia"/>
                <w:sz w:val="21"/>
                <w:szCs w:val="21"/>
              </w:rPr>
              <w:t>；</w:t>
            </w:r>
            <w:r>
              <w:rPr>
                <w:rFonts w:hint="eastAsia" w:asciiTheme="minorEastAsia" w:hAnsiTheme="minorEastAsia" w:eastAsiaTheme="minorEastAsia" w:cstheme="minorEastAsia"/>
                <w:sz w:val="21"/>
                <w:szCs w:val="21"/>
              </w:rPr>
              <w:t xml:space="preserve">载波稳定度: ±5PPm≤10KHz </w:t>
            </w:r>
            <w:r>
              <w:rPr>
                <w:rFonts w:hint="eastAsia" w:asciiTheme="minorEastAsia" w:hAnsiTheme="minorEastAsia" w:cstheme="minorEastAsia"/>
                <w:sz w:val="21"/>
                <w:szCs w:val="21"/>
              </w:rPr>
              <w:t>；</w:t>
            </w:r>
            <w:r>
              <w:rPr>
                <w:rFonts w:hint="eastAsia" w:asciiTheme="minorEastAsia" w:hAnsiTheme="minorEastAsia" w:eastAsiaTheme="minorEastAsia" w:cstheme="minorEastAsia"/>
                <w:sz w:val="21"/>
                <w:szCs w:val="21"/>
              </w:rPr>
              <w:t xml:space="preserve">假像干扰比: &gt;80dB </w:t>
            </w:r>
            <w:r>
              <w:rPr>
                <w:rFonts w:hint="eastAsia" w:asciiTheme="minorEastAsia" w:hAnsiTheme="minorEastAsia" w:cstheme="minorEastAsia"/>
                <w:sz w:val="21"/>
                <w:szCs w:val="21"/>
              </w:rPr>
              <w:t>；</w:t>
            </w:r>
            <w:r>
              <w:rPr>
                <w:rFonts w:hint="eastAsia" w:asciiTheme="minorEastAsia" w:hAnsiTheme="minorEastAsia" w:eastAsiaTheme="minorEastAsia" w:cstheme="minorEastAsia"/>
                <w:sz w:val="21"/>
                <w:szCs w:val="21"/>
              </w:rPr>
              <w:t>信号噪声比: &gt;105dB（1KHz-A</w:t>
            </w:r>
            <w:r>
              <w:rPr>
                <w:rFonts w:hint="eastAsia" w:asciiTheme="minorEastAsia" w:hAnsiTheme="minorEastAsia" w:cstheme="minorEastAsia"/>
                <w:sz w:val="21"/>
                <w:szCs w:val="21"/>
              </w:rPr>
              <w:t>；</w:t>
            </w:r>
            <w:r>
              <w:rPr>
                <w:rFonts w:hint="eastAsia" w:asciiTheme="minorEastAsia" w:hAnsiTheme="minorEastAsia" w:eastAsiaTheme="minorEastAsia" w:cstheme="minorEastAsia"/>
                <w:sz w:val="21"/>
                <w:szCs w:val="21"/>
              </w:rPr>
              <w:t>灵敏度: -105dB（12dB S/N AD）</w:t>
            </w:r>
            <w:r>
              <w:rPr>
                <w:rFonts w:hint="eastAsia" w:asciiTheme="minorEastAsia" w:hAnsiTheme="minorEastAsia" w:cstheme="minorEastAsia"/>
                <w:sz w:val="21"/>
                <w:szCs w:val="21"/>
              </w:rPr>
              <w:t>；</w:t>
            </w:r>
            <w:r>
              <w:rPr>
                <w:rFonts w:hint="eastAsia" w:asciiTheme="minorEastAsia" w:hAnsiTheme="minorEastAsia" w:eastAsiaTheme="minorEastAsia" w:cstheme="minorEastAsia"/>
                <w:sz w:val="21"/>
                <w:szCs w:val="21"/>
              </w:rPr>
              <w:t xml:space="preserve">总失真率: &lt;0.5% (在1KHz 时) </w:t>
            </w:r>
            <w:r>
              <w:rPr>
                <w:rFonts w:hint="eastAsia" w:asciiTheme="minorEastAsia" w:hAnsiTheme="minorEastAsia" w:cstheme="minorEastAsia"/>
                <w:sz w:val="21"/>
                <w:szCs w:val="21"/>
              </w:rPr>
              <w:t>；</w:t>
            </w:r>
            <w:r>
              <w:rPr>
                <w:rFonts w:hint="eastAsia" w:asciiTheme="minorEastAsia" w:hAnsiTheme="minorEastAsia" w:eastAsiaTheme="minorEastAsia" w:cstheme="minorEastAsia"/>
                <w:sz w:val="21"/>
                <w:szCs w:val="21"/>
              </w:rPr>
              <w:t xml:space="preserve">音频输出阻抗: 2.2KΩ </w:t>
            </w:r>
            <w:r>
              <w:rPr>
                <w:rFonts w:hint="eastAsia" w:asciiTheme="minorEastAsia" w:hAnsiTheme="minorEastAsia" w:cstheme="minorEastAsia"/>
                <w:sz w:val="21"/>
                <w:szCs w:val="21"/>
              </w:rPr>
              <w:t>；</w:t>
            </w:r>
            <w:r>
              <w:rPr>
                <w:rFonts w:hint="eastAsia" w:asciiTheme="minorEastAsia" w:hAnsiTheme="minorEastAsia" w:eastAsiaTheme="minorEastAsia" w:cstheme="minorEastAsia"/>
                <w:sz w:val="21"/>
                <w:szCs w:val="21"/>
              </w:rPr>
              <w:t xml:space="preserve">音频输出准位: -12dB </w:t>
            </w:r>
            <w:r>
              <w:rPr>
                <w:rFonts w:hint="eastAsia" w:asciiTheme="minorEastAsia" w:hAnsiTheme="minorEastAsia" w:cstheme="minorEastAsia"/>
                <w:sz w:val="21"/>
                <w:szCs w:val="21"/>
              </w:rPr>
              <w:t>；</w:t>
            </w:r>
            <w:r>
              <w:rPr>
                <w:rFonts w:hint="eastAsia" w:asciiTheme="minorEastAsia" w:hAnsiTheme="minorEastAsia" w:eastAsiaTheme="minorEastAsia" w:cstheme="minorEastAsia"/>
                <w:sz w:val="21"/>
                <w:szCs w:val="21"/>
              </w:rPr>
              <w:t xml:space="preserve">静音方式: 静音及音码锁定回路 </w:t>
            </w:r>
            <w:r>
              <w:rPr>
                <w:rFonts w:hint="eastAsia" w:asciiTheme="minorEastAsia" w:hAnsiTheme="minorEastAsia" w:cstheme="minorEastAsia"/>
                <w:sz w:val="21"/>
                <w:szCs w:val="21"/>
              </w:rPr>
              <w:t>；</w:t>
            </w:r>
            <w:r>
              <w:rPr>
                <w:rFonts w:hint="eastAsia" w:asciiTheme="minorEastAsia" w:hAnsiTheme="minorEastAsia" w:eastAsiaTheme="minorEastAsia" w:cstheme="minorEastAsia"/>
                <w:sz w:val="21"/>
                <w:szCs w:val="21"/>
              </w:rPr>
              <w:t xml:space="preserve">功能显示方式: LCD液晶显示 </w:t>
            </w:r>
            <w:r>
              <w:rPr>
                <w:rFonts w:hint="eastAsia" w:asciiTheme="minorEastAsia" w:hAnsiTheme="minorEastAsia" w:cstheme="minorEastAsia"/>
                <w:sz w:val="21"/>
                <w:szCs w:val="21"/>
              </w:rPr>
              <w:t>。</w:t>
            </w:r>
          </w:p>
        </w:tc>
        <w:tc>
          <w:tcPr>
            <w:tcW w:w="659"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个</w:t>
            </w:r>
          </w:p>
        </w:tc>
        <w:tc>
          <w:tcPr>
            <w:tcW w:w="658"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821"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rPr>
              <w:t>否</w:t>
            </w:r>
          </w:p>
        </w:tc>
      </w:tr>
      <w:tr>
        <w:tblPrEx>
          <w:tblLayout w:type="fixed"/>
          <w:tblCellMar>
            <w:top w:w="0" w:type="dxa"/>
            <w:left w:w="108" w:type="dxa"/>
            <w:bottom w:w="0" w:type="dxa"/>
            <w:right w:w="108" w:type="dxa"/>
          </w:tblCellMar>
        </w:tblPrEx>
        <w:trPr>
          <w:trHeight w:val="1073" w:hRule="atLeast"/>
        </w:trPr>
        <w:tc>
          <w:tcPr>
            <w:tcW w:w="480" w:type="dxa"/>
            <w:tcBorders>
              <w:top w:val="nil"/>
              <w:left w:val="single" w:color="auto" w:sz="4" w:space="0"/>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c>
          <w:tcPr>
            <w:tcW w:w="1056"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配电柜</w:t>
            </w:r>
          </w:p>
        </w:tc>
        <w:tc>
          <w:tcPr>
            <w:tcW w:w="6114" w:type="dxa"/>
            <w:tcBorders>
              <w:left w:val="nil"/>
              <w:bottom w:val="single" w:color="auto" w:sz="4" w:space="0"/>
              <w:right w:val="single" w:color="auto" w:sz="4" w:space="0"/>
            </w:tcBorders>
            <w:vAlign w:val="center"/>
          </w:tcPr>
          <w:p>
            <w:pPr>
              <w:widowControl/>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2相3线制/额定电压220V/260*400*87/18位/10路30A空气开关、C45插座、2路漏电开关等中型电器开关；拼装在TH轨上，箱内配有进出线装置及零件排地线排</w:t>
            </w:r>
            <w:r>
              <w:rPr>
                <w:rFonts w:hint="eastAsia" w:asciiTheme="minorEastAsia" w:hAnsiTheme="minorEastAsia" w:cstheme="minorEastAsia"/>
                <w:sz w:val="21"/>
                <w:szCs w:val="21"/>
              </w:rPr>
              <w:t>。</w:t>
            </w:r>
          </w:p>
        </w:tc>
        <w:tc>
          <w:tcPr>
            <w:tcW w:w="659"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658"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821"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rPr>
              <w:t>否</w:t>
            </w:r>
          </w:p>
        </w:tc>
      </w:tr>
      <w:tr>
        <w:tblPrEx>
          <w:tblLayout w:type="fixed"/>
          <w:tblCellMar>
            <w:top w:w="0" w:type="dxa"/>
            <w:left w:w="108" w:type="dxa"/>
            <w:bottom w:w="0" w:type="dxa"/>
            <w:right w:w="108" w:type="dxa"/>
          </w:tblCellMar>
        </w:tblPrEx>
        <w:trPr>
          <w:trHeight w:val="76" w:hRule="atLeast"/>
        </w:trPr>
        <w:tc>
          <w:tcPr>
            <w:tcW w:w="480" w:type="dxa"/>
            <w:tcBorders>
              <w:top w:val="nil"/>
              <w:left w:val="single" w:color="auto" w:sz="4" w:space="0"/>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w:t>
            </w:r>
          </w:p>
        </w:tc>
        <w:tc>
          <w:tcPr>
            <w:tcW w:w="1056"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无线控制终端</w:t>
            </w:r>
          </w:p>
        </w:tc>
        <w:tc>
          <w:tcPr>
            <w:tcW w:w="6114" w:type="dxa"/>
            <w:tcBorders>
              <w:left w:val="nil"/>
              <w:bottom w:val="single" w:color="auto" w:sz="4" w:space="0"/>
              <w:right w:val="single" w:color="auto" w:sz="4" w:space="0"/>
            </w:tcBorders>
            <w:vAlign w:val="center"/>
          </w:tcPr>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9.7英寸/128G WLAN版/A10芯片/Retina显示屏/Touch ID MRJP2CH/A)</w:t>
            </w:r>
            <w:r>
              <w:rPr>
                <w:rFonts w:hint="eastAsia" w:asciiTheme="minorEastAsia" w:hAnsiTheme="minorEastAsia" w:cstheme="minorEastAsia"/>
                <w:sz w:val="21"/>
                <w:szCs w:val="21"/>
              </w:rPr>
              <w:t>。</w:t>
            </w:r>
          </w:p>
        </w:tc>
        <w:tc>
          <w:tcPr>
            <w:tcW w:w="659"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658"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821"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rPr>
              <w:t>否</w:t>
            </w:r>
          </w:p>
        </w:tc>
      </w:tr>
      <w:tr>
        <w:tblPrEx>
          <w:tblLayout w:type="fixed"/>
          <w:tblCellMar>
            <w:top w:w="0" w:type="dxa"/>
            <w:left w:w="108" w:type="dxa"/>
            <w:bottom w:w="0" w:type="dxa"/>
            <w:right w:w="108" w:type="dxa"/>
          </w:tblCellMar>
        </w:tblPrEx>
        <w:trPr>
          <w:trHeight w:val="76" w:hRule="atLeast"/>
        </w:trPr>
        <w:tc>
          <w:tcPr>
            <w:tcW w:w="480" w:type="dxa"/>
            <w:tcBorders>
              <w:top w:val="nil"/>
              <w:left w:val="single" w:color="auto" w:sz="4" w:space="0"/>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w:t>
            </w:r>
          </w:p>
        </w:tc>
        <w:tc>
          <w:tcPr>
            <w:tcW w:w="1056"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无线路由器</w:t>
            </w:r>
          </w:p>
        </w:tc>
        <w:tc>
          <w:tcPr>
            <w:tcW w:w="6114" w:type="dxa"/>
            <w:tcBorders>
              <w:left w:val="nil"/>
              <w:bottom w:val="single" w:color="auto" w:sz="4" w:space="0"/>
              <w:right w:val="single" w:color="auto" w:sz="4" w:space="0"/>
            </w:tcBorders>
            <w:vAlign w:val="center"/>
          </w:tcPr>
          <w:p>
            <w:pPr>
              <w:widowControl/>
              <w:jc w:val="left"/>
              <w:rPr>
                <w:rFonts w:asciiTheme="minorEastAsia" w:hAnsiTheme="minorEastAsia" w:eastAsiaTheme="minorEastAsia" w:cstheme="minorEastAsia"/>
                <w:sz w:val="21"/>
                <w:szCs w:val="21"/>
              </w:rPr>
            </w:pPr>
            <w:r>
              <w:rPr>
                <w:rFonts w:hint="eastAsia" w:asciiTheme="minorEastAsia" w:hAnsiTheme="minorEastAsia" w:cstheme="minorEastAsia"/>
                <w:sz w:val="21"/>
                <w:szCs w:val="21"/>
              </w:rPr>
              <w:t>国产知名品牌，</w:t>
            </w:r>
            <w:r>
              <w:rPr>
                <w:rFonts w:hint="eastAsia" w:asciiTheme="minorEastAsia" w:hAnsiTheme="minorEastAsia" w:eastAsiaTheme="minorEastAsia" w:cstheme="minorEastAsia"/>
                <w:sz w:val="21"/>
                <w:szCs w:val="21"/>
              </w:rPr>
              <w:t>2100M 智能双频无线路由器</w:t>
            </w:r>
            <w:r>
              <w:rPr>
                <w:rFonts w:hint="eastAsia" w:asciiTheme="minorEastAsia" w:hAnsiTheme="minorEastAsia" w:cstheme="minorEastAsia"/>
                <w:sz w:val="21"/>
                <w:szCs w:val="21"/>
              </w:rPr>
              <w:t>。</w:t>
            </w:r>
          </w:p>
        </w:tc>
        <w:tc>
          <w:tcPr>
            <w:tcW w:w="659"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658"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821"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rPr>
              <w:t>否</w:t>
            </w:r>
          </w:p>
        </w:tc>
      </w:tr>
      <w:tr>
        <w:tblPrEx>
          <w:tblLayout w:type="fixed"/>
          <w:tblCellMar>
            <w:top w:w="0" w:type="dxa"/>
            <w:left w:w="108" w:type="dxa"/>
            <w:bottom w:w="0" w:type="dxa"/>
            <w:right w:w="108" w:type="dxa"/>
          </w:tblCellMar>
        </w:tblPrEx>
        <w:trPr>
          <w:trHeight w:val="76" w:hRule="atLeast"/>
        </w:trPr>
        <w:tc>
          <w:tcPr>
            <w:tcW w:w="480" w:type="dxa"/>
            <w:tcBorders>
              <w:top w:val="nil"/>
              <w:left w:val="single" w:color="auto" w:sz="4" w:space="0"/>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w:t>
            </w:r>
          </w:p>
        </w:tc>
        <w:tc>
          <w:tcPr>
            <w:tcW w:w="1056"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机柜</w:t>
            </w:r>
          </w:p>
        </w:tc>
        <w:tc>
          <w:tcPr>
            <w:tcW w:w="6114" w:type="dxa"/>
            <w:tcBorders>
              <w:left w:val="nil"/>
              <w:bottom w:val="single" w:color="auto" w:sz="4" w:space="0"/>
              <w:right w:val="single" w:color="auto" w:sz="4" w:space="0"/>
            </w:tcBorders>
            <w:vAlign w:val="center"/>
          </w:tcPr>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2米 19"</w:t>
            </w:r>
            <w:r>
              <w:rPr>
                <w:rFonts w:hint="eastAsia" w:asciiTheme="minorEastAsia" w:hAnsiTheme="minorEastAsia" w:cstheme="minorEastAsia"/>
                <w:sz w:val="21"/>
                <w:szCs w:val="21"/>
              </w:rPr>
              <w:t>机柜，</w:t>
            </w:r>
            <w:r>
              <w:rPr>
                <w:rFonts w:hint="eastAsia" w:asciiTheme="minorEastAsia" w:hAnsiTheme="minorEastAsia" w:eastAsiaTheme="minorEastAsia" w:cstheme="minorEastAsia"/>
                <w:sz w:val="21"/>
                <w:szCs w:val="21"/>
              </w:rPr>
              <w:t>600×1000×2000（宽 x 深 x 高）含PDU电源</w:t>
            </w:r>
            <w:r>
              <w:rPr>
                <w:rFonts w:hint="eastAsia" w:asciiTheme="minorEastAsia" w:hAnsiTheme="minorEastAsia" w:cstheme="minorEastAsia"/>
                <w:sz w:val="21"/>
                <w:szCs w:val="21"/>
              </w:rPr>
              <w:t>、</w:t>
            </w:r>
            <w:r>
              <w:rPr>
                <w:rFonts w:hint="eastAsia" w:asciiTheme="minorEastAsia" w:hAnsiTheme="minorEastAsia" w:eastAsiaTheme="minorEastAsia" w:cstheme="minorEastAsia"/>
                <w:sz w:val="21"/>
                <w:szCs w:val="21"/>
              </w:rPr>
              <w:t>含接地套件</w:t>
            </w:r>
            <w:r>
              <w:rPr>
                <w:rFonts w:hint="eastAsia" w:asciiTheme="minorEastAsia" w:hAnsiTheme="minorEastAsia" w:cstheme="minorEastAsia"/>
                <w:sz w:val="21"/>
                <w:szCs w:val="21"/>
              </w:rPr>
              <w:t>。</w:t>
            </w:r>
          </w:p>
        </w:tc>
        <w:tc>
          <w:tcPr>
            <w:tcW w:w="659"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c>
          <w:tcPr>
            <w:tcW w:w="658"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821"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rPr>
              <w:t>否</w:t>
            </w:r>
          </w:p>
        </w:tc>
      </w:tr>
      <w:tr>
        <w:tblPrEx>
          <w:tblLayout w:type="fixed"/>
          <w:tblCellMar>
            <w:top w:w="0" w:type="dxa"/>
            <w:left w:w="108" w:type="dxa"/>
            <w:bottom w:w="0" w:type="dxa"/>
            <w:right w:w="108" w:type="dxa"/>
          </w:tblCellMar>
        </w:tblPrEx>
        <w:trPr>
          <w:trHeight w:val="76" w:hRule="atLeast"/>
        </w:trPr>
        <w:tc>
          <w:tcPr>
            <w:tcW w:w="4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w:t>
            </w:r>
          </w:p>
        </w:tc>
        <w:tc>
          <w:tcPr>
            <w:tcW w:w="10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控制</w:t>
            </w:r>
            <w:r>
              <w:rPr>
                <w:rFonts w:hint="eastAsia" w:asciiTheme="minorEastAsia" w:hAnsiTheme="minorEastAsia" w:cstheme="minorEastAsia"/>
                <w:sz w:val="21"/>
                <w:szCs w:val="21"/>
              </w:rPr>
              <w:t>计算机</w:t>
            </w:r>
          </w:p>
        </w:tc>
        <w:tc>
          <w:tcPr>
            <w:tcW w:w="6114"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sz w:val="21"/>
                <w:szCs w:val="21"/>
              </w:rPr>
            </w:pPr>
            <w:r>
              <w:rPr>
                <w:rFonts w:hint="eastAsia" w:asciiTheme="minorEastAsia" w:hAnsiTheme="minorEastAsia" w:cstheme="minorEastAsia"/>
                <w:sz w:val="21"/>
                <w:szCs w:val="21"/>
              </w:rPr>
              <w:t>商用机，</w:t>
            </w:r>
            <w:r>
              <w:rPr>
                <w:rFonts w:hint="eastAsia" w:asciiTheme="minorEastAsia" w:hAnsiTheme="minorEastAsia" w:eastAsiaTheme="minorEastAsia" w:cstheme="minorEastAsia"/>
                <w:sz w:val="21"/>
                <w:szCs w:val="21"/>
              </w:rPr>
              <w:t>I7-7700/16G内存/500G SSD硬盘/4G显存（显卡双DVI/HDMI输出）/DVD/23"LCD/整盘WIN10系统/无线键盘、鼠标。</w:t>
            </w:r>
          </w:p>
        </w:tc>
        <w:tc>
          <w:tcPr>
            <w:tcW w:w="6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c>
          <w:tcPr>
            <w:tcW w:w="6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82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rPr>
              <w:t>否</w:t>
            </w:r>
          </w:p>
        </w:tc>
      </w:tr>
      <w:tr>
        <w:tblPrEx>
          <w:tblLayout w:type="fixed"/>
          <w:tblCellMar>
            <w:top w:w="0" w:type="dxa"/>
            <w:left w:w="108" w:type="dxa"/>
            <w:bottom w:w="0" w:type="dxa"/>
            <w:right w:w="108" w:type="dxa"/>
          </w:tblCellMar>
        </w:tblPrEx>
        <w:trPr>
          <w:trHeight w:val="76" w:hRule="atLeast"/>
        </w:trPr>
        <w:tc>
          <w:tcPr>
            <w:tcW w:w="4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w:t>
            </w:r>
          </w:p>
        </w:tc>
        <w:tc>
          <w:tcPr>
            <w:tcW w:w="10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55寸液晶拼接屏</w:t>
            </w:r>
          </w:p>
        </w:tc>
        <w:tc>
          <w:tcPr>
            <w:tcW w:w="6114"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双边物理拼缝（合计）≤1.7mm/无黑边、暗影、坏点、亮点/分辨率1920*1080，亮度：≥500cd/m2 显示色彩：16.7M/响应时间≤5ms，可视角度≥178°，2×2拼接方式。</w:t>
            </w:r>
          </w:p>
        </w:tc>
        <w:tc>
          <w:tcPr>
            <w:tcW w:w="6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部</w:t>
            </w:r>
          </w:p>
        </w:tc>
        <w:tc>
          <w:tcPr>
            <w:tcW w:w="6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w:t>
            </w:r>
          </w:p>
        </w:tc>
        <w:tc>
          <w:tcPr>
            <w:tcW w:w="82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rPr>
              <w:t>否</w:t>
            </w:r>
          </w:p>
        </w:tc>
      </w:tr>
      <w:tr>
        <w:tblPrEx>
          <w:tblLayout w:type="fixed"/>
          <w:tblCellMar>
            <w:top w:w="0" w:type="dxa"/>
            <w:left w:w="108" w:type="dxa"/>
            <w:bottom w:w="0" w:type="dxa"/>
            <w:right w:w="108" w:type="dxa"/>
          </w:tblCellMar>
        </w:tblPrEx>
        <w:trPr>
          <w:trHeight w:val="76" w:hRule="atLeast"/>
        </w:trPr>
        <w:tc>
          <w:tcPr>
            <w:tcW w:w="4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w:t>
            </w:r>
          </w:p>
        </w:tc>
        <w:tc>
          <w:tcPr>
            <w:tcW w:w="10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图形图像拼接处理器</w:t>
            </w:r>
          </w:p>
        </w:tc>
        <w:tc>
          <w:tcPr>
            <w:tcW w:w="6114"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支持HDMI输入、视频输入、VGA输入、DVI输入等信号输入，全数字处理单元，RS232或RJ45接口控制，实现单屏、全屏，任意拼接，画面任意组合等功能。</w:t>
            </w:r>
          </w:p>
        </w:tc>
        <w:tc>
          <w:tcPr>
            <w:tcW w:w="6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6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82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rPr>
              <w:t>否</w:t>
            </w:r>
          </w:p>
        </w:tc>
      </w:tr>
      <w:tr>
        <w:tblPrEx>
          <w:tblLayout w:type="fixed"/>
          <w:tblCellMar>
            <w:top w:w="0" w:type="dxa"/>
            <w:left w:w="108" w:type="dxa"/>
            <w:bottom w:w="0" w:type="dxa"/>
            <w:right w:w="108" w:type="dxa"/>
          </w:tblCellMar>
        </w:tblPrEx>
        <w:trPr>
          <w:trHeight w:val="76" w:hRule="atLeast"/>
        </w:trPr>
        <w:tc>
          <w:tcPr>
            <w:tcW w:w="4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w:t>
            </w:r>
          </w:p>
        </w:tc>
        <w:tc>
          <w:tcPr>
            <w:tcW w:w="1056" w:type="dxa"/>
            <w:tcBorders>
              <w:top w:val="single" w:color="auto" w:sz="4" w:space="0"/>
              <w:left w:val="single" w:color="auto" w:sz="4" w:space="0"/>
              <w:bottom w:val="single" w:color="auto" w:sz="4" w:space="0"/>
              <w:right w:val="single" w:color="auto" w:sz="4" w:space="0"/>
            </w:tcBorders>
            <w:vAlign w:val="center"/>
          </w:tcPr>
          <w:p>
            <w:pPr>
              <w:widowControl/>
              <w:ind w:left="-1" w:leftChars="-100" w:right="-120" w:rightChars="-50" w:hanging="239" w:hangingChars="114"/>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高清控制器</w:t>
            </w:r>
          </w:p>
        </w:tc>
        <w:tc>
          <w:tcPr>
            <w:tcW w:w="61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4进4出高清HDMI矩阵，6.5G带宽，面板/红外/RS-232控制。</w:t>
            </w:r>
          </w:p>
        </w:tc>
        <w:tc>
          <w:tcPr>
            <w:tcW w:w="6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6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82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rPr>
              <w:t>否</w:t>
            </w:r>
          </w:p>
        </w:tc>
      </w:tr>
      <w:tr>
        <w:tblPrEx>
          <w:tblLayout w:type="fixed"/>
          <w:tblCellMar>
            <w:top w:w="0" w:type="dxa"/>
            <w:left w:w="108" w:type="dxa"/>
            <w:bottom w:w="0" w:type="dxa"/>
            <w:right w:w="108" w:type="dxa"/>
          </w:tblCellMar>
        </w:tblPrEx>
        <w:trPr>
          <w:trHeight w:val="76" w:hRule="atLeast"/>
        </w:trPr>
        <w:tc>
          <w:tcPr>
            <w:tcW w:w="4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w:t>
            </w:r>
          </w:p>
        </w:tc>
        <w:tc>
          <w:tcPr>
            <w:tcW w:w="10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触摸框（带钢化玻璃）</w:t>
            </w:r>
          </w:p>
        </w:tc>
        <w:tc>
          <w:tcPr>
            <w:tcW w:w="6114"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支持10点触控；最小触摸直径5mm；钢化浮法玻璃，厚度≥6mm</w:t>
            </w:r>
            <w:r>
              <w:rPr>
                <w:rFonts w:hint="eastAsia" w:asciiTheme="minorEastAsia" w:hAnsiTheme="minorEastAsia" w:eastAsiaTheme="minorEastAsia" w:cstheme="minorEastAsia"/>
                <w:sz w:val="21"/>
                <w:szCs w:val="21"/>
                <w:lang w:eastAsia="zh-CN"/>
              </w:rPr>
              <w:t>。</w:t>
            </w:r>
          </w:p>
        </w:tc>
        <w:tc>
          <w:tcPr>
            <w:tcW w:w="6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c>
          <w:tcPr>
            <w:tcW w:w="6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82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rPr>
              <w:t>否</w:t>
            </w:r>
          </w:p>
        </w:tc>
      </w:tr>
      <w:tr>
        <w:tblPrEx>
          <w:tblLayout w:type="fixed"/>
          <w:tblCellMar>
            <w:top w:w="0" w:type="dxa"/>
            <w:left w:w="108" w:type="dxa"/>
            <w:bottom w:w="0" w:type="dxa"/>
            <w:right w:w="108" w:type="dxa"/>
          </w:tblCellMar>
        </w:tblPrEx>
        <w:trPr>
          <w:trHeight w:val="76" w:hRule="atLeast"/>
        </w:trPr>
        <w:tc>
          <w:tcPr>
            <w:tcW w:w="4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w:t>
            </w:r>
          </w:p>
        </w:tc>
        <w:tc>
          <w:tcPr>
            <w:tcW w:w="10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大屏幕控制软件</w:t>
            </w:r>
          </w:p>
        </w:tc>
        <w:tc>
          <w:tcPr>
            <w:tcW w:w="6114"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可实现视频信号、RGB信号等多种信号源的定义、管理、选择调用和切换显示；可以设定、存储和管理预案：可方便的实现预案编制、保存、修改、删除，支持预案自动执行功能，实现画面自动显示大屏幕管理软件为全中文界面，方便维护、备份等系统管理，可向用户提供源代码进行二次开发。</w:t>
            </w:r>
          </w:p>
        </w:tc>
        <w:tc>
          <w:tcPr>
            <w:tcW w:w="6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c>
          <w:tcPr>
            <w:tcW w:w="6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82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rPr>
              <w:t>否</w:t>
            </w:r>
          </w:p>
        </w:tc>
      </w:tr>
      <w:tr>
        <w:tblPrEx>
          <w:tblLayout w:type="fixed"/>
          <w:tblCellMar>
            <w:top w:w="0" w:type="dxa"/>
            <w:left w:w="108" w:type="dxa"/>
            <w:bottom w:w="0" w:type="dxa"/>
            <w:right w:w="108" w:type="dxa"/>
          </w:tblCellMar>
        </w:tblPrEx>
        <w:trPr>
          <w:trHeight w:val="76" w:hRule="atLeast"/>
        </w:trPr>
        <w:tc>
          <w:tcPr>
            <w:tcW w:w="4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w:t>
            </w:r>
          </w:p>
        </w:tc>
        <w:tc>
          <w:tcPr>
            <w:tcW w:w="10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支架</w:t>
            </w:r>
          </w:p>
        </w:tc>
        <w:tc>
          <w:tcPr>
            <w:tcW w:w="6114"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嵌入式液晶拼接单元安装，高强度冷轧钢质材料 </w:t>
            </w:r>
            <w:r>
              <w:rPr>
                <w:rFonts w:hint="eastAsia" w:asciiTheme="minorEastAsia" w:hAnsiTheme="minorEastAsia" w:cstheme="minorEastAsia"/>
                <w:sz w:val="21"/>
                <w:szCs w:val="21"/>
              </w:rPr>
              <w:t>。</w:t>
            </w:r>
          </w:p>
        </w:tc>
        <w:tc>
          <w:tcPr>
            <w:tcW w:w="6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c>
          <w:tcPr>
            <w:tcW w:w="6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82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sz w:val="21"/>
                <w:szCs w:val="21"/>
              </w:rPr>
            </w:pPr>
            <w:r>
              <w:rPr>
                <w:rFonts w:hint="eastAsia" w:asciiTheme="minorEastAsia" w:hAnsiTheme="minorEastAsia" w:cstheme="minorEastAsia"/>
                <w:sz w:val="21"/>
                <w:szCs w:val="21"/>
              </w:rPr>
              <w:t>否</w:t>
            </w:r>
          </w:p>
        </w:tc>
      </w:tr>
    </w:tbl>
    <w:p>
      <w:pPr>
        <w:spacing w:line="360" w:lineRule="auto"/>
        <w:ind w:firstLine="480" w:firstLineChars="200"/>
        <w:contextualSpacing/>
        <w:rPr>
          <w:rFonts w:cs="微软雅黑" w:asciiTheme="minorEastAsia" w:hAnsiTheme="minorEastAsia" w:eastAsiaTheme="minorEastAsia"/>
          <w:bCs/>
          <w:szCs w:val="24"/>
        </w:rPr>
      </w:pPr>
      <w:r>
        <w:rPr>
          <w:rFonts w:hint="eastAsia" w:cs="微软雅黑" w:asciiTheme="minorEastAsia" w:hAnsiTheme="minorEastAsia"/>
          <w:bCs/>
          <w:szCs w:val="24"/>
        </w:rPr>
        <w:t>2.本采购清单中所列技术规格或主要参数为最低要求，投标人所投产品应相当于或者高于，否则将承担其投标被视为非实质性响应的投标风险。序号1、2、3、4项产品投标时应当提供厂家的产品检测报告（第三方）或者厂家发布的技术证明文件，供评标委员会评审参阅</w:t>
      </w:r>
      <w:r>
        <w:rPr>
          <w:rFonts w:hint="eastAsia" w:cs="微软雅黑" w:asciiTheme="minorEastAsia" w:hAnsiTheme="minorEastAsia"/>
          <w:bCs/>
          <w:szCs w:val="24"/>
          <w:lang w:eastAsia="zh-CN"/>
        </w:rPr>
        <w:t>，否则不利后果自负</w:t>
      </w:r>
      <w:r>
        <w:rPr>
          <w:rFonts w:hint="eastAsia" w:cs="微软雅黑" w:asciiTheme="minorEastAsia" w:hAnsiTheme="minorEastAsia"/>
          <w:bCs/>
          <w:szCs w:val="24"/>
        </w:rPr>
        <w:t>。</w:t>
      </w:r>
    </w:p>
    <w:p>
      <w:pPr>
        <w:spacing w:line="360" w:lineRule="auto"/>
        <w:ind w:firstLine="480" w:firstLineChars="200"/>
        <w:contextualSpacing/>
        <w:rPr>
          <w:rFonts w:hint="eastAsia" w:cs="微软雅黑" w:asciiTheme="minorEastAsia" w:hAnsiTheme="minorEastAsia"/>
          <w:b/>
          <w:bCs w:val="0"/>
          <w:szCs w:val="24"/>
        </w:rPr>
      </w:pPr>
      <w:r>
        <w:rPr>
          <w:rFonts w:hint="eastAsia" w:cs="微软雅黑" w:asciiTheme="minorEastAsia" w:hAnsiTheme="minorEastAsia"/>
          <w:bCs/>
          <w:szCs w:val="24"/>
        </w:rPr>
        <w:t>3.凡报名参加投标的供应商，应当在开标前适当的时间，到项目现场进行实地调研，制定详细完整的技术方案和实施方案。因为该项目物理空间已经建设完成，为了更好的与整体空间相协调，实现报导指挥系统的功能与各子系统无缝对接，</w:t>
      </w:r>
      <w:r>
        <w:rPr>
          <w:rFonts w:hint="eastAsia" w:cs="微软雅黑" w:asciiTheme="minorEastAsia" w:hAnsiTheme="minorEastAsia"/>
          <w:b/>
          <w:bCs w:val="0"/>
          <w:szCs w:val="24"/>
        </w:rPr>
        <w:t>潜在的投标供应商一定要现场调研，确保项目顺利进展。</w:t>
      </w:r>
    </w:p>
    <w:p>
      <w:pPr>
        <w:spacing w:line="360" w:lineRule="auto"/>
        <w:ind w:firstLine="482" w:firstLineChars="200"/>
        <w:contextualSpacing/>
        <w:rPr>
          <w:rFonts w:cs="宋体" w:asciiTheme="minorEastAsia" w:hAnsiTheme="minorEastAsia"/>
          <w:b/>
          <w:color w:val="000000"/>
          <w:kern w:val="0"/>
          <w:szCs w:val="24"/>
          <w:lang w:val="zh-CN"/>
        </w:rPr>
      </w:pPr>
      <w:r>
        <w:rPr>
          <w:rFonts w:hint="eastAsia" w:cs="宋体" w:asciiTheme="minorEastAsia" w:hAnsiTheme="minorEastAsia"/>
          <w:b/>
          <w:color w:val="000000"/>
          <w:kern w:val="0"/>
          <w:szCs w:val="24"/>
          <w:lang w:val="zh-CN"/>
        </w:rPr>
        <w:t>三、采购标的执行标准</w:t>
      </w:r>
    </w:p>
    <w:p>
      <w:pPr>
        <w:spacing w:line="360" w:lineRule="auto"/>
        <w:ind w:firstLine="480" w:firstLineChars="200"/>
        <w:contextualSpacing/>
        <w:rPr>
          <w:rFonts w:ascii="宋体" w:hAnsi="宋体"/>
          <w:lang w:val="zh-CN"/>
        </w:rPr>
      </w:pPr>
      <w:r>
        <w:rPr>
          <w:rFonts w:hint="eastAsia" w:ascii="宋体" w:hAnsi="宋体"/>
        </w:rPr>
        <w:t>1.</w:t>
      </w:r>
      <w:r>
        <w:rPr>
          <w:rFonts w:hint="eastAsia" w:ascii="宋体" w:hAnsi="宋体"/>
          <w:lang w:val="zh-CN"/>
        </w:rPr>
        <w:t>强制性产品认证</w:t>
      </w:r>
    </w:p>
    <w:p>
      <w:pPr>
        <w:spacing w:line="360" w:lineRule="auto"/>
        <w:ind w:firstLine="480" w:firstLineChars="200"/>
        <w:contextualSpacing/>
        <w:rPr>
          <w:rFonts w:ascii="宋体" w:hAnsi="宋体"/>
          <w:lang w:val="zh-CN"/>
        </w:rPr>
      </w:pPr>
      <w:r>
        <w:rPr>
          <w:rFonts w:hint="eastAsia" w:ascii="宋体" w:hAnsi="宋体"/>
          <w:lang w:val="zh-CN"/>
        </w:rPr>
        <w:t>如投标人所投产品属于“中国强制性产品认证”（3C认证）范围内,则必须承诺采用《中华人民共和国实施强制性产品认证的产品目录》并在有效期内的产品，应当在投标文件中提供“所投产品符合国家强制性要求承诺函”并加盖投标人公章，否则将承担其投标被视为非实质性响应投标的风险。</w:t>
      </w:r>
    </w:p>
    <w:p>
      <w:pPr>
        <w:spacing w:line="360" w:lineRule="auto"/>
        <w:ind w:firstLine="480" w:firstLineChars="200"/>
        <w:contextualSpacing/>
        <w:rPr>
          <w:rFonts w:ascii="宋体" w:hAnsi="宋体"/>
        </w:rPr>
      </w:pPr>
      <w:r>
        <w:rPr>
          <w:rFonts w:hint="eastAsia" w:ascii="宋体" w:hAnsi="宋体"/>
        </w:rPr>
        <w:t>2.技术标准，如果有国家标准必须执行国家标准，没有国家应当执行行业技术标准。定制非标产品应当符采购文件的技术功能要求。</w:t>
      </w:r>
    </w:p>
    <w:p>
      <w:pPr>
        <w:spacing w:line="360" w:lineRule="auto"/>
        <w:ind w:firstLine="482" w:firstLineChars="200"/>
        <w:contextualSpacing/>
        <w:rPr>
          <w:rFonts w:cs="宋体" w:asciiTheme="minorEastAsia" w:hAnsiTheme="minorEastAsia"/>
          <w:b/>
          <w:color w:val="000000"/>
          <w:kern w:val="0"/>
          <w:szCs w:val="24"/>
          <w:lang w:val="zh-CN"/>
        </w:rPr>
      </w:pPr>
      <w:r>
        <w:rPr>
          <w:rFonts w:hint="eastAsia" w:cs="宋体" w:asciiTheme="minorEastAsia" w:hAnsiTheme="minorEastAsia"/>
          <w:b/>
          <w:color w:val="000000"/>
          <w:kern w:val="0"/>
          <w:szCs w:val="24"/>
          <w:lang w:val="zh-CN"/>
        </w:rPr>
        <w:t>四、采购标的的其他技术、服务等要求</w:t>
      </w:r>
    </w:p>
    <w:p>
      <w:pPr>
        <w:spacing w:line="360" w:lineRule="auto"/>
        <w:ind w:firstLine="480" w:firstLineChars="200"/>
        <w:contextualSpacing/>
        <w:rPr>
          <w:rFonts w:ascii="宋体" w:hAnsi="宋体"/>
        </w:rPr>
      </w:pPr>
      <w:r>
        <w:rPr>
          <w:rFonts w:hint="eastAsia" w:ascii="宋体" w:hAnsi="宋体"/>
        </w:rPr>
        <w:t>1.设备必须符合国家质量检测标准和本招</w:t>
      </w:r>
      <w:r>
        <w:rPr>
          <w:rFonts w:ascii="宋体" w:hAnsi="宋体"/>
        </w:rPr>
        <w:t>标</w:t>
      </w:r>
      <w:r>
        <w:rPr>
          <w:rFonts w:hint="eastAsia" w:ascii="宋体" w:hAnsi="宋体"/>
        </w:rPr>
        <w:t>文件规定标准的全新正品现货，供货时随货物提供《产品合格证》及其它相关质量证明文件。</w:t>
      </w:r>
    </w:p>
    <w:p>
      <w:pPr>
        <w:spacing w:line="360" w:lineRule="auto"/>
        <w:ind w:firstLine="480" w:firstLineChars="200"/>
        <w:contextualSpacing/>
        <w:rPr>
          <w:rFonts w:ascii="宋体" w:hAnsi="宋体"/>
        </w:rPr>
      </w:pPr>
      <w:r>
        <w:rPr>
          <w:rFonts w:hint="eastAsia" w:ascii="宋体" w:hAnsi="宋体"/>
        </w:rPr>
        <w:t>2.专利权：供应商应保证用户在使用该货物或其任何一部分时不受第三方提出侵犯其专利权、商标权和工业设计权等起诉。</w:t>
      </w:r>
    </w:p>
    <w:p>
      <w:pPr>
        <w:spacing w:line="360" w:lineRule="auto"/>
        <w:ind w:firstLine="480" w:firstLineChars="200"/>
        <w:contextualSpacing/>
        <w:rPr>
          <w:rFonts w:ascii="宋体" w:hAnsi="宋体"/>
        </w:rPr>
      </w:pPr>
      <w:r>
        <w:rPr>
          <w:rFonts w:hint="eastAsia" w:ascii="宋体" w:hAnsi="宋体"/>
        </w:rPr>
        <w:t>3.本项目所有产品必须提供</w:t>
      </w:r>
      <w:r>
        <w:rPr>
          <w:rFonts w:hint="eastAsia" w:ascii="宋体" w:hAnsi="宋体"/>
          <w:b/>
          <w:bCs/>
          <w:u w:val="single"/>
        </w:rPr>
        <w:t xml:space="preserve"> 3 </w:t>
      </w:r>
      <w:r>
        <w:rPr>
          <w:rFonts w:hint="eastAsia" w:ascii="宋体" w:hAnsi="宋体"/>
          <w:b/>
          <w:bCs/>
        </w:rPr>
        <w:t>年质保</w:t>
      </w:r>
      <w:r>
        <w:rPr>
          <w:rFonts w:hint="eastAsia" w:ascii="宋体" w:hAnsi="宋体"/>
        </w:rPr>
        <w:t>及售后服务。投标主要产品厂家需提供400等7*24小时电话服务；厂家须提供售中、售后全方位的技术支持。</w:t>
      </w:r>
    </w:p>
    <w:p>
      <w:pPr>
        <w:spacing w:line="360" w:lineRule="auto"/>
        <w:ind w:firstLine="480" w:firstLineChars="200"/>
        <w:contextualSpacing/>
        <w:rPr>
          <w:rFonts w:ascii="宋体" w:hAnsi="宋体"/>
        </w:rPr>
      </w:pPr>
      <w:r>
        <w:rPr>
          <w:rFonts w:hint="eastAsia" w:ascii="宋体" w:hAnsi="宋体"/>
        </w:rPr>
        <w:t>4.供应商须明确免费保修期，同时应提出故障响应时间，须明确维修点地址、负责人、联系人和联系电话，维修点具备什么样的维修能力等详细资料。</w:t>
      </w:r>
    </w:p>
    <w:p>
      <w:pPr>
        <w:spacing w:line="360" w:lineRule="auto"/>
        <w:ind w:firstLine="480" w:firstLineChars="200"/>
        <w:contextualSpacing/>
        <w:rPr>
          <w:rFonts w:ascii="宋体" w:hAnsi="宋体"/>
        </w:rPr>
      </w:pPr>
      <w:r>
        <w:rPr>
          <w:rFonts w:hint="eastAsia" w:ascii="宋体" w:hAnsi="宋体"/>
        </w:rPr>
        <w:t>5.培训：中标人必须现场派驻工程师进行现场技术培训，培训内容包括操作技能、维保技术、日常管理，但不限于上述内容。</w:t>
      </w:r>
    </w:p>
    <w:p>
      <w:pPr>
        <w:spacing w:line="360" w:lineRule="auto"/>
        <w:ind w:firstLine="480" w:firstLineChars="200"/>
        <w:contextualSpacing/>
        <w:rPr>
          <w:rFonts w:ascii="宋体" w:hAnsi="宋体"/>
        </w:rPr>
      </w:pPr>
      <w:r>
        <w:rPr>
          <w:rFonts w:hint="eastAsia" w:ascii="宋体" w:hAnsi="宋体"/>
        </w:rPr>
        <w:t>6.投标人应当提供完技术方案和售后服务及培训方案。</w:t>
      </w:r>
    </w:p>
    <w:p>
      <w:pPr>
        <w:widowControl/>
        <w:shd w:val="clear" w:color="auto" w:fill="FFFFFF"/>
        <w:spacing w:line="360" w:lineRule="auto"/>
        <w:ind w:firstLine="482" w:firstLineChars="200"/>
        <w:contextualSpacing/>
        <w:jc w:val="left"/>
        <w:rPr>
          <w:rFonts w:ascii="楷体" w:hAnsi="楷体" w:eastAsia="楷体" w:cs="宋体"/>
          <w:color w:val="000000"/>
          <w:kern w:val="0"/>
          <w:sz w:val="28"/>
          <w:szCs w:val="28"/>
          <w:lang w:val="zh-CN"/>
        </w:rPr>
      </w:pPr>
      <w:r>
        <w:rPr>
          <w:rFonts w:hint="eastAsia" w:cs="微软雅黑" w:asciiTheme="minorEastAsia" w:hAnsiTheme="minorEastAsia"/>
          <w:b/>
          <w:szCs w:val="24"/>
        </w:rPr>
        <w:t>五</w:t>
      </w:r>
      <w:r>
        <w:rPr>
          <w:rFonts w:hint="eastAsia" w:cs="宋体" w:asciiTheme="minorEastAsia" w:hAnsiTheme="minorEastAsia"/>
          <w:b/>
          <w:color w:val="000000"/>
          <w:kern w:val="0"/>
          <w:szCs w:val="24"/>
          <w:lang w:val="zh-CN"/>
        </w:rPr>
        <w:t>、验收标准</w:t>
      </w:r>
    </w:p>
    <w:p>
      <w:pPr>
        <w:adjustRightInd w:val="0"/>
        <w:snapToGrid w:val="0"/>
        <w:spacing w:line="360" w:lineRule="auto"/>
        <w:ind w:firstLine="480" w:firstLineChars="200"/>
        <w:rPr>
          <w:rFonts w:ascii="宋体" w:hAnsi="宋体"/>
        </w:rPr>
      </w:pPr>
      <w:r>
        <w:rPr>
          <w:rFonts w:hint="eastAsia" w:ascii="宋体" w:hAnsi="宋体"/>
        </w:rPr>
        <w:t>1、设备安装调试完成，试运行和测试合格，符合验收条件，由中标人向采购人提出验收审请，并向验收小组提供测试运行报告。</w:t>
      </w:r>
    </w:p>
    <w:p>
      <w:pPr>
        <w:adjustRightInd w:val="0"/>
        <w:snapToGrid w:val="0"/>
        <w:spacing w:line="360" w:lineRule="auto"/>
        <w:ind w:firstLine="480" w:firstLineChars="200"/>
        <w:rPr>
          <w:rFonts w:cs="宋体" w:asciiTheme="minorEastAsia" w:hAnsiTheme="minorEastAsia"/>
          <w:color w:val="000000"/>
          <w:kern w:val="0"/>
          <w:szCs w:val="24"/>
          <w:lang w:val="zh-CN"/>
        </w:rPr>
      </w:pPr>
      <w:r>
        <w:rPr>
          <w:rFonts w:hint="eastAsia" w:cs="宋体" w:asciiTheme="minorEastAsia" w:hAnsiTheme="minorEastAsia"/>
          <w:color w:val="000000"/>
          <w:kern w:val="0"/>
          <w:szCs w:val="24"/>
          <w:lang w:val="zh-CN"/>
        </w:rPr>
        <w:t>2、由</w:t>
      </w:r>
      <w:r>
        <w:rPr>
          <w:rFonts w:cs="宋体" w:asciiTheme="minorEastAsia" w:hAnsiTheme="minorEastAsia"/>
          <w:color w:val="000000"/>
          <w:kern w:val="0"/>
          <w:szCs w:val="24"/>
          <w:lang w:val="zh-CN"/>
        </w:rPr>
        <w:t>采购人成立验收小组,按照采购合同的约定对</w:t>
      </w:r>
      <w:r>
        <w:rPr>
          <w:rFonts w:hint="eastAsia" w:cs="宋体" w:asciiTheme="minorEastAsia" w:hAnsiTheme="minorEastAsia"/>
          <w:color w:val="000000"/>
          <w:kern w:val="0"/>
          <w:szCs w:val="24"/>
          <w:lang w:val="zh-CN"/>
        </w:rPr>
        <w:t>中标人</w:t>
      </w:r>
      <w:r>
        <w:rPr>
          <w:rFonts w:cs="宋体" w:asciiTheme="minorEastAsia" w:hAnsiTheme="minorEastAsia"/>
          <w:color w:val="000000"/>
          <w:kern w:val="0"/>
          <w:szCs w:val="24"/>
          <w:lang w:val="zh-CN"/>
        </w:rPr>
        <w:t>履约情况进行验收。验收时,按照采购合同的约定对每一项技术、服务、安全标准的履约情况进行确认。验收结束后,出具验收书,列明各项标准的验收情况及项目总体评价,</w:t>
      </w:r>
      <w:r>
        <w:rPr>
          <w:rFonts w:hint="eastAsia" w:cs="宋体" w:asciiTheme="minorEastAsia" w:hAnsiTheme="minorEastAsia"/>
          <w:color w:val="000000"/>
          <w:kern w:val="0"/>
          <w:szCs w:val="24"/>
          <w:lang w:val="zh-CN"/>
        </w:rPr>
        <w:t>验收小组并签属</w:t>
      </w:r>
      <w:r>
        <w:rPr>
          <w:rFonts w:cs="宋体" w:asciiTheme="minorEastAsia" w:hAnsiTheme="minorEastAsia"/>
          <w:color w:val="000000"/>
          <w:kern w:val="0"/>
          <w:szCs w:val="24"/>
          <w:lang w:val="zh-CN"/>
        </w:rPr>
        <w:t>。</w:t>
      </w:r>
    </w:p>
    <w:p>
      <w:pPr>
        <w:adjustRightInd w:val="0"/>
        <w:snapToGrid w:val="0"/>
        <w:spacing w:line="360" w:lineRule="auto"/>
        <w:ind w:firstLine="480" w:firstLineChars="200"/>
        <w:rPr>
          <w:rFonts w:cs="宋体" w:asciiTheme="minorEastAsia" w:hAnsiTheme="minorEastAsia"/>
          <w:color w:val="000000"/>
          <w:kern w:val="0"/>
          <w:szCs w:val="24"/>
          <w:lang w:val="zh-CN"/>
        </w:rPr>
      </w:pPr>
      <w:r>
        <w:rPr>
          <w:rFonts w:hint="eastAsia" w:cs="宋体" w:asciiTheme="minorEastAsia" w:hAnsiTheme="minorEastAsia"/>
          <w:color w:val="000000"/>
          <w:kern w:val="0"/>
          <w:szCs w:val="24"/>
          <w:lang w:val="zh-CN"/>
        </w:rPr>
        <w:t>3、按照招标文件要求、投标文件响应和承诺验收；</w:t>
      </w:r>
    </w:p>
    <w:p>
      <w:pPr>
        <w:adjustRightInd w:val="0"/>
        <w:snapToGrid w:val="0"/>
        <w:spacing w:line="360" w:lineRule="auto"/>
        <w:ind w:firstLine="480" w:firstLineChars="200"/>
        <w:rPr>
          <w:rFonts w:cs="宋体" w:asciiTheme="minorEastAsia" w:hAnsiTheme="minorEastAsia"/>
          <w:color w:val="000000"/>
          <w:kern w:val="0"/>
          <w:szCs w:val="24"/>
          <w:lang w:val="zh-CN"/>
        </w:rPr>
      </w:pPr>
      <w:r>
        <w:rPr>
          <w:rFonts w:hint="eastAsia" w:cs="宋体" w:asciiTheme="minorEastAsia" w:hAnsiTheme="minorEastAsia"/>
          <w:color w:val="000000"/>
          <w:kern w:val="0"/>
          <w:szCs w:val="24"/>
          <w:lang w:val="zh-CN"/>
        </w:rPr>
        <w:t>4、按照国家相关标准、行业标准、地方标准或者其他标准、规范验收（与采购标的执行标准一致）；</w:t>
      </w:r>
    </w:p>
    <w:p>
      <w:pPr>
        <w:adjustRightInd w:val="0"/>
        <w:snapToGrid w:val="0"/>
        <w:spacing w:line="360" w:lineRule="auto"/>
        <w:ind w:firstLine="482" w:firstLineChars="200"/>
        <w:rPr>
          <w:rFonts w:cs="宋体" w:asciiTheme="minorEastAsia" w:hAnsiTheme="minorEastAsia"/>
          <w:b/>
          <w:color w:val="000000"/>
          <w:kern w:val="0"/>
          <w:szCs w:val="24"/>
          <w:lang w:val="zh-CN"/>
        </w:rPr>
      </w:pPr>
      <w:r>
        <w:rPr>
          <w:rFonts w:hint="eastAsia" w:cs="宋体" w:asciiTheme="minorEastAsia" w:hAnsiTheme="minorEastAsia"/>
          <w:b/>
          <w:color w:val="000000"/>
          <w:kern w:val="0"/>
          <w:szCs w:val="24"/>
          <w:lang w:val="zh-CN"/>
        </w:rPr>
        <w:t>六、本项目预算金额</w:t>
      </w:r>
      <w:r>
        <w:rPr>
          <w:rFonts w:hint="eastAsia" w:cs="宋体" w:asciiTheme="minorEastAsia" w:hAnsiTheme="minorEastAsia"/>
          <w:b/>
          <w:color w:val="000000"/>
          <w:kern w:val="0"/>
          <w:szCs w:val="24"/>
        </w:rPr>
        <w:t>15600</w:t>
      </w:r>
      <w:r>
        <w:rPr>
          <w:rFonts w:hint="eastAsia" w:cs="宋体" w:asciiTheme="minorEastAsia" w:hAnsiTheme="minorEastAsia"/>
          <w:b/>
          <w:color w:val="000000"/>
          <w:kern w:val="0"/>
          <w:szCs w:val="24"/>
          <w:lang w:val="zh-CN"/>
        </w:rPr>
        <w:t>00.00元。最高限价</w:t>
      </w:r>
      <w:r>
        <w:rPr>
          <w:rFonts w:hint="eastAsia" w:cs="宋体" w:asciiTheme="minorEastAsia" w:hAnsiTheme="minorEastAsia"/>
          <w:b/>
          <w:color w:val="000000"/>
          <w:kern w:val="0"/>
          <w:szCs w:val="24"/>
        </w:rPr>
        <w:t>15600</w:t>
      </w:r>
      <w:r>
        <w:rPr>
          <w:rFonts w:hint="eastAsia" w:cs="宋体" w:asciiTheme="minorEastAsia" w:hAnsiTheme="minorEastAsia"/>
          <w:b/>
          <w:color w:val="000000"/>
          <w:kern w:val="0"/>
          <w:szCs w:val="24"/>
          <w:lang w:val="zh-CN"/>
        </w:rPr>
        <w:t>00.00元。超出最高限价的投标无效。</w:t>
      </w:r>
    </w:p>
    <w:p>
      <w:pPr>
        <w:adjustRightInd w:val="0"/>
        <w:snapToGrid w:val="0"/>
        <w:spacing w:line="360" w:lineRule="auto"/>
        <w:ind w:firstLine="482" w:firstLineChars="200"/>
        <w:rPr>
          <w:rFonts w:cs="宋体" w:asciiTheme="minorEastAsia" w:hAnsiTheme="minorEastAsia"/>
          <w:b/>
          <w:color w:val="000000"/>
          <w:kern w:val="0"/>
          <w:szCs w:val="24"/>
          <w:lang w:val="zh-CN"/>
        </w:rPr>
      </w:pPr>
      <w:r>
        <w:rPr>
          <w:rFonts w:hint="eastAsia" w:cs="宋体" w:asciiTheme="minorEastAsia" w:hAnsiTheme="minorEastAsia"/>
          <w:b/>
          <w:color w:val="000000"/>
          <w:kern w:val="0"/>
          <w:szCs w:val="24"/>
          <w:lang w:val="zh-CN"/>
        </w:rPr>
        <w:t>七、资金支付</w:t>
      </w:r>
    </w:p>
    <w:p>
      <w:pPr>
        <w:adjustRightInd w:val="0"/>
        <w:snapToGrid w:val="0"/>
        <w:spacing w:line="360" w:lineRule="auto"/>
        <w:ind w:firstLine="480" w:firstLineChars="200"/>
        <w:rPr>
          <w:rFonts w:ascii="宋体" w:cs="宋体"/>
          <w:szCs w:val="24"/>
        </w:rPr>
      </w:pPr>
      <w:r>
        <w:rPr>
          <w:rFonts w:hint="eastAsia" w:cs="宋体" w:asciiTheme="minorEastAsia" w:hAnsiTheme="minorEastAsia"/>
          <w:color w:val="000000"/>
          <w:kern w:val="0"/>
          <w:szCs w:val="24"/>
          <w:lang w:val="zh-CN"/>
        </w:rPr>
        <w:t>1、支付方式：</w:t>
      </w:r>
      <w:r>
        <w:rPr>
          <w:rFonts w:hint="eastAsia" w:ascii="宋体" w:cs="宋体"/>
          <w:szCs w:val="24"/>
        </w:rPr>
        <w:t>银行转账；</w:t>
      </w:r>
    </w:p>
    <w:p>
      <w:pPr>
        <w:adjustRightInd w:val="0"/>
        <w:snapToGrid w:val="0"/>
        <w:spacing w:line="360" w:lineRule="auto"/>
        <w:ind w:firstLine="480" w:firstLineChars="200"/>
        <w:rPr>
          <w:rFonts w:ascii="宋体" w:hAnsi="宋体" w:cs="宋体"/>
          <w:bCs/>
          <w:szCs w:val="24"/>
        </w:rPr>
      </w:pPr>
      <w:r>
        <w:rPr>
          <w:rFonts w:hint="eastAsia" w:cs="宋体" w:asciiTheme="minorEastAsia" w:hAnsiTheme="minorEastAsia"/>
          <w:color w:val="000000"/>
          <w:kern w:val="0"/>
          <w:szCs w:val="24"/>
          <w:lang w:val="zh-CN"/>
        </w:rPr>
        <w:t>2、支付时间及条件：</w:t>
      </w:r>
      <w:r>
        <w:rPr>
          <w:rFonts w:hint="eastAsia" w:ascii="宋体" w:hAnsi="宋体" w:cs="宋体"/>
          <w:szCs w:val="24"/>
          <w:lang w:val="zh-CN"/>
        </w:rPr>
        <w:t>设备到货安装调试完毕，经验收合格后付合同总价的</w:t>
      </w:r>
      <w:r>
        <w:rPr>
          <w:rFonts w:hint="eastAsia" w:ascii="宋体" w:hAnsi="宋体" w:cs="宋体"/>
          <w:szCs w:val="24"/>
        </w:rPr>
        <w:t>85</w:t>
      </w:r>
      <w:r>
        <w:rPr>
          <w:rFonts w:hint="eastAsia" w:ascii="宋体" w:hAnsi="宋体" w:cs="宋体"/>
          <w:szCs w:val="24"/>
          <w:lang w:val="zh-CN"/>
        </w:rPr>
        <w:t>%，剩余款项目质保每满一年无质量问题支付总价的</w:t>
      </w:r>
      <w:r>
        <w:rPr>
          <w:rFonts w:hint="eastAsia" w:ascii="宋体" w:hAnsi="宋体" w:cs="宋体"/>
          <w:szCs w:val="24"/>
        </w:rPr>
        <w:t>5%，分三</w:t>
      </w:r>
      <w:r>
        <w:rPr>
          <w:rFonts w:hint="eastAsia" w:ascii="宋体" w:hAnsi="宋体" w:cs="宋体"/>
          <w:szCs w:val="24"/>
          <w:lang w:val="zh-CN"/>
        </w:rPr>
        <w:t>次付清。</w:t>
      </w:r>
    </w:p>
    <w:p>
      <w:pPr>
        <w:spacing w:line="420" w:lineRule="exact"/>
        <w:ind w:firstLine="140" w:firstLineChars="44"/>
        <w:jc w:val="center"/>
        <w:rPr>
          <w:rFonts w:ascii="黑体" w:hAnsi="黑体" w:eastAsia="黑体"/>
          <w:sz w:val="32"/>
          <w:szCs w:val="32"/>
        </w:rPr>
      </w:pPr>
      <w:r>
        <w:rPr>
          <w:rFonts w:hint="eastAsia" w:ascii="黑体" w:hAnsi="黑体" w:eastAsia="黑体"/>
          <w:sz w:val="32"/>
          <w:szCs w:val="32"/>
        </w:rPr>
        <w:br w:type="page"/>
      </w:r>
    </w:p>
    <w:p>
      <w:pPr>
        <w:spacing w:line="420" w:lineRule="exact"/>
        <w:ind w:firstLine="140" w:firstLineChars="44"/>
        <w:jc w:val="center"/>
        <w:rPr>
          <w:sz w:val="32"/>
          <w:szCs w:val="32"/>
        </w:rPr>
      </w:pPr>
      <w:r>
        <w:rPr>
          <w:rFonts w:hint="eastAsia" w:ascii="黑体" w:hAnsi="黑体" w:eastAsia="黑体"/>
          <w:sz w:val="32"/>
          <w:szCs w:val="32"/>
        </w:rPr>
        <w:t>第三章  竞争性磋商须知</w:t>
      </w:r>
    </w:p>
    <w:p>
      <w:pPr>
        <w:pStyle w:val="28"/>
        <w:ind w:firstLine="424"/>
        <w:jc w:val="both"/>
        <w:rPr>
          <w:sz w:val="24"/>
          <w:szCs w:val="24"/>
        </w:rPr>
      </w:pPr>
      <w:bookmarkStart w:id="1" w:name="_Toc448307925"/>
      <w:bookmarkEnd w:id="1"/>
      <w:r>
        <w:rPr>
          <w:rFonts w:hint="eastAsia"/>
          <w:sz w:val="24"/>
          <w:szCs w:val="24"/>
        </w:rPr>
        <w:t>一、响应供应商须知见附表</w:t>
      </w:r>
    </w:p>
    <w:p>
      <w:pPr>
        <w:spacing w:line="360" w:lineRule="exact"/>
        <w:ind w:firstLine="480"/>
        <w:rPr>
          <w:rFonts w:ascii="宋体" w:cs="宋体"/>
          <w:szCs w:val="24"/>
        </w:rPr>
      </w:pPr>
      <w:r>
        <w:rPr>
          <w:rFonts w:hint="eastAsia" w:ascii="宋体" w:hAnsi="宋体" w:cs="宋体"/>
          <w:szCs w:val="24"/>
        </w:rPr>
        <w:t>本表关于本次竞争性磋商采购的具体资料内容，是对竞争性磋商须知的具体补充和修改，如有矛盾，应以本资料表为准。本表中没有涉及到的条款，仍以竞争性磋商须知的相应条款为准。</w:t>
      </w:r>
    </w:p>
    <w:tbl>
      <w:tblPr>
        <w:tblStyle w:val="34"/>
        <w:tblW w:w="9781" w:type="dxa"/>
        <w:tblInd w:w="-44" w:type="dxa"/>
        <w:tblLayout w:type="fixed"/>
        <w:tblCellMar>
          <w:top w:w="0" w:type="dxa"/>
          <w:left w:w="10" w:type="dxa"/>
          <w:bottom w:w="0" w:type="dxa"/>
          <w:right w:w="10" w:type="dxa"/>
        </w:tblCellMar>
      </w:tblPr>
      <w:tblGrid>
        <w:gridCol w:w="709"/>
        <w:gridCol w:w="9072"/>
      </w:tblGrid>
      <w:tr>
        <w:tblPrEx>
          <w:tblLayout w:type="fixed"/>
          <w:tblCellMar>
            <w:top w:w="0" w:type="dxa"/>
            <w:left w:w="10" w:type="dxa"/>
            <w:bottom w:w="0" w:type="dxa"/>
            <w:right w:w="10" w:type="dxa"/>
          </w:tblCellMar>
        </w:tblPrEx>
        <w:trPr>
          <w:trHeight w:val="402"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hint="eastAsia" w:ascii="宋体" w:hAnsi="宋体" w:cs="宋体"/>
                <w:sz w:val="21"/>
                <w:szCs w:val="21"/>
              </w:rPr>
              <w:t>序号</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hint="eastAsia" w:ascii="宋体" w:hAnsi="宋体" w:cs="宋体"/>
                <w:sz w:val="21"/>
                <w:szCs w:val="21"/>
              </w:rPr>
              <w:t>内容</w:t>
            </w:r>
          </w:p>
        </w:tc>
      </w:tr>
      <w:tr>
        <w:tblPrEx>
          <w:tblLayout w:type="fixed"/>
          <w:tblCellMar>
            <w:top w:w="0" w:type="dxa"/>
            <w:left w:w="10" w:type="dxa"/>
            <w:bottom w:w="0" w:type="dxa"/>
            <w:right w:w="10" w:type="dxa"/>
          </w:tblCellMar>
        </w:tblPrEx>
        <w:trPr>
          <w:trHeight w:val="385" w:hRule="atLeast"/>
        </w:trPr>
        <w:tc>
          <w:tcPr>
            <w:tcW w:w="709"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cs="宋体"/>
                <w:sz w:val="21"/>
                <w:szCs w:val="21"/>
              </w:rPr>
            </w:pPr>
            <w:r>
              <w:rPr>
                <w:rFonts w:ascii="宋体" w:hAnsi="宋体" w:cs="宋体"/>
                <w:sz w:val="21"/>
                <w:szCs w:val="21"/>
              </w:rPr>
              <w:t>1</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tLeast"/>
              <w:rPr>
                <w:rFonts w:ascii="Cambria" w:hAnsi="Cambria"/>
                <w:sz w:val="21"/>
                <w:szCs w:val="21"/>
              </w:rPr>
            </w:pPr>
            <w:r>
              <w:rPr>
                <w:rFonts w:hint="eastAsia" w:ascii="宋体" w:hAnsi="宋体" w:cs="宋体"/>
                <w:sz w:val="21"/>
                <w:szCs w:val="21"/>
              </w:rPr>
              <w:t>采购人：许昌融智传媒有限公司；地址：许昌市魏都区龙兴路报业大厦；联系人：刘先生；电话：13837475511。</w:t>
            </w:r>
          </w:p>
        </w:tc>
      </w:tr>
      <w:tr>
        <w:tblPrEx>
          <w:tblLayout w:type="fixed"/>
          <w:tblCellMar>
            <w:top w:w="0" w:type="dxa"/>
            <w:left w:w="10" w:type="dxa"/>
            <w:bottom w:w="0" w:type="dxa"/>
            <w:right w:w="10" w:type="dxa"/>
          </w:tblCellMar>
        </w:tblPrEx>
        <w:trPr>
          <w:trHeight w:val="712" w:hRule="atLeast"/>
        </w:trPr>
        <w:tc>
          <w:tcPr>
            <w:tcW w:w="709"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pP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tLeast"/>
              <w:rPr>
                <w:rFonts w:ascii="宋体" w:hAnsi="宋体" w:cs="宋体"/>
                <w:sz w:val="21"/>
                <w:szCs w:val="21"/>
              </w:rPr>
            </w:pPr>
            <w:r>
              <w:rPr>
                <w:rFonts w:hint="eastAsia" w:ascii="宋体" w:hAnsi="宋体" w:cs="宋体"/>
                <w:sz w:val="21"/>
                <w:szCs w:val="21"/>
              </w:rPr>
              <w:t>代理机构：许昌光大电子商务技术服务有公司；地址：许昌市智慧大道亨源通广场1号楼401室；联系人：靳女士、电话：13323993003、0374-2365558。</w:t>
            </w:r>
          </w:p>
        </w:tc>
      </w:tr>
      <w:tr>
        <w:tblPrEx>
          <w:tblLayout w:type="fixed"/>
          <w:tblCellMar>
            <w:top w:w="0" w:type="dxa"/>
            <w:left w:w="10" w:type="dxa"/>
            <w:bottom w:w="0" w:type="dxa"/>
            <w:right w:w="10" w:type="dxa"/>
          </w:tblCellMar>
        </w:tblPrEx>
        <w:trPr>
          <w:trHeight w:val="589"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cs="宋体"/>
                <w:sz w:val="21"/>
                <w:szCs w:val="21"/>
              </w:rPr>
            </w:pPr>
            <w:r>
              <w:rPr>
                <w:rFonts w:ascii="宋体" w:hAnsi="宋体" w:cs="宋体"/>
                <w:sz w:val="21"/>
                <w:szCs w:val="21"/>
              </w:rPr>
              <w:t>2</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tLeast"/>
              <w:rPr>
                <w:rFonts w:ascii="宋体" w:hAnsi="宋体" w:cs="宋体"/>
                <w:sz w:val="21"/>
                <w:szCs w:val="21"/>
              </w:rPr>
            </w:pPr>
            <w:r>
              <w:rPr>
                <w:rFonts w:hint="eastAsia" w:ascii="宋体" w:hAnsi="宋体" w:cs="宋体"/>
                <w:sz w:val="21"/>
                <w:szCs w:val="21"/>
              </w:rPr>
              <w:t>资格条件：</w:t>
            </w:r>
          </w:p>
          <w:p>
            <w:pPr>
              <w:spacing w:line="240" w:lineRule="atLeast"/>
              <w:rPr>
                <w:rFonts w:ascii="宋体" w:hAnsi="宋体" w:cs="宋体"/>
                <w:sz w:val="21"/>
                <w:szCs w:val="21"/>
              </w:rPr>
            </w:pPr>
            <w:r>
              <w:rPr>
                <w:rFonts w:hint="eastAsia" w:ascii="宋体" w:hAnsi="宋体" w:cs="宋体"/>
                <w:sz w:val="21"/>
                <w:szCs w:val="21"/>
              </w:rPr>
              <w:t>（一）符合《中华人民共和国政府采购法》第二十二条之规定；</w:t>
            </w:r>
          </w:p>
          <w:p>
            <w:pPr>
              <w:spacing w:line="240" w:lineRule="atLeast"/>
              <w:rPr>
                <w:rFonts w:ascii="宋体" w:hAnsi="宋体" w:cs="宋体"/>
                <w:sz w:val="21"/>
                <w:szCs w:val="21"/>
              </w:rPr>
            </w:pPr>
            <w:r>
              <w:rPr>
                <w:rFonts w:hint="eastAsia" w:ascii="宋体" w:hAnsi="宋体" w:cs="宋体"/>
                <w:sz w:val="21"/>
                <w:szCs w:val="21"/>
              </w:rPr>
              <w:t>（二）未被列入“信用中国”网站</w:t>
            </w:r>
            <w:r>
              <w:rPr>
                <w:rFonts w:hint="eastAsia" w:ascii="宋体" w:hAnsi="宋体" w:cs="宋体"/>
                <w:sz w:val="21"/>
                <w:szCs w:val="21"/>
                <w:lang w:val="en-US"/>
              </w:rPr>
              <w:t>(www.creditchina.gov.cn)</w:t>
            </w:r>
            <w:r>
              <w:rPr>
                <w:rFonts w:hint="eastAsia" w:ascii="宋体" w:hAnsi="宋体" w:cs="宋体"/>
                <w:sz w:val="21"/>
                <w:szCs w:val="21"/>
              </w:rPr>
              <w:t>失信被执行人、重大税收违法案件当事人名单、政府采购严重违法失信名单的投标人；“中国政府采购网”</w:t>
            </w:r>
            <w:r>
              <w:rPr>
                <w:rFonts w:hint="eastAsia" w:ascii="宋体" w:hAnsi="宋体" w:cs="宋体"/>
                <w:sz w:val="21"/>
                <w:szCs w:val="21"/>
                <w:lang w:val="en-US"/>
              </w:rPr>
              <w:t> (www.ccgp.gov.cn)</w:t>
            </w:r>
            <w:r>
              <w:rPr>
                <w:rFonts w:hint="eastAsia" w:ascii="宋体" w:hAnsi="宋体" w:cs="宋体"/>
                <w:sz w:val="21"/>
                <w:szCs w:val="21"/>
              </w:rPr>
              <w:t>政府采购严重违法失信行为记录名单的投标人；“国家企业信用公示系统”网站（</w:t>
            </w:r>
            <w:r>
              <w:rPr>
                <w:rFonts w:hint="eastAsia" w:ascii="宋体" w:hAnsi="宋体" w:cs="宋体"/>
                <w:sz w:val="21"/>
                <w:szCs w:val="21"/>
                <w:lang w:val="en-US"/>
              </w:rPr>
              <w:t>www.gsxt.gov.cn</w:t>
            </w:r>
            <w:r>
              <w:rPr>
                <w:rFonts w:hint="eastAsia" w:ascii="宋体" w:hAnsi="宋体" w:cs="宋体"/>
                <w:sz w:val="21"/>
                <w:szCs w:val="21"/>
              </w:rPr>
              <w:t>）严重违法失信企业名单（黑名单）的投标人；</w:t>
            </w:r>
          </w:p>
          <w:p>
            <w:pPr>
              <w:spacing w:line="240" w:lineRule="atLeast"/>
              <w:rPr>
                <w:rFonts w:ascii="宋体" w:hAnsi="宋体" w:cs="宋体"/>
                <w:sz w:val="21"/>
                <w:szCs w:val="21"/>
              </w:rPr>
            </w:pPr>
            <w:r>
              <w:rPr>
                <w:rFonts w:hint="eastAsia" w:ascii="宋体" w:hAnsi="宋体" w:cs="宋体"/>
                <w:sz w:val="21"/>
                <w:szCs w:val="21"/>
              </w:rPr>
              <w:t>（三）本</w:t>
            </w:r>
            <w:r>
              <w:rPr>
                <w:rFonts w:hint="eastAsia" w:ascii="宋体" w:hAnsi="宋体" w:cs="宋体"/>
                <w:sz w:val="21"/>
                <w:szCs w:val="21"/>
                <w:lang w:eastAsia="zh-CN"/>
              </w:rPr>
              <w:t>项目</w:t>
            </w:r>
            <w:r>
              <w:rPr>
                <w:rFonts w:hint="eastAsia" w:ascii="宋体" w:hAnsi="宋体" w:cs="宋体"/>
                <w:sz w:val="21"/>
                <w:szCs w:val="21"/>
              </w:rPr>
              <w:t>不接受联合体。</w:t>
            </w:r>
          </w:p>
        </w:tc>
      </w:tr>
      <w:tr>
        <w:tblPrEx>
          <w:tblLayout w:type="fixed"/>
          <w:tblCellMar>
            <w:top w:w="0" w:type="dxa"/>
            <w:left w:w="10" w:type="dxa"/>
            <w:bottom w:w="0" w:type="dxa"/>
            <w:right w:w="10" w:type="dxa"/>
          </w:tblCellMar>
        </w:tblPrEx>
        <w:trPr>
          <w:trHeight w:val="248"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ascii="宋体" w:hAnsi="宋体" w:cs="宋体"/>
                <w:sz w:val="21"/>
                <w:szCs w:val="21"/>
              </w:rPr>
              <w:t>3</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tLeast"/>
              <w:rPr>
                <w:rFonts w:ascii="宋体" w:hAnsi="宋体" w:cs="宋体"/>
                <w:sz w:val="21"/>
                <w:szCs w:val="21"/>
              </w:rPr>
            </w:pPr>
            <w:r>
              <w:rPr>
                <w:rFonts w:hint="eastAsia" w:ascii="宋体" w:hAnsi="宋体" w:cs="宋体"/>
                <w:sz w:val="21"/>
                <w:szCs w:val="21"/>
              </w:rPr>
              <w:t>标段：不分标段。</w:t>
            </w:r>
          </w:p>
        </w:tc>
      </w:tr>
      <w:tr>
        <w:tblPrEx>
          <w:tblLayout w:type="fixed"/>
          <w:tblCellMar>
            <w:top w:w="0" w:type="dxa"/>
            <w:left w:w="10" w:type="dxa"/>
            <w:bottom w:w="0" w:type="dxa"/>
            <w:right w:w="10" w:type="dxa"/>
          </w:tblCellMar>
        </w:tblPrEx>
        <w:trPr>
          <w:trHeight w:val="324"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ascii="宋体" w:hAnsi="宋体" w:cs="宋体"/>
                <w:sz w:val="21"/>
                <w:szCs w:val="21"/>
              </w:rPr>
              <w:t>4</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tLeast"/>
              <w:rPr>
                <w:rFonts w:ascii="宋体" w:hAnsi="宋体" w:cs="宋体"/>
                <w:sz w:val="21"/>
                <w:szCs w:val="21"/>
              </w:rPr>
            </w:pPr>
            <w:r>
              <w:rPr>
                <w:rFonts w:hint="eastAsia" w:ascii="宋体" w:hAnsi="宋体" w:cs="宋体"/>
                <w:sz w:val="21"/>
                <w:szCs w:val="21"/>
              </w:rPr>
              <w:t>工期：30日历天。</w:t>
            </w:r>
          </w:p>
        </w:tc>
      </w:tr>
      <w:tr>
        <w:tblPrEx>
          <w:tblLayout w:type="fixed"/>
          <w:tblCellMar>
            <w:top w:w="0" w:type="dxa"/>
            <w:left w:w="10" w:type="dxa"/>
            <w:bottom w:w="0" w:type="dxa"/>
            <w:right w:w="10" w:type="dxa"/>
          </w:tblCellMar>
        </w:tblPrEx>
        <w:trPr>
          <w:trHeight w:val="323"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ascii="宋体" w:hAnsi="宋体" w:cs="宋体"/>
                <w:sz w:val="21"/>
                <w:szCs w:val="21"/>
              </w:rPr>
              <w:t>5</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tLeast"/>
              <w:rPr>
                <w:rFonts w:ascii="宋体" w:hAnsi="宋体" w:cs="宋体"/>
                <w:sz w:val="21"/>
                <w:szCs w:val="21"/>
              </w:rPr>
            </w:pPr>
            <w:r>
              <w:rPr>
                <w:rFonts w:hint="eastAsia" w:ascii="宋体" w:hAnsi="宋体" w:cs="宋体"/>
                <w:sz w:val="21"/>
                <w:szCs w:val="21"/>
              </w:rPr>
              <w:t>最高限价：1560000.00元，</w:t>
            </w:r>
          </w:p>
        </w:tc>
      </w:tr>
      <w:tr>
        <w:tblPrEx>
          <w:tblLayout w:type="fixed"/>
          <w:tblCellMar>
            <w:top w:w="0" w:type="dxa"/>
            <w:left w:w="10" w:type="dxa"/>
            <w:bottom w:w="0" w:type="dxa"/>
            <w:right w:w="10" w:type="dxa"/>
          </w:tblCellMar>
        </w:tblPrEx>
        <w:trPr>
          <w:trHeight w:val="233"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hint="eastAsia" w:ascii="宋体" w:hAnsi="宋体" w:cs="宋体"/>
                <w:sz w:val="21"/>
                <w:szCs w:val="21"/>
              </w:rPr>
              <w:t>6</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tLeast"/>
              <w:rPr>
                <w:rFonts w:ascii="宋体" w:hAnsi="宋体" w:cs="宋体"/>
                <w:sz w:val="21"/>
                <w:szCs w:val="21"/>
              </w:rPr>
            </w:pPr>
            <w:r>
              <w:rPr>
                <w:rFonts w:hint="eastAsia" w:ascii="宋体" w:hAnsi="宋体" w:cs="宋体"/>
                <w:sz w:val="21"/>
                <w:szCs w:val="21"/>
              </w:rPr>
              <w:t>磋商有效期：60天</w:t>
            </w:r>
          </w:p>
        </w:tc>
      </w:tr>
      <w:tr>
        <w:tblPrEx>
          <w:tblLayout w:type="fixed"/>
          <w:tblCellMar>
            <w:top w:w="0" w:type="dxa"/>
            <w:left w:w="10" w:type="dxa"/>
            <w:bottom w:w="0" w:type="dxa"/>
            <w:right w:w="10" w:type="dxa"/>
          </w:tblCellMar>
        </w:tblPrEx>
        <w:trPr>
          <w:trHeight w:val="339"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hint="eastAsia" w:ascii="宋体" w:hAnsi="宋体" w:cs="宋体"/>
                <w:sz w:val="21"/>
                <w:szCs w:val="21"/>
              </w:rPr>
              <w:t>7</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tLeast"/>
              <w:rPr>
                <w:rFonts w:ascii="宋体" w:hAnsi="宋体" w:cs="宋体"/>
                <w:sz w:val="21"/>
                <w:szCs w:val="21"/>
              </w:rPr>
            </w:pPr>
            <w:r>
              <w:rPr>
                <w:rFonts w:hint="eastAsia" w:ascii="宋体" w:hAnsi="宋体" w:cs="宋体"/>
                <w:sz w:val="21"/>
                <w:szCs w:val="21"/>
              </w:rPr>
              <w:t>响应文件：</w:t>
            </w:r>
          </w:p>
          <w:p>
            <w:pPr>
              <w:spacing w:line="240" w:lineRule="atLeast"/>
              <w:rPr>
                <w:rFonts w:ascii="宋体" w:hAnsi="宋体" w:cs="宋体"/>
                <w:sz w:val="21"/>
                <w:szCs w:val="21"/>
              </w:rPr>
            </w:pPr>
            <w:r>
              <w:rPr>
                <w:rFonts w:hint="eastAsia" w:ascii="宋体" w:hAnsi="宋体" w:cs="宋体"/>
                <w:sz w:val="21"/>
                <w:szCs w:val="21"/>
              </w:rPr>
              <w:t>正本：1份，副本：叁份，胶装订成册。成交后，成交供应商应另行提交电子档。</w:t>
            </w:r>
          </w:p>
        </w:tc>
      </w:tr>
      <w:tr>
        <w:tblPrEx>
          <w:tblLayout w:type="fixed"/>
          <w:tblCellMar>
            <w:top w:w="0" w:type="dxa"/>
            <w:left w:w="10" w:type="dxa"/>
            <w:bottom w:w="0" w:type="dxa"/>
            <w:right w:w="10" w:type="dxa"/>
          </w:tblCellMar>
        </w:tblPrEx>
        <w:trPr>
          <w:trHeight w:val="249"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hint="eastAsia" w:ascii="宋体" w:hAnsi="宋体" w:cs="宋体"/>
                <w:sz w:val="21"/>
                <w:szCs w:val="21"/>
              </w:rPr>
              <w:t>8</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cs="宋体"/>
                <w:sz w:val="21"/>
                <w:szCs w:val="21"/>
              </w:rPr>
            </w:pPr>
            <w:r>
              <w:rPr>
                <w:rFonts w:hint="eastAsia" w:ascii="宋体" w:hAnsi="宋体" w:cs="宋体"/>
                <w:sz w:val="21"/>
                <w:szCs w:val="21"/>
              </w:rPr>
              <w:t>磋商文件异议提出截止时间：竞争性磋商递交文件前</w:t>
            </w:r>
            <w:r>
              <w:rPr>
                <w:rFonts w:ascii="宋体" w:hAnsi="宋体" w:cs="宋体"/>
                <w:sz w:val="21"/>
                <w:szCs w:val="21"/>
              </w:rPr>
              <w:t>7</w:t>
            </w:r>
            <w:r>
              <w:rPr>
                <w:rFonts w:hint="eastAsia" w:ascii="宋体" w:hAnsi="宋体" w:cs="宋体"/>
                <w:sz w:val="21"/>
                <w:szCs w:val="21"/>
              </w:rPr>
              <w:t>个工作日。</w:t>
            </w:r>
          </w:p>
        </w:tc>
      </w:tr>
      <w:tr>
        <w:tblPrEx>
          <w:tblLayout w:type="fixed"/>
          <w:tblCellMar>
            <w:top w:w="0" w:type="dxa"/>
            <w:left w:w="10" w:type="dxa"/>
            <w:bottom w:w="0" w:type="dxa"/>
            <w:right w:w="10" w:type="dxa"/>
          </w:tblCellMar>
        </w:tblPrEx>
        <w:trPr>
          <w:trHeight w:val="234"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hint="eastAsia" w:ascii="宋体" w:hAnsi="宋体" w:cs="宋体"/>
                <w:sz w:val="21"/>
                <w:szCs w:val="21"/>
              </w:rPr>
              <w:t>9</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cs="宋体"/>
                <w:sz w:val="21"/>
                <w:szCs w:val="21"/>
              </w:rPr>
            </w:pPr>
            <w:r>
              <w:rPr>
                <w:rFonts w:hint="eastAsia" w:ascii="宋体" w:hAnsi="宋体" w:cs="宋体"/>
                <w:sz w:val="21"/>
                <w:szCs w:val="21"/>
              </w:rPr>
              <w:t>现场考察和答疑会：不组织，应自行组织现场调研。</w:t>
            </w:r>
          </w:p>
        </w:tc>
      </w:tr>
      <w:tr>
        <w:tblPrEx>
          <w:tblLayout w:type="fixed"/>
          <w:tblCellMar>
            <w:top w:w="0" w:type="dxa"/>
            <w:left w:w="10" w:type="dxa"/>
            <w:bottom w:w="0" w:type="dxa"/>
            <w:right w:w="10" w:type="dxa"/>
          </w:tblCellMar>
        </w:tblPrEx>
        <w:trPr>
          <w:trHeight w:val="219"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ascii="宋体" w:hAnsi="宋体" w:cs="宋体"/>
                <w:sz w:val="21"/>
                <w:szCs w:val="21"/>
              </w:rPr>
              <w:t>1</w:t>
            </w:r>
            <w:r>
              <w:rPr>
                <w:rFonts w:hint="eastAsia" w:ascii="宋体" w:hAnsi="宋体" w:cs="宋体"/>
                <w:sz w:val="21"/>
                <w:szCs w:val="21"/>
              </w:rPr>
              <w:t>0</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20" w:lineRule="exact"/>
              <w:rPr>
                <w:rFonts w:ascii="宋体" w:hAnsi="宋体" w:cs="宋体"/>
                <w:kern w:val="2"/>
                <w:sz w:val="21"/>
                <w:szCs w:val="21"/>
                <w:lang w:val="zh-CN"/>
              </w:rPr>
            </w:pPr>
            <w:r>
              <w:rPr>
                <w:rFonts w:hint="eastAsia" w:ascii="宋体" w:hAnsi="宋体" w:cs="宋体"/>
                <w:sz w:val="21"/>
                <w:szCs w:val="21"/>
              </w:rPr>
              <w:t>磋商保证金</w:t>
            </w:r>
            <w:r>
              <w:rPr>
                <w:rFonts w:hint="eastAsia" w:ascii="宋体" w:hAnsi="宋体" w:cs="宋体"/>
                <w:kern w:val="2"/>
                <w:sz w:val="21"/>
                <w:szCs w:val="21"/>
                <w:lang w:val="zh-CN"/>
              </w:rPr>
              <w:t>缴纳截止时间：同投标截止时间。</w:t>
            </w:r>
          </w:p>
          <w:p>
            <w:pPr>
              <w:rPr>
                <w:rFonts w:ascii="宋体" w:hAnsi="宋体" w:cs="宋体"/>
                <w:kern w:val="2"/>
                <w:sz w:val="21"/>
                <w:szCs w:val="21"/>
                <w:lang w:val="zh-CN"/>
              </w:rPr>
            </w:pPr>
            <w:r>
              <w:rPr>
                <w:rFonts w:hint="eastAsia" w:ascii="宋体" w:hAnsi="宋体" w:cs="宋体"/>
                <w:sz w:val="21"/>
                <w:szCs w:val="21"/>
              </w:rPr>
              <w:t>保证金</w:t>
            </w:r>
            <w:r>
              <w:rPr>
                <w:rFonts w:hint="eastAsia" w:ascii="宋体" w:hAnsi="宋体" w:cs="宋体"/>
                <w:kern w:val="2"/>
                <w:sz w:val="21"/>
                <w:szCs w:val="21"/>
                <w:lang w:val="zh-CN"/>
              </w:rPr>
              <w:t>金额：</w:t>
            </w:r>
            <w:r>
              <w:rPr>
                <w:rFonts w:hint="eastAsia" w:ascii="宋体" w:hAnsi="宋体" w:cs="宋体"/>
                <w:kern w:val="2"/>
                <w:sz w:val="21"/>
                <w:szCs w:val="21"/>
                <w:u w:val="single"/>
                <w:lang w:val="zh-CN"/>
              </w:rPr>
              <w:t>人民币叁万元整（</w:t>
            </w:r>
            <w:r>
              <w:rPr>
                <w:rFonts w:hint="eastAsia" w:ascii="宋体" w:hAnsi="宋体" w:cs="宋体"/>
                <w:kern w:val="2"/>
                <w:sz w:val="21"/>
                <w:szCs w:val="21"/>
                <w:u w:val="single"/>
              </w:rPr>
              <w:t>¥30000.00</w:t>
            </w:r>
            <w:r>
              <w:rPr>
                <w:rFonts w:hint="eastAsia" w:ascii="宋体" w:hAnsi="宋体" w:cs="宋体"/>
                <w:kern w:val="2"/>
                <w:sz w:val="21"/>
                <w:szCs w:val="21"/>
                <w:u w:val="single"/>
                <w:lang w:val="zh-CN"/>
              </w:rPr>
              <w:t>元）</w:t>
            </w:r>
          </w:p>
          <w:p>
            <w:pPr>
              <w:ind w:left="-70" w:leftChars="-29" w:firstLine="105" w:firstLineChars="50"/>
              <w:rPr>
                <w:rFonts w:ascii="宋体" w:hAnsi="宋体" w:cs="宋体"/>
                <w:kern w:val="2"/>
                <w:sz w:val="21"/>
                <w:szCs w:val="21"/>
                <w:lang w:val="zh-CN"/>
              </w:rPr>
            </w:pPr>
            <w:r>
              <w:rPr>
                <w:rFonts w:hint="eastAsia" w:ascii="宋体" w:hAnsi="宋体" w:cs="宋体"/>
                <w:kern w:val="2"/>
                <w:sz w:val="21"/>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ind w:left="-70" w:leftChars="-29" w:firstLine="105" w:firstLineChars="50"/>
              <w:rPr>
                <w:rFonts w:ascii="宋体" w:hAnsi="宋体" w:cs="宋体"/>
                <w:kern w:val="2"/>
                <w:sz w:val="21"/>
                <w:szCs w:val="21"/>
                <w:lang w:val="zh-CN"/>
              </w:rPr>
            </w:pPr>
            <w:r>
              <w:rPr>
                <w:rFonts w:hint="eastAsia" w:ascii="宋体" w:hAnsi="宋体" w:cs="宋体"/>
                <w:kern w:val="2"/>
                <w:sz w:val="21"/>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ind w:left="-70" w:leftChars="-29" w:firstLine="105" w:firstLineChars="50"/>
              <w:rPr>
                <w:rFonts w:ascii="宋体" w:hAnsi="宋体" w:cs="宋体"/>
                <w:kern w:val="2"/>
                <w:sz w:val="21"/>
                <w:szCs w:val="21"/>
                <w:lang w:val="zh-CN"/>
              </w:rPr>
            </w:pPr>
            <w:r>
              <w:rPr>
                <w:rFonts w:hint="eastAsia" w:ascii="宋体" w:hAnsi="宋体" w:cs="宋体"/>
                <w:kern w:val="2"/>
                <w:sz w:val="21"/>
                <w:szCs w:val="21"/>
                <w:lang w:val="zh-CN"/>
              </w:rPr>
              <w:t>三、投标保证金缴纳方式：</w:t>
            </w:r>
          </w:p>
          <w:p>
            <w:pPr>
              <w:ind w:left="-70" w:leftChars="-29" w:firstLine="105" w:firstLineChars="50"/>
              <w:rPr>
                <w:rFonts w:ascii="宋体" w:hAnsi="宋体" w:cs="宋体"/>
                <w:kern w:val="2"/>
                <w:sz w:val="21"/>
                <w:szCs w:val="21"/>
                <w:lang w:val="zh-CN"/>
              </w:rPr>
            </w:pPr>
            <w:r>
              <w:rPr>
                <w:rFonts w:hint="eastAsia" w:ascii="宋体" w:hAnsi="宋体" w:cs="宋体"/>
                <w:kern w:val="2"/>
                <w:sz w:val="21"/>
                <w:szCs w:val="21"/>
                <w:lang w:val="zh-CN"/>
              </w:rPr>
              <w:t>1.投标人网上下载招标文件后，登录</w:t>
            </w:r>
            <w:r>
              <w:fldChar w:fldCharType="begin"/>
            </w:r>
            <w:r>
              <w:instrText xml:space="preserve"> HYPERLINK "http://221.14.6.70:8088/ggzy" </w:instrText>
            </w:r>
            <w:r>
              <w:fldChar w:fldCharType="separate"/>
            </w:r>
            <w:r>
              <w:rPr>
                <w:rFonts w:hint="eastAsia" w:ascii="宋体" w:hAnsi="宋体" w:cs="宋体"/>
                <w:kern w:val="2"/>
                <w:sz w:val="21"/>
                <w:szCs w:val="21"/>
                <w:lang w:val="zh-CN"/>
              </w:rPr>
              <w:t>http://221.14.6.70:8088/ggzy</w:t>
            </w:r>
            <w:r>
              <w:rPr>
                <w:rFonts w:hint="eastAsia" w:ascii="宋体" w:hAnsi="宋体" w:cs="宋体"/>
                <w:kern w:val="2"/>
                <w:sz w:val="21"/>
                <w:szCs w:val="21"/>
                <w:lang w:val="zh-CN"/>
              </w:rPr>
              <w:fldChar w:fldCharType="end"/>
            </w:r>
            <w:r>
              <w:rPr>
                <w:rFonts w:hint="eastAsia" w:ascii="宋体" w:hAnsi="宋体" w:cs="宋体"/>
                <w:kern w:val="2"/>
                <w:sz w:val="21"/>
                <w:szCs w:val="21"/>
                <w:lang w:val="zh-CN"/>
              </w:rPr>
              <w:t>系统，依次点击“会员向导”→“参与投标”→“费用缴纳说明”→“保证金缴纳说明单”，获取缴费说明单，根据每个标段的缴纳说明单在缴纳截止时间前缴纳。</w:t>
            </w:r>
          </w:p>
          <w:p>
            <w:pPr>
              <w:ind w:left="-70" w:leftChars="-29" w:firstLine="105" w:firstLineChars="50"/>
              <w:rPr>
                <w:rFonts w:ascii="宋体" w:hAnsi="宋体" w:cs="宋体"/>
                <w:kern w:val="2"/>
                <w:sz w:val="21"/>
                <w:szCs w:val="21"/>
                <w:lang w:val="zh-CN"/>
              </w:rPr>
            </w:pPr>
            <w:r>
              <w:rPr>
                <w:rFonts w:hint="eastAsia" w:ascii="宋体" w:hAnsi="宋体" w:cs="宋体"/>
                <w:kern w:val="2"/>
                <w:sz w:val="21"/>
                <w:szCs w:val="21"/>
                <w:lang w:val="zh-CN"/>
              </w:rPr>
              <w:t>2.成功缴纳后重新登录前述系统，依次点击“会员向导”→“参与投标”→“保证金绑定”→“绑定”进行投标保证金绑定。</w:t>
            </w:r>
          </w:p>
          <w:p>
            <w:pPr>
              <w:ind w:left="-70" w:leftChars="-29" w:firstLine="105" w:firstLineChars="50"/>
              <w:rPr>
                <w:rFonts w:ascii="宋体" w:hAnsi="宋体" w:cs="宋体"/>
                <w:kern w:val="2"/>
                <w:sz w:val="21"/>
                <w:szCs w:val="21"/>
                <w:lang w:val="zh-CN"/>
              </w:rPr>
            </w:pPr>
            <w:r>
              <w:rPr>
                <w:rFonts w:hint="eastAsia" w:ascii="宋体" w:hAnsi="宋体" w:cs="宋体"/>
                <w:kern w:val="2"/>
                <w:sz w:val="21"/>
                <w:szCs w:val="21"/>
                <w:lang w:val="zh-CN"/>
              </w:rPr>
              <w:t>3.《保证金缴纳绑定操作指南》获取方法：登录许昌公共资源交易系统-组件下载-《保证金缴纳绑定操作指南》。</w:t>
            </w:r>
          </w:p>
          <w:p>
            <w:pPr>
              <w:ind w:left="-70" w:leftChars="-29" w:firstLine="105" w:firstLineChars="50"/>
              <w:rPr>
                <w:rFonts w:ascii="宋体" w:hAnsi="宋体" w:cs="宋体"/>
                <w:kern w:val="2"/>
                <w:sz w:val="21"/>
                <w:szCs w:val="21"/>
                <w:lang w:val="zh-CN"/>
              </w:rPr>
            </w:pPr>
            <w:r>
              <w:rPr>
                <w:rFonts w:hint="eastAsia" w:ascii="宋体" w:hAnsi="宋体" w:cs="宋体"/>
                <w:kern w:val="2"/>
                <w:sz w:val="21"/>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ind w:left="-70" w:leftChars="-29" w:firstLine="105" w:firstLineChars="50"/>
              <w:rPr>
                <w:rFonts w:ascii="宋体" w:hAnsi="宋体" w:cs="宋体"/>
                <w:kern w:val="2"/>
                <w:sz w:val="21"/>
                <w:szCs w:val="21"/>
                <w:lang w:val="zh-CN"/>
              </w:rPr>
            </w:pPr>
            <w:r>
              <w:rPr>
                <w:rFonts w:hint="eastAsia" w:ascii="宋体" w:hAnsi="宋体" w:cs="宋体"/>
                <w:kern w:val="2"/>
                <w:sz w:val="21"/>
                <w:szCs w:val="21"/>
                <w:lang w:val="zh-CN"/>
              </w:rPr>
              <w:t>5.每个投标人每个项目每个标段只有唯一缴纳账号，切勿重复缴纳或错误缴纳。</w:t>
            </w:r>
          </w:p>
          <w:p>
            <w:pPr>
              <w:ind w:left="-70" w:leftChars="-29" w:firstLine="105" w:firstLineChars="50"/>
              <w:rPr>
                <w:rFonts w:ascii="宋体" w:hAnsi="宋体" w:cs="宋体"/>
                <w:kern w:val="2"/>
                <w:sz w:val="21"/>
                <w:szCs w:val="21"/>
                <w:lang w:val="zh-CN"/>
              </w:rPr>
            </w:pPr>
            <w:r>
              <w:rPr>
                <w:rFonts w:hint="eastAsia" w:ascii="宋体" w:hAnsi="宋体" w:cs="宋体"/>
                <w:kern w:val="2"/>
                <w:sz w:val="21"/>
                <w:szCs w:val="21"/>
                <w:lang w:val="zh-CN"/>
              </w:rPr>
              <w:t>6.投标人所提交的投标保证金仅限当次投标项目（标段）有效，不得重复替代使用。一个招标项目有多个标段或者有多个项目同时招标的，投标人必须按项目、标段分别提交投标保证金。</w:t>
            </w:r>
          </w:p>
          <w:p>
            <w:pPr>
              <w:ind w:left="-70" w:leftChars="-29" w:firstLine="105" w:firstLineChars="50"/>
              <w:rPr>
                <w:rFonts w:ascii="宋体" w:hAnsi="宋体" w:cs="宋体"/>
                <w:kern w:val="2"/>
                <w:sz w:val="21"/>
                <w:szCs w:val="21"/>
                <w:lang w:val="zh-CN"/>
              </w:rPr>
            </w:pPr>
            <w:r>
              <w:rPr>
                <w:rFonts w:hint="eastAsia" w:ascii="宋体" w:hAnsi="宋体" w:cs="宋体"/>
                <w:kern w:val="2"/>
                <w:sz w:val="21"/>
                <w:szCs w:val="21"/>
                <w:lang w:val="zh-CN"/>
              </w:rPr>
              <w:t>7.不同投标人的投标保证金不得从同一单位或者个人的账户转出。</w:t>
            </w:r>
          </w:p>
          <w:p>
            <w:pPr>
              <w:ind w:left="-70" w:leftChars="-29" w:firstLine="105" w:firstLineChars="50"/>
              <w:rPr>
                <w:rFonts w:ascii="宋体" w:hAnsi="宋体" w:cs="宋体"/>
                <w:kern w:val="2"/>
                <w:sz w:val="21"/>
                <w:szCs w:val="21"/>
                <w:lang w:val="zh-CN"/>
              </w:rPr>
            </w:pPr>
            <w:r>
              <w:rPr>
                <w:rFonts w:hint="eastAsia" w:ascii="宋体" w:hAnsi="宋体" w:cs="宋体"/>
                <w:kern w:val="2"/>
                <w:sz w:val="21"/>
                <w:szCs w:val="21"/>
                <w:lang w:val="zh-CN"/>
              </w:rPr>
              <w:t>8.未按上述规定操作引起的无效投标，由投标人自行负责。</w:t>
            </w:r>
          </w:p>
          <w:p>
            <w:pPr>
              <w:ind w:left="-70" w:leftChars="-29" w:firstLine="105" w:firstLineChars="50"/>
              <w:rPr>
                <w:rFonts w:ascii="宋体" w:hAnsi="宋体" w:cs="宋体"/>
                <w:kern w:val="2"/>
                <w:sz w:val="21"/>
                <w:szCs w:val="21"/>
                <w:lang w:val="zh-CN"/>
              </w:rPr>
            </w:pPr>
            <w:r>
              <w:rPr>
                <w:rFonts w:hint="eastAsia" w:ascii="宋体" w:hAnsi="宋体" w:cs="宋体"/>
                <w:kern w:val="2"/>
                <w:sz w:val="21"/>
                <w:szCs w:val="21"/>
                <w:lang w:val="zh-CN"/>
              </w:rPr>
              <w:t>9.汇款凭证无需备注项目编号和项目名称。</w:t>
            </w:r>
          </w:p>
          <w:p>
            <w:pPr>
              <w:ind w:left="-70" w:leftChars="-29" w:firstLine="105" w:firstLineChars="50"/>
              <w:rPr>
                <w:rFonts w:ascii="宋体" w:hAnsi="宋体" w:cs="宋体"/>
                <w:kern w:val="2"/>
                <w:sz w:val="21"/>
                <w:szCs w:val="21"/>
              </w:rPr>
            </w:pPr>
            <w:r>
              <w:rPr>
                <w:rFonts w:hint="eastAsia" w:ascii="宋体" w:hAnsi="宋体" w:cs="宋体"/>
                <w:kern w:val="2"/>
                <w:sz w:val="21"/>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Layout w:type="fixed"/>
          <w:tblCellMar>
            <w:top w:w="0" w:type="dxa"/>
            <w:left w:w="10" w:type="dxa"/>
            <w:bottom w:w="0" w:type="dxa"/>
            <w:right w:w="10" w:type="dxa"/>
          </w:tblCellMar>
        </w:tblPrEx>
        <w:trPr>
          <w:trHeight w:val="481"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ascii="宋体" w:hAnsi="宋体" w:cs="宋体"/>
                <w:sz w:val="21"/>
                <w:szCs w:val="21"/>
              </w:rPr>
              <w:t>1</w:t>
            </w:r>
            <w:r>
              <w:rPr>
                <w:rFonts w:hint="eastAsia" w:ascii="宋体" w:hAnsi="宋体" w:cs="宋体"/>
                <w:sz w:val="21"/>
                <w:szCs w:val="21"/>
              </w:rPr>
              <w:t>1</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ind w:firstLine="239"/>
              <w:rPr>
                <w:rFonts w:ascii="宋体" w:cs="宋体"/>
                <w:b/>
                <w:sz w:val="21"/>
                <w:szCs w:val="21"/>
              </w:rPr>
            </w:pPr>
            <w:r>
              <w:rPr>
                <w:rFonts w:hint="eastAsia" w:ascii="宋体" w:hAnsi="宋体" w:cs="宋体"/>
                <w:sz w:val="21"/>
                <w:szCs w:val="21"/>
              </w:rPr>
              <w:t>响应文件密封及标记：响应文件的正本与副本应进行同包或分包封装，加贴封条，并在封套的封口处由法定代表人或其授权代表签字或盖单位章（项目名称、项目编号和“北京时间××年××月××日××时××分之前不得启封”的字样）。响应文件的封面上应清楚地标记“正本”或“副本”字样。</w:t>
            </w:r>
          </w:p>
        </w:tc>
      </w:tr>
      <w:tr>
        <w:tblPrEx>
          <w:tblLayout w:type="fixed"/>
          <w:tblCellMar>
            <w:top w:w="0" w:type="dxa"/>
            <w:left w:w="10" w:type="dxa"/>
            <w:bottom w:w="0" w:type="dxa"/>
            <w:right w:w="10" w:type="dxa"/>
          </w:tblCellMar>
        </w:tblPrEx>
        <w:trPr>
          <w:trHeight w:val="435"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ascii="宋体" w:hAnsi="宋体" w:cs="宋体"/>
                <w:sz w:val="21"/>
                <w:szCs w:val="21"/>
              </w:rPr>
              <w:t>1</w:t>
            </w:r>
            <w:r>
              <w:rPr>
                <w:rFonts w:hint="eastAsia" w:ascii="宋体" w:hAnsi="宋体" w:cs="宋体"/>
                <w:sz w:val="21"/>
                <w:szCs w:val="21"/>
              </w:rPr>
              <w:t>2</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80" w:lineRule="exact"/>
              <w:ind w:right="-34"/>
              <w:rPr>
                <w:rFonts w:ascii="宋体" w:cs="宋体"/>
                <w:szCs w:val="24"/>
              </w:rPr>
            </w:pPr>
            <w:r>
              <w:rPr>
                <w:rFonts w:hint="eastAsia" w:ascii="宋体" w:hAnsi="宋体" w:cs="宋体"/>
                <w:sz w:val="21"/>
                <w:szCs w:val="21"/>
              </w:rPr>
              <w:t>响应文件的递交截止时间：201</w:t>
            </w:r>
            <w:r>
              <w:rPr>
                <w:rFonts w:hint="eastAsia" w:ascii="宋体" w:hAnsi="宋体" w:cs="宋体"/>
                <w:sz w:val="21"/>
                <w:szCs w:val="21"/>
                <w:lang w:val="en-US" w:eastAsia="zh-CN"/>
              </w:rPr>
              <w:t>9</w:t>
            </w:r>
            <w:r>
              <w:rPr>
                <w:rFonts w:hint="eastAsia" w:ascii="宋体" w:hAnsi="宋体" w:cs="宋体"/>
                <w:sz w:val="21"/>
                <w:szCs w:val="21"/>
              </w:rPr>
              <w:t>年</w:t>
            </w:r>
            <w:r>
              <w:rPr>
                <w:rFonts w:hint="eastAsia" w:ascii="宋体" w:hAnsi="宋体" w:cs="宋体"/>
                <w:sz w:val="21"/>
                <w:szCs w:val="21"/>
                <w:lang w:val="en-US" w:eastAsia="zh-CN"/>
              </w:rPr>
              <w:t>1</w:t>
            </w:r>
            <w:r>
              <w:rPr>
                <w:rFonts w:hint="eastAsia" w:ascii="宋体" w:hAnsi="宋体" w:cs="宋体"/>
                <w:sz w:val="21"/>
                <w:szCs w:val="21"/>
              </w:rPr>
              <w:t>月</w:t>
            </w:r>
            <w:r>
              <w:rPr>
                <w:rFonts w:hint="eastAsia" w:ascii="宋体" w:hAnsi="宋体" w:cs="宋体"/>
                <w:sz w:val="21"/>
                <w:szCs w:val="21"/>
                <w:lang w:val="en-US" w:eastAsia="zh-CN"/>
              </w:rPr>
              <w:t>16</w:t>
            </w:r>
            <w:r>
              <w:rPr>
                <w:rFonts w:hint="eastAsia" w:ascii="宋体" w:hAnsi="宋体" w:cs="宋体"/>
                <w:sz w:val="21"/>
                <w:szCs w:val="21"/>
              </w:rPr>
              <w:t>日</w:t>
            </w:r>
            <w:r>
              <w:rPr>
                <w:rFonts w:hint="eastAsia" w:ascii="宋体" w:hAnsi="宋体" w:cs="宋体"/>
                <w:sz w:val="21"/>
                <w:szCs w:val="21"/>
                <w:lang w:val="en-US" w:eastAsia="zh-CN"/>
              </w:rPr>
              <w:t>10</w:t>
            </w:r>
            <w:r>
              <w:rPr>
                <w:rFonts w:hint="eastAsia" w:ascii="宋体" w:hAnsi="宋体" w:cs="宋体"/>
                <w:sz w:val="21"/>
                <w:szCs w:val="21"/>
              </w:rPr>
              <w:t>时30分。地点：</w:t>
            </w:r>
            <w:r>
              <w:rPr>
                <w:rFonts w:hint="eastAsia" w:cs="宋体" w:asciiTheme="minorEastAsia" w:hAnsiTheme="minorEastAsia"/>
                <w:bCs/>
                <w:sz w:val="21"/>
                <w:szCs w:val="21"/>
                <w:lang w:val="zh-CN"/>
              </w:rPr>
              <w:t>许昌市公共资源交易中心三楼开标</w:t>
            </w:r>
            <w:r>
              <w:rPr>
                <w:rFonts w:hint="eastAsia" w:cs="宋体" w:asciiTheme="minorEastAsia" w:hAnsiTheme="minorEastAsia"/>
                <w:bCs/>
                <w:sz w:val="21"/>
                <w:szCs w:val="21"/>
                <w:lang w:val="en-US" w:eastAsia="zh-CN"/>
              </w:rPr>
              <w:t>5</w:t>
            </w:r>
            <w:r>
              <w:rPr>
                <w:rFonts w:hint="eastAsia" w:cs="宋体" w:asciiTheme="minorEastAsia" w:hAnsiTheme="minorEastAsia"/>
                <w:bCs/>
                <w:sz w:val="21"/>
                <w:szCs w:val="21"/>
                <w:lang w:val="zh-CN"/>
              </w:rPr>
              <w:t>室（</w:t>
            </w:r>
            <w:r>
              <w:rPr>
                <w:rFonts w:cs="宋体" w:asciiTheme="minorEastAsia" w:hAnsiTheme="minorEastAsia"/>
                <w:bCs/>
                <w:sz w:val="21"/>
                <w:szCs w:val="21"/>
                <w:lang w:val="zh-CN"/>
              </w:rPr>
              <w:t>龙兴路与竹林路交汇处</w:t>
            </w:r>
            <w:r>
              <w:rPr>
                <w:rFonts w:hint="eastAsia" w:cs="宋体" w:asciiTheme="minorEastAsia" w:hAnsiTheme="minorEastAsia"/>
                <w:bCs/>
                <w:sz w:val="21"/>
                <w:szCs w:val="21"/>
                <w:lang w:val="zh-CN"/>
              </w:rPr>
              <w:t>公共资源大厦）</w:t>
            </w:r>
            <w:r>
              <w:rPr>
                <w:rFonts w:hint="eastAsia" w:ascii="宋体" w:hAnsi="宋体" w:cs="宋体"/>
                <w:sz w:val="21"/>
                <w:szCs w:val="21"/>
              </w:rPr>
              <w:t>。</w:t>
            </w:r>
          </w:p>
        </w:tc>
      </w:tr>
      <w:tr>
        <w:tblPrEx>
          <w:tblLayout w:type="fixed"/>
          <w:tblCellMar>
            <w:top w:w="0" w:type="dxa"/>
            <w:left w:w="10" w:type="dxa"/>
            <w:bottom w:w="0" w:type="dxa"/>
            <w:right w:w="10" w:type="dxa"/>
          </w:tblCellMar>
        </w:tblPrEx>
        <w:trPr>
          <w:trHeight w:val="413"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ascii="宋体" w:hAnsi="宋体" w:cs="宋体"/>
                <w:sz w:val="21"/>
                <w:szCs w:val="21"/>
              </w:rPr>
              <w:t>14</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cs="宋体"/>
                <w:sz w:val="21"/>
                <w:szCs w:val="21"/>
              </w:rPr>
            </w:pPr>
            <w:r>
              <w:rPr>
                <w:rFonts w:hint="eastAsia" w:ascii="宋体" w:hAnsi="宋体" w:cs="宋体"/>
                <w:sz w:val="21"/>
                <w:szCs w:val="21"/>
              </w:rPr>
              <w:t>磋商时间：201</w:t>
            </w:r>
            <w:r>
              <w:rPr>
                <w:rFonts w:hint="eastAsia" w:ascii="宋体" w:hAnsi="宋体" w:cs="宋体"/>
                <w:sz w:val="21"/>
                <w:szCs w:val="21"/>
                <w:lang w:val="en-US" w:eastAsia="zh-CN"/>
              </w:rPr>
              <w:t>9</w:t>
            </w:r>
            <w:r>
              <w:rPr>
                <w:rFonts w:hint="eastAsia" w:ascii="宋体" w:hAnsi="宋体" w:cs="宋体"/>
                <w:sz w:val="21"/>
                <w:szCs w:val="21"/>
              </w:rPr>
              <w:t>年</w:t>
            </w:r>
            <w:r>
              <w:rPr>
                <w:rFonts w:hint="eastAsia" w:ascii="宋体" w:hAnsi="宋体" w:cs="宋体"/>
                <w:sz w:val="21"/>
                <w:szCs w:val="21"/>
                <w:lang w:val="en-US" w:eastAsia="zh-CN"/>
              </w:rPr>
              <w:t>1</w:t>
            </w:r>
            <w:r>
              <w:rPr>
                <w:rFonts w:hint="eastAsia" w:ascii="宋体" w:hAnsi="宋体" w:cs="宋体"/>
                <w:sz w:val="21"/>
                <w:szCs w:val="21"/>
              </w:rPr>
              <w:t>月</w:t>
            </w:r>
            <w:r>
              <w:rPr>
                <w:rFonts w:hint="eastAsia" w:ascii="宋体" w:hAnsi="宋体" w:cs="宋体"/>
                <w:sz w:val="21"/>
                <w:szCs w:val="21"/>
                <w:lang w:val="en-US" w:eastAsia="zh-CN"/>
              </w:rPr>
              <w:t>16</w:t>
            </w:r>
            <w:r>
              <w:rPr>
                <w:rFonts w:hint="eastAsia" w:ascii="宋体" w:hAnsi="宋体" w:cs="宋体"/>
                <w:sz w:val="21"/>
                <w:szCs w:val="21"/>
              </w:rPr>
              <w:t>日</w:t>
            </w:r>
            <w:r>
              <w:rPr>
                <w:rFonts w:hint="eastAsia" w:ascii="宋体" w:hAnsi="宋体" w:cs="宋体"/>
                <w:sz w:val="21"/>
                <w:szCs w:val="21"/>
                <w:lang w:val="en-US" w:eastAsia="zh-CN"/>
              </w:rPr>
              <w:t>10</w:t>
            </w:r>
            <w:r>
              <w:rPr>
                <w:rFonts w:hint="eastAsia" w:ascii="宋体" w:hAnsi="宋体" w:cs="宋体"/>
                <w:sz w:val="21"/>
                <w:szCs w:val="21"/>
              </w:rPr>
              <w:t>时30分，地点：</w:t>
            </w:r>
            <w:r>
              <w:rPr>
                <w:rFonts w:hint="eastAsia" w:cs="宋体" w:asciiTheme="minorEastAsia" w:hAnsiTheme="minorEastAsia"/>
                <w:bCs/>
                <w:sz w:val="21"/>
                <w:szCs w:val="21"/>
                <w:lang w:val="zh-CN"/>
              </w:rPr>
              <w:t>许昌市公共资源交易中心三楼开标</w:t>
            </w:r>
            <w:r>
              <w:rPr>
                <w:rFonts w:hint="eastAsia" w:cs="宋体" w:asciiTheme="minorEastAsia" w:hAnsiTheme="minorEastAsia"/>
                <w:bCs/>
                <w:sz w:val="21"/>
                <w:szCs w:val="21"/>
                <w:lang w:val="en-US" w:eastAsia="zh-CN"/>
              </w:rPr>
              <w:t>5</w:t>
            </w:r>
            <w:r>
              <w:rPr>
                <w:rFonts w:hint="eastAsia" w:cs="宋体" w:asciiTheme="minorEastAsia" w:hAnsiTheme="minorEastAsia"/>
                <w:bCs/>
                <w:sz w:val="21"/>
                <w:szCs w:val="21"/>
                <w:lang w:val="zh-CN"/>
              </w:rPr>
              <w:t>室（</w:t>
            </w:r>
            <w:r>
              <w:rPr>
                <w:rFonts w:cs="宋体" w:asciiTheme="minorEastAsia" w:hAnsiTheme="minorEastAsia"/>
                <w:bCs/>
                <w:sz w:val="21"/>
                <w:szCs w:val="21"/>
                <w:lang w:val="zh-CN"/>
              </w:rPr>
              <w:t>龙兴路与竹林路交汇处</w:t>
            </w:r>
            <w:r>
              <w:rPr>
                <w:rFonts w:hint="eastAsia" w:cs="宋体" w:asciiTheme="minorEastAsia" w:hAnsiTheme="minorEastAsia"/>
                <w:bCs/>
                <w:sz w:val="21"/>
                <w:szCs w:val="21"/>
                <w:lang w:val="zh-CN"/>
              </w:rPr>
              <w:t>公共资源大厦）</w:t>
            </w:r>
            <w:r>
              <w:rPr>
                <w:rFonts w:hint="eastAsia" w:ascii="宋体" w:hAnsi="宋体" w:cs="宋体"/>
                <w:sz w:val="21"/>
                <w:szCs w:val="21"/>
              </w:rPr>
              <w:t>。</w:t>
            </w:r>
          </w:p>
        </w:tc>
      </w:tr>
      <w:tr>
        <w:tblPrEx>
          <w:tblLayout w:type="fixed"/>
          <w:tblCellMar>
            <w:top w:w="0" w:type="dxa"/>
            <w:left w:w="10" w:type="dxa"/>
            <w:bottom w:w="0" w:type="dxa"/>
            <w:right w:w="10" w:type="dxa"/>
          </w:tblCellMar>
        </w:tblPrEx>
        <w:trPr>
          <w:trHeight w:val="408"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ascii="宋体" w:hAnsi="宋体" w:cs="宋体"/>
                <w:sz w:val="21"/>
                <w:szCs w:val="21"/>
              </w:rPr>
              <w:t>15</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cs="宋体"/>
                <w:sz w:val="21"/>
                <w:szCs w:val="21"/>
              </w:rPr>
            </w:pPr>
            <w:r>
              <w:rPr>
                <w:rFonts w:hint="eastAsia" w:ascii="宋体" w:hAnsi="宋体" w:cs="宋体"/>
                <w:sz w:val="21"/>
                <w:szCs w:val="21"/>
              </w:rPr>
              <w:t>磋商小组：由采购人代表和评审专家共3人组成，其中采购人代表1人。</w:t>
            </w:r>
          </w:p>
        </w:tc>
      </w:tr>
      <w:tr>
        <w:tblPrEx>
          <w:tblLayout w:type="fixed"/>
          <w:tblCellMar>
            <w:top w:w="0" w:type="dxa"/>
            <w:left w:w="10" w:type="dxa"/>
            <w:bottom w:w="0" w:type="dxa"/>
            <w:right w:w="10" w:type="dxa"/>
          </w:tblCellMar>
        </w:tblPrEx>
        <w:trPr>
          <w:trHeight w:val="391"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ascii="宋体" w:hAnsi="宋体" w:cs="宋体"/>
                <w:sz w:val="21"/>
                <w:szCs w:val="21"/>
              </w:rPr>
              <w:t>16</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cs="宋体"/>
                <w:sz w:val="21"/>
                <w:szCs w:val="21"/>
              </w:rPr>
            </w:pPr>
            <w:r>
              <w:rPr>
                <w:rFonts w:hint="eastAsia" w:ascii="宋体" w:hAnsi="宋体" w:cs="宋体"/>
                <w:sz w:val="21"/>
                <w:szCs w:val="21"/>
              </w:rPr>
              <w:t>磋商顺序：现场签到顺序。</w:t>
            </w:r>
          </w:p>
        </w:tc>
      </w:tr>
      <w:tr>
        <w:tblPrEx>
          <w:tblLayout w:type="fixed"/>
          <w:tblCellMar>
            <w:top w:w="0" w:type="dxa"/>
            <w:left w:w="10" w:type="dxa"/>
            <w:bottom w:w="0" w:type="dxa"/>
            <w:right w:w="10" w:type="dxa"/>
          </w:tblCellMar>
        </w:tblPrEx>
        <w:trPr>
          <w:trHeight w:val="391"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ascii="宋体" w:hAnsi="宋体" w:cs="宋体"/>
                <w:sz w:val="21"/>
                <w:szCs w:val="21"/>
              </w:rPr>
              <w:t>17</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ind w:right="-108"/>
              <w:rPr>
                <w:rFonts w:ascii="宋体" w:cs="宋体"/>
                <w:sz w:val="21"/>
                <w:szCs w:val="21"/>
              </w:rPr>
            </w:pPr>
            <w:r>
              <w:rPr>
                <w:rFonts w:hint="eastAsia" w:ascii="宋体" w:hAnsi="宋体" w:cs="宋体"/>
                <w:sz w:val="21"/>
                <w:szCs w:val="21"/>
              </w:rPr>
              <w:t>推荐成交候选供应商：</w:t>
            </w:r>
            <w:r>
              <w:rPr>
                <w:rFonts w:ascii="宋体" w:hAnsi="宋体" w:cs="宋体"/>
                <w:sz w:val="21"/>
                <w:szCs w:val="21"/>
              </w:rPr>
              <w:t>3</w:t>
            </w:r>
            <w:r>
              <w:rPr>
                <w:rFonts w:hint="eastAsia" w:ascii="宋体" w:hAnsi="宋体" w:cs="宋体"/>
                <w:sz w:val="21"/>
                <w:szCs w:val="21"/>
              </w:rPr>
              <w:t>个或以上。</w:t>
            </w:r>
          </w:p>
        </w:tc>
      </w:tr>
      <w:tr>
        <w:tblPrEx>
          <w:tblLayout w:type="fixed"/>
          <w:tblCellMar>
            <w:top w:w="0" w:type="dxa"/>
            <w:left w:w="10" w:type="dxa"/>
            <w:bottom w:w="0" w:type="dxa"/>
            <w:right w:w="10" w:type="dxa"/>
          </w:tblCellMar>
        </w:tblPrEx>
        <w:trPr>
          <w:trHeight w:val="341"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hint="eastAsia" w:ascii="宋体" w:hAnsi="宋体" w:cs="宋体"/>
                <w:sz w:val="21"/>
                <w:szCs w:val="21"/>
              </w:rPr>
              <w:t>18</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ind w:right="-41"/>
              <w:rPr>
                <w:rFonts w:ascii="宋体" w:cs="宋体"/>
                <w:sz w:val="21"/>
                <w:szCs w:val="21"/>
              </w:rPr>
            </w:pPr>
            <w:r>
              <w:rPr>
                <w:rFonts w:hint="eastAsia" w:ascii="宋体" w:hAnsi="宋体" w:cs="宋体"/>
                <w:sz w:val="21"/>
                <w:szCs w:val="21"/>
              </w:rPr>
              <w:t>验收：由采购人组织相关方面专家进行验收，并出具验收报告书。</w:t>
            </w:r>
          </w:p>
        </w:tc>
      </w:tr>
      <w:tr>
        <w:tblPrEx>
          <w:tblLayout w:type="fixed"/>
          <w:tblCellMar>
            <w:top w:w="0" w:type="dxa"/>
            <w:left w:w="10" w:type="dxa"/>
            <w:bottom w:w="0" w:type="dxa"/>
            <w:right w:w="10" w:type="dxa"/>
          </w:tblCellMar>
        </w:tblPrEx>
        <w:trPr>
          <w:trHeight w:val="290"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hint="eastAsia" w:ascii="宋体" w:hAnsi="宋体" w:cs="宋体"/>
                <w:sz w:val="21"/>
                <w:szCs w:val="21"/>
              </w:rPr>
              <w:t>19</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cs="宋体"/>
                <w:sz w:val="21"/>
                <w:szCs w:val="21"/>
              </w:rPr>
            </w:pPr>
            <w:r>
              <w:rPr>
                <w:rFonts w:hint="eastAsia" w:ascii="宋体" w:hAnsi="宋体" w:cs="宋体"/>
                <w:sz w:val="21"/>
                <w:szCs w:val="21"/>
              </w:rPr>
              <w:t>付款方式：设备到货安装调试完毕，经验收合格后付合同总价的85%，剩余款项质保每满一年无质量问题支付总价的5%，分三次付清。</w:t>
            </w:r>
          </w:p>
        </w:tc>
      </w:tr>
      <w:tr>
        <w:tblPrEx>
          <w:tblLayout w:type="fixed"/>
          <w:tblCellMar>
            <w:top w:w="0" w:type="dxa"/>
            <w:left w:w="10" w:type="dxa"/>
            <w:bottom w:w="0" w:type="dxa"/>
            <w:right w:w="10" w:type="dxa"/>
          </w:tblCellMar>
        </w:tblPrEx>
        <w:trPr>
          <w:trHeight w:val="383"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ascii="宋体" w:hAnsi="宋体" w:cs="宋体"/>
                <w:sz w:val="21"/>
                <w:szCs w:val="21"/>
              </w:rPr>
              <w:t>2</w:t>
            </w:r>
            <w:r>
              <w:rPr>
                <w:rFonts w:hint="eastAsia" w:ascii="宋体" w:hAnsi="宋体" w:cs="宋体"/>
                <w:sz w:val="21"/>
                <w:szCs w:val="21"/>
              </w:rPr>
              <w:t>0</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cs="宋体"/>
                <w:sz w:val="21"/>
                <w:szCs w:val="21"/>
              </w:rPr>
            </w:pPr>
            <w:r>
              <w:rPr>
                <w:rFonts w:hint="eastAsia" w:ascii="宋体" w:hAnsi="宋体" w:cs="宋体"/>
                <w:sz w:val="21"/>
                <w:szCs w:val="21"/>
              </w:rPr>
              <w:t>磋商评审办法：</w:t>
            </w:r>
          </w:p>
          <w:p>
            <w:pPr>
              <w:spacing w:line="360" w:lineRule="exact"/>
              <w:ind w:left="-118" w:right="-41"/>
              <w:rPr>
                <w:rFonts w:ascii="宋体" w:hAnsi="宋体" w:cs="宋体"/>
                <w:sz w:val="21"/>
                <w:szCs w:val="21"/>
              </w:rPr>
            </w:pPr>
            <w:r>
              <w:rPr>
                <w:rFonts w:hint="eastAsia" w:ascii="宋体" w:hAnsi="宋体" w:cs="宋体"/>
                <w:sz w:val="21"/>
                <w:szCs w:val="21"/>
              </w:rPr>
              <w:t>（</w:t>
            </w:r>
            <w:r>
              <w:rPr>
                <w:rFonts w:ascii="宋体" w:hAnsi="宋体" w:cs="宋体"/>
                <w:sz w:val="21"/>
                <w:szCs w:val="21"/>
              </w:rPr>
              <w:t>1</w:t>
            </w:r>
            <w:r>
              <w:rPr>
                <w:rFonts w:hint="eastAsia" w:ascii="宋体" w:hAnsi="宋体" w:cs="宋体"/>
                <w:sz w:val="21"/>
                <w:szCs w:val="21"/>
              </w:rPr>
              <w:t>）本项目磋商文件不能详细列明采购标的的技术、服务要求，需经磋商由供应商提供最终设计方案或解决方案，磋商结束后，磋商小组应当按照少数服从多数的原则投票推荐3家以上供应商的设计方案或者解决方案，并要求在规定时间内提交最后报价。</w:t>
            </w:r>
          </w:p>
          <w:p>
            <w:pPr>
              <w:spacing w:line="360" w:lineRule="exact"/>
              <w:ind w:left="-118" w:right="-41"/>
              <w:rPr>
                <w:rFonts w:ascii="宋体" w:cs="宋体"/>
                <w:sz w:val="21"/>
                <w:szCs w:val="21"/>
              </w:rPr>
            </w:pPr>
            <w:r>
              <w:rPr>
                <w:rFonts w:hint="eastAsia" w:ascii="宋体" w:hAnsi="宋体" w:cs="宋体"/>
                <w:sz w:val="21"/>
                <w:szCs w:val="21"/>
              </w:rPr>
              <w:t>（2）最后报价为评审报价得分的依据。</w:t>
            </w:r>
          </w:p>
          <w:p>
            <w:pPr>
              <w:spacing w:line="360" w:lineRule="exact"/>
              <w:ind w:left="-118" w:right="-41"/>
              <w:rPr>
                <w:rFonts w:ascii="宋体" w:cs="宋体"/>
                <w:sz w:val="21"/>
                <w:szCs w:val="21"/>
              </w:rPr>
            </w:pPr>
            <w:r>
              <w:rPr>
                <w:rFonts w:hint="eastAsia" w:ascii="宋体" w:hAnsi="宋体" w:cs="宋体"/>
                <w:sz w:val="21"/>
                <w:szCs w:val="21"/>
              </w:rPr>
              <w:t>（3）采购综合评分法，满分</w:t>
            </w:r>
            <w:r>
              <w:rPr>
                <w:rFonts w:ascii="宋体" w:hAnsi="宋体" w:cs="宋体"/>
                <w:sz w:val="21"/>
                <w:szCs w:val="21"/>
              </w:rPr>
              <w:t>100</w:t>
            </w:r>
            <w:r>
              <w:rPr>
                <w:rFonts w:hint="eastAsia" w:ascii="宋体" w:hAnsi="宋体" w:cs="宋体"/>
                <w:sz w:val="21"/>
                <w:szCs w:val="21"/>
              </w:rPr>
              <w:t>分。详见采购文件具体评分办法。</w:t>
            </w:r>
          </w:p>
        </w:tc>
      </w:tr>
      <w:tr>
        <w:tblPrEx>
          <w:tblLayout w:type="fixed"/>
          <w:tblCellMar>
            <w:top w:w="0" w:type="dxa"/>
            <w:left w:w="10" w:type="dxa"/>
            <w:bottom w:w="0" w:type="dxa"/>
            <w:right w:w="10" w:type="dxa"/>
          </w:tblCellMar>
        </w:tblPrEx>
        <w:trPr>
          <w:trHeight w:val="333"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hint="eastAsia" w:ascii="宋体" w:cs="宋体"/>
                <w:sz w:val="21"/>
                <w:szCs w:val="21"/>
              </w:rPr>
              <w:t>21</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hAnsi="宋体" w:cs="宋体"/>
                <w:sz w:val="21"/>
                <w:szCs w:val="21"/>
              </w:rPr>
            </w:pPr>
            <w:r>
              <w:rPr>
                <w:rFonts w:hint="eastAsia" w:ascii="宋体" w:hAnsi="宋体" w:cs="宋体"/>
                <w:sz w:val="21"/>
                <w:szCs w:val="21"/>
              </w:rPr>
              <w:t>代理服务费收取方式和标准：由成交供应商支付，支付标准为成交金额的1.5%。</w:t>
            </w:r>
          </w:p>
        </w:tc>
      </w:tr>
      <w:tr>
        <w:tblPrEx>
          <w:tblLayout w:type="fixed"/>
          <w:tblCellMar>
            <w:top w:w="0" w:type="dxa"/>
            <w:left w:w="10" w:type="dxa"/>
            <w:bottom w:w="0" w:type="dxa"/>
            <w:right w:w="10" w:type="dxa"/>
          </w:tblCellMar>
        </w:tblPrEx>
        <w:trPr>
          <w:trHeight w:val="333"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hAnsi="宋体" w:cs="宋体"/>
                <w:sz w:val="21"/>
                <w:szCs w:val="21"/>
              </w:rPr>
            </w:pPr>
            <w:r>
              <w:rPr>
                <w:rFonts w:hint="eastAsia" w:ascii="宋体" w:hAnsi="宋体" w:cs="宋体"/>
                <w:sz w:val="21"/>
                <w:szCs w:val="21"/>
              </w:rPr>
              <w:t>22</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hAnsi="宋体" w:cs="宋体"/>
                <w:sz w:val="21"/>
                <w:szCs w:val="21"/>
              </w:rPr>
            </w:pPr>
            <w:r>
              <w:rPr>
                <w:rFonts w:hint="eastAsia" w:ascii="宋体" w:hAnsi="宋体" w:cs="宋体"/>
                <w:sz w:val="21"/>
                <w:szCs w:val="21"/>
              </w:rPr>
              <w:t>（1）本项目中涉及到具有强制认证的产品，供应商应采用强制认证产品。</w:t>
            </w:r>
          </w:p>
          <w:p>
            <w:pPr>
              <w:spacing w:line="360" w:lineRule="exact"/>
              <w:rPr>
                <w:rFonts w:ascii="宋体" w:hAnsi="宋体" w:cs="宋体"/>
                <w:sz w:val="21"/>
                <w:szCs w:val="21"/>
              </w:rPr>
            </w:pPr>
            <w:r>
              <w:rPr>
                <w:rFonts w:hint="eastAsia" w:ascii="宋体" w:hAnsi="宋体" w:cs="宋体"/>
                <w:sz w:val="21"/>
                <w:szCs w:val="21"/>
              </w:rPr>
              <w:t>（2）本项目中涉及节能环境保产品</w:t>
            </w:r>
            <w:r>
              <w:rPr>
                <w:rFonts w:hint="eastAsia" w:ascii="宋体" w:hAnsi="宋体" w:cs="宋体"/>
                <w:sz w:val="21"/>
                <w:szCs w:val="21"/>
                <w:lang w:eastAsia="zh-CN"/>
              </w:rPr>
              <w:t>，</w:t>
            </w:r>
            <w:r>
              <w:rPr>
                <w:rFonts w:hint="eastAsia" w:ascii="宋体" w:hAnsi="宋体" w:cs="宋体"/>
                <w:sz w:val="21"/>
                <w:szCs w:val="21"/>
              </w:rPr>
              <w:t>供应商应当采用或优先采购。</w:t>
            </w:r>
          </w:p>
        </w:tc>
      </w:tr>
      <w:tr>
        <w:tblPrEx>
          <w:tblLayout w:type="fixed"/>
          <w:tblCellMar>
            <w:top w:w="0" w:type="dxa"/>
            <w:left w:w="10" w:type="dxa"/>
            <w:bottom w:w="0" w:type="dxa"/>
            <w:right w:w="10" w:type="dxa"/>
          </w:tblCellMar>
        </w:tblPrEx>
        <w:trPr>
          <w:trHeight w:val="416"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hint="eastAsia" w:ascii="宋体" w:eastAsia="宋体" w:cs="宋体"/>
                <w:sz w:val="21"/>
                <w:szCs w:val="21"/>
                <w:lang w:val="en-US" w:eastAsia="zh-CN"/>
              </w:rPr>
            </w:pPr>
            <w:r>
              <w:rPr>
                <w:rFonts w:ascii="宋体" w:hAnsi="宋体" w:cs="宋体"/>
                <w:sz w:val="21"/>
                <w:szCs w:val="21"/>
              </w:rPr>
              <w:t>2</w:t>
            </w:r>
            <w:r>
              <w:rPr>
                <w:rFonts w:hint="eastAsia" w:ascii="宋体" w:hAnsi="宋体" w:cs="宋体"/>
                <w:sz w:val="21"/>
                <w:szCs w:val="21"/>
                <w:lang w:val="en-US" w:eastAsia="zh-CN"/>
              </w:rPr>
              <w:t>3</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cs="宋体"/>
                <w:sz w:val="21"/>
                <w:szCs w:val="21"/>
              </w:rPr>
            </w:pPr>
            <w:r>
              <w:rPr>
                <w:rFonts w:hint="eastAsia" w:ascii="宋体" w:hAnsi="宋体" w:cs="宋体"/>
                <w:sz w:val="21"/>
                <w:szCs w:val="21"/>
              </w:rPr>
              <w:t>磋商文件的解释权归采购人及委托的代理机构。</w:t>
            </w:r>
          </w:p>
        </w:tc>
      </w:tr>
    </w:tbl>
    <w:p>
      <w:pPr>
        <w:pStyle w:val="28"/>
        <w:spacing w:before="0" w:line="400" w:lineRule="exact"/>
        <w:ind w:firstLine="3899"/>
        <w:jc w:val="both"/>
        <w:rPr>
          <w:rFonts w:ascii="宋体" w:cs="宋体"/>
          <w:sz w:val="24"/>
          <w:szCs w:val="24"/>
        </w:rPr>
      </w:pPr>
      <w:bookmarkStart w:id="2" w:name="_Toc448307927"/>
      <w:bookmarkEnd w:id="2"/>
      <w:r>
        <w:br w:type="page"/>
      </w:r>
      <w:r>
        <w:rPr>
          <w:rFonts w:hint="eastAsia" w:ascii="微软雅黑" w:hAnsi="微软雅黑" w:eastAsia="微软雅黑" w:cs="微软雅黑"/>
          <w:sz w:val="24"/>
          <w:szCs w:val="24"/>
        </w:rPr>
        <w:t>二、供应商须知</w:t>
      </w:r>
    </w:p>
    <w:p>
      <w:pPr>
        <w:pStyle w:val="54"/>
        <w:spacing w:line="420" w:lineRule="exact"/>
        <w:ind w:firstLine="482"/>
        <w:jc w:val="both"/>
        <w:rPr>
          <w:rFonts w:ascii="宋体" w:cs="宋体"/>
          <w:b/>
          <w:szCs w:val="24"/>
        </w:rPr>
      </w:pPr>
      <w:r>
        <w:rPr>
          <w:rFonts w:ascii="宋体" w:hAnsi="宋体" w:cs="宋体"/>
          <w:b/>
          <w:szCs w:val="24"/>
        </w:rPr>
        <w:t>1.</w:t>
      </w:r>
      <w:r>
        <w:rPr>
          <w:rFonts w:hint="eastAsia" w:ascii="宋体" w:hAnsi="宋体" w:cs="宋体"/>
          <w:b/>
          <w:szCs w:val="24"/>
        </w:rPr>
        <w:t>总则</w:t>
      </w:r>
    </w:p>
    <w:p>
      <w:pPr>
        <w:pStyle w:val="54"/>
        <w:spacing w:line="420" w:lineRule="exact"/>
        <w:ind w:firstLine="482"/>
        <w:jc w:val="both"/>
        <w:rPr>
          <w:rFonts w:ascii="宋体" w:cs="宋体"/>
          <w:b/>
          <w:szCs w:val="24"/>
        </w:rPr>
      </w:pPr>
      <w:r>
        <w:rPr>
          <w:rFonts w:ascii="宋体" w:hAnsi="宋体" w:cs="宋体"/>
          <w:b/>
          <w:szCs w:val="24"/>
        </w:rPr>
        <w:t>1.1</w:t>
      </w:r>
      <w:r>
        <w:rPr>
          <w:rFonts w:hint="eastAsia" w:ascii="宋体" w:hAnsi="宋体" w:cs="宋体"/>
          <w:b/>
          <w:szCs w:val="24"/>
        </w:rPr>
        <w:t>定义</w:t>
      </w:r>
    </w:p>
    <w:p>
      <w:pPr>
        <w:spacing w:line="420" w:lineRule="exact"/>
        <w:ind w:firstLine="480"/>
        <w:rPr>
          <w:rFonts w:ascii="宋体" w:cs="宋体"/>
          <w:szCs w:val="21"/>
        </w:rPr>
      </w:pPr>
      <w:r>
        <w:rPr>
          <w:rFonts w:ascii="宋体" w:hAnsi="宋体" w:cs="宋体"/>
          <w:szCs w:val="21"/>
        </w:rPr>
        <w:t>1.1.1</w:t>
      </w:r>
      <w:r>
        <w:rPr>
          <w:rFonts w:hint="eastAsia" w:ascii="宋体" w:hAnsi="宋体" w:cs="宋体"/>
          <w:szCs w:val="21"/>
        </w:rPr>
        <w:t>竞争性磋商是指采购人、采购代理机构通过组建竞争性磋商小组与符合条件的供应商就采购货物、工程和服务事宜进行磋商，响应供应商应按照磋商文件的要求提交响应文件和报价，采购人从磋商小组评审后提出的候选供应商名单中确定成交供应商的采购方式。</w:t>
      </w:r>
    </w:p>
    <w:p>
      <w:pPr>
        <w:spacing w:line="420" w:lineRule="exact"/>
        <w:ind w:firstLine="480"/>
        <w:rPr>
          <w:rFonts w:ascii="宋体" w:cs="宋体"/>
          <w:szCs w:val="21"/>
        </w:rPr>
      </w:pPr>
      <w:r>
        <w:rPr>
          <w:rFonts w:ascii="宋体" w:hAnsi="宋体" w:cs="宋体"/>
          <w:szCs w:val="21"/>
        </w:rPr>
        <w:t>1.1.2</w:t>
      </w:r>
      <w:r>
        <w:rPr>
          <w:rFonts w:hint="eastAsia" w:ascii="宋体" w:hAnsi="宋体" w:cs="宋体"/>
          <w:szCs w:val="21"/>
        </w:rPr>
        <w:t>项目实施机构，指定的有关职能部门或事业单位或指定的单位可作为项目实施机构，负责项目准备、采购管理等工作。</w:t>
      </w:r>
    </w:p>
    <w:p>
      <w:pPr>
        <w:spacing w:line="420" w:lineRule="exact"/>
        <w:ind w:firstLine="482"/>
        <w:outlineLvl w:val="0"/>
        <w:rPr>
          <w:rFonts w:ascii="宋体" w:cs="宋体"/>
          <w:szCs w:val="21"/>
        </w:rPr>
      </w:pPr>
      <w:r>
        <w:rPr>
          <w:rFonts w:ascii="宋体" w:hAnsi="宋体" w:cs="宋体"/>
          <w:b/>
          <w:szCs w:val="21"/>
        </w:rPr>
        <w:t>1.2</w:t>
      </w:r>
      <w:r>
        <w:rPr>
          <w:rFonts w:hint="eastAsia" w:ascii="宋体" w:hAnsi="宋体" w:cs="宋体"/>
          <w:b/>
          <w:szCs w:val="21"/>
        </w:rPr>
        <w:t>采购当事人</w:t>
      </w:r>
    </w:p>
    <w:p>
      <w:pPr>
        <w:spacing w:line="420" w:lineRule="exact"/>
        <w:ind w:firstLine="480"/>
        <w:rPr>
          <w:rFonts w:ascii="宋体" w:cs="宋体"/>
          <w:szCs w:val="21"/>
        </w:rPr>
      </w:pPr>
      <w:r>
        <w:rPr>
          <w:rFonts w:ascii="宋体" w:hAnsi="宋体" w:cs="宋体"/>
          <w:szCs w:val="21"/>
        </w:rPr>
        <w:t>1.2.1</w:t>
      </w:r>
      <w:r>
        <w:rPr>
          <w:rFonts w:hint="eastAsia" w:ascii="宋体" w:hAnsi="宋体" w:cs="宋体"/>
          <w:szCs w:val="21"/>
        </w:rPr>
        <w:t>采购人是指行政事业单位或者制定服务项目组织实施机构。本项目采购人详见竞争性磋商须知前附表。</w:t>
      </w:r>
    </w:p>
    <w:p>
      <w:pPr>
        <w:spacing w:line="420" w:lineRule="exact"/>
        <w:ind w:firstLine="480"/>
        <w:rPr>
          <w:rFonts w:ascii="宋体" w:cs="宋体"/>
          <w:szCs w:val="21"/>
        </w:rPr>
      </w:pPr>
      <w:r>
        <w:rPr>
          <w:rFonts w:ascii="宋体" w:hAnsi="宋体" w:cs="宋体"/>
          <w:szCs w:val="21"/>
        </w:rPr>
        <w:t>1.3.2</w:t>
      </w:r>
      <w:r>
        <w:rPr>
          <w:rFonts w:hint="eastAsia" w:ascii="宋体" w:hAnsi="宋体" w:cs="宋体"/>
          <w:szCs w:val="21"/>
        </w:rPr>
        <w:t>响应供应商是指接受采购邀请并按要求提交响应文件参加竞争性磋商的提供服务的机构。本项目响应供应商详见竞争性磋商须知前附表。</w:t>
      </w:r>
    </w:p>
    <w:p>
      <w:pPr>
        <w:spacing w:line="420" w:lineRule="exact"/>
        <w:ind w:firstLine="480"/>
        <w:rPr>
          <w:rFonts w:ascii="宋体" w:cs="宋体"/>
          <w:szCs w:val="21"/>
        </w:rPr>
      </w:pPr>
      <w:r>
        <w:rPr>
          <w:rFonts w:ascii="宋体" w:hAnsi="宋体" w:cs="宋体"/>
          <w:szCs w:val="21"/>
        </w:rPr>
        <w:t>1.3.3</w:t>
      </w:r>
      <w:r>
        <w:rPr>
          <w:rFonts w:hint="eastAsia" w:ascii="宋体" w:hAnsi="宋体" w:cs="宋体"/>
          <w:szCs w:val="21"/>
        </w:rPr>
        <w:t>采购代理机构是受采购项目实施机构（采购人）委托办理采购事宜的社会中介机构。本项目采购代理机构详见竞争性磋商须知前附表。</w:t>
      </w:r>
    </w:p>
    <w:p>
      <w:pPr>
        <w:spacing w:line="420" w:lineRule="exact"/>
        <w:ind w:firstLine="482"/>
        <w:outlineLvl w:val="0"/>
        <w:rPr>
          <w:rFonts w:ascii="宋体" w:cs="宋体"/>
          <w:b/>
          <w:szCs w:val="21"/>
        </w:rPr>
      </w:pPr>
      <w:r>
        <w:rPr>
          <w:rFonts w:ascii="宋体" w:hAnsi="宋体" w:cs="宋体"/>
          <w:b/>
          <w:szCs w:val="21"/>
        </w:rPr>
        <w:t>2.</w:t>
      </w:r>
      <w:r>
        <w:rPr>
          <w:rFonts w:hint="eastAsia" w:ascii="宋体" w:hAnsi="宋体" w:cs="宋体"/>
          <w:b/>
          <w:szCs w:val="21"/>
        </w:rPr>
        <w:t>合格的供应商</w:t>
      </w:r>
    </w:p>
    <w:p>
      <w:pPr>
        <w:spacing w:line="420" w:lineRule="exact"/>
        <w:ind w:firstLine="480"/>
        <w:rPr>
          <w:rFonts w:ascii="宋体" w:cs="宋体"/>
          <w:szCs w:val="21"/>
        </w:rPr>
      </w:pPr>
      <w:r>
        <w:rPr>
          <w:rFonts w:ascii="宋体" w:hAnsi="宋体" w:cs="宋体"/>
          <w:szCs w:val="21"/>
        </w:rPr>
        <w:t>2.1</w:t>
      </w:r>
      <w:r>
        <w:rPr>
          <w:rFonts w:hint="eastAsia" w:ascii="宋体" w:hAnsi="宋体" w:cs="宋体"/>
          <w:szCs w:val="21"/>
        </w:rPr>
        <w:t>合格的供应商应满足条件详见竞争性磋商须知前附表。</w:t>
      </w:r>
    </w:p>
    <w:p>
      <w:pPr>
        <w:spacing w:line="420" w:lineRule="exact"/>
        <w:ind w:firstLine="480"/>
        <w:rPr>
          <w:rFonts w:ascii="宋体" w:cs="宋体"/>
          <w:szCs w:val="21"/>
        </w:rPr>
      </w:pPr>
      <w:r>
        <w:rPr>
          <w:rFonts w:ascii="宋体" w:hAnsi="宋体" w:cs="宋体"/>
          <w:szCs w:val="21"/>
        </w:rPr>
        <w:t>2.2</w:t>
      </w:r>
      <w:r>
        <w:rPr>
          <w:rFonts w:hint="eastAsia" w:ascii="宋体" w:hAnsi="宋体" w:cs="宋体"/>
          <w:szCs w:val="21"/>
        </w:rPr>
        <w:t>除须知前附表要求的以外，响应供应商还应满足下列要求：</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）具有独立承担民事责任的能力；</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）具有良好的企业信誉和健全的财务会计制度；</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）具有履行合同所必须的设备和专业技术能力；</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）有依法缴纳税收的良好记录；</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）参加政府采购活动前三年内，在经营活动中没有重大违法记录；</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6</w:t>
      </w:r>
      <w:r>
        <w:rPr>
          <w:rFonts w:hint="eastAsia" w:ascii="宋体" w:hAnsi="宋体" w:cs="宋体"/>
          <w:szCs w:val="21"/>
        </w:rPr>
        <w:t>）单位负责人为同一人或者存在控股、管理关系的不同单位，不得参加同一采购项目的磋商。</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7</w:t>
      </w:r>
      <w:r>
        <w:rPr>
          <w:rFonts w:hint="eastAsia" w:ascii="宋体" w:hAnsi="宋体" w:cs="宋体"/>
          <w:szCs w:val="21"/>
        </w:rPr>
        <w:t>）法律、行政法规规定的其他条件。</w:t>
      </w:r>
    </w:p>
    <w:p>
      <w:pPr>
        <w:spacing w:line="420" w:lineRule="exact"/>
        <w:ind w:firstLine="480"/>
        <w:rPr>
          <w:rFonts w:ascii="宋体" w:cs="宋体"/>
          <w:szCs w:val="21"/>
        </w:rPr>
      </w:pPr>
      <w:r>
        <w:rPr>
          <w:rFonts w:ascii="宋体" w:hAnsi="宋体" w:cs="宋体"/>
          <w:szCs w:val="21"/>
        </w:rPr>
        <w:t>2.3</w:t>
      </w:r>
      <w:r>
        <w:rPr>
          <w:rFonts w:hint="eastAsia" w:ascii="宋体" w:hAnsi="宋体" w:cs="宋体"/>
          <w:szCs w:val="21"/>
        </w:rPr>
        <w:t>供应商不得存在下列情形之一：</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）为本项目采购人有关联关系或管理关系的；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）为本项目提供咨询服务的；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）为本项目提供采购代理服务的；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）被责令停业的；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）资产被接管或冻结的；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6</w:t>
      </w:r>
      <w:r>
        <w:rPr>
          <w:rFonts w:hint="eastAsia" w:ascii="宋体" w:hAnsi="宋体" w:cs="宋体"/>
          <w:szCs w:val="21"/>
        </w:rPr>
        <w:t>）其他有关法律、行政法规及部门规章禁止的。</w:t>
      </w:r>
    </w:p>
    <w:p>
      <w:pPr>
        <w:spacing w:line="420" w:lineRule="exact"/>
        <w:ind w:firstLine="480"/>
        <w:rPr>
          <w:rFonts w:ascii="宋体" w:cs="宋体"/>
          <w:b/>
          <w:szCs w:val="21"/>
        </w:rPr>
      </w:pPr>
      <w:r>
        <w:rPr>
          <w:rFonts w:ascii="宋体" w:hAnsi="宋体" w:cs="宋体"/>
          <w:szCs w:val="21"/>
        </w:rPr>
        <w:t>2.4</w:t>
      </w:r>
      <w:r>
        <w:rPr>
          <w:rFonts w:hint="eastAsia" w:ascii="宋体" w:hAnsi="宋体" w:cs="宋体"/>
          <w:szCs w:val="21"/>
        </w:rPr>
        <w:t>联合体</w:t>
      </w:r>
      <w:r>
        <w:rPr>
          <w:rFonts w:hint="eastAsia" w:ascii="宋体" w:hAnsi="宋体" w:cs="宋体"/>
          <w:b/>
          <w:szCs w:val="21"/>
        </w:rPr>
        <w:t>（本项目不接受联合体）</w:t>
      </w:r>
    </w:p>
    <w:p>
      <w:pPr>
        <w:spacing w:line="420" w:lineRule="exact"/>
        <w:ind w:firstLine="480"/>
        <w:rPr>
          <w:rFonts w:ascii="宋体" w:cs="宋体"/>
          <w:szCs w:val="21"/>
        </w:rPr>
      </w:pPr>
      <w:r>
        <w:rPr>
          <w:rFonts w:ascii="宋体" w:hAnsi="宋体" w:cs="宋体"/>
          <w:szCs w:val="21"/>
        </w:rPr>
        <w:t>2.4.1</w:t>
      </w:r>
      <w:r>
        <w:rPr>
          <w:rFonts w:hint="eastAsia" w:ascii="宋体" w:hAnsi="宋体" w:cs="宋体"/>
          <w:szCs w:val="21"/>
        </w:rPr>
        <w:t>两个以上的自然人、法人或者其他组织可以组成一个联合体，以一个响应供应商的身份共同参加竞争性磋商。</w:t>
      </w:r>
    </w:p>
    <w:p>
      <w:pPr>
        <w:spacing w:line="420" w:lineRule="exact"/>
        <w:ind w:firstLine="480"/>
        <w:rPr>
          <w:rFonts w:ascii="宋体" w:cs="宋体"/>
          <w:szCs w:val="21"/>
        </w:rPr>
      </w:pPr>
      <w:r>
        <w:rPr>
          <w:rFonts w:ascii="宋体" w:hAnsi="宋体" w:cs="宋体"/>
          <w:szCs w:val="21"/>
        </w:rPr>
        <w:t>2.4.2</w:t>
      </w:r>
      <w:r>
        <w:rPr>
          <w:rFonts w:hint="eastAsia" w:ascii="宋体" w:hAnsi="宋体" w:cs="宋体"/>
          <w:szCs w:val="21"/>
        </w:rPr>
        <w:t>以联合体形式进行政府采购的，参加联合体的各方均应当具备《中华人民共和国政府采购法》第二十二条规定的条件，并向采购人提交联合协议，载明联合体各方承担的工作和义务，并承诺一旦成交联合体各方将向采购人承担连带责任。联合体各方应当共同与采购人签订采购合同，就采购合同约定的事项对采购人承担连带责任。</w:t>
      </w:r>
    </w:p>
    <w:p>
      <w:pPr>
        <w:spacing w:line="420" w:lineRule="exact"/>
        <w:ind w:firstLine="480"/>
        <w:rPr>
          <w:rFonts w:ascii="宋体" w:cs="宋体"/>
          <w:szCs w:val="21"/>
        </w:rPr>
      </w:pPr>
      <w:r>
        <w:rPr>
          <w:rFonts w:ascii="宋体" w:hAnsi="宋体" w:cs="宋体"/>
          <w:szCs w:val="21"/>
        </w:rPr>
        <w:t>2.4.3</w:t>
      </w:r>
      <w:r>
        <w:rPr>
          <w:rFonts w:hint="eastAsia" w:ascii="宋体" w:hAnsi="宋体" w:cs="宋体"/>
          <w:szCs w:val="21"/>
        </w:rPr>
        <w:t>联合体中有同类资质的按照联合体分工承担相同工作的，应当按照资质等级较低的确定资质等级（如有要求）；或至少有一家符合磋商项目规定的特别条件。</w:t>
      </w:r>
    </w:p>
    <w:p>
      <w:pPr>
        <w:spacing w:line="420" w:lineRule="exact"/>
        <w:ind w:firstLine="480"/>
        <w:rPr>
          <w:rFonts w:ascii="宋体" w:cs="宋体"/>
          <w:szCs w:val="21"/>
        </w:rPr>
      </w:pPr>
      <w:r>
        <w:rPr>
          <w:rFonts w:ascii="宋体" w:hAnsi="宋体" w:cs="宋体"/>
          <w:szCs w:val="21"/>
        </w:rPr>
        <w:t>2.4.4</w:t>
      </w:r>
      <w:r>
        <w:rPr>
          <w:rFonts w:hint="eastAsia" w:ascii="宋体" w:hAnsi="宋体" w:cs="宋体"/>
          <w:szCs w:val="21"/>
        </w:rPr>
        <w:t>以联合体形式参加政府采购活动的，联合体各方不得再单独参加或者与其他供应商另外再组成联合体参加统一合同项下的政府采购活动。</w:t>
      </w:r>
    </w:p>
    <w:p>
      <w:pPr>
        <w:spacing w:line="420" w:lineRule="exact"/>
        <w:ind w:firstLine="482"/>
        <w:rPr>
          <w:rFonts w:ascii="宋体" w:cs="宋体"/>
          <w:b/>
          <w:szCs w:val="21"/>
        </w:rPr>
      </w:pPr>
      <w:r>
        <w:rPr>
          <w:rFonts w:ascii="宋体" w:hAnsi="宋体" w:cs="宋体"/>
          <w:b/>
          <w:szCs w:val="21"/>
        </w:rPr>
        <w:t>3.</w:t>
      </w:r>
      <w:r>
        <w:rPr>
          <w:rFonts w:hint="eastAsia" w:ascii="宋体" w:hAnsi="宋体" w:cs="宋体"/>
          <w:b/>
          <w:szCs w:val="21"/>
        </w:rPr>
        <w:t>提供服务的范围内容及要求</w:t>
      </w:r>
    </w:p>
    <w:p>
      <w:pPr>
        <w:spacing w:line="420" w:lineRule="exact"/>
        <w:ind w:firstLine="480"/>
        <w:rPr>
          <w:rFonts w:ascii="宋体" w:cs="宋体"/>
          <w:szCs w:val="21"/>
        </w:rPr>
      </w:pPr>
      <w:r>
        <w:rPr>
          <w:rFonts w:ascii="宋体" w:hAnsi="宋体" w:cs="宋体"/>
          <w:szCs w:val="21"/>
        </w:rPr>
        <w:t>3.1</w:t>
      </w:r>
      <w:r>
        <w:rPr>
          <w:rFonts w:hint="eastAsia" w:ascii="宋体" w:hAnsi="宋体" w:cs="宋体"/>
          <w:szCs w:val="21"/>
        </w:rPr>
        <w:t>采购需求：第</w:t>
      </w:r>
      <w:r>
        <w:rPr>
          <w:rFonts w:hint="eastAsia" w:ascii="宋体" w:hAnsi="宋体" w:cs="宋体"/>
          <w:b/>
          <w:bCs/>
          <w:szCs w:val="21"/>
        </w:rPr>
        <w:t>二</w:t>
      </w:r>
      <w:r>
        <w:rPr>
          <w:rFonts w:hint="eastAsia" w:ascii="宋体" w:hAnsi="宋体" w:cs="宋体"/>
          <w:szCs w:val="21"/>
        </w:rPr>
        <w:t>章项目采购需求及其他要求中“服务范围及内容”；</w:t>
      </w:r>
    </w:p>
    <w:p>
      <w:pPr>
        <w:spacing w:line="420" w:lineRule="exact"/>
        <w:ind w:firstLine="480"/>
        <w:rPr>
          <w:rFonts w:ascii="宋体" w:cs="宋体"/>
          <w:szCs w:val="21"/>
        </w:rPr>
      </w:pPr>
      <w:r>
        <w:rPr>
          <w:rFonts w:ascii="宋体" w:hAnsi="宋体" w:cs="宋体"/>
          <w:szCs w:val="21"/>
        </w:rPr>
        <w:t>3.2</w:t>
      </w:r>
      <w:r>
        <w:rPr>
          <w:rFonts w:hint="eastAsia" w:ascii="宋体" w:hAnsi="宋体" w:cs="宋体"/>
          <w:szCs w:val="21"/>
        </w:rPr>
        <w:t>其他要求：第</w:t>
      </w:r>
      <w:r>
        <w:rPr>
          <w:rFonts w:hint="eastAsia" w:ascii="宋体" w:hAnsi="宋体" w:cs="宋体"/>
          <w:b/>
          <w:bCs/>
          <w:szCs w:val="21"/>
        </w:rPr>
        <w:t>二</w:t>
      </w:r>
      <w:r>
        <w:rPr>
          <w:rFonts w:hint="eastAsia" w:ascii="宋体" w:hAnsi="宋体" w:cs="宋体"/>
          <w:szCs w:val="21"/>
        </w:rPr>
        <w:t>章项目采购需求及其他要求中“其他要求”。</w:t>
      </w:r>
    </w:p>
    <w:p>
      <w:pPr>
        <w:spacing w:line="420" w:lineRule="exact"/>
        <w:ind w:firstLine="482"/>
        <w:outlineLvl w:val="0"/>
        <w:rPr>
          <w:rFonts w:ascii="宋体" w:cs="宋体"/>
          <w:b/>
          <w:szCs w:val="21"/>
        </w:rPr>
      </w:pPr>
      <w:r>
        <w:rPr>
          <w:rFonts w:ascii="宋体" w:hAnsi="宋体" w:cs="宋体"/>
          <w:b/>
          <w:szCs w:val="21"/>
        </w:rPr>
        <w:t>4.</w:t>
      </w:r>
      <w:r>
        <w:rPr>
          <w:rFonts w:hint="eastAsia" w:ascii="宋体" w:hAnsi="宋体" w:cs="宋体"/>
          <w:b/>
          <w:szCs w:val="21"/>
        </w:rPr>
        <w:t>磋商费用</w:t>
      </w:r>
    </w:p>
    <w:p>
      <w:pPr>
        <w:spacing w:line="420" w:lineRule="exact"/>
        <w:ind w:firstLine="480"/>
        <w:rPr>
          <w:rFonts w:ascii="宋体" w:cs="宋体"/>
          <w:szCs w:val="21"/>
        </w:rPr>
      </w:pPr>
      <w:r>
        <w:rPr>
          <w:rFonts w:hint="eastAsia" w:ascii="宋体" w:hAnsi="宋体" w:cs="宋体"/>
          <w:szCs w:val="21"/>
        </w:rPr>
        <w:t>供应商应承担所有与准备和参加磋商有关的费用。不论磋商的结果如何，竞争性磋商须知资料表中所述的采购人或采购机构均无义务和责任承担这些费用。</w:t>
      </w:r>
    </w:p>
    <w:p>
      <w:pPr>
        <w:spacing w:line="420" w:lineRule="exact"/>
        <w:ind w:firstLine="482"/>
        <w:outlineLvl w:val="0"/>
        <w:rPr>
          <w:rFonts w:ascii="宋体" w:cs="宋体"/>
          <w:b/>
          <w:szCs w:val="21"/>
        </w:rPr>
      </w:pPr>
      <w:r>
        <w:rPr>
          <w:rFonts w:ascii="宋体" w:hAnsi="宋体" w:cs="宋体"/>
          <w:b/>
          <w:szCs w:val="21"/>
        </w:rPr>
        <w:t>5.</w:t>
      </w:r>
      <w:r>
        <w:rPr>
          <w:rFonts w:hint="eastAsia" w:ascii="宋体" w:hAnsi="宋体" w:cs="宋体"/>
          <w:b/>
          <w:szCs w:val="21"/>
        </w:rPr>
        <w:t>现场考察及答疑会</w:t>
      </w:r>
    </w:p>
    <w:p>
      <w:pPr>
        <w:spacing w:line="420" w:lineRule="exact"/>
        <w:ind w:firstLine="480"/>
        <w:rPr>
          <w:rFonts w:ascii="宋体" w:cs="宋体"/>
          <w:szCs w:val="21"/>
        </w:rPr>
      </w:pPr>
      <w:r>
        <w:rPr>
          <w:rFonts w:ascii="宋体" w:hAnsi="宋体" w:cs="宋体"/>
          <w:szCs w:val="21"/>
        </w:rPr>
        <w:t>5.1</w:t>
      </w:r>
      <w:r>
        <w:rPr>
          <w:rFonts w:hint="eastAsia" w:ascii="宋体" w:hAnsi="宋体" w:cs="宋体"/>
          <w:szCs w:val="21"/>
        </w:rPr>
        <w:t>采购人不组织现场考察和答疑会,供应商</w:t>
      </w:r>
      <w:r>
        <w:rPr>
          <w:rFonts w:hint="eastAsia" w:ascii="宋体" w:hAnsi="宋体" w:cs="宋体"/>
          <w:bCs/>
          <w:szCs w:val="21"/>
        </w:rPr>
        <w:t>自行组织调研考察</w:t>
      </w:r>
      <w:r>
        <w:rPr>
          <w:rFonts w:hint="eastAsia" w:ascii="宋体" w:hAnsi="宋体" w:cs="宋体"/>
          <w:szCs w:val="21"/>
        </w:rPr>
        <w:t>。</w:t>
      </w:r>
    </w:p>
    <w:p>
      <w:pPr>
        <w:spacing w:line="420" w:lineRule="exact"/>
        <w:ind w:firstLine="480"/>
        <w:rPr>
          <w:rFonts w:ascii="宋体" w:cs="宋体"/>
          <w:szCs w:val="21"/>
        </w:rPr>
      </w:pPr>
      <w:r>
        <w:rPr>
          <w:rFonts w:ascii="宋体" w:hAnsi="宋体" w:cs="宋体"/>
          <w:szCs w:val="21"/>
        </w:rPr>
        <w:t>5.2</w:t>
      </w:r>
      <w:r>
        <w:rPr>
          <w:rFonts w:hint="eastAsia" w:ascii="宋体" w:hAnsi="宋体" w:cs="宋体"/>
          <w:szCs w:val="21"/>
        </w:rPr>
        <w:t>供应商进行现场考察所发生的费用自理，承担现场考察中所发生的人员伤亡和财产损失等一切责任。</w:t>
      </w:r>
    </w:p>
    <w:p>
      <w:pPr>
        <w:numPr>
          <w:ilvl w:val="0"/>
          <w:numId w:val="2"/>
        </w:numPr>
        <w:spacing w:line="420" w:lineRule="exact"/>
        <w:ind w:firstLine="480"/>
        <w:rPr>
          <w:rFonts w:ascii="宋体" w:cs="宋体"/>
          <w:bCs/>
          <w:szCs w:val="21"/>
        </w:rPr>
      </w:pPr>
      <w:r>
        <w:rPr>
          <w:rFonts w:hint="eastAsia" w:ascii="宋体" w:hAnsi="宋体" w:cs="宋体"/>
          <w:bCs/>
          <w:szCs w:val="21"/>
        </w:rPr>
        <w:t>响应供商的确定</w:t>
      </w:r>
    </w:p>
    <w:p>
      <w:pPr>
        <w:spacing w:line="420" w:lineRule="exact"/>
        <w:ind w:firstLine="480"/>
        <w:rPr>
          <w:rFonts w:ascii="宋体" w:cs="宋体"/>
          <w:bCs/>
          <w:szCs w:val="21"/>
        </w:rPr>
      </w:pPr>
      <w:r>
        <w:rPr>
          <w:rFonts w:ascii="宋体" w:hAnsi="宋体" w:cs="宋体"/>
          <w:bCs/>
          <w:szCs w:val="21"/>
        </w:rPr>
        <w:t>6.1</w:t>
      </w:r>
      <w:r>
        <w:rPr>
          <w:rFonts w:hint="eastAsia" w:ascii="宋体" w:hAnsi="宋体" w:cs="宋体"/>
          <w:bCs/>
          <w:szCs w:val="21"/>
        </w:rPr>
        <w:t>《政府采购竞争性磋商采购方式管理办法》财库</w:t>
      </w:r>
      <w:r>
        <w:rPr>
          <w:rFonts w:ascii="宋体" w:hAnsi="宋体" w:cs="宋体"/>
          <w:bCs/>
          <w:szCs w:val="21"/>
        </w:rPr>
        <w:t>[2014]214</w:t>
      </w:r>
      <w:r>
        <w:rPr>
          <w:rFonts w:hint="eastAsia" w:ascii="宋体" w:hAnsi="宋体" w:cs="宋体"/>
          <w:bCs/>
          <w:szCs w:val="21"/>
        </w:rPr>
        <w:t>号第六条规定确定，或通过资格预审确定。</w:t>
      </w:r>
    </w:p>
    <w:p>
      <w:pPr>
        <w:spacing w:line="420" w:lineRule="exact"/>
        <w:ind w:firstLine="482"/>
        <w:jc w:val="center"/>
        <w:rPr>
          <w:rFonts w:ascii="宋体" w:cs="宋体"/>
          <w:sz w:val="28"/>
          <w:szCs w:val="28"/>
        </w:rPr>
      </w:pPr>
      <w:bookmarkStart w:id="3" w:name="_Toc448307928"/>
      <w:bookmarkEnd w:id="3"/>
      <w:r>
        <w:br w:type="page"/>
      </w:r>
      <w:r>
        <w:rPr>
          <w:rFonts w:hint="eastAsia" w:ascii="宋体" w:hAnsi="宋体" w:cs="宋体"/>
          <w:b/>
          <w:sz w:val="28"/>
          <w:szCs w:val="28"/>
        </w:rPr>
        <w:t>三、磋商文件</w:t>
      </w:r>
    </w:p>
    <w:p>
      <w:pPr>
        <w:spacing w:line="420" w:lineRule="exact"/>
        <w:ind w:firstLine="482"/>
        <w:rPr>
          <w:rFonts w:ascii="宋体" w:cs="宋体"/>
          <w:b/>
          <w:szCs w:val="21"/>
        </w:rPr>
      </w:pPr>
      <w:r>
        <w:rPr>
          <w:rFonts w:ascii="宋体" w:hAnsi="宋体" w:cs="宋体"/>
          <w:b/>
          <w:szCs w:val="21"/>
        </w:rPr>
        <w:t>7.</w:t>
      </w:r>
      <w:r>
        <w:rPr>
          <w:rFonts w:hint="eastAsia" w:ascii="宋体" w:hAnsi="宋体" w:cs="宋体"/>
          <w:b/>
          <w:szCs w:val="21"/>
        </w:rPr>
        <w:t>磋商文件的编制依据与构成</w:t>
      </w:r>
    </w:p>
    <w:p>
      <w:pPr>
        <w:spacing w:line="420" w:lineRule="exact"/>
        <w:outlineLvl w:val="0"/>
        <w:rPr>
          <w:rFonts w:ascii="宋体" w:cs="宋体"/>
          <w:szCs w:val="21"/>
        </w:rPr>
      </w:pPr>
      <w:r>
        <w:rPr>
          <w:rFonts w:ascii="宋体" w:hAnsi="宋体" w:cs="宋体"/>
          <w:szCs w:val="21"/>
        </w:rPr>
        <w:t xml:space="preserve">    7.1</w:t>
      </w:r>
      <w:r>
        <w:rPr>
          <w:rFonts w:hint="eastAsia" w:ascii="宋体" w:hAnsi="宋体" w:cs="宋体"/>
          <w:szCs w:val="21"/>
        </w:rPr>
        <w:t>本竞争性磋商文件（以下简称磋商文件）的编制依据</w:t>
      </w:r>
    </w:p>
    <w:p>
      <w:pPr>
        <w:spacing w:line="420" w:lineRule="exact"/>
        <w:ind w:firstLine="480"/>
        <w:rPr>
          <w:rFonts w:ascii="宋体" w:cs="宋体"/>
          <w:szCs w:val="21"/>
        </w:rPr>
      </w:pPr>
      <w:r>
        <w:rPr>
          <w:rFonts w:ascii="宋体" w:hAnsi="宋体" w:cs="宋体"/>
          <w:szCs w:val="21"/>
        </w:rPr>
        <w:t>7.1.1</w:t>
      </w:r>
      <w:r>
        <w:rPr>
          <w:rFonts w:hint="eastAsia" w:ascii="宋体" w:hAnsi="宋体" w:cs="宋体"/>
          <w:szCs w:val="21"/>
        </w:rPr>
        <w:t>《中华人民共和国政府采购法》</w:t>
      </w:r>
    </w:p>
    <w:p>
      <w:pPr>
        <w:spacing w:line="420" w:lineRule="exact"/>
        <w:ind w:firstLine="480"/>
        <w:rPr>
          <w:rFonts w:ascii="宋体" w:cs="宋体"/>
          <w:szCs w:val="21"/>
        </w:rPr>
      </w:pPr>
      <w:r>
        <w:rPr>
          <w:rFonts w:ascii="宋体" w:hAnsi="宋体" w:cs="宋体"/>
          <w:szCs w:val="21"/>
        </w:rPr>
        <w:t>7.1.2</w:t>
      </w:r>
      <w:r>
        <w:rPr>
          <w:rFonts w:hint="eastAsia" w:ascii="宋体" w:hAnsi="宋体" w:cs="宋体"/>
          <w:szCs w:val="21"/>
        </w:rPr>
        <w:t>《中华人民共和国政府采购法实施条例》</w:t>
      </w:r>
    </w:p>
    <w:p>
      <w:pPr>
        <w:spacing w:line="420" w:lineRule="exact"/>
        <w:rPr>
          <w:rFonts w:ascii="宋体" w:cs="宋体"/>
          <w:szCs w:val="21"/>
        </w:rPr>
      </w:pPr>
      <w:r>
        <w:rPr>
          <w:rFonts w:ascii="宋体" w:hAnsi="宋体" w:cs="宋体"/>
          <w:szCs w:val="21"/>
        </w:rPr>
        <w:t xml:space="preserve">    7.1.6</w:t>
      </w:r>
      <w:r>
        <w:rPr>
          <w:rFonts w:hint="eastAsia" w:ascii="宋体" w:hAnsi="宋体" w:cs="宋体"/>
          <w:szCs w:val="21"/>
        </w:rPr>
        <w:t>财政部关于印发《政府采购竞争性磋商采购方式管理暂行办法》的通知（财库</w:t>
      </w:r>
      <w:r>
        <w:rPr>
          <w:rFonts w:ascii="宋体" w:hAnsi="宋体" w:cs="宋体"/>
          <w:szCs w:val="21"/>
        </w:rPr>
        <w:t>[2014]214</w:t>
      </w:r>
      <w:r>
        <w:rPr>
          <w:rFonts w:hint="eastAsia" w:ascii="宋体" w:hAnsi="宋体" w:cs="宋体"/>
          <w:szCs w:val="21"/>
        </w:rPr>
        <w:t>号）</w:t>
      </w:r>
    </w:p>
    <w:p>
      <w:pPr>
        <w:spacing w:line="420" w:lineRule="exact"/>
        <w:ind w:firstLine="480"/>
        <w:rPr>
          <w:rFonts w:ascii="宋体" w:cs="宋体"/>
          <w:szCs w:val="21"/>
        </w:rPr>
      </w:pPr>
      <w:r>
        <w:rPr>
          <w:rFonts w:ascii="宋体" w:hAnsi="宋体" w:cs="宋体"/>
          <w:szCs w:val="21"/>
        </w:rPr>
        <w:t>7.1.7</w:t>
      </w:r>
      <w:r>
        <w:rPr>
          <w:rFonts w:hint="eastAsia" w:ascii="宋体" w:hAnsi="宋体" w:cs="宋体"/>
          <w:szCs w:val="21"/>
        </w:rPr>
        <w:t>关于印发《政府购买服务管理办法（暂行）》的通知（财综</w:t>
      </w:r>
      <w:r>
        <w:rPr>
          <w:rFonts w:ascii="宋体" w:hAnsi="宋体" w:cs="宋体"/>
          <w:szCs w:val="21"/>
        </w:rPr>
        <w:t>[2014]96</w:t>
      </w:r>
      <w:r>
        <w:rPr>
          <w:rFonts w:hint="eastAsia" w:ascii="宋体" w:hAnsi="宋体" w:cs="宋体"/>
          <w:szCs w:val="21"/>
        </w:rPr>
        <w:t>号）</w:t>
      </w:r>
    </w:p>
    <w:p>
      <w:pPr>
        <w:spacing w:line="420" w:lineRule="exact"/>
        <w:ind w:firstLine="480"/>
        <w:rPr>
          <w:rFonts w:ascii="宋体" w:cs="宋体"/>
          <w:szCs w:val="21"/>
        </w:rPr>
      </w:pPr>
      <w:r>
        <w:rPr>
          <w:rFonts w:ascii="宋体" w:hAnsi="宋体" w:cs="宋体"/>
          <w:szCs w:val="21"/>
        </w:rPr>
        <w:t>7.1.8</w:t>
      </w:r>
      <w:r>
        <w:rPr>
          <w:rFonts w:hint="eastAsia" w:ascii="宋体" w:hAnsi="宋体" w:cs="宋体"/>
          <w:szCs w:val="21"/>
        </w:rPr>
        <w:t>《财政部关于竞争性磋商采购方式管理暂行办法有关问题的补充通知》（财库</w:t>
      </w:r>
      <w:r>
        <w:rPr>
          <w:rFonts w:ascii="宋体" w:hAnsi="宋体" w:cs="宋体"/>
          <w:szCs w:val="21"/>
        </w:rPr>
        <w:t>[2015]124</w:t>
      </w:r>
      <w:r>
        <w:rPr>
          <w:rFonts w:hint="eastAsia" w:ascii="宋体" w:hAnsi="宋体" w:cs="宋体"/>
          <w:szCs w:val="21"/>
        </w:rPr>
        <w:t>号）</w:t>
      </w:r>
    </w:p>
    <w:p>
      <w:pPr>
        <w:spacing w:line="420" w:lineRule="exact"/>
        <w:ind w:firstLine="480"/>
        <w:rPr>
          <w:rFonts w:ascii="宋体" w:cs="宋体"/>
          <w:szCs w:val="21"/>
        </w:rPr>
      </w:pPr>
      <w:r>
        <w:rPr>
          <w:rFonts w:hint="eastAsia" w:ascii="宋体" w:hAnsi="宋体" w:cs="宋体"/>
          <w:szCs w:val="21"/>
        </w:rPr>
        <w:t>磋商文件的编制依据含但不限于上述文件，上述文件如有更新的以最新版本为准。</w:t>
      </w:r>
    </w:p>
    <w:p>
      <w:pPr>
        <w:spacing w:line="420" w:lineRule="exact"/>
        <w:ind w:firstLine="480"/>
        <w:rPr>
          <w:rFonts w:ascii="宋体" w:cs="宋体"/>
          <w:szCs w:val="21"/>
        </w:rPr>
      </w:pPr>
      <w:r>
        <w:rPr>
          <w:rFonts w:ascii="宋体" w:hAnsi="宋体" w:cs="宋体"/>
          <w:szCs w:val="21"/>
        </w:rPr>
        <w:t>7.2</w:t>
      </w:r>
      <w:r>
        <w:rPr>
          <w:rFonts w:hint="eastAsia" w:ascii="宋体" w:hAnsi="宋体" w:cs="宋体"/>
          <w:szCs w:val="21"/>
        </w:rPr>
        <w:t>磋商文件由下列章节组成：</w:t>
      </w:r>
    </w:p>
    <w:p>
      <w:pPr>
        <w:spacing w:line="420" w:lineRule="exact"/>
        <w:ind w:firstLine="480"/>
        <w:rPr>
          <w:rFonts w:ascii="宋体" w:cs="宋体"/>
          <w:szCs w:val="21"/>
        </w:rPr>
      </w:pPr>
      <w:r>
        <w:rPr>
          <w:rFonts w:hint="eastAsia" w:ascii="宋体" w:hAnsi="宋体" w:cs="宋体"/>
          <w:szCs w:val="21"/>
        </w:rPr>
        <w:t>第一章 邀请函</w:t>
      </w:r>
    </w:p>
    <w:p>
      <w:pPr>
        <w:spacing w:line="420" w:lineRule="exact"/>
        <w:ind w:firstLine="480"/>
        <w:rPr>
          <w:rFonts w:ascii="宋体" w:cs="宋体"/>
          <w:szCs w:val="21"/>
        </w:rPr>
      </w:pPr>
      <w:r>
        <w:rPr>
          <w:rFonts w:hint="eastAsia" w:ascii="宋体" w:hAnsi="宋体" w:cs="宋体"/>
          <w:szCs w:val="21"/>
        </w:rPr>
        <w:t>第二章 项目采购需求及要求</w:t>
      </w:r>
    </w:p>
    <w:p>
      <w:pPr>
        <w:spacing w:line="420" w:lineRule="exact"/>
        <w:ind w:firstLine="480"/>
        <w:rPr>
          <w:rFonts w:ascii="宋体" w:cs="宋体"/>
          <w:szCs w:val="21"/>
        </w:rPr>
      </w:pPr>
      <w:r>
        <w:rPr>
          <w:rFonts w:hint="eastAsia" w:ascii="宋体" w:hAnsi="宋体" w:cs="宋体"/>
          <w:szCs w:val="21"/>
        </w:rPr>
        <w:t>第三章 竞争性磋商须知</w:t>
      </w:r>
    </w:p>
    <w:p>
      <w:pPr>
        <w:spacing w:line="420" w:lineRule="exact"/>
        <w:ind w:firstLine="480"/>
        <w:rPr>
          <w:rFonts w:ascii="宋体" w:cs="宋体"/>
          <w:szCs w:val="21"/>
        </w:rPr>
      </w:pPr>
      <w:r>
        <w:rPr>
          <w:rFonts w:hint="eastAsia" w:ascii="宋体" w:hAnsi="宋体" w:cs="宋体"/>
          <w:szCs w:val="21"/>
        </w:rPr>
        <w:t>第四章 评审办法</w:t>
      </w:r>
    </w:p>
    <w:p>
      <w:pPr>
        <w:spacing w:line="420" w:lineRule="exact"/>
        <w:ind w:firstLine="480"/>
        <w:rPr>
          <w:rFonts w:ascii="宋体" w:cs="宋体"/>
          <w:szCs w:val="21"/>
        </w:rPr>
      </w:pPr>
      <w:r>
        <w:rPr>
          <w:rFonts w:hint="eastAsia" w:ascii="宋体" w:hAnsi="宋体" w:cs="宋体"/>
          <w:szCs w:val="21"/>
        </w:rPr>
        <w:t>第五章 项目合同（草案）</w:t>
      </w:r>
    </w:p>
    <w:p>
      <w:pPr>
        <w:spacing w:line="420" w:lineRule="exact"/>
        <w:ind w:firstLine="480"/>
        <w:rPr>
          <w:rFonts w:ascii="宋体" w:cs="宋体"/>
          <w:szCs w:val="21"/>
        </w:rPr>
      </w:pPr>
      <w:r>
        <w:rPr>
          <w:rFonts w:hint="eastAsia" w:ascii="宋体" w:hAnsi="宋体" w:cs="宋体"/>
          <w:szCs w:val="21"/>
        </w:rPr>
        <w:t>第六章 响应文件格式</w:t>
      </w:r>
    </w:p>
    <w:p>
      <w:pPr>
        <w:spacing w:line="420" w:lineRule="exact"/>
        <w:ind w:firstLine="480"/>
        <w:rPr>
          <w:rFonts w:ascii="宋体" w:cs="宋体"/>
          <w:szCs w:val="21"/>
        </w:rPr>
      </w:pPr>
      <w:r>
        <w:rPr>
          <w:rFonts w:ascii="宋体" w:hAnsi="宋体" w:cs="宋体"/>
          <w:szCs w:val="21"/>
        </w:rPr>
        <w:t>7.3</w:t>
      </w:r>
      <w:r>
        <w:rPr>
          <w:rFonts w:hint="eastAsia" w:ascii="宋体" w:hAnsi="宋体" w:cs="宋体"/>
          <w:szCs w:val="21"/>
        </w:rPr>
        <w:t>磋商文件以中文文字编写。纸质磋商文件与电子介质磋商文件具有同等法律效力，除另有约定外，两者出现不一致时，以纸质磋商文件为准。</w:t>
      </w:r>
    </w:p>
    <w:p>
      <w:pPr>
        <w:spacing w:line="420" w:lineRule="exact"/>
        <w:ind w:firstLine="480"/>
        <w:rPr>
          <w:rFonts w:ascii="宋体" w:cs="宋体"/>
          <w:szCs w:val="21"/>
        </w:rPr>
      </w:pPr>
      <w:r>
        <w:rPr>
          <w:rFonts w:ascii="宋体" w:hAnsi="宋体" w:cs="宋体"/>
          <w:szCs w:val="21"/>
        </w:rPr>
        <w:t>7.4</w:t>
      </w:r>
      <w:r>
        <w:rPr>
          <w:rFonts w:hint="eastAsia" w:ascii="宋体" w:hAnsi="宋体" w:cs="宋体"/>
          <w:szCs w:val="21"/>
        </w:rPr>
        <w:t>供应商应认真阅读、磋商文件中所有的事项、格式、条款和磋商内容及要求等，并按照磋商文件的要求编制响应文件。若供应商不按照磋商文件要求编制相应文件，由此产生的风险和责任将由供应商自己承担。</w:t>
      </w:r>
    </w:p>
    <w:p>
      <w:pPr>
        <w:spacing w:line="420" w:lineRule="exact"/>
        <w:ind w:firstLine="482"/>
        <w:outlineLvl w:val="0"/>
        <w:rPr>
          <w:rFonts w:ascii="宋体" w:cs="宋体"/>
          <w:b/>
          <w:szCs w:val="21"/>
        </w:rPr>
      </w:pPr>
      <w:r>
        <w:rPr>
          <w:rFonts w:ascii="宋体" w:hAnsi="宋体" w:cs="宋体"/>
          <w:b/>
          <w:szCs w:val="21"/>
        </w:rPr>
        <w:t>8.</w:t>
      </w:r>
      <w:r>
        <w:rPr>
          <w:rFonts w:hint="eastAsia" w:ascii="宋体" w:hAnsi="宋体" w:cs="宋体"/>
          <w:b/>
          <w:szCs w:val="21"/>
        </w:rPr>
        <w:t>磋商文件的澄清、修改及变动</w:t>
      </w:r>
    </w:p>
    <w:p>
      <w:pPr>
        <w:spacing w:line="420" w:lineRule="exact"/>
        <w:ind w:firstLine="480"/>
        <w:rPr>
          <w:rFonts w:ascii="宋体" w:cs="宋体"/>
          <w:szCs w:val="21"/>
        </w:rPr>
      </w:pPr>
      <w:r>
        <w:rPr>
          <w:rFonts w:ascii="宋体" w:hAnsi="宋体" w:cs="宋体"/>
          <w:szCs w:val="21"/>
        </w:rPr>
        <w:t>8.1</w:t>
      </w:r>
      <w:r>
        <w:rPr>
          <w:rFonts w:hint="eastAsia" w:ascii="宋体" w:hAnsi="宋体" w:cs="宋体"/>
          <w:szCs w:val="21"/>
        </w:rPr>
        <w:t>提交首次响应文件截止之日前，采购人、采购代理机构或者磋商小组有权对已发出的磋商文件进行必要的澄清或者修改，澄清或者修改的内容作为磋商文件的组成部分。如澄清或者修改的内容可能影响响应文件编制，采购人、采购代理机构将在提交首次响应文件截止时间至少</w:t>
      </w:r>
      <w:r>
        <w:rPr>
          <w:rFonts w:ascii="宋体" w:hAnsi="宋体" w:cs="宋体"/>
          <w:szCs w:val="21"/>
        </w:rPr>
        <w:t>5</w:t>
      </w:r>
      <w:r>
        <w:rPr>
          <w:rFonts w:hint="eastAsia" w:ascii="宋体" w:hAnsi="宋体" w:cs="宋体"/>
          <w:szCs w:val="21"/>
        </w:rPr>
        <w:t>日前，以书面形式通知所有获取磋商文件的供应商；不足</w:t>
      </w:r>
      <w:r>
        <w:rPr>
          <w:rFonts w:ascii="宋体" w:hAnsi="宋体" w:cs="宋体"/>
          <w:szCs w:val="21"/>
        </w:rPr>
        <w:t>5</w:t>
      </w:r>
      <w:r>
        <w:rPr>
          <w:rFonts w:hint="eastAsia" w:ascii="宋体" w:hAnsi="宋体" w:cs="宋体"/>
          <w:szCs w:val="21"/>
        </w:rPr>
        <w:t>日的，采购人、采购代理机构将顺延提交首次响应文件截止时间。</w:t>
      </w:r>
    </w:p>
    <w:p>
      <w:pPr>
        <w:spacing w:line="420" w:lineRule="exact"/>
        <w:ind w:firstLine="480"/>
        <w:rPr>
          <w:rFonts w:ascii="宋体" w:cs="宋体"/>
          <w:szCs w:val="21"/>
        </w:rPr>
      </w:pPr>
      <w:r>
        <w:rPr>
          <w:rFonts w:ascii="宋体" w:hAnsi="宋体" w:cs="宋体"/>
          <w:szCs w:val="21"/>
        </w:rPr>
        <w:t>8.2</w:t>
      </w:r>
      <w:r>
        <w:rPr>
          <w:rFonts w:hint="eastAsia" w:ascii="宋体" w:hAnsi="宋体" w:cs="宋体"/>
          <w:szCs w:val="21"/>
        </w:rPr>
        <w:t>如供应商对磋商文件内容有疑义，需在竞争性磋商须知资料表中规定的时间前以书面形式向采购代理机构提出，采购代理机构收到将进行书面答复。如答复内容需要对磋商文件进行澄清和修改的将按照相关规定执行。</w:t>
      </w:r>
    </w:p>
    <w:p>
      <w:pPr>
        <w:spacing w:line="440" w:lineRule="exact"/>
        <w:ind w:firstLine="480"/>
        <w:rPr>
          <w:rFonts w:ascii="宋体" w:cs="宋体"/>
          <w:szCs w:val="21"/>
        </w:rPr>
      </w:pPr>
      <w:r>
        <w:rPr>
          <w:rFonts w:ascii="宋体" w:hAnsi="宋体" w:cs="宋体"/>
          <w:szCs w:val="21"/>
        </w:rPr>
        <w:t>8.3</w:t>
      </w:r>
      <w:r>
        <w:rPr>
          <w:rFonts w:hint="eastAsia" w:ascii="宋体" w:hAnsi="宋体" w:cs="宋体"/>
          <w:szCs w:val="21"/>
        </w:rPr>
        <w:t>在采购需求明确以后，采购人会依据磋商会议纪要及磋商小组要求对磋商文件进行变动。磋商文件的变动主要标段含采购需求中的技术、服务要求以及合同草案条款等，并将磋商文件的全部变动内容发给参与磋商的供应商。</w:t>
      </w:r>
    </w:p>
    <w:p>
      <w:pPr>
        <w:spacing w:line="420" w:lineRule="exact"/>
        <w:ind w:firstLine="482"/>
        <w:outlineLvl w:val="0"/>
        <w:rPr>
          <w:rFonts w:ascii="宋体" w:cs="宋体"/>
          <w:b/>
          <w:szCs w:val="21"/>
        </w:rPr>
      </w:pPr>
      <w:bookmarkStart w:id="4" w:name="_Toc448307929"/>
      <w:bookmarkEnd w:id="4"/>
      <w:r>
        <w:rPr>
          <w:rFonts w:hint="eastAsia" w:ascii="宋体" w:hAnsi="宋体" w:cs="宋体"/>
          <w:b/>
          <w:szCs w:val="21"/>
        </w:rPr>
        <w:t>四、响应文件的编制</w:t>
      </w:r>
    </w:p>
    <w:p>
      <w:pPr>
        <w:spacing w:line="420" w:lineRule="exact"/>
        <w:ind w:firstLine="482"/>
        <w:rPr>
          <w:rFonts w:ascii="宋体" w:cs="宋体"/>
          <w:b/>
          <w:szCs w:val="21"/>
        </w:rPr>
      </w:pPr>
      <w:r>
        <w:rPr>
          <w:rFonts w:ascii="宋体" w:hAnsi="宋体" w:cs="宋体"/>
          <w:b/>
          <w:szCs w:val="21"/>
        </w:rPr>
        <w:t>9.</w:t>
      </w:r>
      <w:r>
        <w:rPr>
          <w:rFonts w:hint="eastAsia" w:ascii="宋体" w:hAnsi="宋体" w:cs="宋体"/>
          <w:b/>
          <w:szCs w:val="21"/>
        </w:rPr>
        <w:t>磋商的语言与计量</w:t>
      </w:r>
    </w:p>
    <w:p>
      <w:pPr>
        <w:spacing w:line="420" w:lineRule="exact"/>
        <w:ind w:firstLine="480"/>
        <w:rPr>
          <w:rFonts w:ascii="宋体" w:cs="宋体"/>
          <w:szCs w:val="21"/>
        </w:rPr>
      </w:pPr>
      <w:r>
        <w:rPr>
          <w:rFonts w:ascii="宋体" w:hAnsi="宋体" w:cs="宋体"/>
          <w:szCs w:val="21"/>
        </w:rPr>
        <w:t>9.1</w:t>
      </w:r>
      <w:r>
        <w:rPr>
          <w:rFonts w:hint="eastAsia" w:ascii="宋体" w:hAnsi="宋体" w:cs="宋体"/>
          <w:szCs w:val="21"/>
        </w:rPr>
        <w:t>供应商提交的响应文件以及供应商与采购人和采购代理机构就有关磋商的所有来往函电均以中文文字书写。供应商提交的支持资料和已印刷的证件或资料可以用另一种语言，但相应内容应附有中文的翻译版本，在解释响应文件时以翻译文本为准。</w:t>
      </w:r>
    </w:p>
    <w:p>
      <w:pPr>
        <w:spacing w:line="420" w:lineRule="exact"/>
        <w:ind w:firstLine="480"/>
        <w:rPr>
          <w:rFonts w:ascii="宋体" w:cs="宋体"/>
          <w:szCs w:val="21"/>
        </w:rPr>
      </w:pPr>
      <w:r>
        <w:rPr>
          <w:rFonts w:ascii="宋体" w:hAnsi="宋体" w:cs="宋体"/>
          <w:szCs w:val="21"/>
        </w:rPr>
        <w:t>9.2</w:t>
      </w:r>
      <w:r>
        <w:rPr>
          <w:rFonts w:hint="eastAsia" w:ascii="宋体" w:hAnsi="宋体" w:cs="宋体"/>
          <w:szCs w:val="21"/>
        </w:rPr>
        <w:t>除在磋商文件的技术规格中另有规定外，计量单位应使用中华人民共和国法定计量单位。</w:t>
      </w:r>
    </w:p>
    <w:p>
      <w:pPr>
        <w:spacing w:line="420" w:lineRule="exact"/>
        <w:ind w:firstLine="482"/>
        <w:outlineLvl w:val="0"/>
        <w:rPr>
          <w:rFonts w:ascii="宋体" w:cs="宋体"/>
          <w:szCs w:val="21"/>
        </w:rPr>
      </w:pPr>
      <w:r>
        <w:rPr>
          <w:rFonts w:ascii="宋体" w:hAnsi="宋体" w:cs="宋体"/>
          <w:b/>
          <w:szCs w:val="21"/>
        </w:rPr>
        <w:t>10.</w:t>
      </w:r>
      <w:r>
        <w:rPr>
          <w:rFonts w:hint="eastAsia" w:ascii="宋体" w:hAnsi="宋体" w:cs="宋体"/>
          <w:b/>
          <w:szCs w:val="21"/>
        </w:rPr>
        <w:t>响应文件的编写</w:t>
      </w:r>
    </w:p>
    <w:p>
      <w:pPr>
        <w:spacing w:line="420" w:lineRule="exact"/>
        <w:rPr>
          <w:rFonts w:ascii="宋体" w:cs="宋体"/>
          <w:szCs w:val="21"/>
        </w:rPr>
      </w:pPr>
      <w:r>
        <w:rPr>
          <w:rFonts w:ascii="宋体" w:hAnsi="宋体" w:cs="宋体"/>
          <w:szCs w:val="21"/>
        </w:rPr>
        <w:t xml:space="preserve">    10.1</w:t>
      </w:r>
      <w:r>
        <w:rPr>
          <w:rFonts w:hint="eastAsia" w:ascii="宋体" w:hAnsi="宋体" w:cs="宋体"/>
          <w:szCs w:val="21"/>
        </w:rPr>
        <w:t>供应商应按照第六章响应文件格式完整地填写磋商响应文件，并对其提交的响应文件的真实性、合法性承担法律责任。</w:t>
      </w:r>
    </w:p>
    <w:p>
      <w:pPr>
        <w:spacing w:line="420" w:lineRule="exact"/>
        <w:rPr>
          <w:rFonts w:ascii="宋体" w:cs="宋体"/>
          <w:szCs w:val="21"/>
        </w:rPr>
      </w:pPr>
      <w:r>
        <w:rPr>
          <w:rFonts w:ascii="宋体" w:hAnsi="宋体" w:cs="宋体"/>
          <w:szCs w:val="21"/>
        </w:rPr>
        <w:t xml:space="preserve">    10.2</w:t>
      </w:r>
      <w:r>
        <w:rPr>
          <w:rFonts w:hint="eastAsia" w:ascii="宋体" w:hAnsi="宋体" w:cs="宋体"/>
          <w:szCs w:val="21"/>
        </w:rPr>
        <w:t>供应商应将任何不同于磋商文件的磋商内容、要求和商务条款列于“偏离表”中，同时在“偏离表”中注明其他条款无偏离；若所有条款均无偏离也应在“偏离表”中注明所有条款均无偏离。未在“偏离表”中列明的偏离不予认可，在磋商以及后期合同谈判过程中以磋商文件为准。</w:t>
      </w:r>
    </w:p>
    <w:p>
      <w:pPr>
        <w:spacing w:line="420" w:lineRule="exact"/>
        <w:ind w:firstLine="482"/>
        <w:outlineLvl w:val="0"/>
        <w:rPr>
          <w:rFonts w:ascii="宋体" w:cs="宋体"/>
          <w:b/>
          <w:szCs w:val="21"/>
        </w:rPr>
      </w:pPr>
      <w:r>
        <w:rPr>
          <w:rFonts w:ascii="宋体" w:hAnsi="宋体" w:cs="宋体"/>
          <w:b/>
          <w:szCs w:val="21"/>
        </w:rPr>
        <w:t>11.</w:t>
      </w:r>
      <w:r>
        <w:rPr>
          <w:rFonts w:hint="eastAsia" w:ascii="宋体" w:hAnsi="宋体" w:cs="宋体"/>
          <w:b/>
          <w:szCs w:val="21"/>
        </w:rPr>
        <w:t>磋商价格</w:t>
      </w:r>
    </w:p>
    <w:p>
      <w:pPr>
        <w:spacing w:line="420" w:lineRule="exact"/>
        <w:ind w:firstLine="465"/>
        <w:rPr>
          <w:rFonts w:ascii="宋体" w:cs="宋体"/>
          <w:szCs w:val="21"/>
        </w:rPr>
      </w:pPr>
      <w:r>
        <w:rPr>
          <w:rFonts w:ascii="宋体" w:hAnsi="宋体" w:cs="宋体"/>
          <w:szCs w:val="21"/>
        </w:rPr>
        <w:t>11.1</w:t>
      </w:r>
      <w:r>
        <w:rPr>
          <w:rFonts w:hint="eastAsia" w:ascii="宋体" w:hAnsi="宋体" w:cs="宋体"/>
          <w:szCs w:val="21"/>
        </w:rPr>
        <w:t>供应商根据项目情况及采购人给出的项目实施方案填报磋商价格。磋商最终报价应为完成本项目服务的全部服务项下的总价，服务过程中采购人不作任何价格追加，未列明的将视为标段含在磋商价格中。磋商的报价方式及控制价（或其他控制条件）应在前附表中明确。</w:t>
      </w:r>
    </w:p>
    <w:p>
      <w:pPr>
        <w:spacing w:line="420" w:lineRule="exact"/>
        <w:ind w:firstLine="465"/>
        <w:rPr>
          <w:rFonts w:ascii="宋体" w:cs="宋体"/>
          <w:szCs w:val="21"/>
        </w:rPr>
      </w:pPr>
      <w:r>
        <w:rPr>
          <w:rFonts w:ascii="宋体" w:hAnsi="宋体" w:cs="宋体"/>
          <w:szCs w:val="21"/>
        </w:rPr>
        <w:t>11.2</w:t>
      </w:r>
      <w:r>
        <w:rPr>
          <w:rFonts w:hint="eastAsia" w:ascii="宋体" w:hAnsi="宋体" w:cs="宋体"/>
          <w:szCs w:val="21"/>
        </w:rPr>
        <w:t>磋商价格中不应含有磋商文件要求以外的内容，否则在磋商过程中不予核减。</w:t>
      </w:r>
    </w:p>
    <w:p>
      <w:pPr>
        <w:spacing w:line="420" w:lineRule="exact"/>
        <w:ind w:firstLine="465"/>
        <w:rPr>
          <w:rFonts w:ascii="宋体" w:cs="宋体"/>
          <w:szCs w:val="21"/>
        </w:rPr>
      </w:pPr>
      <w:r>
        <w:rPr>
          <w:rFonts w:ascii="宋体" w:hAnsi="宋体" w:cs="宋体"/>
          <w:szCs w:val="21"/>
        </w:rPr>
        <w:t>11.3</w:t>
      </w:r>
      <w:r>
        <w:rPr>
          <w:rFonts w:hint="eastAsia" w:ascii="宋体" w:hAnsi="宋体" w:cs="宋体"/>
          <w:szCs w:val="21"/>
        </w:rPr>
        <w:t>供应商应当根据磋商文件要求和磋商内容要求在分项报价表上列出分项价格和总价。</w:t>
      </w:r>
    </w:p>
    <w:p>
      <w:pPr>
        <w:spacing w:line="420" w:lineRule="exact"/>
        <w:ind w:firstLine="465"/>
        <w:rPr>
          <w:rFonts w:ascii="宋体" w:cs="宋体"/>
          <w:szCs w:val="21"/>
        </w:rPr>
      </w:pPr>
      <w:r>
        <w:rPr>
          <w:rFonts w:ascii="宋体" w:hAnsi="宋体" w:cs="宋体"/>
          <w:szCs w:val="21"/>
        </w:rPr>
        <w:t>11.4</w:t>
      </w:r>
      <w:r>
        <w:rPr>
          <w:rFonts w:hint="eastAsia" w:ascii="宋体" w:hAnsi="宋体" w:cs="宋体"/>
          <w:szCs w:val="21"/>
        </w:rPr>
        <w:t>本次磋商不接受选择性报价或者有附加条件的报价。</w:t>
      </w:r>
    </w:p>
    <w:p>
      <w:pPr>
        <w:spacing w:line="420" w:lineRule="exact"/>
        <w:ind w:firstLine="482"/>
        <w:outlineLvl w:val="0"/>
        <w:rPr>
          <w:rFonts w:ascii="宋体" w:cs="宋体"/>
          <w:b/>
          <w:szCs w:val="21"/>
        </w:rPr>
      </w:pPr>
      <w:r>
        <w:rPr>
          <w:rFonts w:ascii="宋体" w:hAnsi="宋体" w:cs="宋体"/>
          <w:b/>
          <w:szCs w:val="21"/>
        </w:rPr>
        <w:t>12.</w:t>
      </w:r>
      <w:r>
        <w:rPr>
          <w:rFonts w:hint="eastAsia" w:ascii="宋体" w:hAnsi="宋体" w:cs="宋体"/>
          <w:b/>
          <w:szCs w:val="21"/>
        </w:rPr>
        <w:t>证明供应商合格和资格的文件</w:t>
      </w:r>
    </w:p>
    <w:p>
      <w:pPr>
        <w:spacing w:line="420" w:lineRule="exact"/>
        <w:ind w:firstLine="465"/>
        <w:rPr>
          <w:rFonts w:ascii="宋体" w:cs="宋体"/>
          <w:szCs w:val="21"/>
        </w:rPr>
      </w:pPr>
      <w:r>
        <w:rPr>
          <w:rFonts w:ascii="宋体" w:hAnsi="宋体" w:cs="宋体"/>
          <w:szCs w:val="21"/>
        </w:rPr>
        <w:t>12.1</w:t>
      </w:r>
      <w:r>
        <w:rPr>
          <w:rFonts w:hint="eastAsia" w:ascii="宋体" w:hAnsi="宋体" w:cs="宋体"/>
          <w:szCs w:val="21"/>
        </w:rPr>
        <w:t>供应商应提交证明其有资格参加磋商和成交后有能力履行合同的文件，并作为其响应文件的一部分。联合体参加磋商的，应完整提供各成员的资格证明文件，否则联合体的响应将被拒绝。</w:t>
      </w:r>
    </w:p>
    <w:p>
      <w:pPr>
        <w:spacing w:line="420" w:lineRule="exact"/>
        <w:ind w:firstLine="465"/>
        <w:rPr>
          <w:rFonts w:ascii="宋体" w:cs="宋体"/>
          <w:szCs w:val="21"/>
        </w:rPr>
      </w:pPr>
      <w:r>
        <w:rPr>
          <w:rFonts w:ascii="宋体" w:hAnsi="宋体" w:cs="宋体"/>
          <w:szCs w:val="21"/>
        </w:rPr>
        <w:t>12.2</w:t>
      </w:r>
      <w:r>
        <w:rPr>
          <w:rFonts w:hint="eastAsia" w:ascii="宋体" w:hAnsi="宋体" w:cs="宋体"/>
          <w:szCs w:val="21"/>
        </w:rPr>
        <w:t>供应商提交的证明其成交后能履行合同的资格证明文件应标段含（但不仅限于）响应文件格式中要求的内容。</w:t>
      </w:r>
    </w:p>
    <w:p>
      <w:pPr>
        <w:spacing w:line="420" w:lineRule="exact"/>
        <w:ind w:firstLine="465"/>
        <w:rPr>
          <w:rFonts w:ascii="宋体" w:cs="宋体"/>
          <w:szCs w:val="21"/>
        </w:rPr>
      </w:pPr>
      <w:r>
        <w:rPr>
          <w:rFonts w:ascii="宋体" w:hAnsi="宋体" w:cs="宋体"/>
          <w:szCs w:val="21"/>
        </w:rPr>
        <w:t>12.3</w:t>
      </w:r>
      <w:r>
        <w:rPr>
          <w:rFonts w:hint="eastAsia" w:ascii="宋体" w:hAnsi="宋体" w:cs="宋体"/>
          <w:szCs w:val="21"/>
        </w:rPr>
        <w:t>在磋商过程中，供应商发生合并、分立、破产等重大变化时，应当及时书面告知招标采购人。</w:t>
      </w:r>
    </w:p>
    <w:p>
      <w:pPr>
        <w:spacing w:line="420" w:lineRule="exact"/>
        <w:ind w:firstLine="465"/>
        <w:rPr>
          <w:rFonts w:ascii="宋体" w:cs="宋体"/>
          <w:szCs w:val="21"/>
        </w:rPr>
      </w:pPr>
      <w:r>
        <w:rPr>
          <w:rFonts w:ascii="宋体" w:hAnsi="宋体" w:cs="宋体"/>
          <w:szCs w:val="21"/>
        </w:rPr>
        <w:t>12.4</w:t>
      </w:r>
      <w:r>
        <w:rPr>
          <w:rFonts w:hint="eastAsia" w:ascii="宋体" w:hAnsi="宋体" w:cs="宋体"/>
          <w:szCs w:val="21"/>
        </w:rPr>
        <w:t>供应商资格条件如有变动或者更新，应在响应文件中说明。</w:t>
      </w:r>
    </w:p>
    <w:p>
      <w:pPr>
        <w:spacing w:line="420" w:lineRule="exact"/>
        <w:ind w:firstLine="482"/>
        <w:outlineLvl w:val="0"/>
        <w:rPr>
          <w:rFonts w:ascii="宋体" w:cs="宋体"/>
          <w:b/>
          <w:szCs w:val="21"/>
        </w:rPr>
      </w:pPr>
      <w:r>
        <w:rPr>
          <w:rFonts w:ascii="宋体" w:hAnsi="宋体" w:cs="宋体"/>
          <w:b/>
          <w:szCs w:val="21"/>
        </w:rPr>
        <w:t>13.</w:t>
      </w:r>
      <w:r>
        <w:rPr>
          <w:rFonts w:hint="eastAsia" w:ascii="宋体" w:hAnsi="宋体" w:cs="宋体"/>
          <w:b/>
          <w:szCs w:val="21"/>
        </w:rPr>
        <w:t>供应商提供服务项目中涉及的产品、工程和服务的合格性的文件</w:t>
      </w:r>
    </w:p>
    <w:p>
      <w:pPr>
        <w:spacing w:line="420" w:lineRule="exact"/>
        <w:ind w:firstLine="465"/>
        <w:rPr>
          <w:rFonts w:ascii="宋体" w:cs="宋体"/>
          <w:szCs w:val="21"/>
        </w:rPr>
      </w:pPr>
      <w:r>
        <w:rPr>
          <w:rFonts w:ascii="宋体" w:hAnsi="宋体" w:cs="宋体"/>
          <w:szCs w:val="21"/>
        </w:rPr>
        <w:t>13.1</w:t>
      </w:r>
      <w:r>
        <w:rPr>
          <w:rFonts w:hint="eastAsia" w:ascii="宋体" w:hAnsi="宋体" w:cs="宋体"/>
          <w:szCs w:val="21"/>
        </w:rPr>
        <w:t>符合国家强制性标准及政府采购政策的证明材料。</w:t>
      </w:r>
    </w:p>
    <w:p>
      <w:pPr>
        <w:spacing w:line="420" w:lineRule="exact"/>
        <w:ind w:firstLine="465"/>
        <w:rPr>
          <w:rFonts w:ascii="宋体" w:cs="宋体"/>
          <w:szCs w:val="21"/>
        </w:rPr>
      </w:pPr>
      <w:r>
        <w:rPr>
          <w:rFonts w:ascii="宋体" w:hAnsi="宋体" w:cs="宋体"/>
          <w:szCs w:val="21"/>
        </w:rPr>
        <w:t>13.2</w:t>
      </w:r>
      <w:r>
        <w:rPr>
          <w:rFonts w:hint="eastAsia" w:ascii="宋体" w:hAnsi="宋体" w:cs="宋体"/>
          <w:szCs w:val="21"/>
        </w:rPr>
        <w:t>供应商应提交证明文件，证明其拟提供的产品和服务的合格性符合磋商文件规定。该证明文件作为响应文件的一部分。</w:t>
      </w:r>
    </w:p>
    <w:p>
      <w:pPr>
        <w:spacing w:line="420" w:lineRule="exact"/>
        <w:ind w:firstLine="465"/>
        <w:rPr>
          <w:rFonts w:ascii="宋体" w:cs="宋体"/>
          <w:szCs w:val="21"/>
        </w:rPr>
      </w:pPr>
      <w:r>
        <w:rPr>
          <w:rFonts w:ascii="宋体" w:hAnsi="宋体" w:cs="宋体"/>
          <w:szCs w:val="21"/>
        </w:rPr>
        <w:t>13.3</w:t>
      </w:r>
      <w:r>
        <w:rPr>
          <w:rFonts w:hint="eastAsia" w:ascii="宋体" w:hAnsi="宋体" w:cs="宋体"/>
          <w:szCs w:val="21"/>
        </w:rPr>
        <w:t>产品和服务合格性的证明文件应括产品的制作工艺（建造实施）方案，拟投入的组织管理人员，技术力量等，以及管理者和技术人员的经验。</w:t>
      </w:r>
    </w:p>
    <w:p>
      <w:pPr>
        <w:spacing w:line="420" w:lineRule="exact"/>
        <w:ind w:firstLine="465"/>
        <w:rPr>
          <w:rFonts w:ascii="宋体" w:cs="宋体"/>
          <w:szCs w:val="21"/>
        </w:rPr>
      </w:pPr>
      <w:r>
        <w:rPr>
          <w:rFonts w:ascii="宋体" w:hAnsi="宋体" w:cs="宋体"/>
          <w:szCs w:val="21"/>
        </w:rPr>
        <w:t>13.4</w:t>
      </w:r>
      <w:r>
        <w:rPr>
          <w:rFonts w:hint="eastAsia" w:ascii="宋体" w:hAnsi="宋体" w:cs="宋体"/>
          <w:szCs w:val="21"/>
        </w:rPr>
        <w:t>证明产品和服务符合磋商文件要求的文件可以是产品的制造工艺，项目组织设计，管理方的组织机构及人员的经验，技术团队人员的履历和相关证件。</w:t>
      </w:r>
    </w:p>
    <w:p>
      <w:pPr>
        <w:spacing w:line="420" w:lineRule="exact"/>
        <w:ind w:firstLine="465"/>
        <w:rPr>
          <w:rFonts w:ascii="宋体" w:cs="宋体"/>
          <w:szCs w:val="21"/>
        </w:rPr>
      </w:pPr>
      <w:r>
        <w:rPr>
          <w:rFonts w:ascii="宋体" w:hAnsi="宋体" w:cs="宋体"/>
          <w:szCs w:val="21"/>
        </w:rPr>
        <w:t>13.5</w:t>
      </w:r>
      <w:r>
        <w:rPr>
          <w:rFonts w:hint="eastAsia" w:ascii="宋体" w:hAnsi="宋体" w:cs="宋体"/>
          <w:szCs w:val="21"/>
        </w:rPr>
        <w:t>采购人根据项目特色有其他特殊要求的</w:t>
      </w:r>
      <w:r>
        <w:rPr>
          <w:rFonts w:ascii="宋体" w:cs="宋体"/>
          <w:szCs w:val="21"/>
        </w:rPr>
        <w:t>,</w:t>
      </w:r>
      <w:r>
        <w:rPr>
          <w:rFonts w:hint="eastAsia" w:ascii="宋体" w:hAnsi="宋体" w:cs="宋体"/>
          <w:szCs w:val="21"/>
        </w:rPr>
        <w:t>供应商应按要求提供证明材料。</w:t>
      </w:r>
    </w:p>
    <w:p>
      <w:pPr>
        <w:spacing w:line="420" w:lineRule="exact"/>
        <w:ind w:firstLine="482"/>
        <w:outlineLvl w:val="0"/>
        <w:rPr>
          <w:rFonts w:ascii="宋体" w:cs="宋体"/>
          <w:b/>
          <w:szCs w:val="21"/>
        </w:rPr>
      </w:pPr>
      <w:r>
        <w:rPr>
          <w:rFonts w:ascii="宋体" w:hAnsi="宋体" w:cs="宋体"/>
          <w:b/>
          <w:szCs w:val="21"/>
        </w:rPr>
        <w:t>14.</w:t>
      </w:r>
      <w:r>
        <w:rPr>
          <w:rFonts w:hint="eastAsia" w:ascii="宋体" w:hAnsi="宋体" w:cs="宋体"/>
          <w:b/>
          <w:szCs w:val="21"/>
        </w:rPr>
        <w:t>磋商保证金</w:t>
      </w:r>
    </w:p>
    <w:p>
      <w:pPr>
        <w:spacing w:line="420" w:lineRule="exact"/>
        <w:ind w:firstLine="465"/>
        <w:rPr>
          <w:rFonts w:ascii="宋体" w:cs="宋体"/>
          <w:szCs w:val="21"/>
        </w:rPr>
      </w:pPr>
      <w:r>
        <w:rPr>
          <w:rFonts w:ascii="宋体" w:hAnsi="宋体" w:cs="宋体"/>
          <w:szCs w:val="21"/>
        </w:rPr>
        <w:t>14.1</w:t>
      </w:r>
      <w:r>
        <w:rPr>
          <w:rFonts w:hint="eastAsia" w:ascii="宋体" w:hAnsi="宋体" w:cs="宋体"/>
          <w:szCs w:val="21"/>
        </w:rPr>
        <w:t>采购人在须知资料表中要求供应商提交磋商保证金的，供应商应提交竞争性磋商须知资料表中规定数额的磋商保证金，并作为其响应文件的一部分。磋商保证金有效期应当与磋商有效期一致。</w:t>
      </w:r>
    </w:p>
    <w:p>
      <w:pPr>
        <w:spacing w:line="420" w:lineRule="exact"/>
        <w:ind w:firstLine="465"/>
        <w:rPr>
          <w:rFonts w:ascii="宋体" w:cs="宋体"/>
          <w:szCs w:val="21"/>
        </w:rPr>
      </w:pPr>
      <w:r>
        <w:rPr>
          <w:rFonts w:ascii="宋体" w:hAnsi="宋体" w:cs="宋体"/>
          <w:szCs w:val="21"/>
        </w:rPr>
        <w:t>14.2</w:t>
      </w:r>
      <w:r>
        <w:rPr>
          <w:rFonts w:hint="eastAsia" w:ascii="宋体" w:hAnsi="宋体" w:cs="宋体"/>
          <w:szCs w:val="21"/>
        </w:rPr>
        <w:t>磋商保证金应当采用支票、汇票、本票（支票、汇票、本票须由供应商的基本户办理）或者中资商业银行出具的保函等非现金形式交纳。磋商保证金数额应当不超过采购项目预算的</w:t>
      </w:r>
      <w:r>
        <w:rPr>
          <w:rFonts w:ascii="宋体" w:hAnsi="宋体" w:cs="宋体"/>
          <w:szCs w:val="21"/>
        </w:rPr>
        <w:t>2%</w:t>
      </w:r>
      <w:r>
        <w:rPr>
          <w:rFonts w:hint="eastAsia" w:ascii="宋体" w:hAnsi="宋体" w:cs="宋体"/>
          <w:szCs w:val="21"/>
        </w:rPr>
        <w:t>。供应商未按照磋商文件要求提交磋商保证金的，其响应无效。</w:t>
      </w:r>
    </w:p>
    <w:p>
      <w:pPr>
        <w:spacing w:line="420" w:lineRule="exact"/>
        <w:ind w:firstLine="465"/>
        <w:rPr>
          <w:rFonts w:ascii="宋体" w:cs="宋体"/>
          <w:szCs w:val="21"/>
        </w:rPr>
      </w:pPr>
      <w:r>
        <w:rPr>
          <w:rFonts w:ascii="宋体" w:hAnsi="宋体" w:cs="宋体"/>
          <w:szCs w:val="21"/>
        </w:rPr>
        <w:t>14.3</w:t>
      </w:r>
      <w:r>
        <w:rPr>
          <w:rFonts w:hint="eastAsia" w:ascii="宋体" w:hAnsi="宋体" w:cs="宋体"/>
          <w:szCs w:val="21"/>
        </w:rPr>
        <w:t>供应商为联合体的，可以由联合体中的一方或者多方共同交纳磋商保证金，其交纳的保证金对联合体各方均具有约束力。</w:t>
      </w:r>
    </w:p>
    <w:p>
      <w:pPr>
        <w:spacing w:line="420" w:lineRule="exact"/>
        <w:ind w:firstLine="465"/>
        <w:rPr>
          <w:rFonts w:ascii="宋体" w:cs="宋体"/>
          <w:szCs w:val="21"/>
        </w:rPr>
      </w:pPr>
      <w:r>
        <w:rPr>
          <w:rFonts w:ascii="宋体" w:hAnsi="宋体" w:cs="宋体"/>
          <w:szCs w:val="21"/>
        </w:rPr>
        <w:t>14.4</w:t>
      </w:r>
      <w:r>
        <w:rPr>
          <w:rFonts w:hint="eastAsia" w:ascii="宋体" w:hAnsi="宋体" w:cs="宋体"/>
          <w:szCs w:val="21"/>
        </w:rPr>
        <w:t>未成交供应商的磋商保证金在成交通知书发出后</w:t>
      </w:r>
      <w:r>
        <w:rPr>
          <w:rFonts w:ascii="宋体" w:hAnsi="宋体" w:cs="宋体"/>
          <w:szCs w:val="21"/>
        </w:rPr>
        <w:t>5</w:t>
      </w:r>
      <w:r>
        <w:rPr>
          <w:rFonts w:hint="eastAsia" w:ascii="宋体" w:hAnsi="宋体" w:cs="宋体"/>
          <w:szCs w:val="21"/>
        </w:rPr>
        <w:t>个工作日内退还。</w:t>
      </w:r>
    </w:p>
    <w:p>
      <w:pPr>
        <w:spacing w:line="420" w:lineRule="exact"/>
        <w:ind w:firstLine="465"/>
        <w:rPr>
          <w:rFonts w:ascii="宋体" w:cs="宋体"/>
          <w:szCs w:val="21"/>
        </w:rPr>
      </w:pPr>
      <w:r>
        <w:rPr>
          <w:rFonts w:ascii="宋体" w:hAnsi="宋体" w:cs="宋体"/>
          <w:szCs w:val="21"/>
        </w:rPr>
        <w:t>14.5</w:t>
      </w:r>
      <w:r>
        <w:rPr>
          <w:rFonts w:hint="eastAsia" w:ascii="宋体" w:hAnsi="宋体" w:cs="宋体"/>
          <w:szCs w:val="21"/>
        </w:rPr>
        <w:t>成交供应商的磋商保证金，在采购合同签订后</w:t>
      </w:r>
      <w:r>
        <w:rPr>
          <w:rFonts w:ascii="宋体" w:hAnsi="宋体" w:cs="宋体"/>
          <w:szCs w:val="21"/>
        </w:rPr>
        <w:t>5</w:t>
      </w:r>
      <w:r>
        <w:rPr>
          <w:rFonts w:hint="eastAsia" w:ascii="宋体" w:hAnsi="宋体" w:cs="宋体"/>
          <w:szCs w:val="21"/>
        </w:rPr>
        <w:t>个工作日内退还。</w:t>
      </w:r>
    </w:p>
    <w:p>
      <w:pPr>
        <w:spacing w:line="420" w:lineRule="exact"/>
        <w:ind w:firstLine="465"/>
        <w:rPr>
          <w:rFonts w:ascii="宋体" w:cs="宋体"/>
          <w:szCs w:val="21"/>
        </w:rPr>
      </w:pPr>
      <w:r>
        <w:rPr>
          <w:rFonts w:ascii="宋体" w:hAnsi="宋体" w:cs="宋体"/>
          <w:szCs w:val="21"/>
        </w:rPr>
        <w:t>14.6</w:t>
      </w:r>
      <w:r>
        <w:rPr>
          <w:rFonts w:hint="eastAsia" w:ascii="宋体" w:hAnsi="宋体" w:cs="宋体"/>
          <w:szCs w:val="21"/>
        </w:rPr>
        <w:t>下列任何一种情况发生时，磋商保证金将不予退还（不予退还的磋商保证金将按照相关规定上缴财政）：</w:t>
      </w:r>
    </w:p>
    <w:p>
      <w:pPr>
        <w:spacing w:line="420" w:lineRule="exact"/>
        <w:ind w:firstLine="480"/>
        <w:outlineLvl w:val="0"/>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）供应商在提交响应文件截止时间后撤回响应文件的；</w:t>
      </w:r>
    </w:p>
    <w:p>
      <w:pPr>
        <w:spacing w:line="420" w:lineRule="exact"/>
        <w:ind w:firstLine="465"/>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）供应商在响应文件中提供虚假材料的；</w:t>
      </w:r>
    </w:p>
    <w:p>
      <w:pPr>
        <w:spacing w:line="420" w:lineRule="exact"/>
        <w:ind w:firstLine="465"/>
        <w:rPr>
          <w:rFonts w:asci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）除因不可抗力或磋商文件认可的情形以外，成交供应商不与采购人签订合同的；</w:t>
      </w:r>
    </w:p>
    <w:p>
      <w:pPr>
        <w:spacing w:line="420" w:lineRule="exact"/>
        <w:ind w:firstLine="465"/>
        <w:outlineLvl w:val="0"/>
        <w:rPr>
          <w:rFonts w:asci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）供应商与采购人、其他供应商或者采购代理机构恶意串通的；</w:t>
      </w:r>
    </w:p>
    <w:p>
      <w:pPr>
        <w:spacing w:line="420" w:lineRule="exact"/>
        <w:ind w:firstLine="465"/>
        <w:rPr>
          <w:rFonts w:ascii="宋体" w:cs="宋体"/>
          <w:szCs w:val="21"/>
        </w:rPr>
      </w:pP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）提交最终报价后退出磋商的；</w:t>
      </w:r>
    </w:p>
    <w:p>
      <w:pPr>
        <w:spacing w:line="420" w:lineRule="exact"/>
        <w:ind w:firstLine="465"/>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6</w:t>
      </w:r>
      <w:r>
        <w:rPr>
          <w:rFonts w:hint="eastAsia" w:ascii="宋体" w:hAnsi="宋体" w:cs="宋体"/>
          <w:szCs w:val="21"/>
        </w:rPr>
        <w:t>）法律、行政规章规定的其他情形。</w:t>
      </w:r>
    </w:p>
    <w:p>
      <w:pPr>
        <w:spacing w:line="420" w:lineRule="exact"/>
        <w:ind w:firstLine="465"/>
        <w:rPr>
          <w:rFonts w:ascii="宋体" w:hAnsi="宋体" w:cs="宋体"/>
          <w:szCs w:val="21"/>
        </w:rPr>
      </w:pPr>
    </w:p>
    <w:p>
      <w:pPr>
        <w:pStyle w:val="2"/>
      </w:pPr>
    </w:p>
    <w:p>
      <w:pPr>
        <w:spacing w:line="420" w:lineRule="exact"/>
        <w:ind w:firstLine="482"/>
        <w:rPr>
          <w:rFonts w:ascii="宋体" w:cs="宋体"/>
          <w:b/>
          <w:szCs w:val="21"/>
        </w:rPr>
      </w:pPr>
      <w:r>
        <w:rPr>
          <w:rFonts w:ascii="宋体" w:hAnsi="宋体" w:cs="宋体"/>
          <w:b/>
          <w:szCs w:val="21"/>
        </w:rPr>
        <w:t>15.</w:t>
      </w:r>
      <w:r>
        <w:rPr>
          <w:rFonts w:hint="eastAsia" w:ascii="宋体" w:hAnsi="宋体" w:cs="宋体"/>
          <w:b/>
          <w:szCs w:val="21"/>
        </w:rPr>
        <w:t>磋商有效期</w:t>
      </w:r>
    </w:p>
    <w:p>
      <w:pPr>
        <w:spacing w:line="420" w:lineRule="exact"/>
        <w:ind w:firstLine="465"/>
        <w:rPr>
          <w:rFonts w:ascii="宋体" w:cs="宋体"/>
          <w:szCs w:val="21"/>
        </w:rPr>
      </w:pPr>
      <w:r>
        <w:rPr>
          <w:rFonts w:ascii="宋体" w:hAnsi="宋体" w:cs="宋体"/>
          <w:szCs w:val="21"/>
        </w:rPr>
        <w:t>15.1</w:t>
      </w:r>
      <w:r>
        <w:rPr>
          <w:rFonts w:hint="eastAsia" w:ascii="宋体" w:hAnsi="宋体" w:cs="宋体"/>
          <w:szCs w:val="21"/>
        </w:rPr>
        <w:t>响应文件应自竞争性磋商须知资料表中规定的提交响应文件的截止之日起，并在须知资料表中所述期限内保持有效。磋商有效期不足的响应文件将被视为非实质性响应，其响应将被拒绝。</w:t>
      </w:r>
    </w:p>
    <w:p>
      <w:pPr>
        <w:spacing w:line="420" w:lineRule="exact"/>
        <w:ind w:firstLine="465"/>
        <w:rPr>
          <w:rFonts w:ascii="宋体" w:cs="宋体"/>
          <w:szCs w:val="21"/>
        </w:rPr>
      </w:pPr>
      <w:r>
        <w:rPr>
          <w:rFonts w:ascii="宋体" w:hAnsi="宋体" w:cs="宋体"/>
          <w:szCs w:val="21"/>
        </w:rPr>
        <w:t>15.2</w:t>
      </w:r>
      <w:r>
        <w:rPr>
          <w:rFonts w:hint="eastAsia" w:ascii="宋体" w:hAnsi="宋体" w:cs="宋体"/>
          <w:szCs w:val="21"/>
        </w:rPr>
        <w:t>特殊情况下，在原磋商有效期截止之前，采购人可要求供应商延长磋商有效期。这种要求与答复均应以书面形式提交。供应商可以拒绝招标采购人的这种要求，其磋商保证金将予以退还，但其响应文件在原磋商有效期期满后将不再有效。同意延长磋商有效期的供应商将不会被要求和允许修正其磋商响应，而只会被要求相应地延长其磋商保证金的有效期。在这种情况下，本须知第</w:t>
      </w:r>
      <w:r>
        <w:rPr>
          <w:rFonts w:ascii="宋体" w:hAnsi="宋体" w:cs="宋体"/>
          <w:szCs w:val="21"/>
        </w:rPr>
        <w:t>12</w:t>
      </w:r>
      <w:r>
        <w:rPr>
          <w:rFonts w:hint="eastAsia" w:ascii="宋体" w:hAnsi="宋体" w:cs="宋体"/>
          <w:szCs w:val="21"/>
        </w:rPr>
        <w:t>条有关磋商保证金的退还和不予退还的规定将在延长了的有效期内继续有效。</w:t>
      </w:r>
    </w:p>
    <w:p>
      <w:pPr>
        <w:spacing w:line="420" w:lineRule="exact"/>
        <w:ind w:firstLine="482"/>
        <w:outlineLvl w:val="0"/>
        <w:rPr>
          <w:rFonts w:ascii="宋体" w:cs="宋体"/>
          <w:b/>
          <w:szCs w:val="21"/>
        </w:rPr>
      </w:pPr>
      <w:r>
        <w:rPr>
          <w:rFonts w:ascii="宋体" w:hAnsi="宋体" w:cs="宋体"/>
          <w:b/>
          <w:szCs w:val="21"/>
        </w:rPr>
        <w:t>16.</w:t>
      </w:r>
      <w:r>
        <w:rPr>
          <w:rFonts w:hint="eastAsia" w:ascii="宋体" w:hAnsi="宋体" w:cs="宋体"/>
          <w:b/>
          <w:szCs w:val="21"/>
        </w:rPr>
        <w:t>响应文件的式样和签署</w:t>
      </w:r>
    </w:p>
    <w:p>
      <w:pPr>
        <w:spacing w:line="420" w:lineRule="exact"/>
        <w:ind w:firstLine="465"/>
        <w:rPr>
          <w:rFonts w:ascii="宋体" w:cs="宋体"/>
          <w:szCs w:val="21"/>
        </w:rPr>
      </w:pPr>
      <w:r>
        <w:rPr>
          <w:rFonts w:ascii="宋体" w:hAnsi="宋体" w:cs="宋体"/>
          <w:szCs w:val="21"/>
        </w:rPr>
        <w:t>16.1</w:t>
      </w:r>
      <w:r>
        <w:rPr>
          <w:rFonts w:hint="eastAsia" w:ascii="宋体" w:hAnsi="宋体" w:cs="宋体"/>
          <w:szCs w:val="21"/>
        </w:rPr>
        <w:t>供应商应准备一份磋商响应文件正本和须知资料表中规定数目的副本，每套响应文件须清楚地标明“正本”或“副本”。若副本与正本不符，以正本为准。</w:t>
      </w:r>
    </w:p>
    <w:p>
      <w:pPr>
        <w:spacing w:line="420" w:lineRule="exact"/>
        <w:ind w:firstLine="465"/>
        <w:rPr>
          <w:rFonts w:ascii="宋体" w:cs="宋体"/>
          <w:szCs w:val="21"/>
        </w:rPr>
      </w:pPr>
      <w:r>
        <w:rPr>
          <w:rFonts w:ascii="宋体" w:hAnsi="宋体" w:cs="宋体"/>
          <w:szCs w:val="21"/>
        </w:rPr>
        <w:t>16.2</w:t>
      </w:r>
      <w:r>
        <w:rPr>
          <w:rFonts w:hint="eastAsia" w:ascii="宋体" w:hAnsi="宋体" w:cs="宋体"/>
          <w:szCs w:val="21"/>
        </w:rPr>
        <w:t>响应文件的正本需打印或用不褪色墨水书写，并由供应商法定代表人或经其正式授权的代表签字（授权代表）。授权代表须将以书面形式出具的《法定代表人授权书》附在响应文件中。响应文件必须用不可拆解的胶装装订，因响应文件内容缺页或遗失对供应商造成的影响供应商自行承担。</w:t>
      </w:r>
    </w:p>
    <w:p>
      <w:pPr>
        <w:spacing w:line="420" w:lineRule="exact"/>
        <w:ind w:firstLine="465"/>
        <w:rPr>
          <w:rFonts w:ascii="宋体" w:cs="宋体"/>
          <w:szCs w:val="21"/>
        </w:rPr>
      </w:pPr>
      <w:r>
        <w:rPr>
          <w:rFonts w:ascii="宋体" w:hAnsi="宋体" w:cs="宋体"/>
          <w:szCs w:val="21"/>
        </w:rPr>
        <w:t>16.3</w:t>
      </w:r>
      <w:r>
        <w:rPr>
          <w:rFonts w:hint="eastAsia" w:ascii="宋体" w:hAnsi="宋体" w:cs="宋体"/>
          <w:szCs w:val="21"/>
        </w:rPr>
        <w:t>任何行间插字、涂改和增删，必须由供应商的签字人在旁边签字或盖章才有效。</w:t>
      </w:r>
    </w:p>
    <w:p>
      <w:pPr>
        <w:spacing w:line="420" w:lineRule="exact"/>
        <w:ind w:firstLine="482"/>
        <w:outlineLvl w:val="0"/>
        <w:rPr>
          <w:rFonts w:ascii="宋体" w:cs="宋体"/>
          <w:b/>
          <w:szCs w:val="21"/>
        </w:rPr>
      </w:pPr>
      <w:bookmarkStart w:id="5" w:name="_Toc448307930"/>
      <w:bookmarkEnd w:id="5"/>
      <w:r>
        <w:rPr>
          <w:rFonts w:hint="eastAsia" w:ascii="宋体" w:hAnsi="宋体" w:cs="宋体"/>
          <w:b/>
          <w:szCs w:val="21"/>
        </w:rPr>
        <w:t>五、响应文件的递交</w:t>
      </w:r>
    </w:p>
    <w:p>
      <w:pPr>
        <w:spacing w:line="420" w:lineRule="exact"/>
        <w:ind w:firstLine="482"/>
        <w:rPr>
          <w:rFonts w:ascii="宋体" w:cs="宋体"/>
          <w:b/>
          <w:szCs w:val="21"/>
        </w:rPr>
      </w:pPr>
      <w:r>
        <w:rPr>
          <w:rFonts w:ascii="宋体" w:hAnsi="宋体" w:cs="宋体"/>
          <w:b/>
          <w:szCs w:val="21"/>
        </w:rPr>
        <w:t>17.</w:t>
      </w:r>
      <w:r>
        <w:rPr>
          <w:rFonts w:hint="eastAsia" w:ascii="宋体" w:hAnsi="宋体" w:cs="宋体"/>
          <w:b/>
          <w:szCs w:val="21"/>
        </w:rPr>
        <w:t>响应文件的密封和标记</w:t>
      </w:r>
    </w:p>
    <w:p>
      <w:pPr>
        <w:spacing w:line="420" w:lineRule="exact"/>
        <w:ind w:firstLine="465"/>
        <w:rPr>
          <w:rFonts w:ascii="宋体" w:cs="宋体"/>
          <w:szCs w:val="21"/>
        </w:rPr>
      </w:pPr>
      <w:r>
        <w:rPr>
          <w:rFonts w:ascii="宋体" w:hAnsi="宋体" w:cs="宋体"/>
          <w:szCs w:val="21"/>
        </w:rPr>
        <w:t>17.1</w:t>
      </w:r>
      <w:r>
        <w:rPr>
          <w:rFonts w:hint="eastAsia" w:ascii="宋体" w:hAnsi="宋体" w:cs="宋体"/>
          <w:szCs w:val="21"/>
        </w:rPr>
        <w:t>响应文件应密封递交。封套上均应：</w:t>
      </w:r>
    </w:p>
    <w:p>
      <w:pPr>
        <w:numPr>
          <w:ilvl w:val="0"/>
          <w:numId w:val="3"/>
        </w:numPr>
        <w:spacing w:line="420" w:lineRule="exact"/>
        <w:ind w:firstLine="465"/>
        <w:rPr>
          <w:rFonts w:ascii="宋体" w:cs="宋体"/>
          <w:szCs w:val="21"/>
        </w:rPr>
      </w:pPr>
      <w:r>
        <w:rPr>
          <w:rFonts w:hint="eastAsia" w:ascii="宋体" w:hAnsi="宋体" w:cs="宋体"/>
          <w:szCs w:val="21"/>
        </w:rPr>
        <w:t>清楚标明递交至须知资料表中指明的地址。</w:t>
      </w:r>
    </w:p>
    <w:p>
      <w:pPr>
        <w:numPr>
          <w:ilvl w:val="0"/>
          <w:numId w:val="3"/>
        </w:numPr>
        <w:spacing w:line="420" w:lineRule="exact"/>
        <w:ind w:firstLine="465"/>
        <w:rPr>
          <w:rFonts w:ascii="宋体" w:cs="宋体"/>
          <w:szCs w:val="21"/>
        </w:rPr>
      </w:pPr>
      <w:r>
        <w:rPr>
          <w:rFonts w:hint="eastAsia" w:ascii="宋体" w:hAnsi="宋体" w:cs="宋体"/>
          <w:szCs w:val="21"/>
        </w:rPr>
        <w:t>注明须知资料表中指明的项目名称、编号和“在（递交截止日期和时间）之前不得启封”的字样，并填入须知资料表中规定的递交截止日期和时间。</w:t>
      </w:r>
    </w:p>
    <w:p>
      <w:pPr>
        <w:spacing w:line="420" w:lineRule="exact"/>
        <w:ind w:firstLine="480"/>
        <w:rPr>
          <w:rFonts w:ascii="宋体" w:cs="宋体"/>
          <w:szCs w:val="21"/>
        </w:rPr>
      </w:pPr>
      <w:r>
        <w:rPr>
          <w:rFonts w:ascii="宋体" w:hAnsi="宋体" w:cs="宋体"/>
          <w:szCs w:val="21"/>
        </w:rPr>
        <w:t>17.2</w:t>
      </w:r>
      <w:r>
        <w:rPr>
          <w:rFonts w:hint="eastAsia" w:ascii="宋体" w:hAnsi="宋体" w:cs="宋体"/>
          <w:szCs w:val="21"/>
        </w:rPr>
        <w:t>响应文件的正本与副本应进行封装，加贴封条，并在封套的封口处由法定代表人或其授权代表签字或盖单位章。响应文件的封面上应清楚地标记“正本”或“副本”字样。</w:t>
      </w:r>
    </w:p>
    <w:p>
      <w:pPr>
        <w:spacing w:line="420" w:lineRule="exact"/>
        <w:ind w:firstLine="480"/>
        <w:rPr>
          <w:rFonts w:ascii="宋体" w:cs="宋体"/>
          <w:szCs w:val="21"/>
        </w:rPr>
      </w:pPr>
      <w:r>
        <w:rPr>
          <w:rFonts w:ascii="宋体" w:hAnsi="宋体" w:cs="宋体"/>
          <w:szCs w:val="21"/>
        </w:rPr>
        <w:t>17.3</w:t>
      </w:r>
      <w:r>
        <w:rPr>
          <w:rFonts w:hint="eastAsia" w:ascii="宋体" w:hAnsi="宋体" w:cs="宋体"/>
          <w:szCs w:val="21"/>
        </w:rPr>
        <w:t>供应商在递交截止时间前提交磋商价格变更等相关内容的磋商声明的，应按照上述密封和标记的要求执行。</w:t>
      </w:r>
    </w:p>
    <w:p>
      <w:pPr>
        <w:spacing w:line="420" w:lineRule="exact"/>
        <w:ind w:firstLine="482"/>
        <w:outlineLvl w:val="0"/>
        <w:rPr>
          <w:rFonts w:ascii="宋体" w:cs="宋体"/>
          <w:b/>
          <w:szCs w:val="21"/>
        </w:rPr>
      </w:pPr>
      <w:r>
        <w:rPr>
          <w:rFonts w:ascii="宋体" w:hAnsi="宋体" w:cs="宋体"/>
          <w:b/>
          <w:szCs w:val="21"/>
        </w:rPr>
        <w:t>18.</w:t>
      </w:r>
      <w:r>
        <w:rPr>
          <w:rFonts w:hint="eastAsia" w:ascii="宋体" w:hAnsi="宋体" w:cs="宋体"/>
          <w:b/>
          <w:szCs w:val="21"/>
        </w:rPr>
        <w:t>递交截止时间</w:t>
      </w:r>
    </w:p>
    <w:p>
      <w:pPr>
        <w:spacing w:line="420" w:lineRule="exact"/>
        <w:ind w:firstLine="480"/>
        <w:rPr>
          <w:rFonts w:ascii="宋体" w:cs="宋体"/>
          <w:szCs w:val="21"/>
        </w:rPr>
      </w:pPr>
      <w:r>
        <w:rPr>
          <w:rFonts w:ascii="宋体" w:hAnsi="宋体" w:cs="宋体"/>
          <w:szCs w:val="21"/>
        </w:rPr>
        <w:t>18.1</w:t>
      </w:r>
      <w:r>
        <w:rPr>
          <w:rFonts w:hint="eastAsia" w:ascii="宋体" w:hAnsi="宋体" w:cs="宋体"/>
          <w:szCs w:val="21"/>
        </w:rPr>
        <w:t>供应商应在不迟于竞争性磋商须知资料表中规定的递交截止时间将相应文件递交至采购人或采购代理机构，递交地点应是须知资料表中指明的地址。采购人将拒绝并原封退回在须知资料表中规定的递交截止时间后收到的任何响应文件。</w:t>
      </w:r>
    </w:p>
    <w:p>
      <w:pPr>
        <w:spacing w:line="420" w:lineRule="exact"/>
        <w:ind w:firstLine="480"/>
        <w:rPr>
          <w:rFonts w:ascii="宋体" w:cs="宋体"/>
          <w:szCs w:val="21"/>
        </w:rPr>
      </w:pPr>
      <w:r>
        <w:rPr>
          <w:rFonts w:ascii="宋体" w:hAnsi="宋体" w:cs="宋体"/>
          <w:szCs w:val="21"/>
        </w:rPr>
        <w:t>18.2</w:t>
      </w:r>
      <w:r>
        <w:rPr>
          <w:rFonts w:hint="eastAsia" w:ascii="宋体" w:hAnsi="宋体" w:cs="宋体"/>
          <w:szCs w:val="21"/>
        </w:rPr>
        <w:t>采购人可以按有关规定推迟递交截止时间。在此情况下，采购人、采购代理机构和供应商受递交截止时间制约的所有权利和义务均应延长至新的递交截止时间。</w:t>
      </w:r>
    </w:p>
    <w:p>
      <w:pPr>
        <w:spacing w:line="420" w:lineRule="exact"/>
        <w:ind w:firstLine="482"/>
        <w:outlineLvl w:val="0"/>
        <w:rPr>
          <w:rFonts w:ascii="宋体" w:cs="宋体"/>
          <w:b/>
          <w:szCs w:val="24"/>
        </w:rPr>
      </w:pPr>
      <w:r>
        <w:rPr>
          <w:rFonts w:ascii="宋体" w:hAnsi="宋体" w:cs="宋体"/>
          <w:b/>
          <w:szCs w:val="21"/>
        </w:rPr>
        <w:t>19.</w:t>
      </w:r>
      <w:r>
        <w:rPr>
          <w:rFonts w:hint="eastAsia" w:ascii="宋体" w:hAnsi="宋体" w:cs="宋体"/>
          <w:b/>
          <w:szCs w:val="21"/>
        </w:rPr>
        <w:t>响应文件的修改与撤回</w:t>
      </w:r>
    </w:p>
    <w:p>
      <w:pPr>
        <w:spacing w:line="420" w:lineRule="exact"/>
        <w:ind w:firstLine="480"/>
        <w:rPr>
          <w:rFonts w:ascii="宋体" w:cs="宋体"/>
          <w:szCs w:val="21"/>
        </w:rPr>
      </w:pPr>
      <w:r>
        <w:rPr>
          <w:rFonts w:ascii="宋体" w:hAnsi="宋体" w:cs="宋体"/>
          <w:szCs w:val="21"/>
        </w:rPr>
        <w:t>19.1</w:t>
      </w:r>
      <w:r>
        <w:rPr>
          <w:rFonts w:hint="eastAsia" w:ascii="宋体" w:hAnsi="宋体" w:cs="宋体"/>
          <w:szCs w:val="21"/>
        </w:rPr>
        <w:t>在规定的递交截止时间前，供应商可以修改或撤回已递交的响应文件，但应以书面形式通知采购人。</w:t>
      </w:r>
    </w:p>
    <w:p>
      <w:pPr>
        <w:spacing w:line="420" w:lineRule="exact"/>
        <w:ind w:firstLine="480"/>
        <w:rPr>
          <w:rFonts w:ascii="宋体" w:cs="宋体"/>
          <w:szCs w:val="21"/>
        </w:rPr>
      </w:pPr>
      <w:r>
        <w:rPr>
          <w:rFonts w:ascii="宋体" w:hAnsi="宋体" w:cs="宋体"/>
          <w:szCs w:val="21"/>
        </w:rPr>
        <w:t>19.2</w:t>
      </w:r>
      <w:r>
        <w:rPr>
          <w:rFonts w:hint="eastAsia" w:ascii="宋体" w:hAnsi="宋体" w:cs="宋体"/>
          <w:szCs w:val="21"/>
        </w:rPr>
        <w:t>供应商修改或撤回已递交响应文件的书面通知应按照本章的要求签字或盖章。</w:t>
      </w:r>
    </w:p>
    <w:p>
      <w:pPr>
        <w:spacing w:line="420" w:lineRule="exact"/>
        <w:ind w:firstLine="480"/>
        <w:rPr>
          <w:rFonts w:ascii="宋体" w:cs="宋体"/>
          <w:szCs w:val="21"/>
        </w:rPr>
      </w:pPr>
      <w:r>
        <w:rPr>
          <w:rFonts w:ascii="宋体" w:hAnsi="宋体" w:cs="宋体"/>
          <w:szCs w:val="21"/>
        </w:rPr>
        <w:t>19.3</w:t>
      </w:r>
      <w:r>
        <w:rPr>
          <w:rFonts w:hint="eastAsia" w:ascii="宋体" w:hAnsi="宋体" w:cs="宋体"/>
          <w:szCs w:val="21"/>
        </w:rPr>
        <w:t>修改的内容为响应文件的组成部分。修改的响应文件应按照本章第</w:t>
      </w:r>
      <w:r>
        <w:rPr>
          <w:rFonts w:ascii="宋体" w:hAnsi="宋体" w:cs="宋体"/>
          <w:szCs w:val="21"/>
        </w:rPr>
        <w:t>16</w:t>
      </w:r>
      <w:r>
        <w:rPr>
          <w:rFonts w:hint="eastAsia" w:ascii="宋体" w:hAnsi="宋体" w:cs="宋体"/>
          <w:szCs w:val="21"/>
        </w:rPr>
        <w:t>条规定进行编制、密封、标记和递交，并标明“修改”字样。</w:t>
      </w:r>
    </w:p>
    <w:p>
      <w:pPr>
        <w:spacing w:line="420" w:lineRule="exact"/>
        <w:ind w:firstLine="465"/>
        <w:rPr>
          <w:rFonts w:ascii="宋体" w:cs="宋体"/>
          <w:b/>
          <w:szCs w:val="21"/>
        </w:rPr>
      </w:pPr>
      <w:bookmarkStart w:id="6" w:name="_Toc448307931"/>
      <w:bookmarkEnd w:id="6"/>
      <w:r>
        <w:rPr>
          <w:rFonts w:hint="eastAsia" w:ascii="宋体" w:hAnsi="宋体" w:cs="宋体"/>
          <w:b/>
          <w:szCs w:val="21"/>
        </w:rPr>
        <w:t>六、开标和评审</w:t>
      </w:r>
    </w:p>
    <w:p>
      <w:pPr>
        <w:spacing w:line="420" w:lineRule="exact"/>
        <w:ind w:firstLine="482"/>
        <w:rPr>
          <w:rFonts w:ascii="宋体" w:cs="宋体"/>
          <w:b/>
          <w:szCs w:val="21"/>
        </w:rPr>
      </w:pPr>
      <w:r>
        <w:rPr>
          <w:rFonts w:ascii="宋体" w:hAnsi="宋体" w:cs="宋体"/>
          <w:b/>
          <w:szCs w:val="21"/>
        </w:rPr>
        <w:t>20.</w:t>
      </w:r>
      <w:r>
        <w:rPr>
          <w:rFonts w:hint="eastAsia" w:ascii="宋体" w:hAnsi="宋体" w:cs="宋体"/>
          <w:b/>
          <w:szCs w:val="21"/>
        </w:rPr>
        <w:t>开标</w:t>
      </w:r>
    </w:p>
    <w:p>
      <w:pPr>
        <w:spacing w:line="420" w:lineRule="exact"/>
        <w:rPr>
          <w:rFonts w:ascii="宋体" w:cs="宋体"/>
          <w:szCs w:val="21"/>
        </w:rPr>
      </w:pPr>
      <w:r>
        <w:rPr>
          <w:rFonts w:ascii="宋体" w:hAnsi="宋体" w:cs="宋体"/>
          <w:szCs w:val="21"/>
        </w:rPr>
        <w:t xml:space="preserve">    20.1</w:t>
      </w:r>
      <w:r>
        <w:rPr>
          <w:rFonts w:hint="eastAsia" w:ascii="宋体" w:hAnsi="宋体" w:cs="宋体"/>
          <w:szCs w:val="21"/>
        </w:rPr>
        <w:t>采购代理机构将在竞争性磋商须知资料表中规定的时间和地点组织开标和磋商工作。并邀请所有响应供应代表参加，参加开标的供应商授权代表应在递交相应文件表上签名以证明其出席。</w:t>
      </w:r>
    </w:p>
    <w:p>
      <w:pPr>
        <w:spacing w:line="420" w:lineRule="exact"/>
        <w:rPr>
          <w:rFonts w:ascii="宋体" w:cs="宋体"/>
          <w:szCs w:val="21"/>
        </w:rPr>
      </w:pPr>
      <w:r>
        <w:rPr>
          <w:rFonts w:ascii="宋体" w:hAnsi="宋体" w:cs="宋体"/>
          <w:szCs w:val="21"/>
        </w:rPr>
        <w:t xml:space="preserve">    20.2</w:t>
      </w:r>
      <w:r>
        <w:rPr>
          <w:rFonts w:hint="eastAsia" w:ascii="宋体" w:hAnsi="宋体" w:cs="宋体"/>
          <w:szCs w:val="21"/>
        </w:rPr>
        <w:t>递交响应文件过程中，采购人、采购代理机构及监督部门将对响应文件递交的时间、密封及标记等进行检查。迟到的响应文件及未密封的响应文件不予接收。</w:t>
      </w:r>
    </w:p>
    <w:p>
      <w:pPr>
        <w:spacing w:line="420" w:lineRule="exact"/>
        <w:ind w:firstLine="482"/>
        <w:outlineLvl w:val="0"/>
        <w:rPr>
          <w:rFonts w:ascii="宋体" w:cs="宋体"/>
          <w:b/>
          <w:szCs w:val="21"/>
        </w:rPr>
      </w:pPr>
      <w:r>
        <w:rPr>
          <w:rFonts w:ascii="宋体" w:hAnsi="宋体" w:cs="宋体"/>
          <w:b/>
          <w:szCs w:val="21"/>
        </w:rPr>
        <w:t>21.</w:t>
      </w:r>
      <w:r>
        <w:rPr>
          <w:rFonts w:hint="eastAsia" w:ascii="宋体" w:hAnsi="宋体" w:cs="宋体"/>
          <w:b/>
          <w:szCs w:val="21"/>
        </w:rPr>
        <w:t>磋商小组和评审办法</w:t>
      </w:r>
    </w:p>
    <w:p>
      <w:pPr>
        <w:spacing w:line="420" w:lineRule="exact"/>
        <w:ind w:firstLine="480"/>
        <w:rPr>
          <w:rFonts w:ascii="宋体" w:cs="宋体"/>
          <w:szCs w:val="21"/>
        </w:rPr>
      </w:pPr>
      <w:r>
        <w:rPr>
          <w:rFonts w:ascii="宋体" w:hAnsi="宋体" w:cs="宋体"/>
          <w:szCs w:val="21"/>
        </w:rPr>
        <w:t>21.1</w:t>
      </w:r>
      <w:r>
        <w:rPr>
          <w:rFonts w:hint="eastAsia" w:ascii="宋体" w:hAnsi="宋体" w:cs="宋体"/>
          <w:szCs w:val="21"/>
        </w:rPr>
        <w:t>磋商和评审由采购代理机构依法组建的磋商小组负责。磋商小组的组成详见竞争性磋商须知资料表。</w:t>
      </w:r>
    </w:p>
    <w:p>
      <w:pPr>
        <w:spacing w:line="420" w:lineRule="exact"/>
        <w:ind w:firstLine="482"/>
        <w:rPr>
          <w:rFonts w:ascii="宋体" w:cs="宋体"/>
          <w:bCs/>
          <w:szCs w:val="21"/>
        </w:rPr>
      </w:pPr>
      <w:r>
        <w:rPr>
          <w:rFonts w:ascii="宋体" w:hAnsi="宋体" w:cs="宋体"/>
          <w:bCs/>
          <w:szCs w:val="21"/>
        </w:rPr>
        <w:t>21.2</w:t>
      </w:r>
      <w:r>
        <w:rPr>
          <w:rFonts w:hint="eastAsia" w:ascii="宋体" w:hAnsi="宋体" w:cs="宋体"/>
          <w:bCs/>
          <w:szCs w:val="21"/>
        </w:rPr>
        <w:t>磋商小组由采购人代表和评审专家共3人以上单数组成。</w:t>
      </w:r>
    </w:p>
    <w:p>
      <w:pPr>
        <w:spacing w:line="420" w:lineRule="exact"/>
        <w:ind w:firstLine="480"/>
        <w:rPr>
          <w:rFonts w:ascii="宋体" w:cs="宋体"/>
          <w:szCs w:val="21"/>
        </w:rPr>
      </w:pPr>
      <w:r>
        <w:rPr>
          <w:rFonts w:ascii="宋体" w:hAnsi="宋体" w:cs="宋体"/>
          <w:szCs w:val="21"/>
        </w:rPr>
        <w:t>21.3</w:t>
      </w:r>
      <w:r>
        <w:rPr>
          <w:rFonts w:hint="eastAsia" w:ascii="宋体" w:hAnsi="宋体" w:cs="宋体"/>
          <w:szCs w:val="21"/>
        </w:rPr>
        <w:t>磋商小组成员应当按照客观、公正、审慎的原则，根据磋商文件规定的评审程序、评审办法和评审标准进行独立评审。未实质性响应磋商文件的响应文件按无效响应处理，磋商小组应当告知提交响应文件的供应商。磋商文件内容违反国家有关强制性规定的，磋商小组应当停止评审并向采购人或者采购代理机构说明情况。</w:t>
      </w:r>
    </w:p>
    <w:p>
      <w:pPr>
        <w:spacing w:line="420" w:lineRule="exact"/>
        <w:ind w:firstLine="480"/>
        <w:rPr>
          <w:rFonts w:ascii="宋体" w:cs="宋体"/>
          <w:szCs w:val="21"/>
        </w:rPr>
      </w:pPr>
      <w:r>
        <w:rPr>
          <w:rFonts w:ascii="宋体" w:hAnsi="宋体" w:cs="宋体"/>
          <w:szCs w:val="21"/>
        </w:rPr>
        <w:t>21.4</w:t>
      </w:r>
      <w:r>
        <w:rPr>
          <w:rFonts w:hint="eastAsia" w:ascii="宋体" w:hAnsi="宋体" w:cs="宋体"/>
          <w:szCs w:val="21"/>
        </w:rPr>
        <w:t>磋商小组将首先按照本须知第</w:t>
      </w:r>
      <w:r>
        <w:rPr>
          <w:rFonts w:ascii="宋体" w:hAnsi="宋体" w:cs="宋体"/>
          <w:szCs w:val="21"/>
        </w:rPr>
        <w:t>21</w:t>
      </w:r>
      <w:r>
        <w:rPr>
          <w:rFonts w:hint="eastAsia" w:ascii="宋体" w:hAnsi="宋体" w:cs="宋体"/>
          <w:szCs w:val="21"/>
        </w:rPr>
        <w:t>条对响应文件进行初审。对初审合格的响应文件将按照本须知第</w:t>
      </w:r>
      <w:r>
        <w:rPr>
          <w:rFonts w:ascii="宋体" w:hAnsi="宋体" w:cs="宋体"/>
          <w:szCs w:val="21"/>
        </w:rPr>
        <w:t>22</w:t>
      </w:r>
      <w:r>
        <w:rPr>
          <w:rFonts w:hint="eastAsia" w:ascii="宋体" w:hAnsi="宋体" w:cs="宋体"/>
          <w:szCs w:val="21"/>
        </w:rPr>
        <w:t>条和第</w:t>
      </w:r>
      <w:r>
        <w:rPr>
          <w:rFonts w:ascii="宋体" w:hAnsi="宋体" w:cs="宋体"/>
          <w:szCs w:val="21"/>
        </w:rPr>
        <w:t>23</w:t>
      </w:r>
      <w:r>
        <w:rPr>
          <w:rFonts w:hint="eastAsia" w:ascii="宋体" w:hAnsi="宋体" w:cs="宋体"/>
          <w:szCs w:val="21"/>
        </w:rPr>
        <w:t>条对应的磋商和评价程序进行磋商和评审。</w:t>
      </w:r>
    </w:p>
    <w:p>
      <w:pPr>
        <w:spacing w:line="420" w:lineRule="exact"/>
        <w:ind w:firstLine="480"/>
        <w:rPr>
          <w:rFonts w:ascii="宋体" w:cs="宋体"/>
          <w:szCs w:val="21"/>
        </w:rPr>
      </w:pPr>
      <w:r>
        <w:rPr>
          <w:rFonts w:ascii="宋体" w:hAnsi="宋体" w:cs="宋体"/>
          <w:szCs w:val="21"/>
        </w:rPr>
        <w:t>21.5</w:t>
      </w:r>
      <w:r>
        <w:rPr>
          <w:rFonts w:hint="eastAsia" w:ascii="宋体" w:hAnsi="宋体" w:cs="宋体"/>
          <w:szCs w:val="21"/>
        </w:rPr>
        <w:t>在磋商期间，磋商小组可要求供应商对其响应文件进行澄清，但不得寻求、提供或允许对磋商价格等实质性内容做任何更改。有关澄清的要求和答复均应以书面形式提交。磋商小组不接受供应商主动提出的澄清、说明。</w:t>
      </w:r>
    </w:p>
    <w:p>
      <w:pPr>
        <w:spacing w:line="420" w:lineRule="exact"/>
        <w:ind w:firstLine="480"/>
        <w:rPr>
          <w:rFonts w:ascii="宋体" w:cs="宋体"/>
          <w:szCs w:val="21"/>
        </w:rPr>
      </w:pPr>
      <w:r>
        <w:rPr>
          <w:rFonts w:ascii="宋体" w:hAnsi="宋体" w:cs="宋体"/>
          <w:szCs w:val="21"/>
        </w:rPr>
        <w:t>21.6</w:t>
      </w:r>
      <w:r>
        <w:rPr>
          <w:rFonts w:hint="eastAsia" w:ascii="宋体" w:hAnsi="宋体" w:cs="宋体"/>
          <w:szCs w:val="21"/>
        </w:rPr>
        <w:t>采购人、采购代理机构不得向磋商小组中的评审专家作倾向性、误导性的解释或者说明。</w:t>
      </w:r>
    </w:p>
    <w:p>
      <w:pPr>
        <w:spacing w:line="420" w:lineRule="exact"/>
        <w:ind w:firstLine="482"/>
        <w:outlineLvl w:val="0"/>
        <w:rPr>
          <w:rFonts w:ascii="宋体" w:cs="宋体"/>
          <w:b/>
          <w:szCs w:val="21"/>
        </w:rPr>
      </w:pPr>
      <w:r>
        <w:rPr>
          <w:rFonts w:ascii="宋体" w:hAnsi="宋体" w:cs="宋体"/>
          <w:b/>
          <w:szCs w:val="21"/>
        </w:rPr>
        <w:t>22.</w:t>
      </w:r>
      <w:r>
        <w:rPr>
          <w:rFonts w:hint="eastAsia" w:ascii="宋体" w:hAnsi="宋体" w:cs="宋体"/>
          <w:b/>
          <w:szCs w:val="21"/>
        </w:rPr>
        <w:t>评审程序</w:t>
      </w:r>
    </w:p>
    <w:p>
      <w:pPr>
        <w:spacing w:line="420" w:lineRule="exact"/>
        <w:ind w:firstLine="480"/>
        <w:rPr>
          <w:rFonts w:ascii="宋体" w:cs="宋体"/>
          <w:szCs w:val="21"/>
        </w:rPr>
      </w:pPr>
      <w:r>
        <w:rPr>
          <w:rFonts w:ascii="宋体" w:hAnsi="宋体" w:cs="宋体"/>
          <w:szCs w:val="21"/>
        </w:rPr>
        <w:t>22.1</w:t>
      </w:r>
      <w:r>
        <w:rPr>
          <w:rFonts w:hint="eastAsia" w:ascii="宋体" w:hAnsi="宋体" w:cs="宋体"/>
          <w:szCs w:val="21"/>
        </w:rPr>
        <w:t>响应文件的初审。</w:t>
      </w:r>
    </w:p>
    <w:p>
      <w:pPr>
        <w:spacing w:line="420" w:lineRule="exact"/>
        <w:ind w:firstLine="480"/>
        <w:outlineLvl w:val="0"/>
        <w:rPr>
          <w:rFonts w:ascii="宋体" w:cs="宋体"/>
          <w:szCs w:val="21"/>
        </w:rPr>
      </w:pPr>
      <w:r>
        <w:rPr>
          <w:rFonts w:ascii="宋体" w:hAnsi="宋体" w:cs="宋体"/>
          <w:szCs w:val="21"/>
        </w:rPr>
        <w:t>22.1.1</w:t>
      </w:r>
      <w:r>
        <w:rPr>
          <w:rFonts w:hint="eastAsia" w:ascii="宋体" w:hAnsi="宋体" w:cs="宋体"/>
          <w:szCs w:val="21"/>
        </w:rPr>
        <w:t>资格性检查</w:t>
      </w:r>
    </w:p>
    <w:p>
      <w:pPr>
        <w:spacing w:line="420" w:lineRule="exact"/>
        <w:ind w:firstLine="480"/>
        <w:rPr>
          <w:rFonts w:ascii="宋体" w:cs="宋体"/>
          <w:szCs w:val="21"/>
        </w:rPr>
      </w:pPr>
      <w:r>
        <w:rPr>
          <w:rFonts w:hint="eastAsia" w:ascii="宋体" w:hAnsi="宋体" w:cs="宋体"/>
          <w:szCs w:val="21"/>
        </w:rPr>
        <w:t>依据法律法规和磋商文件的规定，对响应文件中的资格证明、磋商保证金等进行检查以确定供应商是否具备磋商资格。</w:t>
      </w:r>
    </w:p>
    <w:p>
      <w:pPr>
        <w:spacing w:line="420" w:lineRule="exact"/>
        <w:ind w:firstLine="480"/>
        <w:outlineLvl w:val="0"/>
        <w:rPr>
          <w:rFonts w:ascii="宋体" w:cs="宋体"/>
          <w:szCs w:val="21"/>
        </w:rPr>
      </w:pPr>
      <w:r>
        <w:rPr>
          <w:rFonts w:ascii="宋体" w:hAnsi="宋体" w:cs="宋体"/>
          <w:szCs w:val="21"/>
        </w:rPr>
        <w:t>22.1.2</w:t>
      </w:r>
      <w:r>
        <w:rPr>
          <w:rFonts w:hint="eastAsia" w:ascii="宋体" w:hAnsi="宋体" w:cs="宋体"/>
          <w:szCs w:val="21"/>
        </w:rPr>
        <w:t>符合性检查</w:t>
      </w:r>
    </w:p>
    <w:p>
      <w:pPr>
        <w:spacing w:line="420" w:lineRule="exact"/>
        <w:ind w:firstLine="480"/>
        <w:rPr>
          <w:rFonts w:ascii="宋体" w:cs="宋体"/>
          <w:szCs w:val="21"/>
        </w:rPr>
      </w:pPr>
      <w:r>
        <w:rPr>
          <w:rFonts w:hint="eastAsia" w:ascii="宋体" w:hAnsi="宋体" w:cs="宋体"/>
          <w:szCs w:val="21"/>
        </w:rPr>
        <w:t>依据磋商文件的规定，从响应文件的有效性、完整性和对磋商文件的响应程度进行检查，以确定是否对磋商文件的实质性要求做出相应符合性。</w:t>
      </w:r>
    </w:p>
    <w:p>
      <w:pPr>
        <w:spacing w:line="420" w:lineRule="exact"/>
        <w:ind w:firstLine="480"/>
        <w:rPr>
          <w:rFonts w:ascii="宋体" w:cs="宋体"/>
          <w:szCs w:val="21"/>
        </w:rPr>
      </w:pPr>
      <w:r>
        <w:rPr>
          <w:rFonts w:ascii="宋体" w:hAnsi="宋体" w:cs="宋体"/>
          <w:szCs w:val="21"/>
        </w:rPr>
        <w:t>22.1.3</w:t>
      </w:r>
      <w:r>
        <w:rPr>
          <w:rFonts w:hint="eastAsia" w:ascii="宋体" w:hAnsi="宋体" w:cs="宋体"/>
          <w:szCs w:val="21"/>
        </w:rPr>
        <w:t>没有实质性响应磋商文件要求的响应文件将被否决。供应商不得通过修正、补充或撤销不合要求的偏离或保留从而使其响应文件成为实质上响应的磋商文件。有下列情形之一者视为未实质性响应磋商文件，其响应文件将被否决：</w:t>
      </w:r>
    </w:p>
    <w:p>
      <w:pPr>
        <w:spacing w:line="420" w:lineRule="exact"/>
        <w:ind w:firstLine="480"/>
        <w:outlineLvl w:val="0"/>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）供应商与采购人有利害关系可能影响磋商公正性的；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）供应商参与项目前期咨询或磋商文件编制的；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）未按磋商文件要求提供证明文件的；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）不同供应商法定代表人为同一人或者存在控股、管理关系的；</w:t>
      </w:r>
    </w:p>
    <w:p>
      <w:pPr>
        <w:spacing w:line="420" w:lineRule="exact"/>
        <w:ind w:firstLine="480"/>
        <w:outlineLvl w:val="0"/>
        <w:rPr>
          <w:rFonts w:asci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）响应文件未按磋商文件的要求签署的；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6</w:t>
      </w:r>
      <w:r>
        <w:rPr>
          <w:rFonts w:hint="eastAsia" w:ascii="宋体" w:hAnsi="宋体" w:cs="宋体"/>
          <w:szCs w:val="21"/>
        </w:rPr>
        <w:t>）响应联合体没有提交联合体协议或联合体协议不符合要求的；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7</w:t>
      </w:r>
      <w:r>
        <w:rPr>
          <w:rFonts w:hint="eastAsia" w:ascii="宋体" w:hAnsi="宋体" w:cs="宋体"/>
          <w:szCs w:val="21"/>
        </w:rPr>
        <w:t>）供应商的磋商函、资格证明材料未提供，或不符合国家规定或者磋商文件要求的；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8</w:t>
      </w:r>
      <w:r>
        <w:rPr>
          <w:rFonts w:hint="eastAsia" w:ascii="宋体" w:hAnsi="宋体" w:cs="宋体"/>
          <w:szCs w:val="21"/>
        </w:rPr>
        <w:t>）同一供应商提交两个以上不同的方案或者磋商价格的，但磋商文件有要求的除外；</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9</w:t>
      </w:r>
      <w:r>
        <w:rPr>
          <w:rFonts w:hint="eastAsia" w:ascii="宋体" w:hAnsi="宋体" w:cs="宋体"/>
          <w:szCs w:val="21"/>
        </w:rPr>
        <w:t>）供应商未按磋商文件要求提交磋商保证金或保证金金额不足、保函有效期不足、磋商保证金形式或提交保证金的银行、账户不符合磋商文件要求的；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10</w:t>
      </w:r>
      <w:r>
        <w:rPr>
          <w:rFonts w:hint="eastAsia" w:ascii="宋体" w:hAnsi="宋体" w:cs="宋体"/>
          <w:szCs w:val="21"/>
        </w:rPr>
        <w:t>）磋商价格高于磋商文件设定的控制价的；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11</w:t>
      </w:r>
      <w:r>
        <w:rPr>
          <w:rFonts w:hint="eastAsia" w:ascii="宋体" w:hAnsi="宋体" w:cs="宋体"/>
          <w:szCs w:val="21"/>
        </w:rPr>
        <w:t>）不接受磋商有效期要求的；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12</w:t>
      </w:r>
      <w:r>
        <w:rPr>
          <w:rFonts w:hint="eastAsia" w:ascii="宋体" w:hAnsi="宋体" w:cs="宋体"/>
          <w:szCs w:val="21"/>
        </w:rPr>
        <w:t>）供应商有串通磋商、弄虚作假、行贿等违法行为的；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13</w:t>
      </w:r>
      <w:r>
        <w:rPr>
          <w:rFonts w:hint="eastAsia" w:ascii="宋体" w:hAnsi="宋体" w:cs="宋体"/>
          <w:szCs w:val="21"/>
        </w:rPr>
        <w:t>）存在磋商文件中规定的否决响应的其他条款的。</w:t>
      </w:r>
    </w:p>
    <w:p>
      <w:pPr>
        <w:spacing w:line="420" w:lineRule="exact"/>
        <w:ind w:firstLine="480"/>
        <w:outlineLvl w:val="0"/>
        <w:rPr>
          <w:rFonts w:ascii="宋体" w:cs="宋体"/>
          <w:szCs w:val="21"/>
        </w:rPr>
      </w:pPr>
      <w:r>
        <w:rPr>
          <w:rFonts w:ascii="宋体" w:hAnsi="宋体" w:cs="宋体"/>
          <w:szCs w:val="21"/>
        </w:rPr>
        <w:t>22.2</w:t>
      </w:r>
      <w:r>
        <w:rPr>
          <w:rFonts w:hint="eastAsia" w:ascii="宋体" w:hAnsi="宋体" w:cs="宋体"/>
          <w:szCs w:val="21"/>
        </w:rPr>
        <w:t>澄清有关问题</w:t>
      </w:r>
    </w:p>
    <w:p>
      <w:pPr>
        <w:spacing w:line="420" w:lineRule="exact"/>
        <w:ind w:firstLine="480"/>
        <w:rPr>
          <w:rFonts w:ascii="宋体" w:cs="宋体"/>
          <w:szCs w:val="21"/>
        </w:rPr>
      </w:pPr>
      <w:r>
        <w:rPr>
          <w:rFonts w:hint="eastAsia" w:ascii="宋体" w:hAnsi="宋体" w:cs="宋体"/>
          <w:szCs w:val="21"/>
        </w:rPr>
        <w:t>对响应文件中含义不明确、同类问题表述不一致或者有明显文字和计算错误的内容，磋商小组可以书面形式（应当由磋商专家签字）要求供应商做出必要的澄清、说明或者纠正。供应商的澄清、说明或者补正应当采用书面形式，由其授权的代表签字，并不得超出响应文件的范围或者改变响应文件的实质性内容。</w:t>
      </w:r>
    </w:p>
    <w:p>
      <w:pPr>
        <w:spacing w:line="420" w:lineRule="exact"/>
        <w:ind w:firstLine="480"/>
        <w:rPr>
          <w:rFonts w:ascii="宋体" w:cs="宋体"/>
          <w:szCs w:val="21"/>
        </w:rPr>
      </w:pPr>
      <w:r>
        <w:rPr>
          <w:rFonts w:hint="eastAsia" w:ascii="宋体" w:hAnsi="宋体" w:cs="宋体"/>
          <w:szCs w:val="21"/>
        </w:rPr>
        <w:t>磋商小组要求供应商澄清、说明或者更正响应文件应当以书面形式做出。供应商的澄清、说明或者更正应当由法定代表人或其授权代表签字或者加盖公章。由授权代表签字的，应当附法定代表人授权书。供应商为自然人的，应当由本人签字并附身份证明。</w:t>
      </w:r>
    </w:p>
    <w:p>
      <w:pPr>
        <w:spacing w:line="420" w:lineRule="exact"/>
        <w:ind w:firstLine="480"/>
        <w:outlineLvl w:val="0"/>
        <w:rPr>
          <w:rFonts w:ascii="宋体" w:cs="宋体"/>
          <w:szCs w:val="21"/>
        </w:rPr>
      </w:pPr>
      <w:r>
        <w:rPr>
          <w:rFonts w:ascii="宋体" w:hAnsi="宋体" w:cs="宋体"/>
          <w:szCs w:val="21"/>
        </w:rPr>
        <w:t>22.3</w:t>
      </w:r>
      <w:r>
        <w:rPr>
          <w:rFonts w:hint="eastAsia" w:ascii="宋体" w:hAnsi="宋体" w:cs="宋体"/>
          <w:szCs w:val="21"/>
        </w:rPr>
        <w:t>算数更正</w:t>
      </w:r>
    </w:p>
    <w:p>
      <w:pPr>
        <w:spacing w:line="420" w:lineRule="exact"/>
        <w:ind w:firstLine="480"/>
        <w:rPr>
          <w:rFonts w:ascii="宋体" w:cs="宋体"/>
          <w:szCs w:val="21"/>
        </w:rPr>
      </w:pPr>
      <w:r>
        <w:rPr>
          <w:rFonts w:hint="eastAsia" w:ascii="宋体" w:hAnsi="宋体" w:cs="宋体"/>
          <w:szCs w:val="21"/>
        </w:rPr>
        <w:t>响应文件的大写金额和小写金额不一致的，以大写金额为准；磋商总价金额与按分项报价汇总金额不一致的，以分项报价金额计算结果为准；分项报价金额小数点有明显错位的，应以磋商总价为准，并修改分项报价。如果供应商不接受对其算数错误的更正，其响应文件可能被否决。</w:t>
      </w:r>
    </w:p>
    <w:p>
      <w:pPr>
        <w:spacing w:line="420" w:lineRule="exact"/>
        <w:ind w:firstLine="480"/>
        <w:rPr>
          <w:rFonts w:ascii="宋体" w:cs="宋体"/>
          <w:szCs w:val="21"/>
        </w:rPr>
      </w:pPr>
      <w:r>
        <w:rPr>
          <w:rFonts w:ascii="宋体" w:hAnsi="宋体" w:cs="宋体"/>
          <w:szCs w:val="21"/>
        </w:rPr>
        <w:t>22.4</w:t>
      </w:r>
      <w:r>
        <w:rPr>
          <w:rFonts w:hint="eastAsia" w:ascii="宋体" w:hAnsi="宋体" w:cs="宋体"/>
          <w:szCs w:val="21"/>
        </w:rPr>
        <w:t>对于响应文件中不构成实质性偏差的不正规、不一致或不规则，磋商小组可以接受，但这种接受不能损害或影响任何响应供应商的相对排序。</w:t>
      </w:r>
    </w:p>
    <w:p>
      <w:pPr>
        <w:spacing w:line="420" w:lineRule="exact"/>
        <w:ind w:firstLine="481"/>
        <w:outlineLvl w:val="0"/>
        <w:rPr>
          <w:rFonts w:ascii="宋体" w:cs="宋体"/>
          <w:b/>
          <w:szCs w:val="21"/>
        </w:rPr>
      </w:pPr>
      <w:r>
        <w:rPr>
          <w:rFonts w:ascii="宋体" w:hAnsi="宋体" w:cs="宋体"/>
          <w:b/>
          <w:szCs w:val="21"/>
        </w:rPr>
        <w:t>23.</w:t>
      </w:r>
      <w:r>
        <w:rPr>
          <w:rFonts w:hint="eastAsia" w:ascii="宋体" w:hAnsi="宋体" w:cs="宋体"/>
          <w:b/>
          <w:szCs w:val="21"/>
        </w:rPr>
        <w:t>磋商</w:t>
      </w:r>
    </w:p>
    <w:p>
      <w:pPr>
        <w:spacing w:line="420" w:lineRule="exact"/>
        <w:ind w:firstLine="481"/>
        <w:rPr>
          <w:rFonts w:ascii="宋体" w:cs="宋体"/>
          <w:szCs w:val="21"/>
        </w:rPr>
      </w:pPr>
      <w:r>
        <w:rPr>
          <w:rFonts w:ascii="宋体" w:hAnsi="宋体" w:cs="宋体"/>
          <w:szCs w:val="21"/>
        </w:rPr>
        <w:t>23.1</w:t>
      </w:r>
      <w:r>
        <w:rPr>
          <w:rFonts w:hint="eastAsia" w:ascii="宋体" w:hAnsi="宋体" w:cs="宋体"/>
          <w:szCs w:val="21"/>
        </w:rPr>
        <w:t>磋商小组将按照须知资料表中规定的顺序分别依次与通过响应文件初审的供应商授权代表进行磋商。磋商内容及要求详见本磋商文件，磋商小组与供应商授权代表仅能针对除磋商内容和要求中不得偏离部分以外的条款进行磋商。</w:t>
      </w:r>
    </w:p>
    <w:p>
      <w:pPr>
        <w:spacing w:line="420" w:lineRule="exact"/>
        <w:ind w:firstLine="481"/>
        <w:rPr>
          <w:rFonts w:ascii="宋体" w:cs="宋体"/>
          <w:szCs w:val="21"/>
        </w:rPr>
      </w:pPr>
      <w:r>
        <w:rPr>
          <w:rFonts w:ascii="宋体" w:hAnsi="宋体" w:cs="宋体"/>
          <w:szCs w:val="21"/>
        </w:rPr>
        <w:t>23.2</w:t>
      </w:r>
      <w:r>
        <w:rPr>
          <w:rFonts w:hint="eastAsia" w:ascii="宋体" w:hAnsi="宋体" w:cs="宋体"/>
          <w:szCs w:val="21"/>
        </w:rPr>
        <w:t>在磋商过程中，磋商小组可以根据磋商文件和磋商情况实质性变动采购需求中的技术、服务要求以及合同草案条款，但不得变动磋商文件中的其他内容。实质性变动的内容，须经采购人代表确认。</w:t>
      </w:r>
    </w:p>
    <w:p>
      <w:pPr>
        <w:spacing w:line="420" w:lineRule="exact"/>
        <w:ind w:firstLine="481"/>
        <w:rPr>
          <w:rFonts w:ascii="宋体" w:cs="宋体"/>
          <w:szCs w:val="21"/>
        </w:rPr>
      </w:pPr>
      <w:r>
        <w:rPr>
          <w:rFonts w:ascii="宋体" w:hAnsi="宋体" w:cs="宋体"/>
          <w:szCs w:val="21"/>
        </w:rPr>
        <w:t>23.3</w:t>
      </w:r>
      <w:r>
        <w:rPr>
          <w:rFonts w:hint="eastAsia" w:ascii="宋体" w:hAnsi="宋体" w:cs="宋体"/>
          <w:szCs w:val="21"/>
        </w:rPr>
        <w:t>对磋商文件做出的实质性变动是磋商文件的有效组成部分，磋商小组应当及时以书面形式同时通知所有参加磋商的供应商。</w:t>
      </w:r>
    </w:p>
    <w:p>
      <w:pPr>
        <w:spacing w:line="420" w:lineRule="exact"/>
        <w:ind w:firstLine="481"/>
        <w:rPr>
          <w:rFonts w:ascii="宋体" w:cs="宋体"/>
          <w:szCs w:val="21"/>
        </w:rPr>
      </w:pPr>
      <w:r>
        <w:rPr>
          <w:rFonts w:ascii="宋体" w:hAnsi="宋体" w:cs="宋体"/>
          <w:szCs w:val="21"/>
        </w:rPr>
        <w:t>23.4</w:t>
      </w:r>
      <w:r>
        <w:rPr>
          <w:rFonts w:hint="eastAsia" w:ascii="宋体" w:hAnsi="宋体" w:cs="宋体"/>
          <w:szCs w:val="21"/>
        </w:rPr>
        <w:t>供应商应当按照磋商文件的变动情况和磋商小组的要求重新提交响应文件，并由其法定代表人或授权代表签字或加盖公章。由授权代表签字的，应当附法定代表人授权书。供应商为自然人的，应当由本人签字并附身份证明。</w:t>
      </w:r>
    </w:p>
    <w:p>
      <w:pPr>
        <w:spacing w:line="420" w:lineRule="exact"/>
        <w:ind w:firstLine="481"/>
        <w:rPr>
          <w:rFonts w:ascii="宋体" w:cs="宋体"/>
          <w:szCs w:val="21"/>
        </w:rPr>
      </w:pPr>
      <w:r>
        <w:rPr>
          <w:rFonts w:ascii="宋体" w:hAnsi="宋体" w:cs="宋体"/>
          <w:szCs w:val="21"/>
        </w:rPr>
        <w:t>23.5</w:t>
      </w:r>
      <w:r>
        <w:rPr>
          <w:rFonts w:hint="eastAsia" w:ascii="宋体" w:hAnsi="宋体" w:cs="宋体"/>
          <w:szCs w:val="21"/>
        </w:rPr>
        <w:t>磋商过程中工作人员应做好记录工作，并整理出磋商备忘录（磋商备忘录将成为后期供应商与采购人签订合同的重要依据之一）由供应商和采购人签字确认。</w:t>
      </w:r>
    </w:p>
    <w:p>
      <w:pPr>
        <w:spacing w:line="420" w:lineRule="exact"/>
        <w:ind w:firstLine="481"/>
        <w:outlineLvl w:val="0"/>
        <w:rPr>
          <w:rFonts w:ascii="宋体" w:cs="宋体"/>
          <w:b/>
          <w:bCs/>
          <w:szCs w:val="21"/>
        </w:rPr>
      </w:pPr>
      <w:r>
        <w:rPr>
          <w:rFonts w:ascii="宋体" w:hAnsi="宋体" w:cs="宋体"/>
          <w:b/>
          <w:bCs/>
          <w:szCs w:val="21"/>
        </w:rPr>
        <w:t>23.6</w:t>
      </w:r>
      <w:r>
        <w:rPr>
          <w:rFonts w:hint="eastAsia" w:ascii="宋体" w:hAnsi="宋体" w:cs="宋体"/>
          <w:b/>
          <w:bCs/>
          <w:szCs w:val="21"/>
        </w:rPr>
        <w:t>最终报价</w:t>
      </w:r>
    </w:p>
    <w:p>
      <w:pPr>
        <w:spacing w:line="420" w:lineRule="exact"/>
        <w:ind w:firstLine="481"/>
        <w:rPr>
          <w:rFonts w:ascii="宋体" w:cs="宋体"/>
          <w:szCs w:val="21"/>
        </w:rPr>
      </w:pPr>
      <w:r>
        <w:rPr>
          <w:rFonts w:hint="eastAsia" w:ascii="宋体" w:hAnsi="宋体" w:cs="宋体"/>
          <w:szCs w:val="21"/>
        </w:rPr>
        <w:t>根据《财政部关于政府采购竞争性磋商采购方式管理暂行办法有关问题的补充通知》财库〔</w:t>
      </w:r>
      <w:r>
        <w:rPr>
          <w:rFonts w:ascii="宋体" w:hAnsi="宋体" w:cs="宋体"/>
          <w:szCs w:val="21"/>
        </w:rPr>
        <w:t>2015</w:t>
      </w:r>
      <w:r>
        <w:rPr>
          <w:rFonts w:hint="eastAsia" w:ascii="宋体" w:hAnsi="宋体" w:cs="宋体"/>
          <w:szCs w:val="21"/>
        </w:rPr>
        <w:t>〕</w:t>
      </w:r>
      <w:r>
        <w:rPr>
          <w:rFonts w:ascii="宋体" w:hAnsi="宋体" w:cs="宋体"/>
          <w:szCs w:val="21"/>
        </w:rPr>
        <w:t>124</w:t>
      </w:r>
      <w:r>
        <w:rPr>
          <w:rFonts w:hint="eastAsia" w:ascii="宋体" w:hAnsi="宋体" w:cs="宋体"/>
          <w:szCs w:val="21"/>
        </w:rPr>
        <w:t>号之规定。采用竞争性磋商采购方式采购的政府购买服务项目，在采购过程中符合要求且符合上述规定的供应商只有</w:t>
      </w:r>
      <w:r>
        <w:rPr>
          <w:rFonts w:ascii="宋体" w:hAnsi="宋体" w:cs="宋体"/>
          <w:szCs w:val="21"/>
        </w:rPr>
        <w:t>2</w:t>
      </w:r>
      <w:r>
        <w:rPr>
          <w:rFonts w:hint="eastAsia" w:ascii="宋体" w:hAnsi="宋体" w:cs="宋体"/>
          <w:szCs w:val="21"/>
        </w:rPr>
        <w:t>家的，竞争性磋商采购活动可以继续进行。采购过程中符合要求的供应商只有</w:t>
      </w:r>
      <w:r>
        <w:rPr>
          <w:rFonts w:ascii="宋体" w:hAnsi="宋体" w:cs="宋体"/>
          <w:szCs w:val="21"/>
        </w:rPr>
        <w:t>1</w:t>
      </w:r>
      <w:r>
        <w:rPr>
          <w:rFonts w:hint="eastAsia" w:ascii="宋体" w:hAnsi="宋体" w:cs="宋体"/>
          <w:szCs w:val="21"/>
        </w:rPr>
        <w:t>家的，采购人或者采购代理机构应当终止竞争性磋商采购活动，发布项目终止公告并说明原因，重新开展采购活动。</w:t>
      </w:r>
    </w:p>
    <w:p>
      <w:pPr>
        <w:spacing w:line="420" w:lineRule="exact"/>
        <w:ind w:firstLine="481"/>
        <w:rPr>
          <w:rFonts w:ascii="宋体" w:cs="宋体"/>
          <w:szCs w:val="21"/>
        </w:rPr>
      </w:pPr>
      <w:r>
        <w:rPr>
          <w:rFonts w:hint="eastAsia" w:ascii="宋体" w:hAnsi="宋体" w:cs="宋体"/>
          <w:szCs w:val="21"/>
        </w:rPr>
        <w:t>磋商文件不能详细列明采购标的技术、服务要求，需经磋商由供应商提供最终设计方案或解决方案的，磋商结束后，磋商小组应当按照少数服从多数的原则投票推荐</w:t>
      </w:r>
      <w:r>
        <w:rPr>
          <w:rFonts w:ascii="宋体" w:hAnsi="宋体" w:cs="宋体"/>
          <w:szCs w:val="21"/>
        </w:rPr>
        <w:t>3</w:t>
      </w:r>
      <w:r>
        <w:rPr>
          <w:rFonts w:hint="eastAsia" w:ascii="宋体" w:hAnsi="宋体" w:cs="宋体"/>
          <w:szCs w:val="21"/>
        </w:rPr>
        <w:t>家</w:t>
      </w:r>
      <w:r>
        <w:rPr>
          <w:rFonts w:hint="eastAsia" w:ascii="宋体" w:hAnsi="宋体" w:cs="宋体"/>
          <w:szCs w:val="21"/>
          <w:lang w:eastAsia="zh-CN"/>
        </w:rPr>
        <w:t>或</w:t>
      </w:r>
      <w:r>
        <w:rPr>
          <w:rFonts w:hint="eastAsia" w:ascii="宋体" w:hAnsi="宋体" w:cs="宋体"/>
          <w:szCs w:val="21"/>
        </w:rPr>
        <w:t>以上供应商的设计方案或者解决方案，并要求其在规定时间内提交最后报价。</w:t>
      </w:r>
    </w:p>
    <w:p>
      <w:pPr>
        <w:spacing w:line="420" w:lineRule="exact"/>
        <w:ind w:firstLine="481"/>
        <w:rPr>
          <w:rFonts w:ascii="宋体" w:cs="宋体"/>
          <w:szCs w:val="21"/>
        </w:rPr>
      </w:pPr>
      <w:r>
        <w:rPr>
          <w:rFonts w:hint="eastAsia" w:ascii="宋体" w:hAnsi="宋体" w:cs="宋体"/>
          <w:szCs w:val="21"/>
        </w:rPr>
        <w:t>磋商文件能够详细列明采购标的技术、服务要求的，磋商结束后，磋商小组应当要求所有实质性响应的供应商在规定时间内提交最后报价，提交最后报价的供应商不得少于3家。</w:t>
      </w:r>
    </w:p>
    <w:p>
      <w:pPr>
        <w:spacing w:line="420" w:lineRule="exact"/>
        <w:ind w:firstLine="482"/>
        <w:outlineLvl w:val="0"/>
        <w:rPr>
          <w:rFonts w:ascii="宋体" w:cs="宋体"/>
          <w:b/>
          <w:szCs w:val="21"/>
        </w:rPr>
      </w:pPr>
      <w:r>
        <w:rPr>
          <w:rFonts w:ascii="宋体" w:hAnsi="宋体" w:cs="宋体"/>
          <w:b/>
          <w:szCs w:val="21"/>
        </w:rPr>
        <w:t>24.</w:t>
      </w:r>
      <w:r>
        <w:rPr>
          <w:rFonts w:hint="eastAsia" w:ascii="宋体" w:hAnsi="宋体" w:cs="宋体"/>
          <w:b/>
          <w:szCs w:val="21"/>
        </w:rPr>
        <w:t>比较与评价</w:t>
      </w:r>
    </w:p>
    <w:p>
      <w:pPr>
        <w:spacing w:line="420" w:lineRule="exact"/>
        <w:ind w:firstLine="481"/>
        <w:rPr>
          <w:rFonts w:ascii="宋体" w:cs="宋体"/>
          <w:szCs w:val="21"/>
        </w:rPr>
      </w:pPr>
      <w:r>
        <w:rPr>
          <w:rFonts w:hint="eastAsia" w:ascii="宋体" w:hAnsi="宋体" w:cs="宋体"/>
          <w:szCs w:val="21"/>
        </w:rPr>
        <w:t>经磋商确定最终采购需求和提交最后报价的供应商后，由磋商小组采用综合评分法对提交最后报价的供应商的响应文件和最后报价进行综合评分。评分的标准详见第四章评审办法。</w:t>
      </w:r>
    </w:p>
    <w:p>
      <w:pPr>
        <w:spacing w:line="420" w:lineRule="exact"/>
        <w:ind w:firstLine="482"/>
        <w:rPr>
          <w:rFonts w:ascii="宋体" w:cs="宋体"/>
          <w:b/>
          <w:szCs w:val="24"/>
        </w:rPr>
      </w:pPr>
      <w:r>
        <w:rPr>
          <w:rFonts w:ascii="宋体" w:hAnsi="宋体" w:cs="宋体"/>
          <w:b/>
          <w:szCs w:val="24"/>
        </w:rPr>
        <w:t>25.</w:t>
      </w:r>
      <w:r>
        <w:rPr>
          <w:rFonts w:hint="eastAsia" w:ascii="宋体" w:hAnsi="宋体" w:cs="宋体"/>
          <w:b/>
          <w:szCs w:val="24"/>
        </w:rPr>
        <w:t>推荐成交候选供应商</w:t>
      </w:r>
    </w:p>
    <w:p>
      <w:pPr>
        <w:spacing w:line="420" w:lineRule="exact"/>
        <w:ind w:firstLine="480"/>
        <w:rPr>
          <w:rFonts w:ascii="宋体" w:cs="宋体"/>
          <w:szCs w:val="21"/>
        </w:rPr>
      </w:pPr>
      <w:r>
        <w:rPr>
          <w:rFonts w:ascii="宋体" w:hAnsi="宋体" w:cs="宋体"/>
          <w:szCs w:val="21"/>
        </w:rPr>
        <w:t>25.1</w:t>
      </w:r>
      <w:r>
        <w:rPr>
          <w:rFonts w:hint="eastAsia" w:ascii="宋体" w:hAnsi="宋体" w:cs="宋体"/>
          <w:szCs w:val="21"/>
        </w:rPr>
        <w:t>磋商小组将根据综合评分情况，按照评审得分由高到低顺序推荐</w:t>
      </w:r>
      <w:r>
        <w:rPr>
          <w:rFonts w:ascii="宋体" w:hAnsi="宋体" w:cs="宋体"/>
          <w:szCs w:val="21"/>
        </w:rPr>
        <w:t>3</w:t>
      </w:r>
      <w:r>
        <w:rPr>
          <w:rFonts w:hint="eastAsia" w:ascii="宋体" w:hAnsi="宋体" w:cs="宋体"/>
          <w:szCs w:val="21"/>
        </w:rPr>
        <w:t>名以上成交候选供应商，并编写评审报告。符合本须知第</w:t>
      </w:r>
      <w:r>
        <w:rPr>
          <w:rFonts w:ascii="宋体" w:hAnsi="宋体" w:cs="宋体"/>
          <w:szCs w:val="21"/>
        </w:rPr>
        <w:t>23.6</w:t>
      </w:r>
      <w:r>
        <w:rPr>
          <w:rFonts w:hint="eastAsia" w:ascii="宋体" w:hAnsi="宋体" w:cs="宋体"/>
          <w:szCs w:val="21"/>
        </w:rPr>
        <w:t>条第一款情况的，可以推荐</w:t>
      </w:r>
      <w:r>
        <w:rPr>
          <w:rFonts w:ascii="宋体" w:hAnsi="宋体" w:cs="宋体"/>
          <w:szCs w:val="21"/>
        </w:rPr>
        <w:t>2</w:t>
      </w:r>
      <w:r>
        <w:rPr>
          <w:rFonts w:hint="eastAsia" w:ascii="宋体" w:hAnsi="宋体" w:cs="宋体"/>
          <w:szCs w:val="21"/>
        </w:rPr>
        <w:t>家成交候选供应商。</w:t>
      </w:r>
    </w:p>
    <w:p>
      <w:pPr>
        <w:spacing w:line="420" w:lineRule="exact"/>
        <w:ind w:firstLine="480"/>
        <w:rPr>
          <w:rFonts w:ascii="宋体" w:cs="宋体"/>
          <w:szCs w:val="21"/>
        </w:rPr>
      </w:pPr>
      <w:r>
        <w:rPr>
          <w:rFonts w:ascii="宋体" w:hAnsi="宋体" w:cs="宋体"/>
          <w:szCs w:val="21"/>
        </w:rPr>
        <w:t>25.2</w:t>
      </w:r>
      <w:r>
        <w:rPr>
          <w:rFonts w:hint="eastAsia" w:ascii="宋体" w:hAnsi="宋体" w:cs="宋体"/>
          <w:szCs w:val="21"/>
        </w:rPr>
        <w:t>评审报告将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tabs>
          <w:tab w:val="left" w:pos="641"/>
        </w:tabs>
        <w:spacing w:line="420" w:lineRule="exact"/>
        <w:ind w:firstLine="482"/>
        <w:outlineLvl w:val="0"/>
        <w:rPr>
          <w:rFonts w:ascii="宋体" w:cs="宋体"/>
          <w:b/>
          <w:bCs/>
          <w:szCs w:val="24"/>
        </w:rPr>
      </w:pPr>
      <w:r>
        <w:rPr>
          <w:rFonts w:ascii="宋体" w:hAnsi="宋体" w:cs="宋体"/>
          <w:b/>
          <w:bCs/>
          <w:szCs w:val="24"/>
        </w:rPr>
        <w:t>26.</w:t>
      </w:r>
      <w:r>
        <w:rPr>
          <w:rFonts w:hint="eastAsia" w:ascii="宋体" w:hAnsi="宋体" w:cs="宋体"/>
          <w:b/>
          <w:bCs/>
          <w:szCs w:val="24"/>
        </w:rPr>
        <w:t>成交供应商</w:t>
      </w:r>
    </w:p>
    <w:p>
      <w:pPr>
        <w:spacing w:line="420" w:lineRule="exact"/>
        <w:ind w:firstLine="480"/>
        <w:rPr>
          <w:rFonts w:ascii="宋体" w:cs="宋体"/>
        </w:rPr>
      </w:pPr>
      <w:r>
        <w:rPr>
          <w:rFonts w:ascii="宋体" w:hAnsi="宋体" w:cs="宋体"/>
        </w:rPr>
        <w:t xml:space="preserve">26.1 </w:t>
      </w:r>
      <w:r>
        <w:rPr>
          <w:rFonts w:hint="eastAsia" w:ascii="宋体" w:hAnsi="宋体" w:cs="宋体"/>
        </w:rPr>
        <w:t>采购代理机构将在评审结束后</w:t>
      </w:r>
      <w:r>
        <w:rPr>
          <w:rFonts w:ascii="宋体" w:hAnsi="宋体" w:cs="宋体"/>
        </w:rPr>
        <w:t>2</w:t>
      </w:r>
      <w:r>
        <w:rPr>
          <w:rFonts w:hint="eastAsia" w:ascii="宋体" w:hAnsi="宋体" w:cs="宋体"/>
        </w:rPr>
        <w:t>个工作日内将评审报告送招标采购人确认。</w:t>
      </w:r>
    </w:p>
    <w:p>
      <w:pPr>
        <w:spacing w:line="420" w:lineRule="exact"/>
        <w:ind w:firstLine="480"/>
        <w:rPr>
          <w:rFonts w:ascii="宋体" w:cs="宋体"/>
        </w:rPr>
      </w:pPr>
      <w:r>
        <w:rPr>
          <w:rFonts w:ascii="宋体" w:hAnsi="宋体" w:cs="宋体"/>
        </w:rPr>
        <w:t xml:space="preserve">26.2 </w:t>
      </w:r>
      <w:r>
        <w:rPr>
          <w:rFonts w:hint="eastAsia" w:ascii="宋体" w:hAnsi="宋体" w:cs="宋体"/>
        </w:rPr>
        <w:t>磋商结果的确认。采购人应当对</w:t>
      </w:r>
      <w:r>
        <w:rPr>
          <w:rStyle w:val="60"/>
          <w:rFonts w:hint="eastAsia"/>
          <w:sz w:val="24"/>
          <w:szCs w:val="24"/>
        </w:rPr>
        <w:t>磋商小组</w:t>
      </w:r>
      <w:r>
        <w:rPr>
          <w:rFonts w:hint="eastAsia" w:ascii="宋体" w:hAnsi="宋体" w:cs="宋体"/>
        </w:rPr>
        <w:t>评审报告推荐的候选供应商进行确认。并按照排名依次与候选供应商就项目合同中可变的结论问题进行项目合同签署前的确认谈判，率先达成一致的候选供应商即为成交供应商。</w:t>
      </w:r>
    </w:p>
    <w:p>
      <w:pPr>
        <w:spacing w:line="420" w:lineRule="exact"/>
        <w:ind w:firstLine="480"/>
        <w:rPr>
          <w:rFonts w:ascii="宋体" w:cs="宋体"/>
        </w:rPr>
      </w:pPr>
      <w:r>
        <w:rPr>
          <w:rFonts w:ascii="宋体" w:hAnsi="宋体" w:cs="宋体"/>
        </w:rPr>
        <w:t xml:space="preserve">25.3 </w:t>
      </w:r>
      <w:r>
        <w:rPr>
          <w:rFonts w:hint="eastAsia" w:ascii="宋体" w:hAnsi="宋体" w:cs="宋体"/>
        </w:rPr>
        <w:t>采购人应当在成交供应商确定后</w:t>
      </w:r>
      <w:r>
        <w:rPr>
          <w:rFonts w:ascii="宋体" w:hAnsi="宋体" w:cs="宋体"/>
        </w:rPr>
        <w:t>10</w:t>
      </w:r>
      <w:r>
        <w:rPr>
          <w:rFonts w:hint="eastAsia" w:ascii="宋体" w:hAnsi="宋体" w:cs="宋体"/>
        </w:rPr>
        <w:t>个工作日内，与成交供应商签署确认成交合同，</w:t>
      </w:r>
    </w:p>
    <w:p>
      <w:pPr>
        <w:spacing w:line="420" w:lineRule="exact"/>
        <w:ind w:firstLine="480"/>
        <w:rPr>
          <w:rFonts w:ascii="宋体" w:cs="宋体"/>
        </w:rPr>
      </w:pPr>
      <w:r>
        <w:rPr>
          <w:rFonts w:ascii="宋体" w:hAnsi="宋体" w:cs="宋体"/>
        </w:rPr>
        <w:t>25.4</w:t>
      </w:r>
      <w:r>
        <w:rPr>
          <w:rFonts w:hint="eastAsia" w:ascii="宋体" w:hAnsi="宋体" w:cs="宋体"/>
        </w:rPr>
        <w:t>采购人或者采购代理机构应当在成交供应商确定后</w:t>
      </w:r>
      <w:r>
        <w:rPr>
          <w:rFonts w:ascii="宋体" w:hAnsi="宋体" w:cs="宋体"/>
        </w:rPr>
        <w:t>2</w:t>
      </w:r>
      <w:r>
        <w:rPr>
          <w:rFonts w:hint="eastAsia" w:ascii="宋体" w:hAnsi="宋体" w:cs="宋体"/>
        </w:rPr>
        <w:t>个工作日内，在省级以上财政部门指定的政府采购信息发布媒体上公告成交结果，同时向成交供应商发出成交通知书，并将磋商文件随成交结果同时公告。</w:t>
      </w:r>
    </w:p>
    <w:p>
      <w:pPr>
        <w:tabs>
          <w:tab w:val="left" w:pos="641"/>
        </w:tabs>
        <w:spacing w:line="420" w:lineRule="exact"/>
        <w:ind w:firstLine="482"/>
        <w:rPr>
          <w:rFonts w:ascii="宋体" w:cs="宋体"/>
          <w:b/>
          <w:bCs/>
          <w:szCs w:val="24"/>
        </w:rPr>
      </w:pPr>
      <w:r>
        <w:rPr>
          <w:rFonts w:ascii="宋体" w:hAnsi="宋体" w:cs="宋体"/>
          <w:b/>
          <w:bCs/>
          <w:szCs w:val="24"/>
        </w:rPr>
        <w:t>27.</w:t>
      </w:r>
      <w:r>
        <w:rPr>
          <w:rFonts w:hint="eastAsia" w:ascii="宋体" w:hAnsi="宋体" w:cs="宋体"/>
          <w:b/>
          <w:bCs/>
          <w:szCs w:val="24"/>
        </w:rPr>
        <w:t>合同的授予和执行</w:t>
      </w:r>
    </w:p>
    <w:p>
      <w:pPr>
        <w:spacing w:line="420" w:lineRule="exact"/>
        <w:ind w:firstLine="480"/>
        <w:rPr>
          <w:rFonts w:ascii="宋体" w:cs="宋体"/>
        </w:rPr>
      </w:pPr>
      <w:r>
        <w:rPr>
          <w:rFonts w:ascii="宋体" w:hAnsi="宋体" w:cs="宋体"/>
        </w:rPr>
        <w:t xml:space="preserve">27.1 </w:t>
      </w:r>
      <w:r>
        <w:rPr>
          <w:rFonts w:hint="eastAsia" w:ascii="宋体" w:hAnsi="宋体" w:cs="宋体"/>
        </w:rPr>
        <w:t>采购人与成交供应商应当在成交通知书发出之日起</w:t>
      </w:r>
      <w:r>
        <w:rPr>
          <w:rFonts w:ascii="宋体" w:hAnsi="宋体" w:cs="宋体"/>
        </w:rPr>
        <w:t>30</w:t>
      </w:r>
      <w:r>
        <w:rPr>
          <w:rFonts w:hint="eastAsia" w:ascii="宋体" w:hAnsi="宋体" w:cs="宋体"/>
        </w:rPr>
        <w:t>日内，与成交供应商签订经本项目监管部门审核同意的服务合同。</w:t>
      </w:r>
    </w:p>
    <w:p>
      <w:pPr>
        <w:spacing w:line="420" w:lineRule="exact"/>
        <w:ind w:firstLine="480"/>
        <w:rPr>
          <w:rFonts w:ascii="宋体" w:cs="宋体"/>
        </w:rPr>
      </w:pPr>
      <w:r>
        <w:rPr>
          <w:rFonts w:ascii="宋体" w:hAnsi="宋体" w:cs="宋体"/>
        </w:rPr>
        <w:t>27.2</w:t>
      </w:r>
      <w:r>
        <w:rPr>
          <w:rFonts w:hint="eastAsia" w:ascii="宋体" w:hAnsi="宋体" w:cs="宋体"/>
        </w:rPr>
        <w:t>成交供应商拒绝签订服务合同的，采购人可以按照第四章“评审方法”推荐成交候选供应商的原则确定其他供应商作为成交供应商并签订项目合同，也可以重新开展采购活动。拒绝签项目合同的成交供应商不得参加对该项目重新开展的采购活动。</w:t>
      </w:r>
    </w:p>
    <w:p>
      <w:pPr>
        <w:spacing w:line="420" w:lineRule="exact"/>
        <w:ind w:firstLine="480"/>
        <w:rPr>
          <w:rFonts w:ascii="宋体" w:cs="宋体"/>
        </w:rPr>
      </w:pPr>
      <w:r>
        <w:rPr>
          <w:rFonts w:ascii="宋体" w:hAnsi="宋体" w:cs="宋体"/>
        </w:rPr>
        <w:t>27.3</w:t>
      </w:r>
      <w:r>
        <w:rPr>
          <w:rFonts w:hint="eastAsia" w:ascii="宋体" w:hAnsi="宋体" w:cs="宋体"/>
        </w:rPr>
        <w:t>出现下列情形之一的，采购人或者采购代理机构应当终止竞争性磋商采购活动，发布项目终止公告并说明原因，重新开展采购活动：</w:t>
      </w:r>
    </w:p>
    <w:p>
      <w:pPr>
        <w:numPr>
          <w:ilvl w:val="0"/>
          <w:numId w:val="4"/>
        </w:numPr>
        <w:spacing w:line="420" w:lineRule="exact"/>
        <w:ind w:firstLine="480"/>
        <w:rPr>
          <w:rFonts w:ascii="宋体" w:cs="宋体"/>
        </w:rPr>
      </w:pPr>
      <w:r>
        <w:rPr>
          <w:rFonts w:hint="eastAsia" w:ascii="宋体" w:hAnsi="宋体" w:cs="宋体"/>
        </w:rPr>
        <w:t>因情况变化，不再符合规定的竞争性磋商采购方式适用情形的；</w:t>
      </w:r>
    </w:p>
    <w:p>
      <w:pPr>
        <w:numPr>
          <w:ilvl w:val="0"/>
          <w:numId w:val="4"/>
        </w:numPr>
        <w:spacing w:line="420" w:lineRule="exact"/>
        <w:ind w:firstLine="480"/>
        <w:rPr>
          <w:rFonts w:ascii="宋体" w:cs="宋体"/>
        </w:rPr>
      </w:pPr>
      <w:r>
        <w:rPr>
          <w:rFonts w:hint="eastAsia" w:ascii="宋体" w:hAnsi="宋体" w:cs="宋体"/>
        </w:rPr>
        <w:t>出现影响采购公正的违法、违规行为的；</w:t>
      </w:r>
    </w:p>
    <w:p>
      <w:pPr>
        <w:numPr>
          <w:ilvl w:val="0"/>
          <w:numId w:val="4"/>
        </w:numPr>
        <w:spacing w:line="420" w:lineRule="exact"/>
        <w:ind w:firstLine="480"/>
        <w:rPr>
          <w:rFonts w:ascii="宋体" w:cs="宋体"/>
        </w:rPr>
      </w:pPr>
      <w:r>
        <w:rPr>
          <w:rFonts w:hint="eastAsia" w:ascii="宋体" w:hAnsi="宋体" w:cs="宋体"/>
        </w:rPr>
        <w:t>在采购过程中符合要求的供应商或者报价未超过采购预算的供应商方不足3家的。</w:t>
      </w:r>
    </w:p>
    <w:p>
      <w:pPr>
        <w:spacing w:line="420" w:lineRule="exact"/>
        <w:ind w:firstLine="480"/>
        <w:rPr>
          <w:rFonts w:ascii="宋体" w:cs="宋体"/>
        </w:rPr>
      </w:pPr>
      <w:r>
        <w:rPr>
          <w:rFonts w:ascii="宋体" w:hAnsi="宋体" w:cs="宋体"/>
        </w:rPr>
        <w:t>27.4</w:t>
      </w:r>
      <w:r>
        <w:rPr>
          <w:rFonts w:hint="eastAsia" w:ascii="宋体" w:hAnsi="宋体" w:cs="宋体"/>
        </w:rPr>
        <w:t>在采购活动中因重大变故，采购任务取消的，采购人或者采购代理机构应当终止采购活动，通知所有参加采购活动的供应商，并将项目实施情况和采购任务取消原因报送本级监管部门。</w:t>
      </w:r>
    </w:p>
    <w:p>
      <w:pPr>
        <w:spacing w:line="420" w:lineRule="exact"/>
        <w:ind w:firstLine="480"/>
        <w:rPr>
          <w:rFonts w:ascii="宋体" w:cs="宋体"/>
        </w:rPr>
      </w:pPr>
      <w:r>
        <w:rPr>
          <w:rFonts w:ascii="宋体" w:hAnsi="宋体" w:cs="宋体"/>
        </w:rPr>
        <w:t>27.5</w:t>
      </w:r>
      <w:r>
        <w:rPr>
          <w:rFonts w:hint="eastAsia" w:ascii="宋体" w:hAnsi="宋体" w:cs="宋体"/>
        </w:rPr>
        <w:t>项目合同必须报请本级主管部门审核同意，在获得同意前项目合同不得生效。</w:t>
      </w:r>
    </w:p>
    <w:p>
      <w:pPr>
        <w:spacing w:line="420" w:lineRule="exact"/>
        <w:ind w:firstLine="480"/>
        <w:rPr>
          <w:rFonts w:ascii="宋体" w:cs="宋体"/>
        </w:rPr>
      </w:pPr>
      <w:r>
        <w:rPr>
          <w:rFonts w:ascii="宋体" w:hAnsi="宋体" w:cs="宋体"/>
        </w:rPr>
        <w:t>27.6</w:t>
      </w:r>
      <w:r>
        <w:rPr>
          <w:rFonts w:hint="eastAsia" w:ascii="宋体" w:hAnsi="宋体" w:cs="宋体"/>
        </w:rPr>
        <w:t>采购人和监管部门应监督供应商按照采购文件和项目服务项目合同约定提供的服务。</w:t>
      </w:r>
    </w:p>
    <w:p>
      <w:pPr>
        <w:tabs>
          <w:tab w:val="left" w:pos="641"/>
        </w:tabs>
        <w:spacing w:line="420" w:lineRule="exact"/>
        <w:ind w:firstLine="482"/>
        <w:rPr>
          <w:rFonts w:ascii="宋体" w:cs="宋体"/>
          <w:b/>
          <w:bCs/>
          <w:szCs w:val="24"/>
        </w:rPr>
      </w:pPr>
      <w:bookmarkStart w:id="7" w:name="_Toc137651730"/>
      <w:bookmarkEnd w:id="7"/>
      <w:bookmarkStart w:id="8" w:name="_Toc127973031"/>
      <w:bookmarkEnd w:id="8"/>
      <w:r>
        <w:rPr>
          <w:rFonts w:ascii="宋体" w:hAnsi="宋体" w:cs="宋体"/>
          <w:b/>
          <w:bCs/>
          <w:szCs w:val="24"/>
        </w:rPr>
        <w:t>28.</w:t>
      </w:r>
      <w:r>
        <w:rPr>
          <w:rFonts w:hint="eastAsia" w:ascii="宋体" w:hAnsi="宋体" w:cs="宋体"/>
          <w:b/>
          <w:bCs/>
          <w:szCs w:val="24"/>
        </w:rPr>
        <w:t>保密</w:t>
      </w:r>
    </w:p>
    <w:p>
      <w:pPr>
        <w:spacing w:line="420" w:lineRule="exact"/>
        <w:ind w:firstLine="480"/>
        <w:rPr>
          <w:rFonts w:ascii="宋体" w:cs="宋体"/>
        </w:rPr>
      </w:pPr>
      <w:r>
        <w:rPr>
          <w:rFonts w:hint="eastAsia" w:ascii="宋体" w:hAnsi="宋体" w:cs="宋体"/>
        </w:rPr>
        <w:t>参与磋商活动的供应商应对磋商文件和响应文件中的涉及国家秘密和商业秘密进行保密，未经采购人书面同意不得扩散，否则承担相关法律责任。</w:t>
      </w:r>
    </w:p>
    <w:p>
      <w:pPr>
        <w:tabs>
          <w:tab w:val="left" w:pos="641"/>
        </w:tabs>
        <w:spacing w:line="420" w:lineRule="exact"/>
        <w:ind w:firstLine="482"/>
        <w:rPr>
          <w:rFonts w:ascii="宋体" w:cs="宋体"/>
          <w:b/>
          <w:bCs/>
          <w:szCs w:val="24"/>
        </w:rPr>
      </w:pPr>
      <w:r>
        <w:rPr>
          <w:rFonts w:ascii="宋体" w:hAnsi="宋体" w:cs="宋体"/>
          <w:b/>
          <w:bCs/>
          <w:szCs w:val="24"/>
        </w:rPr>
        <w:t>29.</w:t>
      </w:r>
      <w:r>
        <w:rPr>
          <w:rFonts w:hint="eastAsia" w:ascii="宋体" w:hAnsi="宋体" w:cs="宋体"/>
          <w:b/>
          <w:bCs/>
          <w:szCs w:val="24"/>
        </w:rPr>
        <w:t>质疑投诉</w:t>
      </w:r>
    </w:p>
    <w:p>
      <w:pPr>
        <w:spacing w:line="420" w:lineRule="exact"/>
        <w:ind w:firstLine="480"/>
        <w:rPr>
          <w:rFonts w:ascii="宋体" w:cs="宋体"/>
        </w:rPr>
      </w:pPr>
      <w:r>
        <w:rPr>
          <w:rFonts w:hint="eastAsia" w:ascii="宋体" w:hAnsi="宋体" w:cs="宋体"/>
        </w:rPr>
        <w:t>参加竞争性磋商采购活动的询问、质疑和投诉，依照有关政府采购相关法律规定执行。</w:t>
      </w:r>
    </w:p>
    <w:p>
      <w:pPr>
        <w:tabs>
          <w:tab w:val="left" w:pos="641"/>
        </w:tabs>
        <w:spacing w:line="420" w:lineRule="exact"/>
        <w:ind w:firstLine="482"/>
        <w:rPr>
          <w:rFonts w:ascii="宋体" w:hAnsi="宋体" w:cs="宋体"/>
          <w:b/>
          <w:bCs/>
          <w:szCs w:val="24"/>
        </w:rPr>
      </w:pPr>
      <w:r>
        <w:rPr>
          <w:rFonts w:hint="eastAsia" w:ascii="宋体" w:hAnsi="宋体" w:cs="宋体"/>
          <w:b/>
          <w:bCs/>
          <w:szCs w:val="24"/>
        </w:rPr>
        <w:t>30.政府采购政策</w:t>
      </w:r>
    </w:p>
    <w:p>
      <w:pPr>
        <w:tabs>
          <w:tab w:val="left" w:pos="641"/>
        </w:tabs>
        <w:spacing w:line="420" w:lineRule="exact"/>
        <w:ind w:firstLine="480" w:firstLineChars="200"/>
        <w:jc w:val="center"/>
        <w:rPr>
          <w:rFonts w:ascii="黑体" w:hAnsi="黑体" w:eastAsia="黑体"/>
          <w:sz w:val="32"/>
          <w:szCs w:val="32"/>
        </w:rPr>
      </w:pPr>
      <w:r>
        <w:rPr>
          <w:rFonts w:ascii="宋体" w:hAnsi="宋体" w:cs="宋体"/>
        </w:rPr>
        <w:t>30.1</w:t>
      </w:r>
      <w:r>
        <w:rPr>
          <w:rFonts w:hint="eastAsia" w:ascii="宋体" w:hAnsi="宋体" w:cs="宋体"/>
        </w:rPr>
        <w:t>政府采购应当有助于实现国家的经济和</w:t>
      </w:r>
      <w:r>
        <w:fldChar w:fldCharType="begin"/>
      </w:r>
      <w:r>
        <w:instrText xml:space="preserve"> HYPERLINK "http://baike.baidu.com/view/391473.htm" </w:instrText>
      </w:r>
      <w:r>
        <w:fldChar w:fldCharType="separate"/>
      </w:r>
      <w:r>
        <w:rPr>
          <w:rFonts w:hint="eastAsia" w:ascii="宋体" w:hAnsi="宋体" w:cs="宋体"/>
        </w:rPr>
        <w:t>社会发展</w:t>
      </w:r>
      <w:r>
        <w:rPr>
          <w:rFonts w:hint="eastAsia" w:ascii="宋体" w:hAnsi="宋体" w:cs="宋体"/>
        </w:rPr>
        <w:fldChar w:fldCharType="end"/>
      </w:r>
      <w:r>
        <w:rPr>
          <w:rFonts w:hint="eastAsia" w:ascii="宋体" w:hAnsi="宋体" w:cs="宋体"/>
        </w:rPr>
        <w:t>政策目标，包括保护环境，扶持不发达地区和少数民族地区，促进中小企业发展等。政府采购应当采购本国货物、工程和服务。</w:t>
      </w:r>
      <w:r>
        <w:br w:type="page"/>
      </w:r>
      <w:r>
        <w:rPr>
          <w:rFonts w:hint="eastAsia" w:ascii="黑体" w:hAnsi="黑体" w:eastAsia="黑体"/>
          <w:sz w:val="32"/>
          <w:szCs w:val="32"/>
        </w:rPr>
        <w:t>第四章 评审办法</w:t>
      </w:r>
    </w:p>
    <w:p>
      <w:pPr>
        <w:pStyle w:val="28"/>
        <w:spacing w:before="0" w:line="440" w:lineRule="exact"/>
        <w:ind w:firstLine="482" w:firstLineChars="200"/>
        <w:jc w:val="both"/>
        <w:rPr>
          <w:sz w:val="24"/>
          <w:szCs w:val="24"/>
        </w:rPr>
      </w:pPr>
      <w:bookmarkStart w:id="9" w:name="_Toc448307955"/>
      <w:bookmarkEnd w:id="9"/>
      <w:bookmarkStart w:id="10" w:name="_Toc431307779"/>
      <w:bookmarkEnd w:id="10"/>
      <w:r>
        <w:rPr>
          <w:rFonts w:hint="eastAsia"/>
          <w:sz w:val="24"/>
          <w:szCs w:val="24"/>
        </w:rPr>
        <w:t>一、评审方法及评审原则</w:t>
      </w:r>
      <w:bookmarkStart w:id="11" w:name="_Toc414277163"/>
      <w:bookmarkEnd w:id="11"/>
      <w:bookmarkStart w:id="12" w:name="_Toc431307789"/>
      <w:bookmarkEnd w:id="12"/>
      <w:bookmarkStart w:id="13" w:name="_Toc152042377"/>
      <w:bookmarkEnd w:id="13"/>
      <w:bookmarkStart w:id="14" w:name="_Toc144974567"/>
      <w:bookmarkEnd w:id="14"/>
      <w:bookmarkStart w:id="15" w:name="_Toc448307956"/>
      <w:bookmarkEnd w:id="15"/>
      <w:bookmarkStart w:id="16" w:name="_Toc415575790"/>
      <w:bookmarkEnd w:id="16"/>
      <w:bookmarkStart w:id="17" w:name="_Toc152045600"/>
      <w:bookmarkEnd w:id="17"/>
      <w:bookmarkStart w:id="18" w:name="_Toc414112651"/>
      <w:bookmarkEnd w:id="18"/>
    </w:p>
    <w:p>
      <w:pPr>
        <w:pStyle w:val="28"/>
        <w:spacing w:before="0" w:line="440" w:lineRule="exact"/>
        <w:ind w:firstLine="482" w:firstLineChars="200"/>
        <w:jc w:val="both"/>
        <w:rPr>
          <w:rFonts w:ascii="宋体" w:cs="宋体"/>
          <w:sz w:val="24"/>
          <w:szCs w:val="24"/>
        </w:rPr>
      </w:pPr>
      <w:r>
        <w:rPr>
          <w:rFonts w:ascii="宋体" w:hAnsi="宋体" w:cs="宋体"/>
          <w:sz w:val="24"/>
          <w:szCs w:val="24"/>
        </w:rPr>
        <w:t>1.</w:t>
      </w:r>
      <w:r>
        <w:rPr>
          <w:rFonts w:hint="eastAsia" w:ascii="宋体" w:hAnsi="宋体" w:cs="宋体"/>
          <w:sz w:val="24"/>
          <w:szCs w:val="24"/>
        </w:rPr>
        <w:t>评审方法</w:t>
      </w:r>
    </w:p>
    <w:p>
      <w:pPr>
        <w:spacing w:line="400" w:lineRule="exact"/>
        <w:ind w:firstLine="482"/>
        <w:rPr>
          <w:rFonts w:ascii="宋体" w:cs="宋体"/>
        </w:rPr>
      </w:pPr>
      <w:r>
        <w:rPr>
          <w:rFonts w:hint="eastAsia" w:ascii="宋体" w:hAnsi="宋体" w:cs="宋体"/>
        </w:rPr>
        <w:t>本次评审采用综合评分法，满分</w:t>
      </w:r>
      <w:r>
        <w:rPr>
          <w:rFonts w:ascii="宋体" w:hAnsi="宋体" w:cs="宋体"/>
        </w:rPr>
        <w:t>100</w:t>
      </w:r>
      <w:r>
        <w:rPr>
          <w:rFonts w:hint="eastAsia" w:ascii="宋体" w:hAnsi="宋体" w:cs="宋体"/>
        </w:rPr>
        <w:t>分。磋商小组对满足磋商文件要求的响应文件，按照本章规定的评审标准进行评审，按评审办法的量化指标评审得分从高到低顺序推荐候选供应商。评分得分相同的，按照报价从由低到高顺序推荐。</w:t>
      </w:r>
    </w:p>
    <w:p>
      <w:pPr>
        <w:spacing w:line="440" w:lineRule="exact"/>
        <w:ind w:firstLine="482"/>
        <w:rPr>
          <w:rFonts w:ascii="宋体" w:cs="宋体"/>
          <w:b/>
          <w:szCs w:val="24"/>
        </w:rPr>
      </w:pPr>
      <w:r>
        <w:rPr>
          <w:rFonts w:ascii="宋体" w:hAnsi="宋体" w:cs="宋体"/>
          <w:b/>
          <w:szCs w:val="24"/>
        </w:rPr>
        <w:t>2.</w:t>
      </w:r>
      <w:r>
        <w:rPr>
          <w:rFonts w:hint="eastAsia" w:ascii="宋体" w:hAnsi="宋体" w:cs="宋体"/>
          <w:b/>
          <w:szCs w:val="24"/>
        </w:rPr>
        <w:t>评审原则标准</w:t>
      </w:r>
      <w:bookmarkStart w:id="19" w:name="_Toc448307958"/>
      <w:bookmarkEnd w:id="19"/>
    </w:p>
    <w:p>
      <w:pPr>
        <w:spacing w:line="440" w:lineRule="exact"/>
        <w:ind w:firstLine="482"/>
        <w:rPr>
          <w:rFonts w:ascii="宋体" w:cs="宋体"/>
          <w:szCs w:val="24"/>
        </w:rPr>
      </w:pPr>
      <w:r>
        <w:rPr>
          <w:rFonts w:ascii="宋体" w:hAnsi="宋体" w:cs="宋体"/>
          <w:szCs w:val="24"/>
        </w:rPr>
        <w:t>2.1</w:t>
      </w:r>
      <w:r>
        <w:rPr>
          <w:rFonts w:hint="eastAsia" w:ascii="宋体" w:hAnsi="宋体" w:cs="宋体"/>
          <w:szCs w:val="24"/>
        </w:rPr>
        <w:t>磋商响应文件初审</w:t>
      </w:r>
      <w:bookmarkStart w:id="20" w:name="_Toc448307959"/>
      <w:bookmarkEnd w:id="20"/>
    </w:p>
    <w:p>
      <w:pPr>
        <w:spacing w:line="440" w:lineRule="exact"/>
        <w:ind w:firstLine="482"/>
        <w:rPr>
          <w:rFonts w:ascii="宋体" w:cs="宋体"/>
          <w:b/>
          <w:szCs w:val="24"/>
        </w:rPr>
      </w:pPr>
      <w:r>
        <w:rPr>
          <w:rFonts w:ascii="宋体" w:hAnsi="宋体" w:cs="宋体"/>
          <w:b/>
          <w:szCs w:val="24"/>
        </w:rPr>
        <w:t>2.1.1</w:t>
      </w:r>
      <w:r>
        <w:rPr>
          <w:rFonts w:hint="eastAsia" w:ascii="宋体" w:hAnsi="宋体" w:cs="宋体"/>
          <w:b/>
          <w:szCs w:val="24"/>
        </w:rPr>
        <w:t>资格性检查标准</w:t>
      </w:r>
    </w:p>
    <w:p>
      <w:pPr>
        <w:spacing w:line="400" w:lineRule="exact"/>
        <w:ind w:firstLine="482"/>
        <w:rPr>
          <w:rFonts w:ascii="宋体" w:cs="宋体"/>
        </w:rPr>
      </w:pPr>
      <w:r>
        <w:rPr>
          <w:rFonts w:hint="eastAsia" w:ascii="宋体" w:hAnsi="宋体" w:cs="宋体"/>
        </w:rPr>
        <w:t>由磋商小组进行资格审查。依据法律法规和磋商文件的规定，对响应文件中的资格证明、磋商保证金等进行检查，以确定供应商是否具备磋商资格。资格性检查评审标准：见评审方法前附表。</w:t>
      </w:r>
    </w:p>
    <w:p>
      <w:pPr>
        <w:spacing w:line="400" w:lineRule="exact"/>
        <w:ind w:firstLine="482"/>
        <w:rPr>
          <w:rFonts w:ascii="宋体" w:cs="宋体"/>
        </w:rPr>
      </w:pPr>
      <w:r>
        <w:rPr>
          <w:rFonts w:hint="eastAsia" w:ascii="宋体" w:hAnsi="宋体" w:cs="宋体"/>
        </w:rPr>
        <w:t>由磋商小组按照资格文件规定的审查标准对供应商进行资格审查。有一项不符合审查标准的，响应文件将不进入下一步评审。</w:t>
      </w:r>
    </w:p>
    <w:p>
      <w:pPr>
        <w:spacing w:line="400" w:lineRule="exact"/>
        <w:ind w:firstLine="482"/>
        <w:rPr>
          <w:rFonts w:ascii="宋体" w:cs="宋体"/>
        </w:rPr>
      </w:pPr>
      <w:bookmarkStart w:id="21" w:name="_Toc448307960"/>
      <w:bookmarkEnd w:id="21"/>
      <w:r>
        <w:rPr>
          <w:rFonts w:ascii="宋体" w:hAnsi="宋体" w:cs="宋体"/>
        </w:rPr>
        <w:t>2.1.2</w:t>
      </w:r>
      <w:r>
        <w:rPr>
          <w:rFonts w:hint="eastAsia" w:ascii="宋体" w:hAnsi="宋体" w:cs="宋体"/>
        </w:rPr>
        <w:t>符合性审查标准</w:t>
      </w:r>
    </w:p>
    <w:p>
      <w:pPr>
        <w:spacing w:line="400" w:lineRule="exact"/>
        <w:ind w:firstLine="482"/>
        <w:rPr>
          <w:rFonts w:ascii="宋体" w:cs="宋体"/>
        </w:rPr>
      </w:pPr>
      <w:r>
        <w:rPr>
          <w:rFonts w:hint="eastAsia" w:ascii="宋体" w:hAnsi="宋体" w:cs="宋体"/>
        </w:rPr>
        <w:t>通过资格审查的供应商，由磋商小组进行符合性审查。依据磋商文件的规定，从响应文件的有效性、完整性和对磋商文件的响应程度进行审查，以确定是否对磋商文件的实质性要求做出响应。符合性检查评审标准：见评审方法附表。</w:t>
      </w:r>
      <w:bookmarkStart w:id="22" w:name="_Toc152045607"/>
      <w:bookmarkEnd w:id="22"/>
      <w:bookmarkStart w:id="23" w:name="_Toc152042385"/>
      <w:bookmarkEnd w:id="23"/>
      <w:bookmarkStart w:id="24" w:name="_Toc448307961"/>
      <w:bookmarkEnd w:id="24"/>
      <w:bookmarkStart w:id="25" w:name="_Toc414277170"/>
      <w:bookmarkEnd w:id="25"/>
      <w:bookmarkStart w:id="26" w:name="_Toc144974575"/>
      <w:bookmarkEnd w:id="26"/>
      <w:bookmarkStart w:id="27" w:name="_Toc414112658"/>
      <w:bookmarkEnd w:id="27"/>
    </w:p>
    <w:p>
      <w:pPr>
        <w:spacing w:line="400" w:lineRule="exact"/>
        <w:ind w:firstLine="482"/>
        <w:rPr>
          <w:rFonts w:ascii="宋体" w:cs="宋体"/>
        </w:rPr>
      </w:pPr>
      <w:r>
        <w:rPr>
          <w:rFonts w:ascii="宋体" w:hAnsi="宋体" w:cs="宋体"/>
        </w:rPr>
        <w:t>2.2</w:t>
      </w:r>
      <w:r>
        <w:rPr>
          <w:rFonts w:hint="eastAsia" w:ascii="宋体" w:hAnsi="宋体" w:cs="宋体"/>
        </w:rPr>
        <w:t>澄清有关问题</w:t>
      </w:r>
    </w:p>
    <w:p>
      <w:pPr>
        <w:spacing w:line="400" w:lineRule="exact"/>
        <w:ind w:firstLine="482"/>
        <w:rPr>
          <w:rFonts w:ascii="宋体" w:cs="宋体"/>
        </w:rPr>
      </w:pPr>
      <w:r>
        <w:rPr>
          <w:rFonts w:ascii="宋体" w:hAnsi="宋体" w:cs="宋体"/>
        </w:rPr>
        <w:t>2.2.1</w:t>
      </w:r>
      <w:r>
        <w:rPr>
          <w:rFonts w:hint="eastAsia" w:ascii="宋体" w:hAnsi="宋体" w:cs="宋体"/>
        </w:rPr>
        <w:t>对响应文件中含义不明确、同类问题表述不一致或者有明显文字和计算错误的内容，磋商小组可以书面形式（应当由磋商小组专家签字）要求响应供应商做出必要的澄清、说明或者纠正。供应商的澄清、说明或者补正应当采用书面形式，由其授权代表签字，并不得超出响应文件的范围或者改变响应文件的实质性内容。</w:t>
      </w:r>
    </w:p>
    <w:p>
      <w:pPr>
        <w:spacing w:line="400" w:lineRule="exact"/>
        <w:ind w:firstLine="482"/>
        <w:rPr>
          <w:rFonts w:ascii="宋体" w:cs="宋体"/>
        </w:rPr>
      </w:pPr>
      <w:r>
        <w:rPr>
          <w:rFonts w:ascii="宋体" w:hAnsi="宋体" w:cs="宋体"/>
        </w:rPr>
        <w:t>2.2.2</w:t>
      </w:r>
      <w:r>
        <w:rPr>
          <w:rFonts w:hint="eastAsia" w:ascii="宋体" w:hAnsi="宋体" w:cs="宋体"/>
        </w:rPr>
        <w:t>磋商小组要求供应商澄清、说明或者更正响应文件应当以书面形式做出。供应商的澄清、说明或者更正应当由法定代表人或其授权代表签字或者加盖公章。</w:t>
      </w:r>
    </w:p>
    <w:p>
      <w:pPr>
        <w:spacing w:line="400" w:lineRule="exact"/>
        <w:ind w:firstLine="482"/>
        <w:rPr>
          <w:rFonts w:ascii="宋体" w:cs="宋体"/>
        </w:rPr>
      </w:pPr>
      <w:r>
        <w:rPr>
          <w:rFonts w:ascii="宋体" w:hAnsi="宋体" w:cs="宋体"/>
        </w:rPr>
        <w:t>2.3</w:t>
      </w:r>
      <w:r>
        <w:rPr>
          <w:rFonts w:hint="eastAsia" w:ascii="宋体" w:hAnsi="宋体" w:cs="宋体"/>
        </w:rPr>
        <w:t>比较与评价</w:t>
      </w:r>
    </w:p>
    <w:p>
      <w:pPr>
        <w:spacing w:line="400" w:lineRule="exact"/>
        <w:ind w:firstLine="482"/>
        <w:rPr>
          <w:rFonts w:ascii="宋体" w:cs="宋体"/>
        </w:rPr>
      </w:pPr>
      <w:r>
        <w:rPr>
          <w:rFonts w:ascii="宋体" w:hAnsi="宋体" w:cs="宋体"/>
        </w:rPr>
        <w:t>2.3.1</w:t>
      </w:r>
      <w:r>
        <w:rPr>
          <w:rFonts w:hint="eastAsia" w:ascii="宋体" w:hAnsi="宋体" w:cs="宋体"/>
        </w:rPr>
        <w:t>按磋商文件中规定的评标方法和标准，对资格性检查和符合性检查合格的响应文件进行详细评审，详细评审标准。</w:t>
      </w:r>
    </w:p>
    <w:p>
      <w:pPr>
        <w:spacing w:line="400" w:lineRule="exact"/>
        <w:ind w:firstLine="482"/>
        <w:rPr>
          <w:rFonts w:ascii="宋体" w:cs="宋体"/>
        </w:rPr>
      </w:pPr>
      <w:r>
        <w:rPr>
          <w:rFonts w:ascii="宋体" w:hAnsi="宋体" w:cs="宋体"/>
        </w:rPr>
        <w:t>2.3.2</w:t>
      </w:r>
      <w:r>
        <w:rPr>
          <w:rFonts w:hint="eastAsia" w:ascii="宋体" w:hAnsi="宋体" w:cs="宋体"/>
        </w:rPr>
        <w:t>磋商小组按规定的量化指标和分值进行打分，并计算出综合评审得分；</w:t>
      </w:r>
    </w:p>
    <w:p>
      <w:pPr>
        <w:spacing w:line="400" w:lineRule="exact"/>
        <w:ind w:firstLine="482"/>
        <w:rPr>
          <w:rFonts w:ascii="宋体" w:cs="宋体"/>
        </w:rPr>
      </w:pPr>
      <w:r>
        <w:rPr>
          <w:rFonts w:ascii="宋体" w:hAnsi="宋体" w:cs="宋体"/>
        </w:rPr>
        <w:t>2.3.3</w:t>
      </w:r>
      <w:r>
        <w:rPr>
          <w:rFonts w:hint="eastAsia" w:ascii="宋体" w:hAnsi="宋体" w:cs="宋体"/>
        </w:rPr>
        <w:t>汇总全体磋商小组对响应供商的打分总和，即供应商的最终评审得分；</w:t>
      </w:r>
    </w:p>
    <w:p>
      <w:pPr>
        <w:spacing w:line="400" w:lineRule="exact"/>
        <w:ind w:firstLine="482"/>
        <w:rPr>
          <w:rFonts w:ascii="宋体"/>
          <w:szCs w:val="24"/>
        </w:rPr>
      </w:pPr>
      <w:r>
        <w:rPr>
          <w:rFonts w:ascii="宋体" w:hAnsi="宋体" w:cs="宋体"/>
        </w:rPr>
        <w:t>2.3.4</w:t>
      </w:r>
      <w:r>
        <w:rPr>
          <w:rFonts w:hint="eastAsia" w:ascii="宋体" w:hAnsi="宋体" w:cs="宋体"/>
        </w:rPr>
        <w:t>评分分值计算保留小数点后两位，小数点后两位</w:t>
      </w:r>
      <w:r>
        <w:rPr>
          <w:rFonts w:hint="eastAsia" w:ascii="宋体" w:hAnsi="宋体"/>
          <w:szCs w:val="24"/>
        </w:rPr>
        <w:t>（采用四舍五入法）。</w:t>
      </w:r>
    </w:p>
    <w:p>
      <w:pPr>
        <w:spacing w:line="440" w:lineRule="exact"/>
        <w:ind w:firstLine="482"/>
        <w:rPr>
          <w:rFonts w:ascii="宋体" w:cs="宋体"/>
          <w:b/>
          <w:szCs w:val="24"/>
        </w:rPr>
      </w:pPr>
      <w:bookmarkStart w:id="28" w:name="_Toc448307963"/>
      <w:bookmarkEnd w:id="28"/>
      <w:r>
        <w:rPr>
          <w:rFonts w:ascii="宋体" w:hAnsi="宋体" w:cs="宋体"/>
          <w:b/>
          <w:szCs w:val="24"/>
        </w:rPr>
        <w:t>3.</w:t>
      </w:r>
      <w:r>
        <w:rPr>
          <w:rFonts w:hint="eastAsia" w:ascii="宋体" w:hAnsi="宋体" w:cs="宋体"/>
          <w:b/>
          <w:szCs w:val="24"/>
        </w:rPr>
        <w:t>评审程序</w:t>
      </w:r>
    </w:p>
    <w:p>
      <w:pPr>
        <w:spacing w:line="440" w:lineRule="exact"/>
        <w:ind w:firstLine="482"/>
        <w:rPr>
          <w:rFonts w:ascii="宋体" w:cs="宋体"/>
          <w:b/>
          <w:szCs w:val="24"/>
        </w:rPr>
      </w:pPr>
      <w:bookmarkStart w:id="29" w:name="_Toc448307964"/>
      <w:bookmarkEnd w:id="29"/>
      <w:r>
        <w:rPr>
          <w:rFonts w:ascii="宋体" w:hAnsi="宋体" w:cs="宋体"/>
          <w:b/>
          <w:szCs w:val="24"/>
        </w:rPr>
        <w:t>3.1</w:t>
      </w:r>
      <w:r>
        <w:rPr>
          <w:rFonts w:hint="eastAsia" w:ascii="宋体" w:hAnsi="宋体" w:cs="宋体"/>
          <w:b/>
          <w:szCs w:val="24"/>
        </w:rPr>
        <w:t>响应文件初审</w:t>
      </w:r>
    </w:p>
    <w:p>
      <w:pPr>
        <w:spacing w:line="400" w:lineRule="exact"/>
        <w:ind w:firstLine="482"/>
        <w:rPr>
          <w:rFonts w:ascii="宋体" w:cs="宋体"/>
        </w:rPr>
      </w:pPr>
      <w:r>
        <w:rPr>
          <w:rFonts w:hint="eastAsia" w:ascii="宋体" w:hAnsi="宋体" w:cs="宋体"/>
        </w:rPr>
        <w:t>磋商小组依据本章规定的检查标准，对响应文件进行初审。有一项不符合检查标准的，其磋商将被拒绝，不能进入后续评审或磋商程序。</w:t>
      </w:r>
      <w:bookmarkStart w:id="30" w:name="_Toc448307965"/>
      <w:bookmarkEnd w:id="30"/>
    </w:p>
    <w:p>
      <w:pPr>
        <w:spacing w:line="400" w:lineRule="exact"/>
        <w:ind w:firstLine="482"/>
        <w:rPr>
          <w:rFonts w:ascii="宋体" w:cs="宋体"/>
          <w:b/>
          <w:szCs w:val="24"/>
        </w:rPr>
      </w:pPr>
      <w:r>
        <w:rPr>
          <w:rFonts w:ascii="宋体" w:hAnsi="宋体" w:cs="宋体"/>
          <w:b/>
          <w:szCs w:val="24"/>
        </w:rPr>
        <w:t>3.2</w:t>
      </w:r>
      <w:r>
        <w:rPr>
          <w:rFonts w:hint="eastAsia" w:ascii="宋体" w:hAnsi="宋体" w:cs="宋体"/>
          <w:b/>
          <w:szCs w:val="24"/>
        </w:rPr>
        <w:t>磋商</w:t>
      </w:r>
    </w:p>
    <w:p>
      <w:pPr>
        <w:spacing w:line="400" w:lineRule="exact"/>
        <w:ind w:firstLine="482"/>
        <w:rPr>
          <w:rFonts w:ascii="宋体" w:cs="宋体"/>
        </w:rPr>
      </w:pPr>
      <w:r>
        <w:rPr>
          <w:rFonts w:hint="eastAsia" w:ascii="宋体" w:hAnsi="宋体" w:cs="宋体"/>
        </w:rPr>
        <w:t>磋商程序详见竞争性磋商须知。</w:t>
      </w:r>
      <w:bookmarkStart w:id="31" w:name="_Toc448307966"/>
      <w:bookmarkEnd w:id="31"/>
    </w:p>
    <w:p>
      <w:pPr>
        <w:spacing w:line="400" w:lineRule="exact"/>
        <w:ind w:firstLine="482"/>
        <w:rPr>
          <w:rFonts w:ascii="宋体" w:cs="宋体"/>
          <w:b/>
          <w:bCs/>
        </w:rPr>
      </w:pPr>
      <w:r>
        <w:rPr>
          <w:rFonts w:ascii="宋体" w:hAnsi="宋体" w:cs="宋体"/>
          <w:b/>
          <w:bCs/>
        </w:rPr>
        <w:t>3.3</w:t>
      </w:r>
      <w:r>
        <w:rPr>
          <w:rFonts w:hint="eastAsia" w:ascii="宋体" w:hAnsi="宋体" w:cs="宋体"/>
          <w:b/>
          <w:bCs/>
        </w:rPr>
        <w:t>澄清及算术修正</w:t>
      </w:r>
    </w:p>
    <w:p>
      <w:pPr>
        <w:spacing w:line="400" w:lineRule="exact"/>
        <w:ind w:firstLine="482"/>
        <w:rPr>
          <w:rFonts w:ascii="宋体" w:cs="宋体"/>
        </w:rPr>
      </w:pPr>
      <w:r>
        <w:rPr>
          <w:rFonts w:hint="eastAsia" w:ascii="宋体" w:hAnsi="宋体" w:cs="宋体"/>
        </w:rPr>
        <w:t>响应供应商应按照磋商小组和磋商文件的要求进行问题澄清。算数修正的要求和原则详见须知。</w:t>
      </w:r>
    </w:p>
    <w:p>
      <w:pPr>
        <w:spacing w:line="400" w:lineRule="exact"/>
        <w:ind w:firstLine="482"/>
        <w:rPr>
          <w:rFonts w:ascii="宋体" w:cs="宋体"/>
          <w:b/>
          <w:bCs/>
        </w:rPr>
      </w:pPr>
      <w:r>
        <w:rPr>
          <w:rFonts w:ascii="宋体" w:hAnsi="宋体" w:cs="宋体"/>
          <w:b/>
          <w:bCs/>
        </w:rPr>
        <w:t>3.4</w:t>
      </w:r>
      <w:r>
        <w:rPr>
          <w:rFonts w:hint="eastAsia" w:ascii="宋体" w:hAnsi="宋体" w:cs="宋体"/>
          <w:b/>
          <w:bCs/>
        </w:rPr>
        <w:t>磋商最后报价</w:t>
      </w:r>
    </w:p>
    <w:p>
      <w:pPr>
        <w:spacing w:line="400" w:lineRule="exact"/>
        <w:ind w:firstLine="482"/>
        <w:rPr>
          <w:rFonts w:ascii="宋体" w:cs="宋体"/>
        </w:rPr>
      </w:pPr>
      <w:r>
        <w:rPr>
          <w:rFonts w:hint="eastAsia" w:ascii="宋体" w:hAnsi="宋体" w:cs="宋体"/>
        </w:rPr>
        <w:t>经过磋商符合要求的供应商进行最后报价，最后报价为报价得分的依据。</w:t>
      </w:r>
    </w:p>
    <w:p>
      <w:pPr>
        <w:spacing w:line="400" w:lineRule="exact"/>
        <w:ind w:firstLine="482"/>
        <w:rPr>
          <w:rFonts w:ascii="宋体" w:cs="宋体"/>
          <w:b/>
          <w:bCs/>
        </w:rPr>
      </w:pPr>
      <w:r>
        <w:rPr>
          <w:rFonts w:ascii="宋体" w:hAnsi="宋体" w:cs="宋体"/>
          <w:b/>
          <w:bCs/>
        </w:rPr>
        <w:t xml:space="preserve"> 3.5</w:t>
      </w:r>
      <w:r>
        <w:rPr>
          <w:rFonts w:hint="eastAsia" w:ascii="宋体" w:hAnsi="宋体" w:cs="宋体"/>
          <w:b/>
          <w:bCs/>
        </w:rPr>
        <w:t>比较与评价</w:t>
      </w:r>
    </w:p>
    <w:p>
      <w:pPr>
        <w:spacing w:line="400" w:lineRule="exact"/>
        <w:ind w:firstLine="482"/>
        <w:rPr>
          <w:rFonts w:ascii="宋体"/>
          <w:szCs w:val="24"/>
        </w:rPr>
      </w:pPr>
      <w:r>
        <w:rPr>
          <w:rFonts w:hint="eastAsia" w:ascii="宋体" w:hAnsi="宋体" w:cs="宋体"/>
        </w:rPr>
        <w:t>磋商小组按照评审方法前附表进行比较和评价，评分分值计算保留小数点后两位</w:t>
      </w:r>
      <w:r>
        <w:rPr>
          <w:rFonts w:hint="eastAsia" w:ascii="宋体" w:hAnsi="宋体"/>
          <w:szCs w:val="24"/>
        </w:rPr>
        <w:t>（采用四舍五入法）</w:t>
      </w:r>
    </w:p>
    <w:p>
      <w:pPr>
        <w:spacing w:line="400" w:lineRule="exact"/>
        <w:ind w:firstLine="482"/>
        <w:rPr>
          <w:rFonts w:ascii="宋体" w:cs="宋体"/>
          <w:b/>
          <w:bCs/>
        </w:rPr>
      </w:pPr>
      <w:r>
        <w:rPr>
          <w:rFonts w:ascii="宋体" w:hAnsi="宋体" w:cs="宋体"/>
          <w:b/>
          <w:bCs/>
        </w:rPr>
        <w:t>3.6</w:t>
      </w:r>
      <w:r>
        <w:rPr>
          <w:rFonts w:hint="eastAsia" w:ascii="宋体" w:hAnsi="宋体" w:cs="宋体"/>
          <w:b/>
          <w:bCs/>
        </w:rPr>
        <w:t>推荐成交候选供应商</w:t>
      </w:r>
    </w:p>
    <w:p>
      <w:pPr>
        <w:spacing w:line="400" w:lineRule="exact"/>
        <w:ind w:firstLine="482"/>
        <w:rPr>
          <w:rFonts w:ascii="宋体" w:cs="宋体"/>
        </w:rPr>
      </w:pPr>
      <w:r>
        <w:rPr>
          <w:rFonts w:ascii="宋体" w:hAnsi="宋体" w:cs="宋体"/>
        </w:rPr>
        <w:t>3.6.1</w:t>
      </w:r>
      <w:r>
        <w:rPr>
          <w:rFonts w:hint="eastAsia" w:ascii="宋体" w:hAnsi="宋体" w:cs="宋体"/>
        </w:rPr>
        <w:t>磋商小组按照综合评审得分由高到低的顺序推荐候选供应商。</w:t>
      </w:r>
    </w:p>
    <w:p>
      <w:pPr>
        <w:spacing w:line="400" w:lineRule="exact"/>
        <w:ind w:firstLine="482"/>
        <w:rPr>
          <w:rFonts w:ascii="宋体" w:cs="宋体"/>
        </w:rPr>
      </w:pPr>
      <w:r>
        <w:rPr>
          <w:rFonts w:ascii="宋体" w:hAnsi="宋体" w:cs="宋体"/>
        </w:rPr>
        <w:t>3.6.2</w:t>
      </w:r>
      <w:r>
        <w:rPr>
          <w:rFonts w:hint="eastAsia" w:ascii="宋体" w:hAnsi="宋体" w:cs="宋体"/>
        </w:rPr>
        <w:t>磋商小组完成评审后，向采购人提交书面评审报告。</w:t>
      </w:r>
    </w:p>
    <w:p>
      <w:pPr>
        <w:spacing w:line="400" w:lineRule="exact"/>
        <w:ind w:firstLine="482"/>
        <w:rPr>
          <w:rFonts w:ascii="宋体" w:cs="宋体"/>
          <w:b/>
          <w:bCs/>
        </w:rPr>
      </w:pPr>
      <w:r>
        <w:rPr>
          <w:rFonts w:hint="eastAsia" w:ascii="宋体" w:hAnsi="宋体" w:cs="宋体"/>
          <w:b/>
          <w:bCs/>
        </w:rPr>
        <w:t>二、评审方法附表</w:t>
      </w:r>
    </w:p>
    <w:p>
      <w:pPr>
        <w:spacing w:line="400" w:lineRule="exact"/>
        <w:ind w:firstLine="482"/>
        <w:rPr>
          <w:b/>
        </w:rPr>
      </w:pPr>
      <w:r>
        <w:rPr>
          <w:b/>
          <w:szCs w:val="24"/>
        </w:rPr>
        <w:t>1</w:t>
      </w:r>
      <w:r>
        <w:rPr>
          <w:rFonts w:hint="eastAsia"/>
          <w:b/>
          <w:szCs w:val="24"/>
        </w:rPr>
        <w:t>．响应文件审查内容</w:t>
      </w:r>
    </w:p>
    <w:tbl>
      <w:tblPr>
        <w:tblStyle w:val="34"/>
        <w:tblW w:w="9931" w:type="dxa"/>
        <w:jc w:val="right"/>
        <w:tblInd w:w="0" w:type="dxa"/>
        <w:tblLayout w:type="fixed"/>
        <w:tblCellMar>
          <w:top w:w="0" w:type="dxa"/>
          <w:left w:w="10" w:type="dxa"/>
          <w:bottom w:w="0" w:type="dxa"/>
          <w:right w:w="10" w:type="dxa"/>
        </w:tblCellMar>
      </w:tblPr>
      <w:tblGrid>
        <w:gridCol w:w="1830"/>
        <w:gridCol w:w="8101"/>
      </w:tblGrid>
      <w:tr>
        <w:tblPrEx>
          <w:tblLayout w:type="fixed"/>
          <w:tblCellMar>
            <w:top w:w="0" w:type="dxa"/>
            <w:left w:w="10" w:type="dxa"/>
            <w:bottom w:w="0" w:type="dxa"/>
            <w:right w:w="10" w:type="dxa"/>
          </w:tblCellMar>
        </w:tblPrEx>
        <w:trPr>
          <w:trHeight w:val="307" w:hRule="atLeast"/>
          <w:jc w:val="right"/>
        </w:trPr>
        <w:tc>
          <w:tcPr>
            <w:tcW w:w="1830" w:type="dxa"/>
            <w:tcBorders>
              <w:top w:val="doub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cs="Arial"/>
                <w:b/>
                <w:sz w:val="21"/>
                <w:szCs w:val="21"/>
              </w:rPr>
            </w:pPr>
            <w:r>
              <w:rPr>
                <w:rFonts w:hint="eastAsia" w:ascii="宋体" w:hAnsi="宋体" w:cs="Arial"/>
                <w:b/>
                <w:sz w:val="21"/>
                <w:szCs w:val="21"/>
              </w:rPr>
              <w:t>项目</w:t>
            </w:r>
          </w:p>
        </w:tc>
        <w:tc>
          <w:tcPr>
            <w:tcW w:w="8101" w:type="dxa"/>
            <w:tcBorders>
              <w:top w:val="doub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jc w:val="center"/>
              <w:rPr>
                <w:rFonts w:ascii="宋体" w:cs="Arial"/>
                <w:b/>
                <w:sz w:val="21"/>
                <w:szCs w:val="21"/>
              </w:rPr>
            </w:pPr>
            <w:r>
              <w:rPr>
                <w:rFonts w:hint="eastAsia" w:ascii="宋体" w:hAnsi="宋体" w:cs="Arial"/>
                <w:b/>
                <w:sz w:val="21"/>
                <w:szCs w:val="21"/>
              </w:rPr>
              <w:t>响应文件内容</w:t>
            </w:r>
          </w:p>
        </w:tc>
      </w:tr>
      <w:tr>
        <w:tblPrEx>
          <w:tblLayout w:type="fixed"/>
          <w:tblCellMar>
            <w:top w:w="0" w:type="dxa"/>
            <w:left w:w="10" w:type="dxa"/>
            <w:bottom w:w="0" w:type="dxa"/>
            <w:right w:w="10" w:type="dxa"/>
          </w:tblCellMar>
        </w:tblPrEx>
        <w:trPr>
          <w:trHeight w:val="215" w:hRule="atLeast"/>
          <w:jc w:val="right"/>
        </w:trPr>
        <w:tc>
          <w:tcPr>
            <w:tcW w:w="1830"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cs="Arial"/>
                <w:b/>
                <w:sz w:val="21"/>
                <w:szCs w:val="21"/>
              </w:rPr>
            </w:pPr>
            <w:r>
              <w:rPr>
                <w:rFonts w:hint="eastAsia" w:ascii="宋体" w:hAnsi="宋体" w:cs="Arial"/>
                <w:b/>
                <w:sz w:val="21"/>
                <w:szCs w:val="21"/>
              </w:rPr>
              <w:t>投标文件</w:t>
            </w: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jc w:val="center"/>
              <w:rPr>
                <w:rFonts w:ascii="宋体" w:cs="Arial"/>
                <w:sz w:val="21"/>
                <w:szCs w:val="21"/>
              </w:rPr>
            </w:pPr>
            <w:r>
              <w:rPr>
                <w:rFonts w:hint="eastAsia" w:ascii="宋体" w:hAnsi="宋体" w:cs="Arial"/>
                <w:sz w:val="21"/>
                <w:szCs w:val="21"/>
              </w:rPr>
              <w:t>封面</w:t>
            </w:r>
          </w:p>
        </w:tc>
      </w:tr>
      <w:tr>
        <w:tblPrEx>
          <w:tblLayout w:type="fixed"/>
          <w:tblCellMar>
            <w:top w:w="0" w:type="dxa"/>
            <w:left w:w="10" w:type="dxa"/>
            <w:bottom w:w="0" w:type="dxa"/>
            <w:right w:w="10" w:type="dxa"/>
          </w:tblCellMar>
        </w:tblPrEx>
        <w:trPr>
          <w:trHeight w:val="330" w:hRule="atLeast"/>
          <w:jc w:val="right"/>
        </w:trPr>
        <w:tc>
          <w:tcPr>
            <w:tcW w:w="1830" w:type="dxa"/>
            <w:vMerge w:val="restart"/>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cs="Arial"/>
                <w:b/>
                <w:sz w:val="21"/>
                <w:szCs w:val="21"/>
              </w:rPr>
            </w:pPr>
            <w:r>
              <w:rPr>
                <w:rFonts w:hint="eastAsia" w:ascii="宋体" w:hAnsi="宋体" w:cs="Arial"/>
                <w:b/>
                <w:sz w:val="21"/>
                <w:szCs w:val="21"/>
              </w:rPr>
              <w:t>资格性审查材料</w:t>
            </w: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bookmarkStart w:id="32" w:name="定位_【循环符合性证明材料】_20122614258"/>
            <w:bookmarkEnd w:id="32"/>
            <w:bookmarkStart w:id="33" w:name="定位_【循环符合性证明材料】_201244141212"/>
            <w:bookmarkEnd w:id="33"/>
            <w:bookmarkStart w:id="34" w:name="定位_【循环符合性证明材料】_20122314636"/>
            <w:bookmarkEnd w:id="34"/>
            <w:r>
              <w:rPr>
                <w:rFonts w:ascii="宋体" w:hAnsi="宋体" w:cs="Arial"/>
                <w:sz w:val="21"/>
                <w:szCs w:val="21"/>
              </w:rPr>
              <w:t>1.</w:t>
            </w:r>
            <w:r>
              <w:rPr>
                <w:rFonts w:hint="eastAsia" w:ascii="宋体" w:hAnsi="宋体" w:cs="Arial"/>
                <w:sz w:val="21"/>
                <w:szCs w:val="21"/>
              </w:rPr>
              <w:t>营业执照副本复印件（或三证合一）</w:t>
            </w:r>
          </w:p>
        </w:tc>
      </w:tr>
      <w:tr>
        <w:tblPrEx>
          <w:tblLayout w:type="fixed"/>
          <w:tblCellMar>
            <w:top w:w="0" w:type="dxa"/>
            <w:left w:w="10" w:type="dxa"/>
            <w:bottom w:w="0" w:type="dxa"/>
            <w:right w:w="10" w:type="dxa"/>
          </w:tblCellMar>
        </w:tblPrEx>
        <w:trPr>
          <w:trHeight w:val="300"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r>
              <w:rPr>
                <w:rFonts w:ascii="宋体" w:hAnsi="宋体" w:cs="Arial"/>
                <w:sz w:val="21"/>
                <w:szCs w:val="21"/>
              </w:rPr>
              <w:t>2.</w:t>
            </w:r>
            <w:r>
              <w:rPr>
                <w:rFonts w:hint="eastAsia" w:ascii="宋体" w:hAnsi="宋体" w:cs="Arial"/>
                <w:sz w:val="21"/>
                <w:szCs w:val="21"/>
              </w:rPr>
              <w:t>税务登记证副本复印件（或三证合一）</w:t>
            </w:r>
          </w:p>
        </w:tc>
      </w:tr>
      <w:tr>
        <w:tblPrEx>
          <w:tblLayout w:type="fixed"/>
          <w:tblCellMar>
            <w:top w:w="0" w:type="dxa"/>
            <w:left w:w="10" w:type="dxa"/>
            <w:bottom w:w="0" w:type="dxa"/>
            <w:right w:w="10" w:type="dxa"/>
          </w:tblCellMar>
        </w:tblPrEx>
        <w:trPr>
          <w:trHeight w:val="300"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r>
              <w:rPr>
                <w:rFonts w:ascii="宋体" w:hAnsi="宋体" w:cs="Arial"/>
                <w:sz w:val="21"/>
                <w:szCs w:val="21"/>
              </w:rPr>
              <w:t>3.</w:t>
            </w:r>
            <w:r>
              <w:rPr>
                <w:rFonts w:hint="eastAsia" w:ascii="宋体" w:hAnsi="宋体" w:cs="Arial"/>
                <w:sz w:val="21"/>
                <w:szCs w:val="21"/>
              </w:rPr>
              <w:t>法定代表人资格证明书或法定代表人授权委托书</w:t>
            </w:r>
          </w:p>
        </w:tc>
      </w:tr>
      <w:tr>
        <w:tblPrEx>
          <w:tblLayout w:type="fixed"/>
          <w:tblCellMar>
            <w:top w:w="0" w:type="dxa"/>
            <w:left w:w="10" w:type="dxa"/>
            <w:bottom w:w="0" w:type="dxa"/>
            <w:right w:w="10" w:type="dxa"/>
          </w:tblCellMar>
        </w:tblPrEx>
        <w:trPr>
          <w:trHeight w:val="316"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r>
              <w:rPr>
                <w:rFonts w:ascii="宋体" w:hAnsi="宋体" w:cs="Arial"/>
                <w:sz w:val="21"/>
                <w:szCs w:val="21"/>
              </w:rPr>
              <w:t>4.</w:t>
            </w:r>
            <w:r>
              <w:rPr>
                <w:rFonts w:hint="eastAsia" w:ascii="宋体" w:hAnsi="宋体" w:cs="Arial"/>
                <w:sz w:val="21"/>
                <w:szCs w:val="21"/>
              </w:rPr>
              <w:t>被授权人身份证复印件</w:t>
            </w:r>
          </w:p>
        </w:tc>
      </w:tr>
      <w:tr>
        <w:tblPrEx>
          <w:tblLayout w:type="fixed"/>
          <w:tblCellMar>
            <w:top w:w="0" w:type="dxa"/>
            <w:left w:w="10" w:type="dxa"/>
            <w:bottom w:w="0" w:type="dxa"/>
            <w:right w:w="10" w:type="dxa"/>
          </w:tblCellMar>
        </w:tblPrEx>
        <w:trPr>
          <w:trHeight w:val="316"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r>
              <w:rPr>
                <w:rFonts w:ascii="宋体" w:hAnsi="宋体" w:cs="宋体"/>
                <w:sz w:val="21"/>
                <w:szCs w:val="21"/>
              </w:rPr>
              <w:t>5.</w:t>
            </w:r>
            <w:r>
              <w:rPr>
                <w:rFonts w:hint="eastAsia" w:ascii="宋体" w:hAnsi="宋体" w:cs="宋体"/>
                <w:sz w:val="21"/>
                <w:szCs w:val="21"/>
              </w:rPr>
              <w:t>磋商保证金证明复印件</w:t>
            </w:r>
          </w:p>
        </w:tc>
      </w:tr>
      <w:tr>
        <w:tblPrEx>
          <w:tblLayout w:type="fixed"/>
          <w:tblCellMar>
            <w:top w:w="0" w:type="dxa"/>
            <w:left w:w="10" w:type="dxa"/>
            <w:bottom w:w="0" w:type="dxa"/>
            <w:right w:w="10" w:type="dxa"/>
          </w:tblCellMar>
        </w:tblPrEx>
        <w:trPr>
          <w:trHeight w:val="316"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r>
              <w:rPr>
                <w:rFonts w:ascii="宋体" w:hAnsi="宋体" w:cs="Arial"/>
                <w:sz w:val="21"/>
                <w:szCs w:val="21"/>
              </w:rPr>
              <w:t>6.2017</w:t>
            </w:r>
            <w:r>
              <w:rPr>
                <w:rFonts w:hint="eastAsia" w:ascii="宋体" w:hAnsi="宋体" w:cs="Arial"/>
                <w:sz w:val="21"/>
                <w:szCs w:val="21"/>
              </w:rPr>
              <w:t>年度通过中介机构出具财务审计报告报复印件或投标经营方参加磋商前</w:t>
            </w:r>
            <w:r>
              <w:rPr>
                <w:rFonts w:ascii="宋体" w:hAnsi="宋体" w:cs="Arial"/>
                <w:sz w:val="21"/>
                <w:szCs w:val="21"/>
              </w:rPr>
              <w:t>1</w:t>
            </w:r>
            <w:r>
              <w:rPr>
                <w:rFonts w:hint="eastAsia" w:ascii="宋体" w:hAnsi="宋体" w:cs="Arial"/>
                <w:sz w:val="21"/>
                <w:szCs w:val="21"/>
              </w:rPr>
              <w:t>个月的财务报表。</w:t>
            </w:r>
          </w:p>
        </w:tc>
      </w:tr>
      <w:tr>
        <w:tblPrEx>
          <w:tblLayout w:type="fixed"/>
          <w:tblCellMar>
            <w:top w:w="0" w:type="dxa"/>
            <w:left w:w="10" w:type="dxa"/>
            <w:bottom w:w="0" w:type="dxa"/>
            <w:right w:w="10" w:type="dxa"/>
          </w:tblCellMar>
        </w:tblPrEx>
        <w:trPr>
          <w:trHeight w:val="316"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r>
              <w:rPr>
                <w:rFonts w:ascii="宋体" w:hAnsi="宋体" w:cs="Arial"/>
                <w:sz w:val="21"/>
                <w:szCs w:val="21"/>
              </w:rPr>
              <w:t>7.2018</w:t>
            </w:r>
            <w:r>
              <w:rPr>
                <w:rFonts w:hint="eastAsia" w:ascii="宋体" w:hAnsi="宋体" w:cs="Arial"/>
                <w:sz w:val="21"/>
                <w:szCs w:val="21"/>
              </w:rPr>
              <w:t>年任意一个月依法缴纳税收和社会保障资金的证明材料；</w:t>
            </w:r>
          </w:p>
        </w:tc>
      </w:tr>
      <w:tr>
        <w:tblPrEx>
          <w:tblLayout w:type="fixed"/>
          <w:tblCellMar>
            <w:top w:w="0" w:type="dxa"/>
            <w:left w:w="10" w:type="dxa"/>
            <w:bottom w:w="0" w:type="dxa"/>
            <w:right w:w="10" w:type="dxa"/>
          </w:tblCellMar>
        </w:tblPrEx>
        <w:trPr>
          <w:trHeight w:val="316"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r>
              <w:rPr>
                <w:rFonts w:ascii="宋体" w:hAnsi="宋体" w:cs="宋体"/>
                <w:sz w:val="21"/>
                <w:szCs w:val="21"/>
              </w:rPr>
              <w:t>8</w:t>
            </w:r>
            <w:r>
              <w:rPr>
                <w:rFonts w:ascii="宋体" w:cs="宋体"/>
                <w:sz w:val="21"/>
                <w:szCs w:val="21"/>
              </w:rPr>
              <w:t>.</w:t>
            </w:r>
            <w:r>
              <w:rPr>
                <w:rFonts w:hint="eastAsia" w:ascii="宋体" w:hAnsi="宋体" w:cs="宋体"/>
                <w:sz w:val="21"/>
                <w:szCs w:val="21"/>
              </w:rPr>
              <w:t>参加政府采购活动前三年内，在经营活动中没有重大违法记录声明</w:t>
            </w:r>
          </w:p>
        </w:tc>
      </w:tr>
      <w:tr>
        <w:tblPrEx>
          <w:tblLayout w:type="fixed"/>
          <w:tblCellMar>
            <w:top w:w="0" w:type="dxa"/>
            <w:left w:w="10" w:type="dxa"/>
            <w:bottom w:w="0" w:type="dxa"/>
            <w:right w:w="10" w:type="dxa"/>
          </w:tblCellMar>
        </w:tblPrEx>
        <w:trPr>
          <w:trHeight w:val="316"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ind w:left="1523" w:right="-4625" w:hanging="1523"/>
              <w:rPr>
                <w:rFonts w:ascii="宋体" w:cs="宋体"/>
                <w:sz w:val="21"/>
                <w:szCs w:val="21"/>
              </w:rPr>
            </w:pPr>
            <w:r>
              <w:rPr>
                <w:rFonts w:ascii="宋体" w:hAnsi="宋体" w:cs="宋体"/>
                <w:sz w:val="21"/>
                <w:szCs w:val="21"/>
              </w:rPr>
              <w:t>9</w:t>
            </w:r>
            <w:r>
              <w:rPr>
                <w:rFonts w:ascii="宋体" w:cs="宋体"/>
                <w:sz w:val="21"/>
                <w:szCs w:val="21"/>
              </w:rPr>
              <w:t>.</w:t>
            </w:r>
            <w:r>
              <w:rPr>
                <w:rFonts w:hint="eastAsia" w:ascii="宋体" w:hAnsi="宋体" w:cs="宋体"/>
                <w:sz w:val="21"/>
                <w:szCs w:val="21"/>
              </w:rPr>
              <w:t>具有履行合同所必需的设备和专业技术能力承诺书</w:t>
            </w:r>
          </w:p>
        </w:tc>
      </w:tr>
      <w:tr>
        <w:tblPrEx>
          <w:tblLayout w:type="fixed"/>
          <w:tblCellMar>
            <w:top w:w="0" w:type="dxa"/>
            <w:left w:w="10" w:type="dxa"/>
            <w:bottom w:w="0" w:type="dxa"/>
            <w:right w:w="10" w:type="dxa"/>
          </w:tblCellMar>
        </w:tblPrEx>
        <w:trPr>
          <w:trHeight w:val="316"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宋体"/>
                <w:sz w:val="21"/>
                <w:szCs w:val="21"/>
              </w:rPr>
            </w:pPr>
            <w:r>
              <w:rPr>
                <w:rFonts w:ascii="宋体" w:hAnsi="宋体" w:cs="宋体"/>
                <w:sz w:val="21"/>
                <w:szCs w:val="21"/>
              </w:rPr>
              <w:t>1</w:t>
            </w:r>
            <w:r>
              <w:rPr>
                <w:rFonts w:hint="eastAsia" w:ascii="宋体" w:hAnsi="宋体" w:cs="宋体"/>
                <w:sz w:val="21"/>
                <w:szCs w:val="21"/>
              </w:rPr>
              <w:t>0</w:t>
            </w:r>
            <w:r>
              <w:rPr>
                <w:rFonts w:ascii="宋体" w:hAnsi="宋体" w:cs="宋体"/>
                <w:sz w:val="21"/>
                <w:szCs w:val="21"/>
              </w:rPr>
              <w:t>.</w:t>
            </w:r>
            <w:r>
              <w:rPr>
                <w:rFonts w:hint="eastAsia" w:ascii="宋体" w:hAnsi="宋体" w:cs="宋体"/>
                <w:sz w:val="21"/>
                <w:szCs w:val="21"/>
              </w:rPr>
              <w:t>未被列入</w:t>
            </w:r>
            <w:r>
              <w:rPr>
                <w:rFonts w:hint="eastAsia" w:ascii="宋体" w:cs="宋体"/>
                <w:sz w:val="21"/>
                <w:szCs w:val="21"/>
              </w:rPr>
              <w:t>“</w:t>
            </w:r>
            <w:r>
              <w:rPr>
                <w:rFonts w:hint="eastAsia" w:ascii="宋体" w:hAnsi="宋体" w:cs="宋体"/>
                <w:sz w:val="21"/>
                <w:szCs w:val="21"/>
              </w:rPr>
              <w:t>信用中国</w:t>
            </w:r>
            <w:r>
              <w:rPr>
                <w:rFonts w:hint="eastAsia" w:ascii="宋体" w:cs="宋体"/>
                <w:sz w:val="21"/>
                <w:szCs w:val="21"/>
              </w:rPr>
              <w:t>”</w:t>
            </w:r>
            <w:r>
              <w:rPr>
                <w:rFonts w:hint="eastAsia" w:ascii="宋体" w:hAnsi="宋体" w:cs="宋体"/>
                <w:sz w:val="21"/>
                <w:szCs w:val="21"/>
              </w:rPr>
              <w:t>（</w:t>
            </w:r>
            <w:r>
              <w:rPr>
                <w:rFonts w:ascii="宋体" w:hAnsi="宋体" w:cs="宋体"/>
                <w:sz w:val="21"/>
                <w:szCs w:val="21"/>
              </w:rPr>
              <w:t>www.creditchina.gov.cn</w:t>
            </w:r>
            <w:r>
              <w:rPr>
                <w:rFonts w:hint="eastAsia" w:ascii="宋体" w:hAnsi="宋体" w:cs="宋体"/>
                <w:sz w:val="21"/>
                <w:szCs w:val="21"/>
              </w:rPr>
              <w:t>）、中国政府采购网（</w:t>
            </w:r>
            <w:r>
              <w:rPr>
                <w:rFonts w:ascii="宋体" w:hAnsi="宋体" w:cs="宋体"/>
                <w:sz w:val="21"/>
                <w:szCs w:val="21"/>
              </w:rPr>
              <w:t>www.ccgp.gov.cn</w:t>
            </w:r>
            <w:r>
              <w:rPr>
                <w:rFonts w:hint="eastAsia" w:ascii="宋体" w:hAnsi="宋体" w:cs="宋体"/>
                <w:sz w:val="21"/>
                <w:szCs w:val="21"/>
              </w:rPr>
              <w:t>）渠道信用记录失信被执行人（执行期内）、重大税收违法案件当事人名单、政府采购严重违法失信行为记录名单的投标人。</w:t>
            </w:r>
          </w:p>
        </w:tc>
      </w:tr>
      <w:tr>
        <w:tblPrEx>
          <w:tblLayout w:type="fixed"/>
          <w:tblCellMar>
            <w:top w:w="0" w:type="dxa"/>
            <w:left w:w="10" w:type="dxa"/>
            <w:bottom w:w="0" w:type="dxa"/>
            <w:right w:w="10" w:type="dxa"/>
          </w:tblCellMar>
        </w:tblPrEx>
        <w:trPr>
          <w:trHeight w:val="184" w:hRule="atLeast"/>
          <w:jc w:val="right"/>
        </w:trPr>
        <w:tc>
          <w:tcPr>
            <w:tcW w:w="1830" w:type="dxa"/>
            <w:vMerge w:val="restart"/>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cs="Arial"/>
                <w:b/>
                <w:sz w:val="21"/>
                <w:szCs w:val="21"/>
              </w:rPr>
            </w:pPr>
            <w:r>
              <w:rPr>
                <w:rFonts w:hint="eastAsia" w:ascii="宋体" w:hAnsi="宋体" w:cs="Arial"/>
                <w:b/>
                <w:sz w:val="21"/>
                <w:szCs w:val="21"/>
              </w:rPr>
              <w:t>符合性审查材料</w:t>
            </w: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r>
              <w:rPr>
                <w:rFonts w:ascii="宋体" w:hAnsi="宋体" w:cs="宋体"/>
                <w:sz w:val="21"/>
                <w:szCs w:val="21"/>
              </w:rPr>
              <w:t>1.</w:t>
            </w:r>
            <w:r>
              <w:rPr>
                <w:rFonts w:hint="eastAsia" w:ascii="宋体" w:hAnsi="宋体" w:cs="宋体"/>
                <w:sz w:val="21"/>
                <w:szCs w:val="21"/>
              </w:rPr>
              <w:t>响应文件签署</w:t>
            </w:r>
          </w:p>
        </w:tc>
      </w:tr>
      <w:tr>
        <w:tblPrEx>
          <w:tblLayout w:type="fixed"/>
          <w:tblCellMar>
            <w:top w:w="0" w:type="dxa"/>
            <w:left w:w="10" w:type="dxa"/>
            <w:bottom w:w="0" w:type="dxa"/>
            <w:right w:w="10" w:type="dxa"/>
          </w:tblCellMar>
        </w:tblPrEx>
        <w:trPr>
          <w:trHeight w:val="232"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r>
              <w:rPr>
                <w:rFonts w:ascii="宋体" w:hAnsi="宋体" w:cs="宋体"/>
                <w:bCs/>
                <w:sz w:val="21"/>
                <w:szCs w:val="21"/>
              </w:rPr>
              <w:t>2.</w:t>
            </w:r>
            <w:r>
              <w:rPr>
                <w:rFonts w:hint="eastAsia" w:ascii="宋体" w:hAnsi="宋体" w:cs="宋体"/>
                <w:bCs/>
                <w:sz w:val="21"/>
                <w:szCs w:val="21"/>
              </w:rPr>
              <w:t>磋商函</w:t>
            </w:r>
          </w:p>
        </w:tc>
      </w:tr>
      <w:tr>
        <w:tblPrEx>
          <w:tblLayout w:type="fixed"/>
          <w:tblCellMar>
            <w:top w:w="0" w:type="dxa"/>
            <w:left w:w="10" w:type="dxa"/>
            <w:bottom w:w="0" w:type="dxa"/>
            <w:right w:w="10" w:type="dxa"/>
          </w:tblCellMar>
        </w:tblPrEx>
        <w:trPr>
          <w:trHeight w:val="236"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r>
              <w:rPr>
                <w:rFonts w:ascii="宋体" w:hAnsi="宋体" w:cs="宋体"/>
                <w:bCs/>
                <w:sz w:val="21"/>
                <w:szCs w:val="21"/>
              </w:rPr>
              <w:t>3.</w:t>
            </w:r>
            <w:r>
              <w:rPr>
                <w:rFonts w:hint="eastAsia" w:ascii="宋体" w:hAnsi="宋体" w:cs="Arial"/>
                <w:sz w:val="21"/>
                <w:szCs w:val="21"/>
              </w:rPr>
              <w:t>报价一览表</w:t>
            </w:r>
          </w:p>
        </w:tc>
      </w:tr>
      <w:tr>
        <w:tblPrEx>
          <w:tblLayout w:type="fixed"/>
          <w:tblCellMar>
            <w:top w:w="0" w:type="dxa"/>
            <w:left w:w="10" w:type="dxa"/>
            <w:bottom w:w="0" w:type="dxa"/>
            <w:right w:w="10" w:type="dxa"/>
          </w:tblCellMar>
        </w:tblPrEx>
        <w:trPr>
          <w:trHeight w:val="90"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r>
              <w:rPr>
                <w:rFonts w:ascii="宋体" w:hAnsi="宋体" w:cs="宋体"/>
                <w:bCs/>
                <w:sz w:val="21"/>
                <w:szCs w:val="21"/>
              </w:rPr>
              <w:t>4.</w:t>
            </w:r>
            <w:r>
              <w:rPr>
                <w:rFonts w:hint="eastAsia" w:ascii="宋体" w:hAnsi="宋体" w:cs="Arial"/>
                <w:sz w:val="21"/>
                <w:szCs w:val="21"/>
              </w:rPr>
              <w:t>分项报价表</w:t>
            </w:r>
          </w:p>
        </w:tc>
      </w:tr>
      <w:tr>
        <w:tblPrEx>
          <w:tblLayout w:type="fixed"/>
          <w:tblCellMar>
            <w:top w:w="0" w:type="dxa"/>
            <w:left w:w="10" w:type="dxa"/>
            <w:bottom w:w="0" w:type="dxa"/>
            <w:right w:w="10" w:type="dxa"/>
          </w:tblCellMar>
        </w:tblPrEx>
        <w:trPr>
          <w:trHeight w:val="175"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r>
              <w:rPr>
                <w:rFonts w:ascii="宋体" w:hAnsi="宋体" w:cs="Arial"/>
                <w:sz w:val="21"/>
                <w:szCs w:val="21"/>
              </w:rPr>
              <w:t>5.</w:t>
            </w:r>
            <w:r>
              <w:rPr>
                <w:rFonts w:hint="eastAsia" w:ascii="宋体" w:hAnsi="宋体" w:cs="Arial"/>
                <w:sz w:val="21"/>
                <w:szCs w:val="21"/>
              </w:rPr>
              <w:t>偏离表</w:t>
            </w:r>
          </w:p>
        </w:tc>
      </w:tr>
      <w:tr>
        <w:tblPrEx>
          <w:tblLayout w:type="fixed"/>
          <w:tblCellMar>
            <w:top w:w="0" w:type="dxa"/>
            <w:left w:w="10" w:type="dxa"/>
            <w:bottom w:w="0" w:type="dxa"/>
            <w:right w:w="10" w:type="dxa"/>
          </w:tblCellMar>
        </w:tblPrEx>
        <w:trPr>
          <w:trHeight w:val="237"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r>
              <w:rPr>
                <w:rFonts w:ascii="宋体" w:hAnsi="宋体" w:cs="Arial"/>
                <w:sz w:val="21"/>
                <w:szCs w:val="21"/>
              </w:rPr>
              <w:t>6.</w:t>
            </w:r>
            <w:r>
              <w:rPr>
                <w:rFonts w:hint="eastAsia" w:ascii="宋体" w:hAnsi="宋体" w:cs="Arial"/>
                <w:sz w:val="21"/>
                <w:szCs w:val="21"/>
              </w:rPr>
              <w:t>实施方案及服务承诺</w:t>
            </w:r>
          </w:p>
        </w:tc>
      </w:tr>
      <w:tr>
        <w:tblPrEx>
          <w:tblLayout w:type="fixed"/>
          <w:tblCellMar>
            <w:top w:w="0" w:type="dxa"/>
            <w:left w:w="10" w:type="dxa"/>
            <w:bottom w:w="0" w:type="dxa"/>
            <w:right w:w="10" w:type="dxa"/>
          </w:tblCellMar>
        </w:tblPrEx>
        <w:trPr>
          <w:trHeight w:val="285" w:hRule="atLeast"/>
          <w:jc w:val="right"/>
        </w:trPr>
        <w:tc>
          <w:tcPr>
            <w:tcW w:w="1830" w:type="dxa"/>
            <w:tcBorders>
              <w:top w:val="single" w:color="000000" w:sz="4" w:space="0"/>
              <w:left w:val="double" w:color="000000" w:sz="4" w:space="0"/>
              <w:bottom w:val="double" w:color="000000" w:sz="4" w:space="0"/>
              <w:right w:val="single" w:color="000000" w:sz="4" w:space="0"/>
            </w:tcBorders>
            <w:tcMar>
              <w:top w:w="0" w:type="dxa"/>
              <w:left w:w="108" w:type="dxa"/>
              <w:bottom w:w="0" w:type="dxa"/>
              <w:right w:w="108" w:type="dxa"/>
            </w:tcMar>
            <w:vAlign w:val="center"/>
          </w:tcPr>
          <w:p>
            <w:pPr>
              <w:jc w:val="center"/>
              <w:rPr>
                <w:rFonts w:ascii="宋体" w:cs="Arial"/>
                <w:b/>
                <w:sz w:val="21"/>
                <w:szCs w:val="21"/>
              </w:rPr>
            </w:pPr>
            <w:r>
              <w:rPr>
                <w:rFonts w:hint="eastAsia" w:ascii="宋体" w:hAnsi="宋体" w:cs="Arial"/>
                <w:b/>
                <w:sz w:val="21"/>
                <w:szCs w:val="21"/>
              </w:rPr>
              <w:t>其他材料</w:t>
            </w:r>
          </w:p>
        </w:tc>
        <w:tc>
          <w:tcPr>
            <w:tcW w:w="8101" w:type="dxa"/>
            <w:tcBorders>
              <w:top w:val="single" w:color="000000" w:sz="4" w:space="0"/>
              <w:left w:val="single" w:color="000000" w:sz="4" w:space="0"/>
              <w:bottom w:val="doub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r>
              <w:rPr>
                <w:rFonts w:hint="eastAsia" w:ascii="宋体" w:hAnsi="宋体" w:cs="Arial"/>
                <w:sz w:val="21"/>
                <w:szCs w:val="21"/>
              </w:rPr>
              <w:t>供应商认为需要提供的其他相关数据和材料</w:t>
            </w:r>
          </w:p>
        </w:tc>
      </w:tr>
    </w:tbl>
    <w:p>
      <w:pPr>
        <w:spacing w:line="440" w:lineRule="exact"/>
        <w:ind w:firstLine="480"/>
        <w:rPr>
          <w:rFonts w:ascii="宋体" w:cs="Arial"/>
          <w:b/>
        </w:rPr>
      </w:pPr>
      <w:r>
        <w:rPr>
          <w:rFonts w:ascii="宋体" w:hAnsi="宋体" w:cs="Arial"/>
          <w:b/>
        </w:rPr>
        <w:t>2</w:t>
      </w:r>
      <w:r>
        <w:rPr>
          <w:rFonts w:hint="eastAsia" w:ascii="宋体" w:hAnsi="宋体" w:cs="Arial"/>
          <w:b/>
        </w:rPr>
        <w:t>．</w:t>
      </w:r>
      <w:r>
        <w:rPr>
          <w:rFonts w:hint="eastAsia" w:ascii="宋体" w:hAnsi="宋体"/>
          <w:b/>
          <w:szCs w:val="24"/>
        </w:rPr>
        <w:t>特别说明</w:t>
      </w:r>
    </w:p>
    <w:p>
      <w:pPr>
        <w:spacing w:line="440" w:lineRule="exact"/>
        <w:ind w:firstLine="480"/>
        <w:rPr>
          <w:rFonts w:ascii="宋体" w:cs="Arial"/>
        </w:rPr>
      </w:pPr>
      <w:r>
        <w:rPr>
          <w:rFonts w:hint="eastAsia" w:ascii="宋体" w:hAnsi="宋体" w:cs="Arial"/>
        </w:rPr>
        <w:t>（</w:t>
      </w:r>
      <w:r>
        <w:rPr>
          <w:rFonts w:ascii="宋体" w:hAnsi="宋体" w:cs="Arial"/>
        </w:rPr>
        <w:t>1</w:t>
      </w:r>
      <w:r>
        <w:rPr>
          <w:rFonts w:hint="eastAsia" w:ascii="宋体" w:hAnsi="宋体" w:cs="Arial"/>
        </w:rPr>
        <w:t>）“资格性审查材料”和“符合性审查材料”均须加盖投标方的公章。“资格性审查材料”和“符合性审查材料”中有一项不符合要求，响应文件无效。</w:t>
      </w:r>
    </w:p>
    <w:p>
      <w:pPr>
        <w:spacing w:line="440" w:lineRule="exact"/>
        <w:ind w:firstLine="480"/>
        <w:rPr>
          <w:rFonts w:ascii="宋体" w:cs="Arial"/>
        </w:rPr>
      </w:pPr>
      <w:r>
        <w:rPr>
          <w:rFonts w:hint="eastAsia" w:ascii="宋体" w:hAnsi="宋体" w:cs="Arial"/>
        </w:rPr>
        <w:t>（</w:t>
      </w:r>
      <w:r>
        <w:rPr>
          <w:rFonts w:ascii="宋体" w:hAnsi="宋体" w:cs="Arial"/>
        </w:rPr>
        <w:t>2</w:t>
      </w:r>
      <w:r>
        <w:rPr>
          <w:rFonts w:hint="eastAsia" w:ascii="宋体" w:hAnsi="宋体" w:cs="Arial"/>
        </w:rPr>
        <w:t>）对于给定格式的，须按照给定的格式进行填报，没有给定格式的，投标经营方可以自行设计。</w:t>
      </w:r>
    </w:p>
    <w:p>
      <w:pPr>
        <w:spacing w:line="440" w:lineRule="exact"/>
        <w:ind w:firstLine="480"/>
        <w:rPr>
          <w:rFonts w:ascii="宋体" w:cs="Arial"/>
        </w:rPr>
      </w:pPr>
      <w:r>
        <w:rPr>
          <w:rFonts w:hint="eastAsia" w:ascii="宋体" w:hAnsi="宋体" w:cs="Arial"/>
        </w:rPr>
        <w:t>（</w:t>
      </w:r>
      <w:r>
        <w:rPr>
          <w:rFonts w:ascii="宋体" w:hAnsi="宋体" w:cs="Arial"/>
        </w:rPr>
        <w:t>3</w:t>
      </w:r>
      <w:r>
        <w:rPr>
          <w:rFonts w:hint="eastAsia" w:ascii="宋体" w:hAnsi="宋体" w:cs="Arial"/>
        </w:rPr>
        <w:t>）不具有独立运作并自负盈亏的企业法人的分公司没有企业法人授权的拒绝参加谈判。</w:t>
      </w:r>
    </w:p>
    <w:p>
      <w:pPr>
        <w:spacing w:line="440" w:lineRule="exact"/>
        <w:ind w:firstLine="480"/>
        <w:rPr>
          <w:rFonts w:ascii="宋体" w:cs="Arial"/>
          <w:bCs/>
        </w:rPr>
      </w:pPr>
      <w:r>
        <w:rPr>
          <w:rFonts w:hint="eastAsia" w:ascii="宋体" w:hAnsi="宋体" w:cs="Arial"/>
          <w:bCs/>
        </w:rPr>
        <w:t>（</w:t>
      </w:r>
      <w:r>
        <w:rPr>
          <w:rFonts w:ascii="宋体" w:hAnsi="宋体" w:cs="Arial"/>
          <w:bCs/>
        </w:rPr>
        <w:t>4</w:t>
      </w:r>
      <w:r>
        <w:rPr>
          <w:rFonts w:hint="eastAsia" w:ascii="宋体" w:hAnsi="宋体" w:cs="Arial"/>
          <w:b/>
          <w:bCs/>
        </w:rPr>
        <w:t>）依据磋商文件的要求，所提供的资格证明文件，磋商响应文件中须提供复印件，评审现场不再对原件进行审查（被授权代表身份证除外）。</w:t>
      </w:r>
    </w:p>
    <w:p>
      <w:pPr>
        <w:spacing w:line="440" w:lineRule="exact"/>
        <w:ind w:firstLine="482"/>
        <w:rPr>
          <w:rFonts w:ascii="宋体" w:cs="Arial"/>
        </w:rPr>
      </w:pPr>
      <w:r>
        <w:rPr>
          <w:rFonts w:hint="eastAsia" w:ascii="宋体" w:hAnsi="宋体" w:cs="Arial"/>
        </w:rPr>
        <w:t>（</w:t>
      </w:r>
      <w:r>
        <w:rPr>
          <w:rFonts w:ascii="宋体" w:hAnsi="宋体" w:cs="Arial"/>
        </w:rPr>
        <w:t>5</w:t>
      </w:r>
      <w:r>
        <w:rPr>
          <w:rFonts w:hint="eastAsia" w:ascii="宋体" w:hAnsi="宋体" w:cs="Arial"/>
        </w:rPr>
        <w:t>）磋商文件第二章“采购项目需求及相关要求”中的各项服务及其他要求，响应文件必须完全满足，且须提供更加完整详尽服务方案。</w:t>
      </w:r>
    </w:p>
    <w:p>
      <w:pPr>
        <w:spacing w:line="400" w:lineRule="exact"/>
        <w:ind w:firstLine="540"/>
        <w:rPr>
          <w:rFonts w:ascii="宋体"/>
          <w:szCs w:val="24"/>
        </w:rPr>
      </w:pPr>
      <w:r>
        <w:rPr>
          <w:rFonts w:ascii="宋体" w:hAnsi="宋体"/>
          <w:szCs w:val="24"/>
        </w:rPr>
        <w:t>3</w:t>
      </w:r>
      <w:r>
        <w:rPr>
          <w:rFonts w:ascii="宋体"/>
          <w:szCs w:val="24"/>
        </w:rPr>
        <w:t>.</w:t>
      </w:r>
      <w:r>
        <w:rPr>
          <w:rFonts w:hint="eastAsia" w:ascii="宋体" w:hAnsi="宋体"/>
          <w:szCs w:val="24"/>
        </w:rPr>
        <w:t>响应文件有下列情形之一的，按照无效响应文件（或拒绝参加磋商）处理：</w:t>
      </w:r>
    </w:p>
    <w:p>
      <w:pPr>
        <w:spacing w:line="400" w:lineRule="exact"/>
        <w:ind w:firstLine="540"/>
        <w:rPr>
          <w:rFonts w:ascii="宋体"/>
          <w:szCs w:val="24"/>
        </w:rPr>
      </w:pPr>
      <w:r>
        <w:rPr>
          <w:rFonts w:hint="eastAsia" w:ascii="宋体" w:hAnsi="宋体"/>
          <w:szCs w:val="24"/>
        </w:rPr>
        <w:t>（</w:t>
      </w:r>
      <w:r>
        <w:rPr>
          <w:rFonts w:ascii="宋体" w:hAnsi="宋体"/>
          <w:szCs w:val="24"/>
        </w:rPr>
        <w:t>1</w:t>
      </w:r>
      <w:r>
        <w:rPr>
          <w:rFonts w:hint="eastAsia" w:ascii="宋体" w:hAnsi="宋体"/>
          <w:szCs w:val="24"/>
        </w:rPr>
        <w:t>）未提供谈判响应文件所要求的“符合性审查材料”和“资格性审查材料”，或虽然提供了上述材料但未加盖投标经营方公章的；</w:t>
      </w:r>
    </w:p>
    <w:p>
      <w:pPr>
        <w:spacing w:line="400" w:lineRule="exact"/>
        <w:ind w:firstLine="540"/>
        <w:rPr>
          <w:rFonts w:ascii="宋体"/>
          <w:szCs w:val="24"/>
        </w:rPr>
      </w:pPr>
      <w:r>
        <w:rPr>
          <w:rFonts w:hint="eastAsia" w:ascii="宋体" w:hAnsi="宋体"/>
          <w:szCs w:val="24"/>
        </w:rPr>
        <w:t>（</w:t>
      </w:r>
      <w:r>
        <w:rPr>
          <w:rFonts w:ascii="宋体" w:hAnsi="宋体"/>
          <w:szCs w:val="24"/>
        </w:rPr>
        <w:t>2</w:t>
      </w:r>
      <w:r>
        <w:rPr>
          <w:rFonts w:hint="eastAsia" w:ascii="宋体" w:hAnsi="宋体"/>
          <w:szCs w:val="24"/>
        </w:rPr>
        <w:t>）谈判投标经营方的法定代表人（代表人）或其授权委托人未参加磋商会议且未在开标报价记录上签字确认的；</w:t>
      </w:r>
    </w:p>
    <w:p>
      <w:pPr>
        <w:spacing w:line="400" w:lineRule="exact"/>
        <w:ind w:firstLine="540"/>
        <w:rPr>
          <w:rFonts w:ascii="宋体" w:hAnsi="宋体"/>
          <w:szCs w:val="24"/>
        </w:rPr>
      </w:pPr>
      <w:r>
        <w:rPr>
          <w:rFonts w:hint="eastAsia" w:ascii="宋体" w:hAnsi="宋体"/>
          <w:szCs w:val="24"/>
        </w:rPr>
        <w:t>（</w:t>
      </w:r>
      <w:r>
        <w:rPr>
          <w:rFonts w:ascii="宋体" w:hAnsi="宋体"/>
          <w:szCs w:val="24"/>
        </w:rPr>
        <w:t>3</w:t>
      </w:r>
      <w:r>
        <w:rPr>
          <w:rFonts w:hint="eastAsia" w:ascii="宋体" w:hAnsi="宋体"/>
          <w:szCs w:val="24"/>
        </w:rPr>
        <w:t>）未满足谈判文件“采购项目需求及相关要求”的；</w:t>
      </w:r>
    </w:p>
    <w:p>
      <w:pPr>
        <w:spacing w:line="400" w:lineRule="exact"/>
        <w:ind w:firstLine="540"/>
        <w:rPr>
          <w:rFonts w:ascii="宋体"/>
          <w:szCs w:val="24"/>
        </w:rPr>
      </w:pPr>
      <w:r>
        <w:rPr>
          <w:rFonts w:hint="eastAsia" w:ascii="宋体" w:hAnsi="宋体"/>
          <w:szCs w:val="24"/>
        </w:rPr>
        <w:t>（</w:t>
      </w:r>
      <w:r>
        <w:rPr>
          <w:rFonts w:ascii="宋体" w:hAnsi="宋体"/>
          <w:szCs w:val="24"/>
        </w:rPr>
        <w:t>4</w:t>
      </w:r>
      <w:r>
        <w:rPr>
          <w:rFonts w:hint="eastAsia" w:ascii="宋体" w:hAnsi="宋体"/>
          <w:szCs w:val="24"/>
        </w:rPr>
        <w:t>）磋商响应文件附有不能接受的条件的；</w:t>
      </w:r>
    </w:p>
    <w:p>
      <w:pPr>
        <w:spacing w:line="400" w:lineRule="exact"/>
        <w:ind w:firstLine="540"/>
        <w:rPr>
          <w:rFonts w:ascii="宋体"/>
          <w:szCs w:val="24"/>
        </w:rPr>
      </w:pPr>
      <w:r>
        <w:rPr>
          <w:rFonts w:hint="eastAsia" w:ascii="宋体" w:hAnsi="宋体"/>
          <w:szCs w:val="24"/>
        </w:rPr>
        <w:t>（</w:t>
      </w:r>
      <w:r>
        <w:rPr>
          <w:rFonts w:ascii="宋体" w:hAnsi="宋体"/>
          <w:szCs w:val="24"/>
        </w:rPr>
        <w:t>6</w:t>
      </w:r>
      <w:r>
        <w:rPr>
          <w:rFonts w:hint="eastAsia" w:ascii="宋体" w:hAnsi="宋体"/>
          <w:szCs w:val="24"/>
        </w:rPr>
        <w:t>）磋商响应文件中未提供法人授权书原件和被授权人身份证复印件的，或者法定代表人参加磋商未提供身份证复印件的；</w:t>
      </w:r>
    </w:p>
    <w:p>
      <w:pPr>
        <w:spacing w:line="400" w:lineRule="exact"/>
        <w:ind w:firstLine="540"/>
        <w:rPr>
          <w:rFonts w:ascii="宋体" w:hAnsi="宋体"/>
          <w:szCs w:val="24"/>
        </w:rPr>
      </w:pPr>
      <w:r>
        <w:rPr>
          <w:rFonts w:hint="eastAsia" w:ascii="宋体" w:hAnsi="宋体"/>
          <w:szCs w:val="24"/>
        </w:rPr>
        <w:t>（</w:t>
      </w:r>
      <w:r>
        <w:rPr>
          <w:rFonts w:ascii="宋体" w:hAnsi="宋体"/>
          <w:szCs w:val="24"/>
        </w:rPr>
        <w:t>7</w:t>
      </w:r>
      <w:r>
        <w:rPr>
          <w:rFonts w:hint="eastAsia" w:ascii="宋体" w:hAnsi="宋体"/>
          <w:szCs w:val="24"/>
        </w:rPr>
        <w:t>）响应文件未提供要求提供的相关证明文件复印件的；</w:t>
      </w:r>
    </w:p>
    <w:p>
      <w:pPr>
        <w:spacing w:line="400" w:lineRule="exact"/>
        <w:ind w:firstLine="540"/>
        <w:rPr>
          <w:rFonts w:ascii="宋体"/>
          <w:szCs w:val="24"/>
        </w:rPr>
      </w:pPr>
      <w:r>
        <w:rPr>
          <w:rFonts w:hint="eastAsia" w:ascii="宋体" w:hAnsi="宋体"/>
          <w:szCs w:val="24"/>
        </w:rPr>
        <w:t>（</w:t>
      </w:r>
      <w:r>
        <w:rPr>
          <w:rFonts w:ascii="宋体" w:hAnsi="宋体"/>
          <w:szCs w:val="24"/>
        </w:rPr>
        <w:t>8</w:t>
      </w:r>
      <w:r>
        <w:rPr>
          <w:rFonts w:hint="eastAsia" w:ascii="宋体" w:hAnsi="宋体"/>
          <w:szCs w:val="24"/>
        </w:rPr>
        <w:t>）响应文件出现不符合法律、法规规定的其他实质性要求的；</w:t>
      </w:r>
    </w:p>
    <w:p>
      <w:pPr>
        <w:spacing w:line="400" w:lineRule="exact"/>
        <w:ind w:firstLine="540"/>
        <w:rPr>
          <w:rFonts w:ascii="宋体"/>
          <w:szCs w:val="24"/>
        </w:rPr>
      </w:pPr>
      <w:r>
        <w:rPr>
          <w:rFonts w:hint="eastAsia" w:ascii="宋体" w:hAnsi="宋体"/>
          <w:szCs w:val="24"/>
        </w:rPr>
        <w:t>（</w:t>
      </w:r>
      <w:r>
        <w:rPr>
          <w:rFonts w:ascii="宋体" w:hAnsi="宋体"/>
          <w:szCs w:val="24"/>
        </w:rPr>
        <w:t>9</w:t>
      </w:r>
      <w:r>
        <w:rPr>
          <w:rFonts w:hint="eastAsia" w:ascii="宋体" w:hAnsi="宋体"/>
          <w:szCs w:val="24"/>
        </w:rPr>
        <w:t>）出现影响采购公正的违法、违规行为的。如</w:t>
      </w:r>
      <w:r>
        <w:rPr>
          <w:rFonts w:hint="eastAsia" w:ascii="宋体" w:hAnsi="宋体" w:cs="宋体"/>
          <w:szCs w:val="24"/>
        </w:rPr>
        <w:t>提供虚假材料等。</w:t>
      </w:r>
    </w:p>
    <w:p>
      <w:pPr>
        <w:spacing w:line="400" w:lineRule="exact"/>
        <w:ind w:firstLine="542"/>
        <w:outlineLvl w:val="0"/>
        <w:rPr>
          <w:rFonts w:ascii="宋体"/>
          <w:b/>
          <w:bCs/>
          <w:szCs w:val="24"/>
        </w:rPr>
      </w:pPr>
      <w:r>
        <w:rPr>
          <w:rFonts w:ascii="宋体" w:hAnsi="宋体"/>
          <w:b/>
          <w:bCs/>
          <w:szCs w:val="24"/>
        </w:rPr>
        <w:t>4.</w:t>
      </w:r>
      <w:r>
        <w:rPr>
          <w:rFonts w:hint="eastAsia" w:ascii="宋体" w:hAnsi="宋体"/>
          <w:b/>
          <w:bCs/>
          <w:szCs w:val="24"/>
        </w:rPr>
        <w:t>磋商评审办法</w:t>
      </w:r>
    </w:p>
    <w:p>
      <w:pPr>
        <w:spacing w:line="400" w:lineRule="exact"/>
        <w:ind w:firstLine="540"/>
        <w:rPr>
          <w:rFonts w:ascii="宋体"/>
          <w:bCs/>
          <w:szCs w:val="24"/>
        </w:rPr>
      </w:pPr>
      <w:r>
        <w:rPr>
          <w:rFonts w:ascii="宋体" w:hAnsi="宋体"/>
          <w:bCs/>
          <w:szCs w:val="24"/>
        </w:rPr>
        <w:t>4.1</w:t>
      </w:r>
      <w:r>
        <w:rPr>
          <w:rFonts w:hint="eastAsia" w:ascii="宋体" w:hAnsi="宋体"/>
          <w:bCs/>
          <w:szCs w:val="24"/>
        </w:rPr>
        <w:t>项目不能详细列明采购标的技术、服务要求，需经磋商由供应商提供最终设计方案和解决方案，供应商最后提交的方案不符合采购文件的要求或者不符合招标采购人提出技术要求，磋商小组将取消其最后报价资格。磋商结束后，磋商小组要求实质性响应的供商在规定时间内提交最后报价。</w:t>
      </w:r>
    </w:p>
    <w:p>
      <w:pPr>
        <w:spacing w:line="400" w:lineRule="exact"/>
        <w:ind w:firstLine="540"/>
        <w:rPr>
          <w:rFonts w:ascii="宋体"/>
          <w:bCs/>
          <w:szCs w:val="24"/>
        </w:rPr>
      </w:pPr>
      <w:r>
        <w:rPr>
          <w:rFonts w:ascii="宋体" w:hAnsi="宋体"/>
          <w:bCs/>
          <w:szCs w:val="24"/>
        </w:rPr>
        <w:t>4.2</w:t>
      </w:r>
      <w:r>
        <w:rPr>
          <w:rFonts w:hint="eastAsia" w:ascii="宋体" w:hAnsi="宋体"/>
          <w:bCs/>
          <w:szCs w:val="24"/>
        </w:rPr>
        <w:t>经磋商确定最终满足采购需求和提交最后报价的供应商后</w:t>
      </w:r>
      <w:r>
        <w:rPr>
          <w:rFonts w:ascii="宋体"/>
          <w:bCs/>
          <w:szCs w:val="24"/>
        </w:rPr>
        <w:t>,</w:t>
      </w:r>
      <w:r>
        <w:rPr>
          <w:rFonts w:hint="eastAsia" w:ascii="宋体" w:hAnsi="宋体"/>
          <w:bCs/>
          <w:szCs w:val="24"/>
        </w:rPr>
        <w:t>由磋商小组采用综合评分法对提交最后报价的供应商的响应文件和最后报价进行综合评分。符合相关规定的情形，最后报价的供应商可以为</w:t>
      </w:r>
      <w:r>
        <w:rPr>
          <w:rFonts w:ascii="宋体" w:hAnsi="宋体"/>
          <w:bCs/>
          <w:szCs w:val="24"/>
        </w:rPr>
        <w:t>2</w:t>
      </w:r>
      <w:r>
        <w:rPr>
          <w:rFonts w:hint="eastAsia" w:ascii="宋体" w:hAnsi="宋体"/>
          <w:bCs/>
          <w:szCs w:val="24"/>
        </w:rPr>
        <w:t>家。</w:t>
      </w:r>
    </w:p>
    <w:p>
      <w:pPr>
        <w:spacing w:line="400" w:lineRule="exact"/>
        <w:ind w:firstLine="540"/>
        <w:rPr>
          <w:rFonts w:ascii="宋体"/>
          <w:b/>
          <w:bCs/>
          <w:szCs w:val="24"/>
        </w:rPr>
      </w:pPr>
      <w:r>
        <w:rPr>
          <w:rFonts w:ascii="宋体" w:hAnsi="宋体" w:cs="宋体"/>
          <w:szCs w:val="24"/>
        </w:rPr>
        <w:t>4.3</w:t>
      </w:r>
      <w:r>
        <w:rPr>
          <w:rFonts w:hint="eastAsia" w:ascii="宋体" w:hAnsi="宋体" w:cs="宋体"/>
          <w:szCs w:val="24"/>
        </w:rPr>
        <w:t>评审小组认为有供应商的报价明显低于其他通过符合审查供应商的报价，有可能影响产品质量或者不能诚信履约的，应当要求其在评审现场合理的时</w:t>
      </w:r>
      <w:r>
        <w:rPr>
          <w:rFonts w:hint="eastAsia" w:ascii="宋体" w:hAnsi="宋体" w:cs="宋体"/>
          <w:szCs w:val="24"/>
          <w:lang w:eastAsia="zh-CN"/>
        </w:rPr>
        <w:t>间</w:t>
      </w:r>
      <w:r>
        <w:rPr>
          <w:rFonts w:hint="eastAsia" w:ascii="宋体" w:hAnsi="宋体" w:cs="宋体"/>
          <w:szCs w:val="24"/>
        </w:rPr>
        <w:t>内提出书面说明，必要时提交相关证明材料；供应商不能证明其报价合理性的，评审小组应当将其作为无效报价处理。</w:t>
      </w:r>
    </w:p>
    <w:p>
      <w:pPr>
        <w:spacing w:line="400" w:lineRule="exact"/>
        <w:ind w:firstLine="542"/>
        <w:rPr>
          <w:rFonts w:ascii="宋体"/>
          <w:b/>
          <w:bCs/>
          <w:szCs w:val="24"/>
        </w:rPr>
      </w:pPr>
      <w:r>
        <w:rPr>
          <w:rFonts w:ascii="宋体" w:hAnsi="宋体"/>
          <w:b/>
          <w:bCs/>
          <w:szCs w:val="24"/>
        </w:rPr>
        <w:t>5.</w:t>
      </w:r>
      <w:r>
        <w:rPr>
          <w:rFonts w:hint="eastAsia" w:ascii="宋体" w:hAnsi="宋体" w:cs="Times New Roman"/>
          <w:b/>
          <w:bCs/>
          <w:szCs w:val="24"/>
        </w:rPr>
        <w:t>综合评分法，满分</w:t>
      </w:r>
      <w:r>
        <w:rPr>
          <w:rFonts w:ascii="宋体" w:hAnsi="宋体" w:cs="Times New Roman"/>
          <w:b/>
          <w:bCs/>
          <w:szCs w:val="24"/>
        </w:rPr>
        <w:t>100</w:t>
      </w:r>
      <w:r>
        <w:rPr>
          <w:rFonts w:hint="eastAsia" w:ascii="宋体" w:hAnsi="宋体" w:cs="Times New Roman"/>
          <w:b/>
          <w:bCs/>
          <w:szCs w:val="24"/>
        </w:rPr>
        <w:t>分。</w:t>
      </w:r>
    </w:p>
    <w:tbl>
      <w:tblPr>
        <w:tblStyle w:val="3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7092"/>
        <w:gridCol w:w="1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9" w:hRule="atLeast"/>
        </w:trPr>
        <w:tc>
          <w:tcPr>
            <w:tcW w:w="148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stheme="minorEastAsia"/>
                <w:sz w:val="21"/>
                <w:szCs w:val="21"/>
              </w:rPr>
            </w:pPr>
            <w:bookmarkStart w:id="35" w:name="_Toc448307933"/>
            <w:bookmarkEnd w:id="35"/>
            <w:r>
              <w:rPr>
                <w:rFonts w:hint="eastAsia" w:asciiTheme="minorEastAsia" w:hAnsiTheme="minorEastAsia" w:eastAsiaTheme="minorEastAsia" w:cstheme="minorEastAsia"/>
                <w:sz w:val="21"/>
                <w:szCs w:val="21"/>
              </w:rPr>
              <w:t>分值构成</w:t>
            </w:r>
          </w:p>
          <w:p>
            <w:pPr>
              <w:widowControl/>
              <w:spacing w:line="320" w:lineRule="exact"/>
              <w:jc w:val="center"/>
              <w:rPr>
                <w:rFonts w:asciiTheme="minorEastAsia" w:hAnsiTheme="minorEastAsia" w:eastAsiaTheme="minorEastAsia" w:cstheme="minorEastAsia"/>
                <w:sz w:val="21"/>
                <w:szCs w:val="21"/>
              </w:rPr>
            </w:pPr>
          </w:p>
        </w:tc>
        <w:tc>
          <w:tcPr>
            <w:tcW w:w="8117"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480"/>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价格部分</w:t>
            </w:r>
            <w:r>
              <w:rPr>
                <w:rFonts w:hint="eastAsia" w:asciiTheme="minorEastAsia" w:hAnsiTheme="minorEastAsia" w:eastAsiaTheme="minorEastAsia" w:cstheme="minorEastAsia"/>
                <w:b/>
                <w:bCs/>
                <w:sz w:val="21"/>
                <w:szCs w:val="21"/>
                <w:u w:val="single"/>
              </w:rPr>
              <w:t>：30分</w:t>
            </w:r>
          </w:p>
          <w:p>
            <w:pPr>
              <w:widowControl/>
              <w:spacing w:line="320" w:lineRule="exact"/>
              <w:ind w:firstLine="480"/>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商务部分</w:t>
            </w:r>
            <w:r>
              <w:rPr>
                <w:rFonts w:hint="eastAsia" w:asciiTheme="minorEastAsia" w:hAnsiTheme="minorEastAsia" w:eastAsiaTheme="minorEastAsia" w:cstheme="minorEastAsia"/>
                <w:b/>
                <w:bCs/>
                <w:sz w:val="21"/>
                <w:szCs w:val="21"/>
                <w:u w:val="single"/>
              </w:rPr>
              <w:t>：20分</w:t>
            </w:r>
          </w:p>
          <w:p>
            <w:pPr>
              <w:widowControl/>
              <w:spacing w:line="320" w:lineRule="exact"/>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技术部分</w:t>
            </w:r>
            <w:r>
              <w:rPr>
                <w:rFonts w:hint="eastAsia" w:asciiTheme="minorEastAsia" w:hAnsiTheme="minorEastAsia" w:eastAsiaTheme="minorEastAsia" w:cstheme="minorEastAsia"/>
                <w:b/>
                <w:bCs/>
                <w:sz w:val="21"/>
                <w:szCs w:val="21"/>
                <w:u w:val="single"/>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9606"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一、价格部分（满分30分）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48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评分因素</w:t>
            </w:r>
          </w:p>
        </w:tc>
        <w:tc>
          <w:tcPr>
            <w:tcW w:w="709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评分标准</w:t>
            </w:r>
          </w:p>
        </w:tc>
        <w:tc>
          <w:tcPr>
            <w:tcW w:w="10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8" w:hRule="atLeast"/>
        </w:trPr>
        <w:tc>
          <w:tcPr>
            <w:tcW w:w="148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投标报价</w:t>
            </w:r>
          </w:p>
          <w:p>
            <w:pPr>
              <w:widowControl/>
              <w:spacing w:line="320" w:lineRule="exact"/>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评分标准</w:t>
            </w:r>
          </w:p>
        </w:tc>
        <w:tc>
          <w:tcPr>
            <w:tcW w:w="709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评标基准价：满足招标文件要求的有效投标报价中，投标报价的</w:t>
            </w:r>
            <w:r>
              <w:rPr>
                <w:rFonts w:hint="eastAsia" w:asciiTheme="minorEastAsia" w:hAnsiTheme="minorEastAsia" w:eastAsiaTheme="minorEastAsia" w:cstheme="minorEastAsia"/>
                <w:color w:val="auto"/>
                <w:sz w:val="21"/>
                <w:szCs w:val="21"/>
                <w:lang w:eastAsia="zh-CN"/>
              </w:rPr>
              <w:t>最低价为</w:t>
            </w:r>
            <w:r>
              <w:rPr>
                <w:rFonts w:hint="eastAsia" w:asciiTheme="minorEastAsia" w:hAnsiTheme="minorEastAsia" w:eastAsiaTheme="minorEastAsia" w:cstheme="minorEastAsia"/>
                <w:color w:val="auto"/>
                <w:sz w:val="21"/>
                <w:szCs w:val="21"/>
              </w:rPr>
              <w:t>为评标基准价。</w:t>
            </w:r>
          </w:p>
          <w:p>
            <w:pPr>
              <w:snapToGrid w:val="0"/>
              <w:spacing w:line="400" w:lineRule="exac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投标报价得分=（评标基准价/投标报价）×30。</w:t>
            </w:r>
          </w:p>
        </w:tc>
        <w:tc>
          <w:tcPr>
            <w:tcW w:w="10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9606"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二、商务部分（满分20分）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trPr>
        <w:tc>
          <w:tcPr>
            <w:tcW w:w="148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评分因素</w:t>
            </w:r>
          </w:p>
        </w:tc>
        <w:tc>
          <w:tcPr>
            <w:tcW w:w="709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评分标准</w:t>
            </w:r>
          </w:p>
        </w:tc>
        <w:tc>
          <w:tcPr>
            <w:tcW w:w="10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8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信誉</w:t>
            </w:r>
          </w:p>
        </w:tc>
        <w:tc>
          <w:tcPr>
            <w:tcW w:w="709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投标人信用等级评为AAA级的得3分，信用等级评为AA级的得2分，信用等级评为A级的得1分。（投标时需携带原件供评委会审验） </w:t>
            </w:r>
          </w:p>
        </w:tc>
        <w:tc>
          <w:tcPr>
            <w:tcW w:w="10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8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企业综合实力</w:t>
            </w:r>
          </w:p>
        </w:tc>
        <w:tc>
          <w:tcPr>
            <w:tcW w:w="709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heme="minorEastAsia" w:hAnsiTheme="minorEastAsia" w:eastAsiaTheme="minorEastAsia" w:cstheme="minorEastAsia"/>
                <w:sz w:val="21"/>
                <w:szCs w:val="21"/>
              </w:rPr>
            </w:pPr>
            <w:r>
              <w:rPr>
                <w:rFonts w:hint="eastAsia" w:asciiTheme="minorEastAsia" w:hAnsiTheme="minorEastAsia" w:cstheme="minorEastAsia"/>
                <w:sz w:val="21"/>
                <w:szCs w:val="21"/>
              </w:rPr>
              <w:t>（1）</w:t>
            </w:r>
            <w:r>
              <w:rPr>
                <w:rFonts w:hint="eastAsia" w:asciiTheme="minorEastAsia" w:hAnsiTheme="minorEastAsia" w:eastAsiaTheme="minorEastAsia" w:cstheme="minorEastAsia"/>
                <w:sz w:val="21"/>
                <w:szCs w:val="21"/>
              </w:rPr>
              <w:t>投标产品制造厂商具有ISO9001:2008质量管理体系认证、ISO14001:2004环境管理体系认证、OHSAS18001:2007职业健康安全管理体系认证、每提供一份（扫描件或复印件）并加盖厂家公章得1分，共3分。不提供得0分</w:t>
            </w:r>
            <w:r>
              <w:rPr>
                <w:rFonts w:hint="eastAsia" w:asciiTheme="minorEastAsia" w:hAnsiTheme="minorEastAsia" w:cstheme="minorEastAsia"/>
                <w:sz w:val="21"/>
                <w:szCs w:val="21"/>
              </w:rPr>
              <w:t>。</w:t>
            </w:r>
          </w:p>
          <w:p>
            <w:pPr>
              <w:widowControl/>
              <w:spacing w:line="320" w:lineRule="exact"/>
              <w:rPr>
                <w:rFonts w:asciiTheme="minorEastAsia" w:hAnsiTheme="minorEastAsia" w:eastAsiaTheme="minorEastAsia" w:cstheme="minorEastAsia"/>
                <w:sz w:val="21"/>
                <w:szCs w:val="21"/>
              </w:rPr>
            </w:pPr>
            <w:r>
              <w:rPr>
                <w:rFonts w:hint="eastAsia" w:asciiTheme="minorEastAsia" w:hAnsiTheme="minorEastAsia" w:cstheme="minorEastAsia"/>
                <w:sz w:val="21"/>
                <w:szCs w:val="21"/>
              </w:rPr>
              <w:t>（2）</w:t>
            </w:r>
            <w:r>
              <w:rPr>
                <w:rFonts w:hint="eastAsia" w:asciiTheme="minorEastAsia" w:hAnsiTheme="minorEastAsia" w:eastAsiaTheme="minorEastAsia" w:cstheme="minorEastAsia"/>
                <w:sz w:val="21"/>
                <w:szCs w:val="21"/>
              </w:rPr>
              <w:t>投标产品制造厂商具有国家科学技术进步奖证书、国家专利金奖证书、中国专利优秀奖。每提供一份（扫描件或复印件）并加盖厂家公章得2分，共6分。不提供得0分</w:t>
            </w:r>
            <w:r>
              <w:rPr>
                <w:rFonts w:hint="eastAsia" w:asciiTheme="minorEastAsia" w:hAnsiTheme="minorEastAsia" w:cstheme="minorEastAsia"/>
                <w:sz w:val="21"/>
                <w:szCs w:val="21"/>
              </w:rPr>
              <w:t>。</w:t>
            </w:r>
          </w:p>
        </w:tc>
        <w:tc>
          <w:tcPr>
            <w:tcW w:w="10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8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投标人综合实力</w:t>
            </w:r>
          </w:p>
        </w:tc>
        <w:tc>
          <w:tcPr>
            <w:tcW w:w="709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heme="minorEastAsia" w:hAnsiTheme="minorEastAsia" w:eastAsiaTheme="minorEastAsia" w:cstheme="minorEastAsia"/>
                <w:sz w:val="21"/>
                <w:szCs w:val="21"/>
              </w:rPr>
            </w:pPr>
            <w:r>
              <w:rPr>
                <w:rFonts w:hint="eastAsia" w:asciiTheme="minorEastAsia" w:hAnsiTheme="minorEastAsia" w:cstheme="minorEastAsia"/>
                <w:sz w:val="21"/>
                <w:szCs w:val="21"/>
              </w:rPr>
              <w:t>（1）</w:t>
            </w:r>
            <w:r>
              <w:rPr>
                <w:rFonts w:hint="eastAsia" w:asciiTheme="minorEastAsia" w:hAnsiTheme="minorEastAsia" w:eastAsiaTheme="minorEastAsia" w:cstheme="minorEastAsia"/>
                <w:sz w:val="21"/>
                <w:szCs w:val="21"/>
              </w:rPr>
              <w:t>投标人通过ISO9001质量管理认证，ISO14001环境管理认证，18001：2007职业健康认证三项复印件；每项认证得1分，总共3分</w:t>
            </w:r>
            <w:r>
              <w:rPr>
                <w:rFonts w:hint="eastAsia" w:asciiTheme="minorEastAsia" w:hAnsiTheme="minorEastAsia" w:cstheme="minorEastAsia"/>
                <w:sz w:val="21"/>
                <w:szCs w:val="21"/>
              </w:rPr>
              <w:t>。</w:t>
            </w:r>
          </w:p>
          <w:p>
            <w:pPr>
              <w:widowControl/>
              <w:spacing w:line="320" w:lineRule="exact"/>
              <w:rPr>
                <w:rFonts w:asciiTheme="minorEastAsia" w:hAnsiTheme="minorEastAsia" w:eastAsiaTheme="minorEastAsia" w:cstheme="minorEastAsia"/>
                <w:sz w:val="21"/>
                <w:szCs w:val="21"/>
              </w:rPr>
            </w:pPr>
            <w:r>
              <w:rPr>
                <w:rFonts w:hint="eastAsia" w:asciiTheme="minorEastAsia" w:hAnsiTheme="minorEastAsia" w:cstheme="minorEastAsia"/>
                <w:sz w:val="21"/>
                <w:szCs w:val="21"/>
              </w:rPr>
              <w:t>（2）</w:t>
            </w:r>
            <w:r>
              <w:rPr>
                <w:rFonts w:hint="eastAsia" w:asciiTheme="minorEastAsia" w:hAnsiTheme="minorEastAsia" w:eastAsiaTheme="minorEastAsia" w:cstheme="minorEastAsia"/>
                <w:sz w:val="21"/>
                <w:szCs w:val="21"/>
              </w:rPr>
              <w:t>投标人具有计算机信息系统集成及服务资质三级（含三级）及以上级别证书的得2分。（投标时需携带原件供评委会审验）</w:t>
            </w:r>
          </w:p>
          <w:p>
            <w:pPr>
              <w:widowControl/>
              <w:numPr>
                <w:ilvl w:val="0"/>
                <w:numId w:val="5"/>
              </w:numPr>
              <w:spacing w:line="320" w:lineRule="exact"/>
              <w:ind w:left="0" w:firstLine="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投标人具有电子与智能化工程专业二级资质（含二级）及以上级别证书的得3分。（投标时需携带原件供评委会审验）</w:t>
            </w:r>
          </w:p>
        </w:tc>
        <w:tc>
          <w:tcPr>
            <w:tcW w:w="10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 w:hRule="atLeast"/>
        </w:trPr>
        <w:tc>
          <w:tcPr>
            <w:tcW w:w="9606"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三、技术部分（满分50分）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trPr>
        <w:tc>
          <w:tcPr>
            <w:tcW w:w="148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评分因素</w:t>
            </w:r>
          </w:p>
        </w:tc>
        <w:tc>
          <w:tcPr>
            <w:tcW w:w="709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评分标准</w:t>
            </w:r>
          </w:p>
        </w:tc>
        <w:tc>
          <w:tcPr>
            <w:tcW w:w="10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8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对招标文件</w:t>
            </w:r>
          </w:p>
          <w:p>
            <w:pPr>
              <w:widowControl/>
              <w:spacing w:line="32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响应程度</w:t>
            </w:r>
          </w:p>
        </w:tc>
        <w:tc>
          <w:tcPr>
            <w:tcW w:w="7092"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Theme="minorEastAsia" w:hAnsiTheme="minorEastAsia" w:eastAsiaTheme="minorEastAsia" w:cstheme="minorEastAsia"/>
                <w:kern w:val="2"/>
                <w:sz w:val="21"/>
                <w:szCs w:val="21"/>
              </w:rPr>
            </w:pPr>
            <w:r>
              <w:rPr>
                <w:rFonts w:hint="eastAsia" w:asciiTheme="minorEastAsia" w:hAnsiTheme="minorEastAsia" w:cstheme="minorEastAsia"/>
                <w:kern w:val="2"/>
                <w:sz w:val="21"/>
                <w:szCs w:val="21"/>
              </w:rPr>
              <w:t>（</w:t>
            </w:r>
            <w:r>
              <w:rPr>
                <w:rFonts w:hint="eastAsia" w:asciiTheme="minorEastAsia" w:hAnsiTheme="minorEastAsia" w:eastAsiaTheme="minorEastAsia" w:cstheme="minorEastAsia"/>
                <w:kern w:val="2"/>
                <w:sz w:val="21"/>
                <w:szCs w:val="21"/>
              </w:rPr>
              <w:t>1</w:t>
            </w:r>
            <w:r>
              <w:rPr>
                <w:rFonts w:hint="eastAsia" w:asciiTheme="minorEastAsia" w:hAnsiTheme="minorEastAsia" w:cstheme="minorEastAsia"/>
                <w:kern w:val="2"/>
                <w:sz w:val="21"/>
                <w:szCs w:val="21"/>
              </w:rPr>
              <w:t>）</w:t>
            </w:r>
            <w:r>
              <w:rPr>
                <w:rFonts w:hint="eastAsia" w:asciiTheme="minorEastAsia" w:hAnsiTheme="minorEastAsia" w:eastAsiaTheme="minorEastAsia" w:cstheme="minorEastAsia"/>
                <w:kern w:val="2"/>
                <w:sz w:val="21"/>
                <w:szCs w:val="21"/>
              </w:rPr>
              <w:t>产品需满足招标文件技术要求，并提供的</w:t>
            </w:r>
            <w:r>
              <w:rPr>
                <w:rFonts w:hint="eastAsia" w:asciiTheme="minorEastAsia" w:hAnsiTheme="minorEastAsia" w:cstheme="minorEastAsia"/>
                <w:kern w:val="2"/>
                <w:sz w:val="21"/>
                <w:szCs w:val="21"/>
              </w:rPr>
              <w:t>产品</w:t>
            </w:r>
            <w:r>
              <w:rPr>
                <w:rFonts w:hint="eastAsia" w:asciiTheme="minorEastAsia" w:hAnsiTheme="minorEastAsia" w:eastAsiaTheme="minorEastAsia" w:cstheme="minorEastAsia"/>
                <w:kern w:val="2"/>
                <w:sz w:val="21"/>
                <w:szCs w:val="21"/>
              </w:rPr>
              <w:t>相关测试报告或其他指定证明文件（扫描件或复印件）加盖厂家公章，其中加★为核心技术指标</w:t>
            </w:r>
            <w:r>
              <w:rPr>
                <w:rFonts w:hint="eastAsia" w:asciiTheme="minorEastAsia" w:hAnsiTheme="minorEastAsia" w:cstheme="minorEastAsia"/>
                <w:kern w:val="2"/>
                <w:sz w:val="21"/>
                <w:szCs w:val="21"/>
              </w:rPr>
              <w:t>（投标文件中须提供相应的检测报告作对照）</w:t>
            </w:r>
            <w:r>
              <w:rPr>
                <w:rFonts w:hint="eastAsia" w:asciiTheme="minorEastAsia" w:hAnsiTheme="minorEastAsia" w:eastAsiaTheme="minorEastAsia" w:cstheme="minorEastAsia"/>
                <w:kern w:val="2"/>
                <w:sz w:val="21"/>
                <w:szCs w:val="21"/>
              </w:rPr>
              <w:t>，全部满足得15分， 一项不满足扣3分，扣至本项0分为止。</w:t>
            </w:r>
          </w:p>
          <w:p>
            <w:pPr>
              <w:snapToGrid w:val="0"/>
              <w:spacing w:line="276" w:lineRule="auto"/>
              <w:rPr>
                <w:rFonts w:asciiTheme="minorEastAsia" w:hAnsiTheme="minorEastAsia" w:eastAsiaTheme="minorEastAsia" w:cstheme="minorEastAsia"/>
                <w:color w:val="auto"/>
                <w:kern w:val="2"/>
                <w:sz w:val="21"/>
                <w:szCs w:val="21"/>
              </w:rPr>
            </w:pPr>
            <w:r>
              <w:rPr>
                <w:rFonts w:hint="eastAsia" w:asciiTheme="minorEastAsia" w:hAnsiTheme="minorEastAsia" w:cstheme="minorEastAsia"/>
                <w:kern w:val="2"/>
                <w:sz w:val="21"/>
                <w:szCs w:val="21"/>
              </w:rPr>
              <w:t>（2）</w:t>
            </w:r>
            <w:r>
              <w:rPr>
                <w:rFonts w:hint="eastAsia" w:asciiTheme="minorEastAsia" w:hAnsiTheme="minorEastAsia" w:eastAsiaTheme="minorEastAsia" w:cstheme="minorEastAsia"/>
                <w:kern w:val="2"/>
                <w:sz w:val="21"/>
                <w:szCs w:val="21"/>
              </w:rPr>
              <w:t>投影机芯符合节能环保要求，取得中国节能产品认证证书和中国环保产品认证证书，DLP显示单元产品型号须入围最新一期（第二十四期）节能政府采购清单，提供清</w:t>
            </w:r>
            <w:r>
              <w:rPr>
                <w:rFonts w:hint="eastAsia" w:asciiTheme="minorEastAsia" w:hAnsiTheme="minorEastAsia" w:eastAsiaTheme="minorEastAsia" w:cstheme="minorEastAsia"/>
                <w:color w:val="auto"/>
                <w:kern w:val="2"/>
                <w:sz w:val="21"/>
                <w:szCs w:val="21"/>
              </w:rPr>
              <w:t>单截图，同时满足得2分，否则不得分。</w:t>
            </w:r>
          </w:p>
          <w:p>
            <w:pPr>
              <w:snapToGrid w:val="0"/>
              <w:spacing w:line="276" w:lineRule="auto"/>
              <w:rPr>
                <w:rFonts w:asciiTheme="minorEastAsia" w:hAnsiTheme="minorEastAsia" w:eastAsiaTheme="minorEastAsia" w:cstheme="minorEastAsia"/>
                <w:kern w:val="2"/>
                <w:sz w:val="21"/>
                <w:szCs w:val="21"/>
              </w:rPr>
            </w:pPr>
            <w:r>
              <w:rPr>
                <w:rFonts w:hint="eastAsia" w:asciiTheme="minorEastAsia" w:hAnsiTheme="minorEastAsia" w:cstheme="minorEastAsia"/>
                <w:color w:val="auto"/>
                <w:kern w:val="2"/>
                <w:sz w:val="21"/>
                <w:szCs w:val="21"/>
              </w:rPr>
              <w:t>（3）</w:t>
            </w:r>
            <w:r>
              <w:rPr>
                <w:rFonts w:hint="eastAsia" w:asciiTheme="minorEastAsia" w:hAnsiTheme="minorEastAsia" w:eastAsiaTheme="minorEastAsia" w:cstheme="minorEastAsia"/>
                <w:color w:val="auto"/>
                <w:kern w:val="2"/>
                <w:sz w:val="21"/>
                <w:szCs w:val="21"/>
              </w:rPr>
              <w:t>提供投影机芯及多屏处理器嵌入式软件著作权登记证书（扫描件或复印件）并加盖厂家公章，满足得1分，不提供，得</w:t>
            </w:r>
            <w:r>
              <w:rPr>
                <w:rFonts w:hint="eastAsia" w:asciiTheme="minorEastAsia" w:hAnsiTheme="minorEastAsia" w:eastAsiaTheme="minorEastAsia" w:cstheme="minorEastAsia"/>
                <w:kern w:val="2"/>
                <w:sz w:val="21"/>
                <w:szCs w:val="21"/>
              </w:rPr>
              <w:t>0分。</w:t>
            </w:r>
          </w:p>
          <w:p>
            <w:pPr>
              <w:snapToGrid w:val="0"/>
              <w:spacing w:line="276" w:lineRule="auto"/>
              <w:rPr>
                <w:rFonts w:asciiTheme="minorEastAsia" w:hAnsiTheme="minorEastAsia" w:eastAsiaTheme="minorEastAsia" w:cstheme="minorEastAsia"/>
                <w:kern w:val="2"/>
                <w:sz w:val="21"/>
                <w:szCs w:val="21"/>
              </w:rPr>
            </w:pPr>
            <w:r>
              <w:rPr>
                <w:rFonts w:hint="eastAsia" w:asciiTheme="minorEastAsia" w:hAnsiTheme="minorEastAsia" w:cstheme="minorEastAsia"/>
                <w:kern w:val="2"/>
                <w:sz w:val="21"/>
                <w:szCs w:val="21"/>
              </w:rPr>
              <w:t>（4）</w:t>
            </w:r>
            <w:r>
              <w:rPr>
                <w:rFonts w:hint="eastAsia" w:asciiTheme="minorEastAsia" w:hAnsiTheme="minorEastAsia" w:eastAsiaTheme="minorEastAsia" w:cstheme="minorEastAsia"/>
                <w:kern w:val="2"/>
                <w:sz w:val="21"/>
                <w:szCs w:val="21"/>
              </w:rPr>
              <w:t>2015年(含)以来DLP大屏幕显示系统国内销售市场排名，提供“中国电子视像行业协会”或“其他国家级权威统计机构”出具的排名，进入国内</w:t>
            </w:r>
            <w:r>
              <w:rPr>
                <w:rFonts w:hint="eastAsia" w:asciiTheme="minorEastAsia" w:hAnsiTheme="minorEastAsia" w:eastAsiaTheme="minorEastAsia" w:cstheme="minorEastAsia"/>
                <w:color w:val="auto"/>
                <w:kern w:val="2"/>
                <w:sz w:val="21"/>
                <w:szCs w:val="21"/>
              </w:rPr>
              <w:t>前三名每1次得2分，进入4-10名一次得0.5分，最多得6分，</w:t>
            </w:r>
            <w:r>
              <w:rPr>
                <w:rFonts w:hint="eastAsia" w:asciiTheme="minorEastAsia" w:hAnsiTheme="minorEastAsia" w:eastAsiaTheme="minorEastAsia" w:cstheme="minorEastAsia"/>
                <w:kern w:val="2"/>
                <w:sz w:val="21"/>
                <w:szCs w:val="21"/>
              </w:rPr>
              <w:t>不提供不得分。</w:t>
            </w:r>
          </w:p>
          <w:p>
            <w:pPr>
              <w:snapToGrid w:val="0"/>
              <w:spacing w:line="276" w:lineRule="auto"/>
              <w:rPr>
                <w:rFonts w:asciiTheme="minorEastAsia" w:hAnsiTheme="minorEastAsia" w:eastAsiaTheme="minorEastAsia" w:cstheme="minorEastAsia"/>
                <w:kern w:val="2"/>
                <w:sz w:val="21"/>
                <w:szCs w:val="21"/>
              </w:rPr>
            </w:pPr>
            <w:r>
              <w:rPr>
                <w:rFonts w:hint="eastAsia" w:asciiTheme="minorEastAsia" w:hAnsiTheme="minorEastAsia" w:cstheme="minorEastAsia"/>
                <w:kern w:val="2"/>
                <w:sz w:val="21"/>
                <w:szCs w:val="21"/>
              </w:rPr>
              <w:t>（5）</w:t>
            </w:r>
            <w:r>
              <w:rPr>
                <w:rFonts w:hint="eastAsia" w:asciiTheme="minorEastAsia" w:hAnsiTheme="minorEastAsia" w:eastAsiaTheme="minorEastAsia" w:cstheme="minorEastAsia"/>
                <w:kern w:val="2"/>
                <w:sz w:val="21"/>
                <w:szCs w:val="21"/>
              </w:rPr>
              <w:t>为了保证系统的兼容性，融媒体可视化集控应用系统与大屏幕系统同一</w:t>
            </w:r>
            <w:r>
              <w:rPr>
                <w:rFonts w:hint="eastAsia" w:asciiTheme="minorEastAsia" w:hAnsiTheme="minorEastAsia" w:cstheme="minorEastAsia"/>
                <w:kern w:val="2"/>
                <w:sz w:val="21"/>
                <w:szCs w:val="21"/>
              </w:rPr>
              <w:t>厂家</w:t>
            </w:r>
            <w:r>
              <w:rPr>
                <w:rFonts w:hint="eastAsia" w:asciiTheme="minorEastAsia" w:hAnsiTheme="minorEastAsia" w:eastAsiaTheme="minorEastAsia" w:cstheme="minorEastAsia"/>
                <w:kern w:val="2"/>
                <w:sz w:val="21"/>
                <w:szCs w:val="21"/>
              </w:rPr>
              <w:t>可加分。提供大数据可视化集控应用系统软件著作权登记证书和DLP大屏厂家的营业执照副本扫描件并加盖投标人公章，若为同一厂家品牌得5分，非同一厂家品牌得0分。</w:t>
            </w:r>
          </w:p>
          <w:p>
            <w:pPr>
              <w:snapToGrid w:val="0"/>
              <w:spacing w:line="276" w:lineRule="auto"/>
              <w:rPr>
                <w:rFonts w:asciiTheme="minorEastAsia" w:hAnsiTheme="minorEastAsia" w:eastAsiaTheme="minorEastAsia" w:cstheme="minorEastAsia"/>
                <w:kern w:val="2"/>
                <w:sz w:val="21"/>
                <w:szCs w:val="21"/>
              </w:rPr>
            </w:pPr>
            <w:r>
              <w:rPr>
                <w:rFonts w:hint="eastAsia" w:asciiTheme="minorEastAsia" w:hAnsiTheme="minorEastAsia" w:cstheme="minorEastAsia"/>
                <w:kern w:val="2"/>
                <w:sz w:val="21"/>
                <w:szCs w:val="21"/>
              </w:rPr>
              <w:t>（6）</w:t>
            </w:r>
            <w:r>
              <w:rPr>
                <w:rFonts w:hint="eastAsia" w:asciiTheme="minorEastAsia" w:hAnsiTheme="minorEastAsia" w:eastAsiaTheme="minorEastAsia" w:cstheme="minorEastAsia"/>
                <w:kern w:val="2"/>
                <w:sz w:val="21"/>
                <w:szCs w:val="21"/>
              </w:rPr>
              <w:t>可视化显示控制具备控制端标注内容同步上墙，标注与信号缩放实时同步。系统支持多种标注场景，多人同步标注、多人异步标注。须提供工信部直属质量安全检测中心出具的检验报告扫描件并加盖投标人公章，得4分，不提供，得0分。</w:t>
            </w:r>
          </w:p>
          <w:p>
            <w:pPr>
              <w:snapToGrid w:val="0"/>
              <w:spacing w:line="276" w:lineRule="auto"/>
              <w:rPr>
                <w:rFonts w:asciiTheme="minorEastAsia" w:hAnsiTheme="minorEastAsia" w:eastAsiaTheme="minorEastAsia" w:cstheme="minorEastAsia"/>
                <w:kern w:val="2"/>
                <w:sz w:val="21"/>
                <w:szCs w:val="21"/>
              </w:rPr>
            </w:pPr>
            <w:r>
              <w:rPr>
                <w:rFonts w:hint="eastAsia" w:asciiTheme="minorEastAsia" w:hAnsiTheme="minorEastAsia" w:cstheme="minorEastAsia"/>
                <w:kern w:val="2"/>
                <w:sz w:val="21"/>
                <w:szCs w:val="21"/>
              </w:rPr>
              <w:t>（7）</w:t>
            </w:r>
            <w:r>
              <w:rPr>
                <w:rFonts w:hint="eastAsia" w:asciiTheme="minorEastAsia" w:hAnsiTheme="minorEastAsia" w:eastAsiaTheme="minorEastAsia" w:cstheme="minorEastAsia"/>
                <w:kern w:val="2"/>
                <w:sz w:val="21"/>
                <w:szCs w:val="21"/>
              </w:rPr>
              <w:t>可视化显示控制为满足移动决策，系统支持通过触摸控制端可以推送信号到手机、平板等其他客户端（IOS,android，触摸显示终端）。须提供工信部直属质量安全检测中心出具的检验报告扫描件并加盖投标人公章，得4分，不提供，得0分。</w:t>
            </w:r>
          </w:p>
          <w:p>
            <w:pPr>
              <w:snapToGrid w:val="0"/>
              <w:spacing w:line="276" w:lineRule="auto"/>
              <w:rPr>
                <w:rFonts w:asciiTheme="minorEastAsia" w:hAnsiTheme="minorEastAsia" w:eastAsiaTheme="minorEastAsia" w:cstheme="minorEastAsia"/>
                <w:kern w:val="2"/>
                <w:sz w:val="21"/>
                <w:szCs w:val="21"/>
              </w:rPr>
            </w:pPr>
            <w:r>
              <w:rPr>
                <w:rFonts w:hint="eastAsia" w:asciiTheme="minorEastAsia" w:hAnsiTheme="minorEastAsia" w:cstheme="minorEastAsia"/>
                <w:kern w:val="2"/>
                <w:sz w:val="21"/>
                <w:szCs w:val="21"/>
              </w:rPr>
              <w:t>（8）</w:t>
            </w:r>
            <w:r>
              <w:rPr>
                <w:rFonts w:hint="eastAsia" w:asciiTheme="minorEastAsia" w:hAnsiTheme="minorEastAsia" w:eastAsiaTheme="minorEastAsia" w:cstheme="minorEastAsia"/>
                <w:kern w:val="2"/>
                <w:sz w:val="21"/>
                <w:szCs w:val="21"/>
              </w:rPr>
              <w:t>3D的可视化交互控制，在3D模型场景中可漫游，并可在模型中直接控制大屏和环境，操作动态展示。可视化集控应用系统支持GIS地图组件，显示GIS地图，可进行放大，平移操作和图层控制。WEB组件，嵌入和显示基于浏览器的Html页面内容。数据库组件，可视化图表可以配置连接数据库，动态更新数据。须提供工信部直属质量安全检测中心出具的检验报告扫描件并加盖投标人公章，得4分，不提供，得0分。</w:t>
            </w:r>
          </w:p>
          <w:p>
            <w:pPr>
              <w:snapToGrid w:val="0"/>
              <w:spacing w:line="276" w:lineRule="auto"/>
              <w:rPr>
                <w:rFonts w:asciiTheme="minorEastAsia" w:hAnsiTheme="minorEastAsia" w:eastAsiaTheme="minorEastAsia" w:cstheme="minorEastAsia"/>
                <w:kern w:val="2"/>
                <w:sz w:val="21"/>
                <w:szCs w:val="21"/>
              </w:rPr>
            </w:pPr>
            <w:r>
              <w:rPr>
                <w:rFonts w:hint="eastAsia" w:asciiTheme="minorEastAsia" w:hAnsiTheme="minorEastAsia" w:cstheme="minorEastAsia"/>
                <w:kern w:val="2"/>
                <w:sz w:val="21"/>
                <w:szCs w:val="21"/>
              </w:rPr>
              <w:t>（9）</w:t>
            </w:r>
            <w:r>
              <w:rPr>
                <w:rFonts w:hint="eastAsia" w:asciiTheme="minorEastAsia" w:hAnsiTheme="minorEastAsia" w:eastAsiaTheme="minorEastAsia" w:cstheme="minorEastAsia"/>
                <w:kern w:val="2"/>
                <w:sz w:val="21"/>
                <w:szCs w:val="21"/>
              </w:rPr>
              <w:t>由于本项目要求的可视化软件是面向与拼接大屏幕进行展示应用的，因此要求投标人提供的可视化软件需考虑大屏幕系统分辨率高、直接在大屏幕上操作不方便等特点。投标人提供的可视化软系统应分成大屏渲染展示端(以大屏幕拼接后的物理像素点对点显示)、操作控制端、编辑设计端。符合得4分，否则得0分。需提供3端的软件界面以及说明加盖公章。</w:t>
            </w:r>
          </w:p>
        </w:tc>
        <w:tc>
          <w:tcPr>
            <w:tcW w:w="10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8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投标文件</w:t>
            </w:r>
          </w:p>
          <w:p>
            <w:pPr>
              <w:widowControl/>
              <w:spacing w:line="32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规范程度</w:t>
            </w:r>
          </w:p>
        </w:tc>
        <w:tc>
          <w:tcPr>
            <w:tcW w:w="709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投标文件的编制符合招标文件规定、装订整齐、印刷精美得2分；投标文件编制无目录和页码，排序混乱和缺篇少页的不得分。</w:t>
            </w:r>
          </w:p>
        </w:tc>
        <w:tc>
          <w:tcPr>
            <w:tcW w:w="10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8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售后服务承诺</w:t>
            </w:r>
          </w:p>
        </w:tc>
        <w:tc>
          <w:tcPr>
            <w:tcW w:w="7092" w:type="dxa"/>
            <w:tcBorders>
              <w:top w:val="single" w:color="auto" w:sz="4" w:space="0"/>
              <w:left w:val="single" w:color="auto" w:sz="4" w:space="0"/>
              <w:bottom w:val="single" w:color="auto" w:sz="4" w:space="0"/>
              <w:right w:val="single" w:color="auto" w:sz="4" w:space="0"/>
            </w:tcBorders>
            <w:vAlign w:val="center"/>
          </w:tcPr>
          <w:p>
            <w:pPr>
              <w:spacing w:line="174" w:lineRule="atLeas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投标产品制造厂商在河南省内设立有注册的办事机构（提供经工商或政府部门批复的办事机构证明复印件（须加盖投标产品原厂商公章），</w:t>
            </w:r>
            <w:r>
              <w:rPr>
                <w:rFonts w:hint="eastAsia" w:asciiTheme="minorEastAsia" w:hAnsiTheme="minorEastAsia" w:eastAsiaTheme="minorEastAsia" w:cstheme="minorEastAsia"/>
                <w:color w:val="auto"/>
                <w:sz w:val="21"/>
                <w:szCs w:val="21"/>
              </w:rPr>
              <w:t>质保</w:t>
            </w:r>
            <w:r>
              <w:rPr>
                <w:rFonts w:hint="eastAsia" w:asciiTheme="minorEastAsia" w:hAnsiTheme="minorEastAsia" w:eastAsiaTheme="minorEastAsia" w:cstheme="minorEastAsia"/>
                <w:color w:val="auto"/>
                <w:sz w:val="21"/>
                <w:szCs w:val="21"/>
                <w:lang w:eastAsia="zh-CN"/>
              </w:rPr>
              <w:t>期大于</w:t>
            </w:r>
            <w:r>
              <w:rPr>
                <w:rFonts w:hint="eastAsia" w:asciiTheme="minorEastAsia" w:hAnsiTheme="minorEastAsia" w:eastAsiaTheme="minorEastAsia" w:cstheme="minorEastAsia"/>
                <w:color w:val="auto"/>
                <w:sz w:val="21"/>
                <w:szCs w:val="21"/>
              </w:rPr>
              <w:t>3年</w:t>
            </w:r>
            <w:r>
              <w:rPr>
                <w:rFonts w:hint="eastAsia" w:asciiTheme="minorEastAsia" w:hAnsiTheme="minorEastAsia" w:eastAsiaTheme="minorEastAsia" w:cstheme="minorEastAsia"/>
                <w:color w:val="auto"/>
                <w:sz w:val="21"/>
                <w:szCs w:val="21"/>
                <w:lang w:eastAsia="zh-CN"/>
              </w:rPr>
              <w:t>者</w:t>
            </w:r>
            <w:r>
              <w:rPr>
                <w:rFonts w:hint="eastAsia" w:asciiTheme="minorEastAsia" w:hAnsiTheme="minorEastAsia" w:eastAsiaTheme="minorEastAsia" w:cstheme="minorEastAsia"/>
                <w:color w:val="auto"/>
                <w:sz w:val="21"/>
                <w:szCs w:val="21"/>
              </w:rPr>
              <w:t>得3分</w:t>
            </w:r>
            <w:r>
              <w:rPr>
                <w:rFonts w:hint="eastAsia" w:asciiTheme="minorEastAsia" w:hAnsiTheme="minorEastAsia" w:eastAsiaTheme="minorEastAsia" w:cstheme="minorEastAsia"/>
                <w:color w:val="auto"/>
                <w:sz w:val="21"/>
                <w:szCs w:val="21"/>
                <w:lang w:eastAsia="zh-CN"/>
              </w:rPr>
              <w:t>、等于</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lang w:eastAsia="zh-CN"/>
              </w:rPr>
              <w:t>者</w:t>
            </w:r>
            <w:r>
              <w:rPr>
                <w:rFonts w:hint="eastAsia" w:asciiTheme="minorEastAsia" w:hAnsiTheme="minorEastAsia" w:eastAsiaTheme="minorEastAsia" w:cstheme="minorEastAsia"/>
                <w:color w:val="auto"/>
                <w:sz w:val="21"/>
                <w:szCs w:val="21"/>
              </w:rPr>
              <w:t>得1分。</w:t>
            </w:r>
            <w:r>
              <w:rPr>
                <w:rFonts w:hint="eastAsia" w:asciiTheme="minorEastAsia" w:hAnsiTheme="minorEastAsia" w:eastAsiaTheme="minorEastAsia" w:cstheme="minorEastAsia"/>
                <w:color w:val="auto"/>
                <w:sz w:val="21"/>
                <w:szCs w:val="21"/>
                <w:lang w:eastAsia="zh-CN"/>
              </w:rPr>
              <w:t>小于</w:t>
            </w:r>
            <w:r>
              <w:rPr>
                <w:rFonts w:hint="eastAsia" w:asciiTheme="minorEastAsia" w:hAnsiTheme="minorEastAsia" w:eastAsiaTheme="minorEastAsia" w:cstheme="minorEastAsia"/>
                <w:color w:val="auto"/>
                <w:sz w:val="21"/>
                <w:szCs w:val="21"/>
                <w:lang w:val="en-US" w:eastAsia="zh-CN"/>
              </w:rPr>
              <w:t>3年为无效响应</w:t>
            </w:r>
            <w:r>
              <w:rPr>
                <w:rFonts w:hint="eastAsia" w:asciiTheme="minorEastAsia" w:hAnsiTheme="minorEastAsia" w:eastAsiaTheme="minorEastAsia" w:cstheme="minorEastAsia"/>
                <w:color w:val="auto"/>
                <w:sz w:val="21"/>
                <w:szCs w:val="21"/>
              </w:rPr>
              <w:t>。</w:t>
            </w:r>
          </w:p>
        </w:tc>
        <w:tc>
          <w:tcPr>
            <w:tcW w:w="10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3分</w:t>
            </w:r>
          </w:p>
        </w:tc>
      </w:tr>
    </w:tbl>
    <w:p>
      <w:pPr>
        <w:spacing w:line="360" w:lineRule="auto"/>
        <w:ind w:firstLine="482" w:firstLineChars="200"/>
        <w:rPr>
          <w:rFonts w:cs="仿宋_GB2312" w:asciiTheme="minorEastAsia" w:hAnsiTheme="minorEastAsia"/>
          <w:b/>
          <w:szCs w:val="24"/>
          <w:lang w:val="zh-CN"/>
        </w:rPr>
      </w:pPr>
      <w:r>
        <w:rPr>
          <w:rFonts w:hint="eastAsia" w:cs="仿宋_GB2312" w:asciiTheme="minorEastAsia" w:hAnsiTheme="minorEastAsia"/>
          <w:b/>
          <w:szCs w:val="24"/>
          <w:lang w:val="zh-CN"/>
        </w:rPr>
        <w:t>其中：价格分计算（落实政府采购政策价格调整部分）</w:t>
      </w:r>
    </w:p>
    <w:tbl>
      <w:tblPr>
        <w:tblStyle w:val="34"/>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3161"/>
        <w:gridCol w:w="2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1"/>
                <w:szCs w:val="21"/>
                <w:lang w:val="en-GB"/>
              </w:rPr>
            </w:pPr>
            <w:r>
              <w:rPr>
                <w:rFonts w:hint="eastAsia" w:ascii="宋体" w:hAnsi="宋体"/>
                <w:b/>
                <w:color w:val="000000"/>
                <w:sz w:val="21"/>
                <w:szCs w:val="21"/>
                <w:lang w:val="en-GB"/>
              </w:rPr>
              <w:t>序号</w:t>
            </w:r>
          </w:p>
        </w:tc>
        <w:tc>
          <w:tcPr>
            <w:tcW w:w="2823" w:type="dxa"/>
            <w:vAlign w:val="center"/>
          </w:tcPr>
          <w:p>
            <w:pPr>
              <w:jc w:val="center"/>
              <w:rPr>
                <w:rFonts w:ascii="宋体" w:hAnsi="宋体"/>
                <w:b/>
                <w:color w:val="000000"/>
                <w:sz w:val="21"/>
                <w:szCs w:val="21"/>
                <w:lang w:val="en-GB"/>
              </w:rPr>
            </w:pPr>
            <w:r>
              <w:rPr>
                <w:rFonts w:hint="eastAsia" w:ascii="宋体" w:hAnsi="宋体"/>
                <w:b/>
                <w:color w:val="000000"/>
                <w:sz w:val="21"/>
                <w:szCs w:val="21"/>
                <w:lang w:val="en-GB"/>
              </w:rPr>
              <w:t>情形</w:t>
            </w:r>
          </w:p>
        </w:tc>
        <w:tc>
          <w:tcPr>
            <w:tcW w:w="3161" w:type="dxa"/>
            <w:vAlign w:val="center"/>
          </w:tcPr>
          <w:p>
            <w:pPr>
              <w:jc w:val="center"/>
              <w:rPr>
                <w:rFonts w:ascii="宋体" w:hAnsi="宋体"/>
                <w:b/>
                <w:color w:val="000000"/>
                <w:sz w:val="21"/>
                <w:szCs w:val="21"/>
                <w:lang w:val="en-GB"/>
              </w:rPr>
            </w:pPr>
            <w:r>
              <w:rPr>
                <w:rFonts w:hint="eastAsia" w:ascii="宋体" w:hAnsi="宋体"/>
                <w:b/>
                <w:color w:val="000000"/>
                <w:sz w:val="21"/>
                <w:szCs w:val="21"/>
              </w:rPr>
              <w:t>价格扣除</w:t>
            </w:r>
            <w:r>
              <w:rPr>
                <w:rFonts w:hint="eastAsia" w:ascii="宋体" w:hAnsi="宋体"/>
                <w:b/>
                <w:color w:val="000000"/>
                <w:sz w:val="21"/>
                <w:szCs w:val="21"/>
                <w:lang w:val="en-GB"/>
              </w:rPr>
              <w:t>比例</w:t>
            </w:r>
          </w:p>
        </w:tc>
        <w:tc>
          <w:tcPr>
            <w:tcW w:w="2934" w:type="dxa"/>
            <w:vAlign w:val="center"/>
          </w:tcPr>
          <w:p>
            <w:pPr>
              <w:jc w:val="center"/>
              <w:rPr>
                <w:rFonts w:ascii="宋体" w:hAnsi="宋体"/>
                <w:b/>
                <w:color w:val="000000"/>
                <w:sz w:val="21"/>
                <w:szCs w:val="21"/>
                <w:lang w:val="en-GB"/>
              </w:rPr>
            </w:pPr>
            <w:r>
              <w:rPr>
                <w:rFonts w:hint="eastAsia" w:ascii="宋体" w:hAnsi="宋体"/>
                <w:b/>
                <w:color w:val="000000"/>
                <w:sz w:val="21"/>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1"/>
                <w:szCs w:val="21"/>
                <w:lang w:val="en-GB"/>
              </w:rPr>
            </w:pPr>
            <w:r>
              <w:rPr>
                <w:rFonts w:hint="eastAsia" w:ascii="宋体" w:hAnsi="宋体"/>
                <w:b/>
                <w:color w:val="000000"/>
                <w:sz w:val="21"/>
                <w:szCs w:val="21"/>
                <w:lang w:val="en-GB"/>
              </w:rPr>
              <w:t>1</w:t>
            </w:r>
          </w:p>
        </w:tc>
        <w:tc>
          <w:tcPr>
            <w:tcW w:w="2823" w:type="dxa"/>
            <w:vAlign w:val="center"/>
          </w:tcPr>
          <w:p>
            <w:pPr>
              <w:jc w:val="center"/>
              <w:rPr>
                <w:rFonts w:ascii="宋体" w:hAnsi="宋体"/>
                <w:color w:val="000000"/>
                <w:sz w:val="21"/>
                <w:szCs w:val="21"/>
                <w:lang w:val="en-GB"/>
              </w:rPr>
            </w:pPr>
            <w:r>
              <w:rPr>
                <w:rFonts w:hint="eastAsia" w:ascii="宋体" w:hAnsi="宋体"/>
                <w:color w:val="000000"/>
                <w:sz w:val="21"/>
                <w:szCs w:val="21"/>
                <w:lang w:val="en-GB"/>
              </w:rPr>
              <w:t>非联合体投标人</w:t>
            </w:r>
          </w:p>
          <w:p>
            <w:pPr>
              <w:jc w:val="center"/>
              <w:rPr>
                <w:rFonts w:ascii="宋体" w:hAnsi="宋体"/>
                <w:b/>
                <w:color w:val="000000"/>
                <w:sz w:val="21"/>
                <w:szCs w:val="21"/>
                <w:lang w:val="en-GB"/>
              </w:rPr>
            </w:pPr>
            <w:r>
              <w:rPr>
                <w:rFonts w:hint="eastAsia" w:ascii="宋体" w:hAnsi="宋体"/>
                <w:color w:val="000000"/>
                <w:sz w:val="21"/>
                <w:szCs w:val="21"/>
                <w:lang w:val="en-GB"/>
              </w:rPr>
              <w:t>（投标人须为中小企业）</w:t>
            </w:r>
          </w:p>
        </w:tc>
        <w:tc>
          <w:tcPr>
            <w:tcW w:w="3161" w:type="dxa"/>
            <w:vAlign w:val="center"/>
          </w:tcPr>
          <w:p>
            <w:pPr>
              <w:jc w:val="center"/>
              <w:rPr>
                <w:rFonts w:ascii="宋体" w:hAnsi="宋体"/>
                <w:b/>
                <w:sz w:val="21"/>
                <w:szCs w:val="21"/>
                <w:lang w:val="en-GB"/>
              </w:rPr>
            </w:pPr>
            <w:r>
              <w:rPr>
                <w:rFonts w:hint="eastAsia" w:ascii="宋体" w:hAnsi="宋体"/>
                <w:color w:val="000000"/>
                <w:sz w:val="21"/>
                <w:szCs w:val="21"/>
              </w:rPr>
              <w:t>对小型和微型企业产品的价格扣除</w:t>
            </w:r>
            <w:r>
              <w:rPr>
                <w:rFonts w:ascii="宋体" w:hAnsi="宋体"/>
                <w:sz w:val="21"/>
                <w:szCs w:val="21"/>
                <w:u w:val="single"/>
              </w:rPr>
              <w:t>6</w:t>
            </w:r>
            <w:r>
              <w:rPr>
                <w:rFonts w:hint="eastAsia" w:ascii="宋体" w:hAnsi="宋体"/>
                <w:sz w:val="21"/>
                <w:szCs w:val="21"/>
              </w:rPr>
              <w:t>%</w:t>
            </w:r>
          </w:p>
        </w:tc>
        <w:tc>
          <w:tcPr>
            <w:tcW w:w="2934" w:type="dxa"/>
            <w:vMerge w:val="restart"/>
            <w:shd w:val="clear" w:color="auto" w:fill="auto"/>
            <w:vAlign w:val="center"/>
          </w:tcPr>
          <w:p>
            <w:pPr>
              <w:jc w:val="center"/>
              <w:rPr>
                <w:rFonts w:ascii="宋体" w:hAnsi="宋体"/>
                <w:b/>
                <w:color w:val="000000"/>
                <w:sz w:val="21"/>
                <w:szCs w:val="21"/>
                <w:lang w:val="en-GB"/>
              </w:rPr>
            </w:pPr>
            <w:r>
              <w:rPr>
                <w:rFonts w:hint="eastAsia"/>
                <w:color w:val="000000"/>
                <w:sz w:val="21"/>
                <w:szCs w:val="21"/>
                <w:lang w:val="en-GB"/>
              </w:rPr>
              <w:t>评标价格＝投标报价—</w:t>
            </w:r>
            <w:r>
              <w:rPr>
                <w:rFonts w:hint="eastAsia"/>
                <w:color w:val="000000"/>
                <w:sz w:val="21"/>
                <w:szCs w:val="21"/>
              </w:rPr>
              <w:t>小型和微型企业产品的价格</w:t>
            </w:r>
            <w:r>
              <w:rPr>
                <w:rFonts w:hint="eastAsia" w:ascii="宋体" w:hAnsi="宋体"/>
                <w:color w:val="000000"/>
                <w:sz w:val="21"/>
                <w:szCs w:val="21"/>
                <w:lang w:val="en-GB"/>
              </w:rPr>
              <w:t>×</w:t>
            </w:r>
            <w:r>
              <w:rPr>
                <w:rFonts w:hint="eastAsia"/>
                <w:color w:val="000000"/>
                <w:sz w:val="21"/>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9" w:hRule="atLeast"/>
        </w:trPr>
        <w:tc>
          <w:tcPr>
            <w:tcW w:w="721" w:type="dxa"/>
            <w:vAlign w:val="center"/>
          </w:tcPr>
          <w:p>
            <w:pPr>
              <w:jc w:val="center"/>
              <w:rPr>
                <w:rFonts w:ascii="宋体" w:hAnsi="宋体"/>
                <w:b/>
                <w:color w:val="000000"/>
                <w:sz w:val="21"/>
                <w:szCs w:val="21"/>
                <w:lang w:val="en-GB"/>
              </w:rPr>
            </w:pPr>
            <w:r>
              <w:rPr>
                <w:rFonts w:hint="eastAsia" w:ascii="宋体" w:hAnsi="宋体"/>
                <w:b/>
                <w:color w:val="000000"/>
                <w:sz w:val="21"/>
                <w:szCs w:val="21"/>
                <w:lang w:val="en-GB"/>
              </w:rPr>
              <w:t>2</w:t>
            </w:r>
          </w:p>
        </w:tc>
        <w:tc>
          <w:tcPr>
            <w:tcW w:w="2823" w:type="dxa"/>
            <w:vAlign w:val="center"/>
          </w:tcPr>
          <w:p>
            <w:pPr>
              <w:jc w:val="center"/>
              <w:rPr>
                <w:rFonts w:ascii="宋体" w:hAnsi="宋体"/>
                <w:b/>
                <w:color w:val="000000"/>
                <w:sz w:val="21"/>
                <w:szCs w:val="21"/>
              </w:rPr>
            </w:pPr>
            <w:r>
              <w:rPr>
                <w:rFonts w:hint="eastAsia" w:ascii="宋体" w:hAnsi="宋体"/>
                <w:color w:val="000000"/>
                <w:sz w:val="21"/>
                <w:szCs w:val="21"/>
                <w:lang w:val="en-GB"/>
              </w:rPr>
              <w:t>联合体各方均为小型、微型企业</w:t>
            </w:r>
          </w:p>
        </w:tc>
        <w:tc>
          <w:tcPr>
            <w:tcW w:w="3161" w:type="dxa"/>
            <w:vAlign w:val="center"/>
          </w:tcPr>
          <w:p>
            <w:pPr>
              <w:jc w:val="center"/>
              <w:rPr>
                <w:rFonts w:ascii="宋体" w:hAnsi="宋体"/>
                <w:sz w:val="21"/>
                <w:szCs w:val="21"/>
              </w:rPr>
            </w:pPr>
            <w:r>
              <w:rPr>
                <w:rFonts w:hint="eastAsia" w:ascii="宋体" w:hAnsi="宋体"/>
                <w:color w:val="000000"/>
                <w:sz w:val="21"/>
                <w:szCs w:val="21"/>
              </w:rPr>
              <w:t>对小型和微型企业产品的价格扣除</w:t>
            </w:r>
            <w:r>
              <w:rPr>
                <w:rFonts w:ascii="宋体" w:hAnsi="宋体"/>
                <w:sz w:val="21"/>
                <w:szCs w:val="21"/>
                <w:u w:val="single"/>
              </w:rPr>
              <w:t>6</w:t>
            </w:r>
            <w:r>
              <w:rPr>
                <w:rFonts w:hint="eastAsia" w:ascii="宋体" w:hAnsi="宋体"/>
                <w:sz w:val="21"/>
                <w:szCs w:val="21"/>
              </w:rPr>
              <w:t>%</w:t>
            </w:r>
          </w:p>
          <w:p>
            <w:pPr>
              <w:ind w:right="-79" w:rightChars="-33"/>
              <w:jc w:val="center"/>
              <w:rPr>
                <w:rFonts w:ascii="宋体" w:hAnsi="宋体"/>
                <w:b/>
                <w:sz w:val="21"/>
                <w:szCs w:val="21"/>
                <w:lang w:val="en-GB"/>
              </w:rPr>
            </w:pPr>
            <w:r>
              <w:rPr>
                <w:rFonts w:hint="eastAsia" w:ascii="宋体" w:hAnsi="宋体"/>
                <w:sz w:val="21"/>
                <w:szCs w:val="21"/>
              </w:rPr>
              <w:t>（不再享受序号3的价格折扣）</w:t>
            </w:r>
          </w:p>
        </w:tc>
        <w:tc>
          <w:tcPr>
            <w:tcW w:w="2934" w:type="dxa"/>
            <w:vMerge w:val="continue"/>
            <w:shd w:val="clear" w:color="auto" w:fill="auto"/>
          </w:tcPr>
          <w:p>
            <w:pPr>
              <w:rPr>
                <w:rFonts w:ascii="宋体" w:hAnsi="宋体"/>
                <w:color w:val="000000"/>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1"/>
                <w:szCs w:val="21"/>
                <w:lang w:val="en-GB"/>
              </w:rPr>
            </w:pPr>
            <w:r>
              <w:rPr>
                <w:rFonts w:hint="eastAsia" w:ascii="宋体" w:hAnsi="宋体"/>
                <w:b/>
                <w:color w:val="000000"/>
                <w:sz w:val="21"/>
                <w:szCs w:val="21"/>
                <w:lang w:val="en-GB"/>
              </w:rPr>
              <w:t>3</w:t>
            </w:r>
          </w:p>
        </w:tc>
        <w:tc>
          <w:tcPr>
            <w:tcW w:w="2823" w:type="dxa"/>
            <w:vAlign w:val="center"/>
          </w:tcPr>
          <w:p>
            <w:pPr>
              <w:jc w:val="center"/>
              <w:rPr>
                <w:rFonts w:ascii="宋体" w:hAnsi="宋体"/>
                <w:b/>
                <w:color w:val="000000"/>
                <w:sz w:val="21"/>
                <w:szCs w:val="21"/>
                <w:lang w:val="en-GB"/>
              </w:rPr>
            </w:pPr>
            <w:r>
              <w:rPr>
                <w:rFonts w:hint="eastAsia" w:ascii="宋体" w:hAnsi="宋体"/>
                <w:color w:val="000000"/>
                <w:sz w:val="21"/>
                <w:szCs w:val="21"/>
                <w:lang w:val="en-GB"/>
              </w:rPr>
              <w:t>联合体一方为小型、微型企业且小型、微型企业协议合同金额占联合体协议合同总金额30%以上的</w:t>
            </w:r>
          </w:p>
        </w:tc>
        <w:tc>
          <w:tcPr>
            <w:tcW w:w="3161" w:type="dxa"/>
            <w:vAlign w:val="center"/>
          </w:tcPr>
          <w:p>
            <w:pPr>
              <w:ind w:right="-79" w:rightChars="-33"/>
              <w:jc w:val="center"/>
              <w:rPr>
                <w:rFonts w:ascii="宋体" w:hAnsi="宋体"/>
                <w:b/>
                <w:sz w:val="21"/>
                <w:szCs w:val="21"/>
                <w:lang w:val="en-GB"/>
              </w:rPr>
            </w:pPr>
            <w:r>
              <w:rPr>
                <w:rFonts w:hint="eastAsia" w:ascii="宋体" w:hAnsi="宋体"/>
                <w:color w:val="000000"/>
                <w:sz w:val="21"/>
                <w:szCs w:val="21"/>
                <w:lang w:val="en-GB"/>
              </w:rPr>
              <w:t>对联合体总金额扣除</w:t>
            </w:r>
            <w:r>
              <w:rPr>
                <w:rFonts w:ascii="宋体" w:hAnsi="宋体"/>
                <w:sz w:val="21"/>
                <w:szCs w:val="21"/>
                <w:u w:val="single"/>
              </w:rPr>
              <w:t>2</w:t>
            </w:r>
            <w:r>
              <w:rPr>
                <w:rFonts w:hint="eastAsia" w:ascii="宋体" w:hAnsi="宋体"/>
                <w:sz w:val="21"/>
                <w:szCs w:val="21"/>
              </w:rPr>
              <w:t>%</w:t>
            </w:r>
          </w:p>
        </w:tc>
        <w:tc>
          <w:tcPr>
            <w:tcW w:w="2934" w:type="dxa"/>
            <w:shd w:val="clear" w:color="auto" w:fill="auto"/>
            <w:vAlign w:val="center"/>
          </w:tcPr>
          <w:p>
            <w:pPr>
              <w:ind w:right="-161" w:rightChars="-67"/>
              <w:jc w:val="center"/>
              <w:rPr>
                <w:rFonts w:ascii="宋体" w:hAnsi="宋体"/>
                <w:color w:val="FF0000"/>
                <w:sz w:val="21"/>
                <w:szCs w:val="21"/>
                <w:u w:val="single"/>
              </w:rPr>
            </w:pPr>
            <w:r>
              <w:rPr>
                <w:rFonts w:hint="eastAsia" w:ascii="宋体" w:hAnsi="宋体"/>
                <w:color w:val="000000"/>
                <w:sz w:val="21"/>
                <w:szCs w:val="21"/>
                <w:lang w:val="en-GB"/>
              </w:rPr>
              <w:t>评标价格＝投标报价×</w:t>
            </w:r>
            <w:r>
              <w:rPr>
                <w:rFonts w:hint="eastAsia" w:ascii="宋体" w:hAnsi="宋体"/>
                <w:color w:val="000000" w:themeColor="text1"/>
                <w:sz w:val="21"/>
                <w:szCs w:val="21"/>
                <w14:textFill>
                  <w14:solidFill>
                    <w14:schemeClr w14:val="tx1"/>
                  </w14:solidFill>
                </w14:textFill>
              </w:rPr>
              <w:t>(1-</w:t>
            </w:r>
            <w:r>
              <w:rPr>
                <w:rFonts w:ascii="宋体" w:hAnsi="宋体"/>
                <w:color w:val="000000" w:themeColor="text1"/>
                <w:sz w:val="21"/>
                <w:szCs w:val="21"/>
                <w:u w:val="single"/>
                <w14:textFill>
                  <w14:solidFill>
                    <w14:schemeClr w14:val="tx1"/>
                  </w14:solidFill>
                </w14:textFill>
              </w:rPr>
              <w:t>2</w:t>
            </w:r>
            <w:r>
              <w:rPr>
                <w:rFonts w:hint="eastAsia" w:ascii="宋体" w:hAnsi="宋体"/>
                <w:color w:val="000000" w:themeColor="text1"/>
                <w:sz w:val="21"/>
                <w:szCs w:val="21"/>
                <w:u w:val="single"/>
                <w14:textFill>
                  <w14:solidFill>
                    <w14:schemeClr w14:val="tx1"/>
                  </w14:solidFill>
                </w14:textFill>
              </w:rPr>
              <w:t>%)</w:t>
            </w:r>
          </w:p>
          <w:p>
            <w:pPr>
              <w:jc w:val="center"/>
              <w:rPr>
                <w:rFonts w:ascii="宋体" w:hAnsi="宋体"/>
                <w:b/>
                <w:color w:val="000000"/>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1"/>
                <w:szCs w:val="21"/>
                <w:lang w:val="en-GB"/>
              </w:rPr>
            </w:pPr>
            <w:r>
              <w:rPr>
                <w:rFonts w:hint="eastAsia" w:ascii="宋体" w:hAnsi="宋体"/>
                <w:b/>
                <w:color w:val="000000"/>
                <w:sz w:val="21"/>
                <w:szCs w:val="21"/>
                <w:lang w:val="en-GB"/>
              </w:rPr>
              <w:t>4</w:t>
            </w:r>
          </w:p>
        </w:tc>
        <w:tc>
          <w:tcPr>
            <w:tcW w:w="2823" w:type="dxa"/>
            <w:vAlign w:val="center"/>
          </w:tcPr>
          <w:p>
            <w:pPr>
              <w:jc w:val="center"/>
              <w:rPr>
                <w:rFonts w:ascii="宋体" w:hAnsi="宋体"/>
                <w:color w:val="000000"/>
                <w:sz w:val="21"/>
                <w:szCs w:val="21"/>
                <w:lang w:val="en-GB"/>
              </w:rPr>
            </w:pPr>
            <w:r>
              <w:rPr>
                <w:rFonts w:hint="eastAsia" w:ascii="宋体" w:hAnsi="宋体"/>
                <w:color w:val="000000"/>
                <w:sz w:val="21"/>
                <w:szCs w:val="21"/>
                <w:lang w:val="en-GB"/>
              </w:rPr>
              <w:t>监狱企业</w:t>
            </w:r>
          </w:p>
        </w:tc>
        <w:tc>
          <w:tcPr>
            <w:tcW w:w="3161" w:type="dxa"/>
            <w:vAlign w:val="center"/>
          </w:tcPr>
          <w:p>
            <w:pPr>
              <w:jc w:val="center"/>
              <w:rPr>
                <w:rFonts w:ascii="宋体" w:hAnsi="宋体"/>
                <w:color w:val="000000"/>
                <w:sz w:val="21"/>
                <w:szCs w:val="21"/>
                <w:lang w:val="en-GB"/>
              </w:rPr>
            </w:pPr>
            <w:r>
              <w:rPr>
                <w:rFonts w:hint="eastAsia" w:ascii="宋体" w:hAnsi="宋体"/>
                <w:color w:val="000000"/>
                <w:sz w:val="21"/>
                <w:szCs w:val="21"/>
                <w:lang w:val="en-GB"/>
              </w:rPr>
              <w:t>视同小型、微型企业</w:t>
            </w:r>
          </w:p>
          <w:p>
            <w:pPr>
              <w:jc w:val="center"/>
              <w:rPr>
                <w:rFonts w:ascii="宋体" w:hAnsi="宋体"/>
                <w:color w:val="000000"/>
                <w:sz w:val="21"/>
                <w:szCs w:val="21"/>
                <w:lang w:val="en-GB"/>
              </w:rPr>
            </w:pPr>
            <w:r>
              <w:rPr>
                <w:rFonts w:hint="eastAsia" w:ascii="宋体" w:hAnsi="宋体"/>
                <w:color w:val="000000"/>
                <w:sz w:val="21"/>
                <w:szCs w:val="21"/>
                <w:lang w:val="en-GB"/>
              </w:rPr>
              <w:t>对监狱企业产品价格扣除</w:t>
            </w:r>
            <w:r>
              <w:rPr>
                <w:rFonts w:ascii="宋体" w:hAnsi="宋体"/>
                <w:sz w:val="21"/>
                <w:szCs w:val="21"/>
                <w:u w:val="single"/>
              </w:rPr>
              <w:t>6</w:t>
            </w:r>
            <w:r>
              <w:rPr>
                <w:rFonts w:hint="eastAsia" w:ascii="宋体" w:hAnsi="宋体"/>
                <w:sz w:val="21"/>
                <w:szCs w:val="21"/>
              </w:rPr>
              <w:t>%</w:t>
            </w:r>
          </w:p>
        </w:tc>
        <w:tc>
          <w:tcPr>
            <w:tcW w:w="2934" w:type="dxa"/>
            <w:shd w:val="clear" w:color="auto" w:fill="auto"/>
            <w:vAlign w:val="center"/>
          </w:tcPr>
          <w:p>
            <w:pPr>
              <w:jc w:val="center"/>
              <w:rPr>
                <w:rFonts w:ascii="宋体" w:hAnsi="宋体"/>
                <w:color w:val="000000"/>
                <w:sz w:val="21"/>
                <w:szCs w:val="21"/>
                <w:lang w:val="en-GB"/>
              </w:rPr>
            </w:pPr>
            <w:r>
              <w:rPr>
                <w:rFonts w:hint="eastAsia"/>
                <w:color w:val="000000"/>
                <w:sz w:val="21"/>
                <w:szCs w:val="21"/>
                <w:lang w:val="en-GB"/>
              </w:rPr>
              <w:t>评标价格＝投标报价—</w:t>
            </w:r>
            <w:r>
              <w:rPr>
                <w:rFonts w:hint="eastAsia"/>
                <w:color w:val="000000"/>
                <w:sz w:val="21"/>
                <w:szCs w:val="21"/>
              </w:rPr>
              <w:t>监狱企业产品的价格</w:t>
            </w:r>
            <w:r>
              <w:rPr>
                <w:rFonts w:hint="eastAsia" w:ascii="宋体" w:hAnsi="宋体"/>
                <w:color w:val="000000"/>
                <w:sz w:val="21"/>
                <w:szCs w:val="21"/>
                <w:lang w:val="en-GB"/>
              </w:rPr>
              <w:t>×</w:t>
            </w:r>
            <w:r>
              <w:rPr>
                <w:rFonts w:hint="eastAsia"/>
                <w:color w:val="000000"/>
                <w:sz w:val="21"/>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1"/>
                <w:szCs w:val="21"/>
                <w:lang w:val="en-GB"/>
              </w:rPr>
            </w:pPr>
            <w:r>
              <w:rPr>
                <w:rFonts w:hint="eastAsia" w:ascii="宋体" w:hAnsi="宋体"/>
                <w:b/>
                <w:color w:val="000000"/>
                <w:sz w:val="21"/>
                <w:szCs w:val="21"/>
                <w:lang w:val="en-GB"/>
              </w:rPr>
              <w:t>5</w:t>
            </w:r>
          </w:p>
        </w:tc>
        <w:tc>
          <w:tcPr>
            <w:tcW w:w="2823" w:type="dxa"/>
            <w:vAlign w:val="center"/>
          </w:tcPr>
          <w:p>
            <w:pPr>
              <w:jc w:val="center"/>
              <w:rPr>
                <w:rFonts w:ascii="宋体" w:hAnsi="宋体"/>
                <w:color w:val="000000"/>
                <w:sz w:val="21"/>
                <w:szCs w:val="21"/>
                <w:lang w:val="en-GB"/>
              </w:rPr>
            </w:pPr>
            <w:r>
              <w:rPr>
                <w:rFonts w:hint="eastAsia" w:ascii="宋体" w:hAnsi="宋体"/>
                <w:color w:val="000000"/>
                <w:sz w:val="21"/>
                <w:szCs w:val="21"/>
                <w:lang w:val="en-GB"/>
              </w:rPr>
              <w:t>残疾人福利性单位</w:t>
            </w:r>
          </w:p>
        </w:tc>
        <w:tc>
          <w:tcPr>
            <w:tcW w:w="3161" w:type="dxa"/>
            <w:vAlign w:val="center"/>
          </w:tcPr>
          <w:p>
            <w:pPr>
              <w:jc w:val="center"/>
              <w:rPr>
                <w:rFonts w:ascii="宋体" w:hAnsi="宋体"/>
                <w:color w:val="000000"/>
                <w:sz w:val="21"/>
                <w:szCs w:val="21"/>
                <w:lang w:val="en-GB"/>
              </w:rPr>
            </w:pPr>
            <w:r>
              <w:rPr>
                <w:rFonts w:hint="eastAsia" w:ascii="宋体" w:hAnsi="宋体"/>
                <w:color w:val="000000"/>
                <w:sz w:val="21"/>
                <w:szCs w:val="21"/>
                <w:lang w:val="en-GB"/>
              </w:rPr>
              <w:t>视同小型、微型企业</w:t>
            </w:r>
          </w:p>
          <w:p>
            <w:pPr>
              <w:jc w:val="center"/>
              <w:rPr>
                <w:rFonts w:ascii="宋体" w:hAnsi="宋体"/>
                <w:color w:val="000000"/>
                <w:sz w:val="21"/>
                <w:szCs w:val="21"/>
                <w:lang w:val="en-GB"/>
              </w:rPr>
            </w:pPr>
            <w:r>
              <w:rPr>
                <w:rFonts w:hint="eastAsia" w:ascii="宋体" w:hAnsi="宋体"/>
                <w:color w:val="000000"/>
                <w:sz w:val="21"/>
                <w:szCs w:val="21"/>
                <w:lang w:val="en-GB"/>
              </w:rPr>
              <w:t>对残疾人福利性单位产品价格扣除</w:t>
            </w:r>
            <w:r>
              <w:rPr>
                <w:rFonts w:ascii="宋体" w:hAnsi="宋体"/>
                <w:sz w:val="21"/>
                <w:szCs w:val="21"/>
                <w:u w:val="single"/>
              </w:rPr>
              <w:t>6</w:t>
            </w:r>
            <w:r>
              <w:rPr>
                <w:rFonts w:hint="eastAsia" w:ascii="宋体" w:hAnsi="宋体"/>
                <w:sz w:val="21"/>
                <w:szCs w:val="21"/>
              </w:rPr>
              <w:t>%</w:t>
            </w:r>
          </w:p>
        </w:tc>
        <w:tc>
          <w:tcPr>
            <w:tcW w:w="2934" w:type="dxa"/>
            <w:shd w:val="clear" w:color="auto" w:fill="auto"/>
            <w:vAlign w:val="center"/>
          </w:tcPr>
          <w:p>
            <w:pPr>
              <w:jc w:val="center"/>
              <w:rPr>
                <w:color w:val="000000"/>
                <w:sz w:val="21"/>
                <w:szCs w:val="21"/>
                <w:lang w:val="en-GB"/>
              </w:rPr>
            </w:pPr>
            <w:r>
              <w:rPr>
                <w:rFonts w:hint="eastAsia"/>
                <w:color w:val="000000"/>
                <w:sz w:val="21"/>
                <w:szCs w:val="21"/>
                <w:lang w:val="en-GB"/>
              </w:rPr>
              <w:t>评标价格＝投标报价—</w:t>
            </w:r>
            <w:r>
              <w:rPr>
                <w:rFonts w:hint="eastAsia"/>
                <w:color w:val="000000"/>
                <w:sz w:val="21"/>
                <w:szCs w:val="21"/>
              </w:rPr>
              <w:t>残疾人福利性单位产品的价格</w:t>
            </w:r>
            <w:r>
              <w:rPr>
                <w:rFonts w:hint="eastAsia" w:ascii="宋体" w:hAnsi="宋体"/>
                <w:color w:val="000000"/>
                <w:sz w:val="21"/>
                <w:szCs w:val="21"/>
                <w:lang w:val="en-GB"/>
              </w:rPr>
              <w:t>×</w:t>
            </w:r>
            <w:r>
              <w:rPr>
                <w:rFonts w:hint="eastAsia"/>
                <w:color w:val="000000"/>
                <w:sz w:val="21"/>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0" w:hRule="atLeast"/>
        </w:trPr>
        <w:tc>
          <w:tcPr>
            <w:tcW w:w="9639"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2、</w:t>
            </w:r>
            <w:r>
              <w:rPr>
                <w:rFonts w:cs="仿宋_GB2312" w:asciiTheme="minorEastAsia" w:hAnsiTheme="minorEastAsia"/>
                <w:sz w:val="21"/>
                <w:szCs w:val="21"/>
                <w:lang w:val="zh-CN"/>
              </w:rPr>
              <w:t>经评标委员会</w:t>
            </w:r>
            <w:r>
              <w:rPr>
                <w:rFonts w:hint="eastAsia" w:cs="仿宋_GB2312" w:asciiTheme="minorEastAsia" w:hAnsiTheme="minorEastAsia"/>
                <w:sz w:val="21"/>
                <w:szCs w:val="21"/>
                <w:lang w:val="zh-CN"/>
              </w:rPr>
              <w:t>审查、评价</w:t>
            </w:r>
            <w:r>
              <w:rPr>
                <w:rFonts w:cs="仿宋_GB2312" w:asciiTheme="minorEastAsia" w:hAnsiTheme="minorEastAsia"/>
                <w:sz w:val="21"/>
                <w:szCs w:val="21"/>
                <w:lang w:val="zh-CN"/>
              </w:rPr>
              <w:t>，</w:t>
            </w:r>
            <w:r>
              <w:rPr>
                <w:rFonts w:hint="eastAsia" w:cs="仿宋_GB2312" w:asciiTheme="minorEastAsia" w:hAnsiTheme="minorEastAsia"/>
                <w:sz w:val="21"/>
                <w:szCs w:val="21"/>
                <w:lang w:val="zh-CN"/>
              </w:rPr>
              <w:t>投标文件符合</w:t>
            </w:r>
            <w:r>
              <w:rPr>
                <w:rFonts w:cs="仿宋_GB2312" w:asciiTheme="minorEastAsia" w:hAnsiTheme="minorEastAsia"/>
                <w:sz w:val="21"/>
                <w:szCs w:val="21"/>
                <w:lang w:val="zh-CN"/>
              </w:rPr>
              <w:t>招标文件</w:t>
            </w:r>
            <w:r>
              <w:rPr>
                <w:rFonts w:hint="eastAsia" w:cs="仿宋_GB2312" w:asciiTheme="minorEastAsia" w:hAnsiTheme="minorEastAsia"/>
                <w:sz w:val="21"/>
                <w:szCs w:val="21"/>
                <w:lang w:val="zh-CN"/>
              </w:rPr>
              <w:t>实质性</w:t>
            </w:r>
            <w:r>
              <w:rPr>
                <w:rFonts w:cs="仿宋_GB2312" w:asciiTheme="minorEastAsia" w:hAnsiTheme="minorEastAsia"/>
                <w:sz w:val="21"/>
                <w:szCs w:val="21"/>
                <w:lang w:val="zh-CN"/>
              </w:rPr>
              <w:t>要求且</w:t>
            </w:r>
            <w:r>
              <w:rPr>
                <w:rFonts w:hint="eastAsia" w:cs="仿宋_GB2312" w:asciiTheme="minorEastAsia" w:hAnsiTheme="minorEastAsia"/>
                <w:sz w:val="21"/>
                <w:szCs w:val="21"/>
                <w:lang w:val="zh-CN"/>
              </w:rPr>
              <w:t>进行了政策性价格扣除后，</w:t>
            </w:r>
            <w:r>
              <w:rPr>
                <w:rFonts w:cs="仿宋_GB2312" w:asciiTheme="minorEastAsia" w:hAnsiTheme="minorEastAsia"/>
                <w:sz w:val="21"/>
                <w:szCs w:val="21"/>
                <w:lang w:val="zh-CN"/>
              </w:rPr>
              <w:t>以</w:t>
            </w:r>
            <w:r>
              <w:rPr>
                <w:rFonts w:hint="eastAsia" w:cs="仿宋_GB2312" w:asciiTheme="minorEastAsia" w:hAnsiTheme="minorEastAsia"/>
                <w:sz w:val="21"/>
                <w:szCs w:val="21"/>
                <w:lang w:val="zh-CN"/>
              </w:rPr>
              <w:t>评标价格的</w:t>
            </w:r>
            <w:r>
              <w:rPr>
                <w:rFonts w:cs="仿宋_GB2312" w:asciiTheme="minorEastAsia" w:hAnsiTheme="minorEastAsia"/>
                <w:sz w:val="21"/>
                <w:szCs w:val="21"/>
                <w:lang w:val="zh-CN"/>
              </w:rPr>
              <w:t>最低价者定为评标基准价，其价格分为满分。其他投标人的价格分统一按下列公式</w:t>
            </w:r>
            <w:r>
              <w:rPr>
                <w:rFonts w:hint="eastAsia" w:cs="仿宋_GB2312" w:asciiTheme="minorEastAsia" w:hAnsiTheme="minorEastAsia"/>
                <w:sz w:val="21"/>
                <w:szCs w:val="21"/>
                <w:lang w:val="zh-CN"/>
              </w:rPr>
              <w:t>计算</w:t>
            </w:r>
            <w:r>
              <w:rPr>
                <w:rFonts w:cs="仿宋_GB2312" w:asciiTheme="minorEastAsia" w:hAnsiTheme="minorEastAsia"/>
                <w:sz w:val="21"/>
                <w:szCs w:val="21"/>
                <w:lang w:val="zh-CN"/>
              </w:rPr>
              <w:t>。即：</w:t>
            </w:r>
          </w:p>
          <w:p>
            <w:pPr>
              <w:widowControl/>
              <w:adjustRightInd w:val="0"/>
              <w:spacing w:line="360" w:lineRule="auto"/>
              <w:ind w:left="-101" w:leftChars="-42" w:firstLine="449" w:firstLineChars="214"/>
              <w:jc w:val="left"/>
              <w:rPr>
                <w:rFonts w:cs="仿宋_GB2312" w:asciiTheme="minorEastAsia" w:hAnsiTheme="minorEastAsia"/>
                <w:color w:val="auto"/>
                <w:sz w:val="21"/>
                <w:szCs w:val="21"/>
                <w:lang w:val="zh-CN"/>
              </w:rPr>
            </w:pPr>
            <w:r>
              <w:rPr>
                <w:rFonts w:cs="仿宋_GB2312" w:asciiTheme="minorEastAsia" w:hAnsiTheme="minorEastAsia"/>
                <w:color w:val="auto"/>
                <w:sz w:val="21"/>
                <w:szCs w:val="21"/>
                <w:lang w:val="zh-CN"/>
              </w:rPr>
              <w:t>评标基准价</w:t>
            </w:r>
            <w:r>
              <w:rPr>
                <w:rFonts w:hint="eastAsia" w:cs="仿宋_GB2312" w:asciiTheme="minorEastAsia" w:hAnsiTheme="minorEastAsia"/>
                <w:color w:val="auto"/>
                <w:sz w:val="21"/>
                <w:szCs w:val="21"/>
                <w:lang w:val="zh-CN"/>
              </w:rPr>
              <w:t>=符合招标要求的最低价</w:t>
            </w:r>
          </w:p>
          <w:p>
            <w:pPr>
              <w:adjustRightInd w:val="0"/>
              <w:spacing w:line="360" w:lineRule="auto"/>
              <w:ind w:left="-101" w:leftChars="-42" w:firstLine="449" w:firstLineChars="214"/>
              <w:jc w:val="left"/>
              <w:rPr>
                <w:rFonts w:cs="仿宋_GB2312" w:asciiTheme="minorEastAsia" w:hAnsiTheme="minorEastAsia"/>
                <w:sz w:val="21"/>
                <w:szCs w:val="21"/>
                <w:lang w:val="zh-CN"/>
              </w:rPr>
            </w:pPr>
            <w:r>
              <w:rPr>
                <w:rFonts w:cs="仿宋_GB2312" w:asciiTheme="minorEastAsia" w:hAnsiTheme="minorEastAsia"/>
                <w:sz w:val="21"/>
                <w:szCs w:val="21"/>
                <w:lang w:val="zh-CN"/>
              </w:rPr>
              <w:t>其他投标报价得分</w:t>
            </w:r>
            <w:r>
              <w:rPr>
                <w:rFonts w:hint="eastAsia" w:cs="仿宋_GB2312" w:asciiTheme="minorEastAsia" w:hAnsiTheme="minorEastAsia"/>
                <w:sz w:val="21"/>
                <w:szCs w:val="21"/>
                <w:lang w:val="zh-CN"/>
              </w:rPr>
              <w:t>=（</w:t>
            </w:r>
            <w:r>
              <w:rPr>
                <w:rFonts w:cs="仿宋_GB2312" w:asciiTheme="minorEastAsia" w:hAnsiTheme="minorEastAsia"/>
                <w:sz w:val="21"/>
                <w:szCs w:val="21"/>
                <w:lang w:val="zh-CN"/>
              </w:rPr>
              <w:t>评标基准价</w:t>
            </w:r>
            <w:r>
              <w:rPr>
                <w:rFonts w:hint="eastAsia" w:cs="仿宋_GB2312" w:asciiTheme="minorEastAsia" w:hAnsiTheme="minorEastAsia"/>
                <w:sz w:val="21"/>
                <w:szCs w:val="21"/>
                <w:lang w:val="zh-CN"/>
              </w:rPr>
              <w:t>/评标价格）</w:t>
            </w:r>
            <w:r>
              <w:rPr>
                <w:rFonts w:cs="仿宋_GB2312" w:asciiTheme="minorEastAsia" w:hAnsiTheme="minorEastAsia"/>
                <w:sz w:val="21"/>
                <w:szCs w:val="21"/>
                <w:lang w:val="zh-CN"/>
              </w:rPr>
              <w:t>×</w:t>
            </w:r>
            <w:r>
              <w:rPr>
                <w:rFonts w:hint="eastAsia" w:cs="仿宋_GB2312" w:asciiTheme="minorEastAsia" w:hAnsiTheme="minorEastAsia"/>
                <w:sz w:val="21"/>
                <w:szCs w:val="21"/>
                <w:lang w:val="zh-CN"/>
              </w:rPr>
              <w:t>评标标准中价格分值</w:t>
            </w:r>
          </w:p>
        </w:tc>
      </w:tr>
    </w:tbl>
    <w:p>
      <w:pPr>
        <w:spacing w:line="360" w:lineRule="auto"/>
        <w:rPr>
          <w:rFonts w:ascii="宋体" w:hAnsi="宋体"/>
          <w:bCs/>
          <w:szCs w:val="24"/>
          <w:lang w:val="en-GB"/>
        </w:rPr>
      </w:pPr>
      <w:r>
        <w:rPr>
          <w:rFonts w:hint="eastAsia" w:ascii="宋体" w:hAnsi="宋体"/>
          <w:bCs/>
          <w:szCs w:val="24"/>
          <w:lang w:val="en-GB"/>
        </w:rPr>
        <w:t>备注：</w:t>
      </w:r>
    </w:p>
    <w:p>
      <w:pPr>
        <w:spacing w:line="360" w:lineRule="auto"/>
        <w:ind w:firstLine="480" w:firstLineChars="200"/>
        <w:rPr>
          <w:rFonts w:ascii="宋体" w:hAnsi="宋体"/>
          <w:bCs/>
          <w:szCs w:val="24"/>
          <w:lang w:val="en-GB"/>
        </w:rPr>
      </w:pPr>
      <w:r>
        <w:rPr>
          <w:rFonts w:hint="eastAsia" w:ascii="宋体" w:hAnsi="宋体"/>
          <w:bCs/>
          <w:szCs w:val="24"/>
          <w:lang w:val="en-GB"/>
        </w:rPr>
        <w:t>a、不接受联合体投标的项目，本表中第2项、第3项情形不适用。</w:t>
      </w:r>
    </w:p>
    <w:p>
      <w:pPr>
        <w:spacing w:line="360" w:lineRule="auto"/>
        <w:ind w:firstLine="480" w:firstLineChars="200"/>
        <w:rPr>
          <w:rFonts w:ascii="宋体" w:hAnsi="宋体"/>
          <w:bCs/>
          <w:szCs w:val="24"/>
          <w:lang w:val="en-GB"/>
        </w:rPr>
      </w:pPr>
      <w:r>
        <w:rPr>
          <w:rFonts w:hint="eastAsia" w:ascii="宋体" w:hAnsi="宋体"/>
          <w:bCs/>
          <w:szCs w:val="24"/>
          <w:lang w:val="en-GB"/>
        </w:rPr>
        <w:t>b、小型和微型企业产品包括货物及其提供的服务与工程。</w:t>
      </w:r>
    </w:p>
    <w:p>
      <w:pPr>
        <w:spacing w:line="360" w:lineRule="auto"/>
        <w:ind w:firstLine="480" w:firstLineChars="200"/>
        <w:rPr>
          <w:rFonts w:ascii="宋体" w:hAnsi="宋体"/>
          <w:bCs/>
          <w:szCs w:val="24"/>
          <w:lang w:val="en-GB"/>
        </w:rPr>
      </w:pPr>
      <w:r>
        <w:rPr>
          <w:rFonts w:hint="eastAsia" w:ascii="宋体" w:hAnsi="宋体"/>
          <w:bCs/>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szCs w:val="24"/>
          <w:lang w:val="en-GB"/>
        </w:rPr>
      </w:pPr>
      <w:r>
        <w:rPr>
          <w:rFonts w:hint="eastAsia" w:ascii="宋体" w:hAnsi="宋体"/>
          <w:bCs/>
          <w:szCs w:val="24"/>
          <w:lang w:val="en-GB"/>
        </w:rPr>
        <w:t>d、残疾人福利性单位属于小型、微型企业的，不重复享受政策。</w:t>
      </w:r>
    </w:p>
    <w:p>
      <w:pPr>
        <w:pStyle w:val="54"/>
        <w:spacing w:line="360" w:lineRule="auto"/>
        <w:ind w:firstLine="0"/>
        <w:jc w:val="both"/>
        <w:rPr>
          <w:rFonts w:ascii="黑体" w:hAnsi="黑体" w:eastAsia="黑体"/>
          <w:sz w:val="32"/>
          <w:szCs w:val="32"/>
        </w:rPr>
      </w:pPr>
    </w:p>
    <w:p/>
    <w:p>
      <w:pPr>
        <w:pStyle w:val="54"/>
        <w:spacing w:line="360" w:lineRule="auto"/>
        <w:jc w:val="center"/>
        <w:rPr>
          <w:rFonts w:ascii="黑体" w:hAnsi="黑体" w:eastAsia="黑体"/>
          <w:sz w:val="32"/>
          <w:szCs w:val="32"/>
        </w:rPr>
      </w:pPr>
      <w:r>
        <w:rPr>
          <w:rFonts w:hint="eastAsia" w:ascii="黑体" w:hAnsi="黑体" w:eastAsia="黑体"/>
          <w:sz w:val="32"/>
          <w:szCs w:val="32"/>
        </w:rPr>
        <w:br w:type="page"/>
      </w:r>
    </w:p>
    <w:p>
      <w:pPr>
        <w:pStyle w:val="54"/>
        <w:spacing w:line="360" w:lineRule="auto"/>
        <w:jc w:val="center"/>
        <w:rPr>
          <w:rFonts w:ascii="黑体" w:hAnsi="黑体" w:eastAsia="黑体"/>
          <w:sz w:val="32"/>
          <w:szCs w:val="32"/>
        </w:rPr>
      </w:pPr>
      <w:r>
        <w:rPr>
          <w:rFonts w:hint="eastAsia" w:ascii="黑体" w:hAnsi="黑体" w:eastAsia="黑体"/>
          <w:sz w:val="32"/>
          <w:szCs w:val="32"/>
        </w:rPr>
        <w:t>第五章  合同格式</w:t>
      </w:r>
    </w:p>
    <w:p>
      <w:pPr>
        <w:spacing w:line="360" w:lineRule="auto"/>
        <w:jc w:val="center"/>
        <w:rPr>
          <w:rFonts w:ascii="宋体" w:hAnsi="宋体" w:cs="微软雅黑"/>
          <w:b/>
          <w:bCs/>
          <w:szCs w:val="24"/>
        </w:rPr>
      </w:pPr>
      <w:bookmarkStart w:id="36" w:name="_Toc448307969"/>
      <w:bookmarkEnd w:id="36"/>
      <w:bookmarkStart w:id="37" w:name="_Toc431307796"/>
      <w:bookmarkEnd w:id="37"/>
      <w:r>
        <w:rPr>
          <w:rFonts w:hint="eastAsia" w:ascii="宋体" w:hAnsi="宋体" w:cs="微软雅黑"/>
          <w:b/>
          <w:bCs/>
          <w:szCs w:val="24"/>
        </w:rPr>
        <w:t>（此合同仅供参考。以最终采购人与中标人签定的合同条款为准进行公示，最终签定合同的条款不能与</w:t>
      </w:r>
      <w:r>
        <w:rPr>
          <w:rFonts w:hint="eastAsia" w:ascii="宋体" w:hAnsi="宋体" w:cs="微软雅黑"/>
          <w:b/>
          <w:bCs/>
          <w:szCs w:val="24"/>
          <w:lang w:eastAsia="zh-CN"/>
        </w:rPr>
        <w:t>采购</w:t>
      </w:r>
      <w:r>
        <w:rPr>
          <w:rFonts w:hint="eastAsia" w:ascii="宋体" w:hAnsi="宋体" w:cs="微软雅黑"/>
          <w:b/>
          <w:bCs/>
          <w:szCs w:val="24"/>
        </w:rPr>
        <w:t>文件有冲突）</w:t>
      </w:r>
    </w:p>
    <w:p>
      <w:pPr>
        <w:pStyle w:val="17"/>
        <w:spacing w:line="360" w:lineRule="auto"/>
        <w:contextualSpacing/>
        <w:jc w:val="center"/>
        <w:rPr>
          <w:rFonts w:cs="宋体" w:asciiTheme="majorEastAsia" w:hAnsiTheme="majorEastAsia" w:eastAsiaTheme="majorEastAsia"/>
          <w:b/>
          <w:kern w:val="0"/>
          <w:sz w:val="36"/>
          <w:szCs w:val="36"/>
        </w:rPr>
      </w:pPr>
    </w:p>
    <w:p>
      <w:pPr>
        <w:autoSpaceDE w:val="0"/>
        <w:autoSpaceDN w:val="0"/>
        <w:adjustRightInd w:val="0"/>
        <w:spacing w:line="360" w:lineRule="auto"/>
        <w:rPr>
          <w:rFonts w:ascii="宋体" w:cs="宋体"/>
          <w:lang w:val="zh-CN"/>
        </w:rPr>
      </w:pPr>
      <w:r>
        <w:rPr>
          <w:rFonts w:hint="eastAsia" w:ascii="宋体" w:cs="宋体"/>
          <w:lang w:val="zh-CN"/>
        </w:rPr>
        <w:t>合同编号：</w:t>
      </w:r>
    </w:p>
    <w:p>
      <w:pPr>
        <w:autoSpaceDE w:val="0"/>
        <w:autoSpaceDN w:val="0"/>
        <w:adjustRightInd w:val="0"/>
        <w:spacing w:line="360" w:lineRule="auto"/>
        <w:rPr>
          <w:rFonts w:ascii="宋体" w:cs="宋体"/>
          <w:lang w:val="zh-CN"/>
        </w:rPr>
      </w:pPr>
      <w:r>
        <w:rPr>
          <w:rFonts w:hint="eastAsia" w:ascii="宋体" w:cs="宋体"/>
          <w:lang w:val="zh-CN"/>
        </w:rPr>
        <w:t>供方：需方：</w:t>
      </w:r>
    </w:p>
    <w:p>
      <w:pPr>
        <w:autoSpaceDE w:val="0"/>
        <w:autoSpaceDN w:val="0"/>
        <w:adjustRightInd w:val="0"/>
        <w:spacing w:line="360" w:lineRule="auto"/>
        <w:rPr>
          <w:rFonts w:ascii="宋体" w:cs="宋体"/>
          <w:lang w:val="zh-CN"/>
        </w:rPr>
      </w:pPr>
      <w:r>
        <w:rPr>
          <w:rFonts w:hint="eastAsia" w:ascii="宋体" w:cs="宋体"/>
          <w:lang w:val="zh-CN"/>
        </w:rPr>
        <w:t>供、需双方根据年月日招标人签发的中标通知书和招投标文件，并经双方协商一致，在平等互利的基础上，达成以下合同条款：</w:t>
      </w:r>
    </w:p>
    <w:p>
      <w:pPr>
        <w:autoSpaceDE w:val="0"/>
        <w:autoSpaceDN w:val="0"/>
        <w:adjustRightInd w:val="0"/>
        <w:spacing w:line="360" w:lineRule="auto"/>
        <w:ind w:firstLine="480"/>
        <w:rPr>
          <w:rFonts w:ascii="宋体" w:cs="宋体"/>
          <w:lang w:val="zh-CN"/>
        </w:rPr>
      </w:pPr>
      <w:r>
        <w:rPr>
          <w:rFonts w:hint="eastAsia" w:ascii="宋体" w:cs="宋体"/>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宋体" w:cs="宋体"/>
          <w:lang w:val="zh-CN"/>
        </w:rPr>
      </w:pPr>
      <w:r>
        <w:rPr>
          <w:rFonts w:hint="eastAsia" w:ascii="宋体" w:cs="宋体"/>
          <w:lang w:val="zh-CN"/>
        </w:rPr>
        <w:t>二、货物名称、数量、规格、型号、金额及交货期</w:t>
      </w:r>
    </w:p>
    <w:tbl>
      <w:tblPr>
        <w:tblStyle w:val="34"/>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pPr>
            <w:r>
              <w:rPr>
                <w:rFonts w:hint="eastAsia" w:ascii="宋体" w:cs="宋体"/>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pPr>
            <w:r>
              <w:rPr>
                <w:rFonts w:hint="eastAsia" w:ascii="宋体" w:cs="宋体"/>
                <w:lang w:val="zh-CN"/>
              </w:rPr>
              <w:t>名称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pPr>
            <w:r>
              <w:rPr>
                <w:rFonts w:hint="eastAsia" w:ascii="宋体" w:cs="宋体"/>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pPr>
            <w:r>
              <w:rPr>
                <w:rFonts w:hint="eastAsia" w:ascii="宋体" w:cs="宋体"/>
                <w:lang w:val="zh-CN"/>
              </w:rPr>
              <w:t>单位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pPr>
            <w:r>
              <w:rPr>
                <w:rFonts w:hint="eastAsia" w:ascii="宋体" w:cs="宋体"/>
                <w:lang w:val="zh-CN"/>
              </w:rPr>
              <w:t>数量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pPr>
            <w:r>
              <w:rPr>
                <w:rFonts w:hint="eastAsia" w:ascii="宋体" w:cs="宋体"/>
                <w:lang w:val="zh-CN"/>
              </w:rPr>
              <w:t>单价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pPr>
            <w:r>
              <w:rPr>
                <w:rFonts w:hint="eastAsia" w:ascii="宋体" w:cs="宋体"/>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pPr>
            <w:r>
              <w:rPr>
                <w:rFonts w:hint="eastAsia" w:ascii="宋体" w:cs="宋体"/>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pPr>
            <w:r>
              <w:rPr>
                <w:rFonts w:hint="eastAsia" w:ascii="宋体" w:cs="宋体"/>
                <w:lang w:val="zh-CN"/>
              </w:rPr>
              <w:t>合计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lang w:val="zh-CN"/>
              </w:rPr>
            </w:pPr>
            <w:r>
              <w:rPr>
                <w:rFonts w:hint="eastAsia" w:ascii="宋体" w:cs="宋体"/>
                <w:lang w:val="zh-CN"/>
              </w:rPr>
              <w:t>大写：　　　　　　小写：</w:t>
            </w:r>
          </w:p>
        </w:tc>
      </w:tr>
    </w:tbl>
    <w:p>
      <w:pPr>
        <w:autoSpaceDE w:val="0"/>
        <w:autoSpaceDN w:val="0"/>
        <w:adjustRightInd w:val="0"/>
        <w:spacing w:line="360" w:lineRule="auto"/>
        <w:ind w:firstLine="480"/>
        <w:rPr>
          <w:rFonts w:ascii="宋体" w:cs="宋体"/>
          <w:lang w:val="zh-CN"/>
        </w:rPr>
      </w:pPr>
      <w:r>
        <w:rPr>
          <w:rFonts w:hint="eastAsia" w:ascii="宋体" w:cs="宋体"/>
          <w:lang w:val="zh-CN"/>
        </w:rPr>
        <w:t>三、设备质量要求及供方对质量负责的条件和期限</w:t>
      </w:r>
    </w:p>
    <w:p>
      <w:pPr>
        <w:autoSpaceDE w:val="0"/>
        <w:autoSpaceDN w:val="0"/>
        <w:adjustRightInd w:val="0"/>
        <w:spacing w:line="360" w:lineRule="auto"/>
        <w:rPr>
          <w:rFonts w:ascii="宋体" w:cs="宋体"/>
          <w:lang w:val="zh-CN"/>
        </w:rPr>
      </w:pPr>
      <w:r>
        <w:rPr>
          <w:rFonts w:ascii="宋体" w:cs="宋体"/>
          <w:lang w:val="zh-CN"/>
        </w:rPr>
        <w:t xml:space="preserve">    1</w:t>
      </w:r>
      <w:r>
        <w:rPr>
          <w:rFonts w:hint="eastAsia" w:ascii="宋体" w:cs="宋体"/>
          <w:lang w:val="zh-CN"/>
        </w:rPr>
        <w:t>、供方提供的货物须是全新的且保证不是库存或积压品</w:t>
      </w:r>
      <w:r>
        <w:rPr>
          <w:rFonts w:ascii="宋体" w:cs="宋体"/>
          <w:lang w:val="zh-CN"/>
        </w:rPr>
        <w:t>(</w:t>
      </w:r>
      <w:r>
        <w:rPr>
          <w:rFonts w:hint="eastAsia" w:ascii="宋体" w:cs="宋体"/>
          <w:lang w:val="zh-CN"/>
        </w:rPr>
        <w:t>包括零部件</w:t>
      </w:r>
      <w:r>
        <w:rPr>
          <w:rFonts w:ascii="宋体" w:cs="宋体"/>
          <w:lang w:val="zh-CN"/>
        </w:rPr>
        <w:t>)</w:t>
      </w:r>
      <w:r>
        <w:rPr>
          <w:rFonts w:hint="eastAsia" w:ascii="宋体" w:cs="宋体"/>
          <w:lang w:val="zh-CN"/>
        </w:rPr>
        <w:t>，符合国家、部委或地方相关标准以及该产品的出厂标准。</w:t>
      </w:r>
    </w:p>
    <w:p>
      <w:pPr>
        <w:autoSpaceDE w:val="0"/>
        <w:autoSpaceDN w:val="0"/>
        <w:adjustRightInd w:val="0"/>
        <w:spacing w:line="360" w:lineRule="auto"/>
        <w:ind w:firstLine="570"/>
        <w:rPr>
          <w:rFonts w:ascii="宋体" w:cs="宋体"/>
          <w:lang w:val="zh-CN"/>
        </w:rPr>
      </w:pPr>
      <w:r>
        <w:rPr>
          <w:rFonts w:ascii="宋体" w:cs="宋体"/>
          <w:lang w:val="zh-CN"/>
        </w:rPr>
        <w:t>2</w:t>
      </w:r>
      <w:r>
        <w:rPr>
          <w:rFonts w:hint="eastAsia" w:ascii="宋体" w:cs="宋体"/>
          <w:lang w:val="zh-CN"/>
        </w:rPr>
        <w:t>、供方应在产品使用期限内，承担所提供的货物因自身质量原因产生的责任。</w:t>
      </w:r>
    </w:p>
    <w:p>
      <w:pPr>
        <w:autoSpaceDE w:val="0"/>
        <w:autoSpaceDN w:val="0"/>
        <w:adjustRightInd w:val="0"/>
        <w:spacing w:line="360" w:lineRule="auto"/>
        <w:ind w:firstLine="570"/>
        <w:rPr>
          <w:rFonts w:ascii="宋体" w:cs="宋体"/>
          <w:lang w:val="zh-CN"/>
        </w:rPr>
      </w:pPr>
      <w:r>
        <w:rPr>
          <w:rFonts w:hint="eastAsia" w:ascii="宋体" w:cs="宋体"/>
          <w:lang w:val="zh-CN"/>
        </w:rPr>
        <w:t>四、交货时间、地点、方式：年月日前，供方负责将货物按需方规定的地点交货、安装、调试完毕，并具备验收条件。</w:t>
      </w:r>
    </w:p>
    <w:p>
      <w:pPr>
        <w:autoSpaceDE w:val="0"/>
        <w:autoSpaceDN w:val="0"/>
        <w:adjustRightInd w:val="0"/>
        <w:spacing w:line="360" w:lineRule="auto"/>
        <w:ind w:firstLine="480"/>
        <w:rPr>
          <w:rFonts w:ascii="宋体" w:cs="宋体"/>
          <w:lang w:val="zh-CN"/>
        </w:rPr>
      </w:pPr>
      <w:r>
        <w:rPr>
          <w:rFonts w:hint="eastAsia" w:ascii="宋体" w:cs="宋体"/>
          <w:lang w:val="zh-CN"/>
        </w:rPr>
        <w:t>五、货物标志、包装、运输：按招标文件办理。供方将货物直接运至规定的地点，运费自理。</w:t>
      </w:r>
    </w:p>
    <w:p>
      <w:pPr>
        <w:autoSpaceDE w:val="0"/>
        <w:autoSpaceDN w:val="0"/>
        <w:adjustRightInd w:val="0"/>
        <w:spacing w:line="360" w:lineRule="auto"/>
        <w:ind w:firstLine="480"/>
        <w:rPr>
          <w:rFonts w:ascii="宋体" w:cs="宋体"/>
          <w:lang w:val="zh-CN"/>
        </w:rPr>
      </w:pPr>
      <w:r>
        <w:rPr>
          <w:rFonts w:hint="eastAsia" w:ascii="宋体" w:cs="宋体"/>
          <w:lang w:val="zh-CN"/>
        </w:rPr>
        <w:t>六、技术资料及技术服务：供方在交货时应执行招标文件中有关技术资料、技术服务的规定，向需方交付技术资料并进行技术培训。</w:t>
      </w:r>
    </w:p>
    <w:p>
      <w:pPr>
        <w:autoSpaceDE w:val="0"/>
        <w:autoSpaceDN w:val="0"/>
        <w:adjustRightInd w:val="0"/>
        <w:spacing w:line="360" w:lineRule="auto"/>
        <w:ind w:firstLine="480"/>
        <w:rPr>
          <w:rFonts w:ascii="宋体" w:cs="宋体"/>
          <w:lang w:val="zh-CN"/>
        </w:rPr>
      </w:pPr>
      <w:r>
        <w:rPr>
          <w:rFonts w:hint="eastAsia" w:ascii="宋体" w:cs="宋体"/>
          <w:lang w:val="zh-CN"/>
        </w:rPr>
        <w:t>七、货物验收：验收标准按招标文件规定执行。需方有权对供方所交货物抽样做试运行实验、实验室检查。</w:t>
      </w:r>
    </w:p>
    <w:p>
      <w:pPr>
        <w:autoSpaceDE w:val="0"/>
        <w:autoSpaceDN w:val="0"/>
        <w:adjustRightInd w:val="0"/>
        <w:spacing w:line="360" w:lineRule="auto"/>
        <w:ind w:firstLine="480"/>
        <w:rPr>
          <w:rFonts w:ascii="宋体" w:cs="宋体"/>
          <w:lang w:val="zh-CN"/>
        </w:rPr>
      </w:pPr>
      <w:r>
        <w:rPr>
          <w:rFonts w:hint="eastAsia" w:ascii="宋体" w:cs="宋体"/>
          <w:lang w:val="zh-CN"/>
        </w:rPr>
        <w:t>八、售后服务：按招标文件及投标文件相应条款执行。</w:t>
      </w:r>
    </w:p>
    <w:p>
      <w:pPr>
        <w:autoSpaceDE w:val="0"/>
        <w:autoSpaceDN w:val="0"/>
        <w:adjustRightInd w:val="0"/>
        <w:spacing w:line="360" w:lineRule="auto"/>
        <w:ind w:firstLine="480"/>
        <w:rPr>
          <w:rFonts w:ascii="宋体" w:cs="宋体"/>
          <w:lang w:val="zh-CN"/>
        </w:rPr>
      </w:pPr>
      <w:r>
        <w:rPr>
          <w:rFonts w:hint="eastAsia" w:ascii="宋体" w:cs="宋体"/>
          <w:lang w:val="zh-CN"/>
        </w:rPr>
        <w:t>九、结算方式：设备到货经验收合格后付总价的</w:t>
      </w:r>
      <w:r>
        <w:rPr>
          <w:rFonts w:hint="eastAsia" w:ascii="宋体" w:cs="宋体"/>
        </w:rPr>
        <w:t xml:space="preserve"> </w:t>
      </w:r>
      <w:r>
        <w:rPr>
          <w:rFonts w:ascii="宋体" w:cs="宋体"/>
          <w:lang w:val="zh-CN"/>
        </w:rPr>
        <w:t>%</w:t>
      </w:r>
      <w:r>
        <w:rPr>
          <w:rFonts w:hint="eastAsia" w:ascii="宋体" w:cs="宋体"/>
          <w:lang w:val="zh-CN"/>
        </w:rPr>
        <w:t>，剩余</w:t>
      </w:r>
      <w:r>
        <w:rPr>
          <w:rFonts w:hint="eastAsia" w:ascii="宋体" w:cs="宋体"/>
        </w:rPr>
        <w:t xml:space="preserve"> </w:t>
      </w:r>
      <w:r>
        <w:rPr>
          <w:rFonts w:ascii="宋体" w:cs="宋体"/>
          <w:lang w:val="zh-CN"/>
        </w:rPr>
        <w:t>%</w:t>
      </w:r>
      <w:r>
        <w:rPr>
          <w:rFonts w:hint="eastAsia" w:ascii="宋体" w:cs="宋体"/>
          <w:lang w:val="zh-CN"/>
        </w:rPr>
        <w:t>满</w:t>
      </w:r>
      <w:r>
        <w:rPr>
          <w:rFonts w:hint="eastAsia" w:ascii="宋体" w:cs="宋体"/>
        </w:rPr>
        <w:t xml:space="preserve"> </w:t>
      </w:r>
      <w:r>
        <w:rPr>
          <w:rFonts w:hint="eastAsia" w:ascii="宋体" w:cs="宋体"/>
          <w:lang w:val="zh-CN"/>
        </w:rPr>
        <w:t>年无质量问题一次付清。</w:t>
      </w:r>
    </w:p>
    <w:p>
      <w:pPr>
        <w:autoSpaceDE w:val="0"/>
        <w:autoSpaceDN w:val="0"/>
        <w:adjustRightInd w:val="0"/>
        <w:spacing w:line="360" w:lineRule="auto"/>
        <w:ind w:firstLine="480"/>
        <w:rPr>
          <w:rFonts w:ascii="宋体" w:cs="宋体"/>
          <w:lang w:val="zh-CN"/>
        </w:rPr>
      </w:pPr>
      <w:r>
        <w:rPr>
          <w:rFonts w:hint="eastAsia" w:ascii="宋体" w:cs="宋体"/>
          <w:lang w:val="zh-CN"/>
        </w:rPr>
        <w:t>十、法律责任</w:t>
      </w:r>
    </w:p>
    <w:p>
      <w:pPr>
        <w:autoSpaceDE w:val="0"/>
        <w:autoSpaceDN w:val="0"/>
        <w:adjustRightInd w:val="0"/>
        <w:spacing w:line="360" w:lineRule="auto"/>
        <w:rPr>
          <w:rFonts w:ascii="宋体" w:cs="宋体"/>
          <w:lang w:val="zh-CN"/>
        </w:rPr>
      </w:pPr>
      <w:r>
        <w:rPr>
          <w:rFonts w:ascii="宋体" w:cs="宋体"/>
          <w:lang w:val="zh-CN"/>
        </w:rPr>
        <w:t xml:space="preserve">    1</w:t>
      </w:r>
      <w:r>
        <w:rPr>
          <w:rFonts w:hint="eastAsia" w:ascii="宋体" w:cs="宋体"/>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autoSpaceDE w:val="0"/>
        <w:autoSpaceDN w:val="0"/>
        <w:adjustRightInd w:val="0"/>
        <w:spacing w:line="360" w:lineRule="auto"/>
        <w:rPr>
          <w:rFonts w:ascii="宋体" w:cs="宋体"/>
          <w:lang w:val="zh-CN"/>
        </w:rPr>
      </w:pPr>
      <w:r>
        <w:rPr>
          <w:rFonts w:ascii="宋体" w:cs="宋体"/>
          <w:lang w:val="zh-CN"/>
        </w:rPr>
        <w:t xml:space="preserve">    2</w:t>
      </w:r>
      <w:r>
        <w:rPr>
          <w:rFonts w:hint="eastAsia" w:ascii="宋体" w:cs="宋体"/>
          <w:lang w:val="zh-CN"/>
        </w:rPr>
        <w:t>、供方逾期交付货物，应向需方每日支付逾期交货部分货款总值</w:t>
      </w:r>
      <w:r>
        <w:rPr>
          <w:rFonts w:ascii="宋体" w:cs="宋体"/>
          <w:lang w:val="zh-CN"/>
        </w:rPr>
        <w:t>5%</w:t>
      </w:r>
      <w:r>
        <w:rPr>
          <w:rFonts w:hint="eastAsia" w:ascii="宋体" w:cs="宋体"/>
          <w:lang w:val="zh-CN"/>
        </w:rPr>
        <w:t>的违约金；在合同规定的交货期满</w:t>
      </w:r>
      <w:r>
        <w:rPr>
          <w:rFonts w:ascii="宋体" w:cs="宋体"/>
          <w:lang w:val="zh-CN"/>
        </w:rPr>
        <w:t>15</w:t>
      </w:r>
      <w:r>
        <w:rPr>
          <w:rFonts w:hint="eastAsia" w:ascii="宋体" w:cs="宋体"/>
          <w:lang w:val="zh-CN"/>
        </w:rPr>
        <w:t>日仍未全部交货，按不能交货处理。仅支付已验收货物的货款，供方应承担由此发生的全部费用。</w:t>
      </w:r>
    </w:p>
    <w:p>
      <w:pPr>
        <w:autoSpaceDE w:val="0"/>
        <w:autoSpaceDN w:val="0"/>
        <w:adjustRightInd w:val="0"/>
        <w:spacing w:line="360" w:lineRule="auto"/>
        <w:rPr>
          <w:rFonts w:ascii="宋体" w:cs="宋体"/>
          <w:lang w:val="zh-CN"/>
        </w:rPr>
      </w:pPr>
      <w:r>
        <w:rPr>
          <w:rFonts w:ascii="宋体" w:cs="宋体"/>
          <w:lang w:val="zh-CN"/>
        </w:rPr>
        <w:t xml:space="preserve">    3</w:t>
      </w:r>
      <w:r>
        <w:rPr>
          <w:rFonts w:hint="eastAsia" w:ascii="宋体" w:cs="宋体"/>
          <w:lang w:val="zh-CN"/>
        </w:rPr>
        <w:t>、供方在本合同规定的交货期内不能交货，应向需方支付全部合同金额</w:t>
      </w:r>
      <w:r>
        <w:rPr>
          <w:rFonts w:ascii="宋体" w:cs="宋体"/>
          <w:lang w:val="zh-CN"/>
        </w:rPr>
        <w:t>5%</w:t>
      </w:r>
      <w:r>
        <w:rPr>
          <w:rFonts w:hint="eastAsia" w:ascii="宋体" w:cs="宋体"/>
          <w:lang w:val="zh-CN"/>
        </w:rPr>
        <w:t>的违约金，需方有权终止合同。</w:t>
      </w:r>
    </w:p>
    <w:p>
      <w:pPr>
        <w:autoSpaceDE w:val="0"/>
        <w:autoSpaceDN w:val="0"/>
        <w:adjustRightInd w:val="0"/>
        <w:spacing w:line="360" w:lineRule="auto"/>
        <w:rPr>
          <w:rFonts w:ascii="宋体" w:cs="宋体"/>
          <w:lang w:val="zh-CN"/>
        </w:rPr>
      </w:pPr>
      <w:r>
        <w:rPr>
          <w:rFonts w:ascii="宋体" w:cs="宋体"/>
          <w:lang w:val="zh-CN"/>
        </w:rPr>
        <w:t xml:space="preserve">    4</w:t>
      </w:r>
      <w:r>
        <w:rPr>
          <w:rFonts w:hint="eastAsia" w:ascii="宋体" w:cs="宋体"/>
          <w:lang w:val="zh-CN"/>
        </w:rPr>
        <w:t>、需方无正当理由拒收设备，应向供方支付无正当理由拒收设备金额</w:t>
      </w:r>
      <w:r>
        <w:rPr>
          <w:rFonts w:ascii="宋体" w:cs="宋体"/>
          <w:lang w:val="zh-CN"/>
        </w:rPr>
        <w:t>5%</w:t>
      </w:r>
      <w:r>
        <w:rPr>
          <w:rFonts w:hint="eastAsia" w:ascii="宋体" w:cs="宋体"/>
          <w:lang w:val="zh-CN"/>
        </w:rPr>
        <w:t>的违约金。</w:t>
      </w:r>
    </w:p>
    <w:p>
      <w:pPr>
        <w:autoSpaceDE w:val="0"/>
        <w:autoSpaceDN w:val="0"/>
        <w:adjustRightInd w:val="0"/>
        <w:spacing w:line="360" w:lineRule="auto"/>
        <w:rPr>
          <w:rFonts w:ascii="宋体" w:cs="宋体"/>
          <w:lang w:val="zh-CN"/>
        </w:rPr>
      </w:pPr>
      <w:r>
        <w:rPr>
          <w:rFonts w:ascii="宋体" w:cs="宋体"/>
          <w:lang w:val="zh-CN"/>
        </w:rPr>
        <w:t xml:space="preserve">    5</w:t>
      </w:r>
      <w:r>
        <w:rPr>
          <w:rFonts w:hint="eastAsia" w:ascii="宋体" w:cs="宋体"/>
          <w:lang w:val="zh-CN"/>
        </w:rPr>
        <w:t>、因供方原因造成逾期付款，需方不承担责任。</w:t>
      </w:r>
    </w:p>
    <w:p>
      <w:pPr>
        <w:autoSpaceDE w:val="0"/>
        <w:autoSpaceDN w:val="0"/>
        <w:adjustRightInd w:val="0"/>
        <w:spacing w:line="360" w:lineRule="auto"/>
        <w:ind w:firstLine="480"/>
        <w:rPr>
          <w:rFonts w:ascii="宋体" w:cs="宋体"/>
          <w:lang w:val="zh-CN"/>
        </w:rPr>
      </w:pPr>
      <w:r>
        <w:rPr>
          <w:rFonts w:hint="eastAsia" w:ascii="宋体" w:cs="宋体"/>
          <w:lang w:val="zh-CN"/>
        </w:rPr>
        <w:t>十一、质量鉴定：因质量问题发生争议，由许昌市技术监督局或其指定的机构进行质量鉴定，该鉴定结论是终局的，供需双方均应当接受鉴定结论。</w:t>
      </w:r>
    </w:p>
    <w:p>
      <w:pPr>
        <w:autoSpaceDE w:val="0"/>
        <w:autoSpaceDN w:val="0"/>
        <w:adjustRightInd w:val="0"/>
        <w:spacing w:line="360" w:lineRule="auto"/>
        <w:ind w:firstLine="360"/>
        <w:rPr>
          <w:rFonts w:ascii="宋体" w:cs="宋体"/>
          <w:lang w:val="zh-CN"/>
        </w:rPr>
      </w:pPr>
      <w:r>
        <w:rPr>
          <w:rFonts w:hint="eastAsia" w:ascii="宋体" w:cs="宋体"/>
          <w:lang w:val="zh-CN"/>
        </w:rPr>
        <w:t>十二、合同生效及其它：本合同经双方法定代表人或委托代理人签字并加盖公章后生效。本合同一式　份，供需双方各一份、相关部门</w:t>
      </w:r>
      <w:r>
        <w:rPr>
          <w:rFonts w:hint="eastAsia" w:ascii="宋体" w:cs="宋体"/>
          <w:u w:val="single"/>
          <w:lang w:val="zh-CN"/>
        </w:rPr>
        <w:t>　</w:t>
      </w:r>
      <w:r>
        <w:rPr>
          <w:rFonts w:hint="eastAsia" w:ascii="宋体" w:cs="宋体"/>
          <w:lang w:val="zh-CN"/>
        </w:rPr>
        <w:t>份。</w:t>
      </w:r>
    </w:p>
    <w:p>
      <w:pPr>
        <w:autoSpaceDE w:val="0"/>
        <w:autoSpaceDN w:val="0"/>
        <w:adjustRightInd w:val="0"/>
        <w:spacing w:line="360" w:lineRule="auto"/>
        <w:ind w:firstLine="480"/>
        <w:rPr>
          <w:rFonts w:ascii="宋体" w:cs="宋体"/>
          <w:lang w:val="zh-CN"/>
        </w:rPr>
      </w:pPr>
      <w:r>
        <w:rPr>
          <w:rFonts w:hint="eastAsia" w:ascii="宋体" w:cs="宋体"/>
          <w:lang w:val="zh-CN"/>
        </w:rPr>
        <w:t>供方：需方：</w:t>
      </w:r>
    </w:p>
    <w:p>
      <w:pPr>
        <w:autoSpaceDE w:val="0"/>
        <w:autoSpaceDN w:val="0"/>
        <w:adjustRightInd w:val="0"/>
        <w:spacing w:line="360" w:lineRule="auto"/>
        <w:ind w:firstLine="480"/>
        <w:rPr>
          <w:rFonts w:ascii="宋体" w:cs="宋体"/>
          <w:lang w:val="zh-CN"/>
        </w:rPr>
      </w:pPr>
      <w:r>
        <w:rPr>
          <w:rFonts w:hint="eastAsia" w:ascii="宋体" w:cs="宋体"/>
          <w:lang w:val="zh-CN"/>
        </w:rPr>
        <w:t>地址：地址：</w:t>
      </w:r>
    </w:p>
    <w:p>
      <w:pPr>
        <w:autoSpaceDE w:val="0"/>
        <w:autoSpaceDN w:val="0"/>
        <w:adjustRightInd w:val="0"/>
        <w:spacing w:line="360" w:lineRule="auto"/>
        <w:ind w:firstLine="480"/>
        <w:rPr>
          <w:rFonts w:ascii="宋体" w:cs="宋体"/>
          <w:lang w:val="zh-CN"/>
        </w:rPr>
      </w:pPr>
      <w:r>
        <w:rPr>
          <w:rFonts w:hint="eastAsia" w:ascii="宋体" w:cs="宋体"/>
          <w:lang w:val="zh-CN"/>
        </w:rPr>
        <w:t>法定代表人：法定代表人：</w:t>
      </w:r>
    </w:p>
    <w:p>
      <w:pPr>
        <w:autoSpaceDE w:val="0"/>
        <w:autoSpaceDN w:val="0"/>
        <w:adjustRightInd w:val="0"/>
        <w:spacing w:line="360" w:lineRule="auto"/>
        <w:ind w:firstLine="480"/>
        <w:rPr>
          <w:rFonts w:ascii="宋体" w:cs="宋体"/>
          <w:lang w:val="zh-CN"/>
        </w:rPr>
      </w:pPr>
      <w:r>
        <w:rPr>
          <w:rFonts w:hint="eastAsia" w:ascii="宋体" w:cs="宋体"/>
          <w:lang w:val="zh-CN"/>
        </w:rPr>
        <w:t>委托代理人：委托代理人：</w:t>
      </w:r>
    </w:p>
    <w:p>
      <w:pPr>
        <w:autoSpaceDE w:val="0"/>
        <w:autoSpaceDN w:val="0"/>
        <w:adjustRightInd w:val="0"/>
        <w:spacing w:line="360" w:lineRule="auto"/>
        <w:ind w:firstLine="480"/>
        <w:rPr>
          <w:rFonts w:ascii="宋体" w:cs="宋体"/>
          <w:lang w:val="zh-CN"/>
        </w:rPr>
      </w:pPr>
      <w:r>
        <w:rPr>
          <w:rFonts w:hint="eastAsia" w:ascii="宋体" w:cs="宋体"/>
          <w:lang w:val="zh-CN"/>
        </w:rPr>
        <w:t>电话：电话：</w:t>
      </w:r>
    </w:p>
    <w:p>
      <w:pPr>
        <w:autoSpaceDE w:val="0"/>
        <w:autoSpaceDN w:val="0"/>
        <w:adjustRightInd w:val="0"/>
        <w:spacing w:line="360" w:lineRule="auto"/>
        <w:ind w:firstLine="480"/>
        <w:rPr>
          <w:rFonts w:ascii="宋体" w:cs="宋体"/>
          <w:lang w:val="zh-CN"/>
        </w:rPr>
      </w:pPr>
      <w:r>
        <w:rPr>
          <w:rFonts w:hint="eastAsia" w:ascii="宋体" w:cs="宋体"/>
          <w:lang w:val="zh-CN"/>
        </w:rPr>
        <w:t>开户银行：开户银行：</w:t>
      </w:r>
    </w:p>
    <w:p>
      <w:pPr>
        <w:autoSpaceDE w:val="0"/>
        <w:autoSpaceDN w:val="0"/>
        <w:adjustRightInd w:val="0"/>
        <w:spacing w:line="360" w:lineRule="auto"/>
        <w:ind w:firstLine="480"/>
        <w:rPr>
          <w:rFonts w:ascii="宋体" w:cs="宋体"/>
          <w:lang w:val="zh-CN"/>
        </w:rPr>
      </w:pPr>
      <w:r>
        <w:rPr>
          <w:rFonts w:hint="eastAsia" w:ascii="宋体" w:cs="宋体"/>
          <w:lang w:val="zh-CN"/>
        </w:rPr>
        <w:t>帐号：帐号：</w:t>
      </w:r>
    </w:p>
    <w:p>
      <w:pPr>
        <w:autoSpaceDE w:val="0"/>
        <w:autoSpaceDN w:val="0"/>
        <w:adjustRightInd w:val="0"/>
        <w:spacing w:line="360" w:lineRule="auto"/>
        <w:ind w:firstLine="480"/>
        <w:rPr>
          <w:rFonts w:ascii="宋体" w:cs="宋体"/>
          <w:b/>
          <w:kern w:val="0"/>
          <w:sz w:val="36"/>
          <w:szCs w:val="36"/>
        </w:rPr>
      </w:pPr>
      <w:r>
        <w:rPr>
          <w:rFonts w:hint="eastAsia" w:ascii="宋体" w:cs="宋体"/>
          <w:lang w:val="zh-CN"/>
        </w:rPr>
        <w:t>税务登记证号：签定时间：</w:t>
      </w:r>
    </w:p>
    <w:p>
      <w:pPr>
        <w:pStyle w:val="17"/>
        <w:spacing w:line="360" w:lineRule="auto"/>
        <w:contextualSpacing/>
        <w:jc w:val="center"/>
        <w:rPr>
          <w:rFonts w:cs="宋体" w:asciiTheme="majorEastAsia" w:hAnsiTheme="majorEastAsia" w:eastAsiaTheme="majorEastAsia"/>
          <w:b/>
          <w:kern w:val="0"/>
          <w:sz w:val="36"/>
          <w:szCs w:val="36"/>
        </w:rPr>
      </w:pPr>
    </w:p>
    <w:p>
      <w:pPr>
        <w:pStyle w:val="54"/>
        <w:spacing w:line="360" w:lineRule="auto"/>
        <w:jc w:val="center"/>
        <w:rPr>
          <w:rFonts w:ascii="黑体" w:hAnsi="黑体" w:eastAsia="黑体"/>
          <w:sz w:val="32"/>
          <w:szCs w:val="32"/>
        </w:rPr>
      </w:pPr>
    </w:p>
    <w:p>
      <w:pPr>
        <w:pStyle w:val="54"/>
        <w:spacing w:line="360" w:lineRule="auto"/>
        <w:jc w:val="center"/>
        <w:rPr>
          <w:rFonts w:ascii="黑体" w:hAnsi="黑体" w:eastAsia="黑体"/>
          <w:sz w:val="32"/>
          <w:szCs w:val="32"/>
        </w:rPr>
      </w:pPr>
    </w:p>
    <w:p>
      <w:pPr>
        <w:pStyle w:val="54"/>
        <w:spacing w:line="360" w:lineRule="auto"/>
        <w:jc w:val="center"/>
        <w:rPr>
          <w:rFonts w:ascii="黑体" w:hAnsi="黑体" w:eastAsia="黑体"/>
          <w:sz w:val="32"/>
          <w:szCs w:val="32"/>
        </w:rPr>
      </w:pPr>
      <w:r>
        <w:rPr>
          <w:rFonts w:hint="eastAsia" w:ascii="黑体" w:hAnsi="黑体" w:eastAsia="黑体"/>
          <w:sz w:val="32"/>
          <w:szCs w:val="32"/>
        </w:rPr>
        <w:t>第六章  响应文件格式</w:t>
      </w:r>
    </w:p>
    <w:p>
      <w:pPr>
        <w:jc w:val="center"/>
        <w:rPr>
          <w:rFonts w:ascii="宋体" w:cs="宋体"/>
          <w:b/>
          <w:sz w:val="44"/>
          <w:szCs w:val="44"/>
        </w:rPr>
      </w:pPr>
      <w:r>
        <w:rPr>
          <w:rFonts w:hint="eastAsia"/>
          <w:b/>
          <w:sz w:val="30"/>
          <w:szCs w:val="30"/>
        </w:rPr>
        <w:t>（参考）</w:t>
      </w:r>
      <w:r>
        <w:br w:type="page"/>
      </w:r>
    </w:p>
    <w:p>
      <w:pPr>
        <w:jc w:val="right"/>
        <w:rPr>
          <w:rFonts w:ascii="宋体" w:cs="宋体"/>
          <w:b/>
          <w:sz w:val="40"/>
          <w:szCs w:val="40"/>
        </w:rPr>
      </w:pPr>
      <w:r>
        <w:rPr>
          <w:rFonts w:hint="eastAsia" w:ascii="宋体" w:hAnsi="宋体" w:cs="宋体"/>
          <w:b/>
          <w:sz w:val="40"/>
          <w:szCs w:val="40"/>
        </w:rPr>
        <w:t>封面（正或副本）</w:t>
      </w:r>
    </w:p>
    <w:p>
      <w:pPr>
        <w:spacing w:line="360" w:lineRule="auto"/>
        <w:jc w:val="center"/>
        <w:rPr>
          <w:rFonts w:ascii="宋体" w:cs="宋体"/>
          <w:b/>
          <w:sz w:val="40"/>
          <w:szCs w:val="40"/>
        </w:rPr>
      </w:pPr>
    </w:p>
    <w:p>
      <w:pPr>
        <w:spacing w:line="360" w:lineRule="auto"/>
        <w:jc w:val="center"/>
        <w:rPr>
          <w:rFonts w:ascii="宋体" w:cs="宋体"/>
          <w:b/>
          <w:sz w:val="40"/>
          <w:szCs w:val="40"/>
        </w:rPr>
      </w:pPr>
    </w:p>
    <w:p>
      <w:pPr>
        <w:spacing w:line="360" w:lineRule="auto"/>
        <w:jc w:val="center"/>
        <w:rPr>
          <w:rFonts w:ascii="隶书" w:hAnsi="隶书" w:eastAsia="隶书" w:cs="宋体"/>
          <w:b/>
          <w:sz w:val="40"/>
          <w:szCs w:val="40"/>
        </w:rPr>
      </w:pPr>
      <w:r>
        <w:rPr>
          <w:rFonts w:hint="eastAsia" w:ascii="隶书" w:hAnsi="隶书" w:eastAsia="隶书"/>
          <w:b/>
          <w:sz w:val="48"/>
          <w:szCs w:val="48"/>
        </w:rPr>
        <w:t>xxxx项目</w:t>
      </w:r>
    </w:p>
    <w:p>
      <w:pPr>
        <w:spacing w:line="360" w:lineRule="auto"/>
        <w:jc w:val="center"/>
        <w:rPr>
          <w:rFonts w:ascii="隶书" w:hAnsi="隶书" w:eastAsia="隶书" w:cs="宋体"/>
          <w:sz w:val="28"/>
          <w:szCs w:val="28"/>
        </w:rPr>
      </w:pPr>
    </w:p>
    <w:p>
      <w:pPr>
        <w:spacing w:line="360" w:lineRule="auto"/>
        <w:jc w:val="center"/>
        <w:rPr>
          <w:rFonts w:ascii="隶书" w:hAnsi="隶书" w:eastAsia="隶书" w:cs="宋体"/>
          <w:b/>
          <w:spacing w:val="50"/>
          <w:sz w:val="28"/>
          <w:szCs w:val="28"/>
        </w:rPr>
      </w:pPr>
    </w:p>
    <w:p>
      <w:pPr>
        <w:spacing w:line="360" w:lineRule="auto"/>
        <w:jc w:val="center"/>
        <w:rPr>
          <w:rFonts w:ascii="隶书" w:hAnsi="隶书" w:eastAsia="隶书" w:cs="宋体"/>
          <w:b/>
          <w:spacing w:val="50"/>
          <w:sz w:val="28"/>
          <w:szCs w:val="28"/>
        </w:rPr>
      </w:pPr>
    </w:p>
    <w:p>
      <w:pPr>
        <w:spacing w:line="360" w:lineRule="auto"/>
        <w:jc w:val="center"/>
        <w:rPr>
          <w:rFonts w:ascii="隶书" w:hAnsi="隶书" w:eastAsia="隶书" w:cs="宋体"/>
          <w:b/>
          <w:spacing w:val="50"/>
          <w:sz w:val="28"/>
          <w:szCs w:val="28"/>
        </w:rPr>
      </w:pPr>
    </w:p>
    <w:p>
      <w:pPr>
        <w:spacing w:line="360" w:lineRule="auto"/>
        <w:jc w:val="center"/>
        <w:rPr>
          <w:rFonts w:ascii="隶书" w:hAnsi="隶书" w:eastAsia="隶书" w:cs="宋体"/>
          <w:b/>
          <w:spacing w:val="43"/>
          <w:sz w:val="56"/>
          <w:szCs w:val="24"/>
        </w:rPr>
      </w:pPr>
      <w:r>
        <w:rPr>
          <w:rFonts w:hint="eastAsia" w:ascii="隶书" w:hAnsi="隶书" w:eastAsia="隶书" w:cs="宋体"/>
          <w:b/>
          <w:spacing w:val="43"/>
          <w:sz w:val="56"/>
          <w:szCs w:val="24"/>
        </w:rPr>
        <w:t>竞争性磋商响应文件</w:t>
      </w:r>
    </w:p>
    <w:p>
      <w:pPr>
        <w:spacing w:line="360" w:lineRule="auto"/>
        <w:jc w:val="center"/>
        <w:rPr>
          <w:rFonts w:ascii="宋体" w:cs="宋体"/>
          <w:b/>
          <w:sz w:val="28"/>
          <w:szCs w:val="28"/>
        </w:rPr>
      </w:pPr>
    </w:p>
    <w:p>
      <w:pPr>
        <w:spacing w:line="360" w:lineRule="auto"/>
        <w:jc w:val="center"/>
        <w:rPr>
          <w:rFonts w:ascii="宋体" w:cs="宋体"/>
          <w:sz w:val="22"/>
          <w:szCs w:val="21"/>
        </w:rPr>
      </w:pPr>
    </w:p>
    <w:p>
      <w:pPr>
        <w:spacing w:line="360" w:lineRule="auto"/>
        <w:jc w:val="center"/>
        <w:rPr>
          <w:rFonts w:ascii="宋体" w:cs="宋体"/>
          <w:sz w:val="22"/>
          <w:szCs w:val="21"/>
        </w:rPr>
      </w:pPr>
    </w:p>
    <w:p>
      <w:pPr>
        <w:pStyle w:val="2"/>
        <w:rPr>
          <w:rFonts w:ascii="宋体" w:cs="宋体"/>
          <w:sz w:val="22"/>
          <w:szCs w:val="21"/>
        </w:rPr>
      </w:pPr>
    </w:p>
    <w:p>
      <w:pPr>
        <w:pStyle w:val="2"/>
        <w:rPr>
          <w:rFonts w:ascii="宋体" w:cs="宋体"/>
          <w:sz w:val="22"/>
          <w:szCs w:val="21"/>
        </w:rPr>
      </w:pPr>
    </w:p>
    <w:p>
      <w:pPr>
        <w:pStyle w:val="2"/>
        <w:rPr>
          <w:rFonts w:ascii="宋体" w:cs="宋体"/>
          <w:sz w:val="22"/>
          <w:szCs w:val="21"/>
        </w:rPr>
      </w:pPr>
    </w:p>
    <w:p>
      <w:pPr>
        <w:spacing w:line="360" w:lineRule="auto"/>
        <w:ind w:firstLine="900"/>
        <w:jc w:val="left"/>
        <w:rPr>
          <w:rFonts w:ascii="隶书" w:hAnsi="隶书" w:eastAsia="隶书"/>
          <w:b/>
          <w:sz w:val="32"/>
          <w:szCs w:val="32"/>
        </w:rPr>
      </w:pPr>
      <w:r>
        <w:rPr>
          <w:rFonts w:hint="eastAsia" w:ascii="隶书" w:hAnsi="隶书" w:eastAsia="隶书"/>
          <w:b/>
          <w:sz w:val="32"/>
          <w:szCs w:val="32"/>
        </w:rPr>
        <w:t>项目名称：</w:t>
      </w:r>
    </w:p>
    <w:p>
      <w:pPr>
        <w:spacing w:line="360" w:lineRule="auto"/>
        <w:ind w:firstLine="900"/>
        <w:jc w:val="left"/>
        <w:rPr>
          <w:rFonts w:ascii="隶书" w:hAnsi="隶书" w:eastAsia="隶书"/>
          <w:b/>
          <w:sz w:val="32"/>
          <w:szCs w:val="32"/>
        </w:rPr>
      </w:pPr>
      <w:r>
        <w:rPr>
          <w:rFonts w:hint="eastAsia" w:ascii="隶书" w:hAnsi="隶书" w:eastAsia="隶书"/>
          <w:b/>
          <w:sz w:val="32"/>
          <w:szCs w:val="32"/>
        </w:rPr>
        <w:t>项目编号：</w:t>
      </w:r>
    </w:p>
    <w:p>
      <w:pPr>
        <w:spacing w:line="360" w:lineRule="auto"/>
        <w:ind w:firstLine="900"/>
        <w:jc w:val="left"/>
        <w:rPr>
          <w:rFonts w:ascii="隶书" w:hAnsi="隶书" w:eastAsia="隶书" w:cs="Lucida Sans Unicode"/>
          <w:b/>
          <w:sz w:val="32"/>
          <w:szCs w:val="32"/>
        </w:rPr>
      </w:pPr>
      <w:r>
        <w:rPr>
          <w:rFonts w:hint="eastAsia" w:ascii="隶书" w:hAnsi="隶书" w:eastAsia="隶书"/>
          <w:b/>
          <w:sz w:val="32"/>
          <w:szCs w:val="32"/>
        </w:rPr>
        <w:t>响应单位：（加盖公章）</w:t>
      </w:r>
    </w:p>
    <w:p>
      <w:pPr>
        <w:spacing w:line="360" w:lineRule="auto"/>
        <w:ind w:firstLine="900"/>
        <w:jc w:val="left"/>
        <w:rPr>
          <w:rFonts w:ascii="隶书" w:hAnsi="隶书" w:eastAsia="隶书" w:cs="Lucida Sans Unicode"/>
          <w:b/>
          <w:sz w:val="32"/>
          <w:szCs w:val="32"/>
        </w:rPr>
      </w:pPr>
      <w:r>
        <w:rPr>
          <w:rFonts w:hint="eastAsia" w:ascii="隶书" w:hAnsi="隶书" w:eastAsia="隶书" w:cs="Lucida Sans Unicode"/>
          <w:b/>
          <w:sz w:val="32"/>
          <w:szCs w:val="32"/>
        </w:rPr>
        <w:t>时间：</w:t>
      </w:r>
    </w:p>
    <w:p>
      <w:pPr>
        <w:jc w:val="center"/>
        <w:rPr>
          <w:rFonts w:ascii="Arial" w:hAnsi="Arial" w:cs="Arial"/>
          <w:b/>
          <w:bCs/>
          <w:sz w:val="36"/>
          <w:szCs w:val="36"/>
        </w:rPr>
      </w:pPr>
    </w:p>
    <w:p>
      <w:pPr>
        <w:jc w:val="center"/>
        <w:rPr>
          <w:rFonts w:ascii="Arial" w:hAnsi="Arial" w:cs="Arial"/>
          <w:b/>
          <w:bCs/>
          <w:sz w:val="44"/>
          <w:szCs w:val="44"/>
        </w:rPr>
      </w:pPr>
    </w:p>
    <w:p>
      <w:pPr>
        <w:jc w:val="center"/>
        <w:rPr>
          <w:rFonts w:ascii="Arial" w:hAnsi="Arial" w:cs="Arial"/>
          <w:b/>
          <w:bCs/>
          <w:sz w:val="44"/>
          <w:szCs w:val="44"/>
        </w:rPr>
      </w:pPr>
    </w:p>
    <w:p>
      <w:pPr>
        <w:jc w:val="center"/>
        <w:rPr>
          <w:rFonts w:ascii="Arial" w:hAnsi="Arial" w:cs="Arial"/>
          <w:b/>
          <w:bCs/>
          <w:sz w:val="44"/>
          <w:szCs w:val="44"/>
        </w:rPr>
      </w:pPr>
    </w:p>
    <w:p>
      <w:pPr>
        <w:jc w:val="center"/>
        <w:rPr>
          <w:rFonts w:ascii="Arial" w:hAnsi="Arial" w:cs="Arial"/>
          <w:b/>
          <w:bCs/>
          <w:sz w:val="44"/>
          <w:szCs w:val="44"/>
        </w:rPr>
      </w:pPr>
      <w:r>
        <w:rPr>
          <w:rFonts w:hint="eastAsia" w:ascii="Arial" w:hAnsi="Arial" w:cs="Arial"/>
          <w:b/>
          <w:bCs/>
          <w:sz w:val="44"/>
          <w:szCs w:val="44"/>
        </w:rPr>
        <w:t>目录</w:t>
      </w:r>
    </w:p>
    <w:p>
      <w:pPr>
        <w:rPr>
          <w:rFonts w:ascii="Arial" w:hAnsi="Arial" w:cs="Arial"/>
        </w:rPr>
      </w:pPr>
    </w:p>
    <w:p>
      <w:pPr>
        <w:jc w:val="center"/>
        <w:rPr>
          <w:rFonts w:ascii="Arial" w:hAnsi="Arial" w:cs="Arial"/>
        </w:rPr>
      </w:pPr>
      <w:r>
        <w:rPr>
          <w:rFonts w:hint="eastAsia" w:ascii="Arial" w:hAnsi="Arial" w:cs="Arial"/>
        </w:rPr>
        <w:t>（响应文件的详细目录根据自己的响应文件编排自定）</w:t>
      </w:r>
    </w:p>
    <w:p>
      <w:pPr>
        <w:spacing w:line="362" w:lineRule="auto"/>
        <w:ind w:left="1680"/>
        <w:rPr>
          <w:rFonts w:cs="宋体"/>
          <w:szCs w:val="24"/>
        </w:rPr>
      </w:pPr>
    </w:p>
    <w:p>
      <w:pPr>
        <w:widowControl/>
        <w:spacing w:line="480" w:lineRule="exact"/>
        <w:ind w:firstLine="540"/>
        <w:rPr>
          <w:rFonts w:ascii="宋体" w:cs="Lucida Sans Unicode"/>
          <w:b/>
        </w:rPr>
      </w:pPr>
      <w:r>
        <w:rPr>
          <w:rFonts w:hint="eastAsia" w:ascii="宋体" w:hAnsi="宋体" w:cs="Lucida Sans Unicode"/>
          <w:b/>
        </w:rPr>
        <w:t>请供应商按照采购文件要求，根据竞争磋商采购文件具体内容详细编制响应文件目录。</w:t>
      </w:r>
    </w:p>
    <w:p>
      <w:pPr>
        <w:ind w:firstLine="1446"/>
        <w:rPr>
          <w:b/>
          <w:sz w:val="72"/>
          <w:szCs w:val="72"/>
        </w:rPr>
      </w:pPr>
    </w:p>
    <w:p>
      <w:pPr>
        <w:ind w:firstLine="1446"/>
        <w:rPr>
          <w:b/>
          <w:sz w:val="72"/>
          <w:szCs w:val="72"/>
        </w:rPr>
      </w:pPr>
    </w:p>
    <w:p>
      <w:pPr>
        <w:ind w:firstLine="1446"/>
        <w:rPr>
          <w:b/>
          <w:sz w:val="72"/>
          <w:szCs w:val="72"/>
        </w:rPr>
      </w:pPr>
    </w:p>
    <w:p>
      <w:pPr>
        <w:pStyle w:val="28"/>
        <w:jc w:val="both"/>
        <w:rPr>
          <w:rFonts w:ascii="宋体" w:cs="宋体"/>
          <w:sz w:val="24"/>
          <w:szCs w:val="24"/>
        </w:rPr>
      </w:pPr>
      <w:bookmarkStart w:id="38" w:name="_Toc431307797"/>
      <w:bookmarkEnd w:id="38"/>
      <w:bookmarkStart w:id="39" w:name="_Toc448307970"/>
      <w:bookmarkEnd w:id="39"/>
      <w:r>
        <w:br w:type="page"/>
      </w:r>
      <w:r>
        <w:rPr>
          <w:rFonts w:hint="eastAsia" w:ascii="宋体" w:hAnsi="宋体" w:cs="宋体"/>
          <w:sz w:val="24"/>
          <w:szCs w:val="24"/>
        </w:rPr>
        <w:t>格式</w:t>
      </w:r>
      <w:r>
        <w:rPr>
          <w:rFonts w:ascii="宋体" w:hAnsi="宋体" w:cs="宋体"/>
          <w:sz w:val="24"/>
          <w:szCs w:val="24"/>
        </w:rPr>
        <w:t xml:space="preserve">1     </w:t>
      </w:r>
    </w:p>
    <w:p>
      <w:pPr>
        <w:spacing w:line="480" w:lineRule="exact"/>
        <w:jc w:val="center"/>
        <w:rPr>
          <w:rFonts w:ascii="宋体"/>
          <w:b/>
          <w:bCs/>
          <w:sz w:val="36"/>
          <w:szCs w:val="36"/>
        </w:rPr>
      </w:pPr>
      <w:r>
        <w:rPr>
          <w:rFonts w:hint="eastAsia" w:ascii="宋体" w:hAnsi="宋体"/>
          <w:b/>
          <w:bCs/>
          <w:sz w:val="36"/>
          <w:szCs w:val="36"/>
        </w:rPr>
        <w:t>磋商函</w:t>
      </w:r>
    </w:p>
    <w:p>
      <w:pPr>
        <w:spacing w:line="360" w:lineRule="auto"/>
        <w:rPr>
          <w:rFonts w:cs="宋体"/>
          <w:szCs w:val="24"/>
        </w:rPr>
      </w:pPr>
      <w:r>
        <w:rPr>
          <w:rFonts w:hint="eastAsia" w:cs="宋体"/>
          <w:szCs w:val="24"/>
        </w:rPr>
        <w:t>致：</w:t>
      </w:r>
      <w:r>
        <w:rPr>
          <w:rFonts w:hint="eastAsia" w:cs="宋体"/>
          <w:szCs w:val="24"/>
          <w:u w:val="single"/>
        </w:rPr>
        <w:t>（采购人</w:t>
      </w:r>
      <w:r>
        <w:rPr>
          <w:rFonts w:cs="宋体"/>
          <w:szCs w:val="24"/>
          <w:u w:val="single"/>
        </w:rPr>
        <w:t>/</w:t>
      </w:r>
      <w:r>
        <w:rPr>
          <w:rFonts w:hint="eastAsia" w:cs="宋体"/>
          <w:szCs w:val="24"/>
          <w:u w:val="single"/>
        </w:rPr>
        <w:t>采购代理机构）</w:t>
      </w:r>
    </w:p>
    <w:p>
      <w:pPr>
        <w:spacing w:line="360" w:lineRule="auto"/>
        <w:ind w:firstLine="451"/>
        <w:rPr>
          <w:rFonts w:cs="宋体"/>
          <w:szCs w:val="24"/>
        </w:rPr>
      </w:pPr>
      <w:r>
        <w:rPr>
          <w:rFonts w:hint="eastAsia" w:cs="宋体"/>
          <w:szCs w:val="24"/>
        </w:rPr>
        <w:t>根据贵方为</w:t>
      </w:r>
      <w:r>
        <w:rPr>
          <w:rFonts w:hint="eastAsia" w:cs="宋体"/>
          <w:szCs w:val="24"/>
          <w:u w:val="single"/>
        </w:rPr>
        <w:t>（项目名称）</w:t>
      </w:r>
      <w:r>
        <w:rPr>
          <w:rFonts w:hint="eastAsia" w:cs="宋体"/>
          <w:szCs w:val="24"/>
        </w:rPr>
        <w:t>项目的采购邀请</w:t>
      </w:r>
      <w:r>
        <w:rPr>
          <w:rFonts w:hint="eastAsia" w:cs="宋体"/>
          <w:szCs w:val="24"/>
          <w:u w:val="single"/>
        </w:rPr>
        <w:t>（采购编号）</w:t>
      </w:r>
      <w:r>
        <w:rPr>
          <w:rFonts w:hint="eastAsia" w:cs="宋体"/>
          <w:szCs w:val="24"/>
        </w:rPr>
        <w:t>，签字代表</w:t>
      </w:r>
      <w:r>
        <w:rPr>
          <w:rFonts w:hint="eastAsia" w:cs="宋体"/>
          <w:szCs w:val="24"/>
          <w:u w:val="single"/>
        </w:rPr>
        <w:t>（姓名</w:t>
      </w:r>
      <w:r>
        <w:rPr>
          <w:rFonts w:cs="宋体"/>
          <w:szCs w:val="24"/>
          <w:u w:val="single"/>
        </w:rPr>
        <w:t>.</w:t>
      </w:r>
      <w:r>
        <w:rPr>
          <w:rFonts w:hint="eastAsia" w:cs="宋体"/>
          <w:szCs w:val="24"/>
          <w:u w:val="single"/>
        </w:rPr>
        <w:t>职务）</w:t>
      </w:r>
      <w:r>
        <w:rPr>
          <w:rFonts w:hint="eastAsia" w:cs="宋体"/>
          <w:szCs w:val="24"/>
        </w:rPr>
        <w:t>经正式授权并代表响应供商</w:t>
      </w:r>
      <w:r>
        <w:rPr>
          <w:rFonts w:hint="eastAsia" w:cs="宋体"/>
          <w:szCs w:val="24"/>
          <w:u w:val="single"/>
        </w:rPr>
        <w:t>（供应商名称</w:t>
      </w:r>
      <w:r>
        <w:rPr>
          <w:rFonts w:cs="宋体"/>
          <w:szCs w:val="24"/>
          <w:u w:val="single"/>
        </w:rPr>
        <w:t>.</w:t>
      </w:r>
      <w:r>
        <w:rPr>
          <w:rFonts w:hint="eastAsia" w:cs="宋体"/>
          <w:szCs w:val="24"/>
          <w:u w:val="single"/>
        </w:rPr>
        <w:t>地址）</w:t>
      </w:r>
      <w:r>
        <w:rPr>
          <w:rFonts w:hint="eastAsia" w:cs="宋体"/>
          <w:szCs w:val="24"/>
        </w:rPr>
        <w:t>提交下述文件正本</w:t>
      </w:r>
      <w:r>
        <w:rPr>
          <w:rFonts w:hint="eastAsia" w:cs="宋体"/>
          <w:szCs w:val="24"/>
          <w:u w:val="single"/>
        </w:rPr>
        <w:t>一份</w:t>
      </w:r>
      <w:r>
        <w:rPr>
          <w:rFonts w:hint="eastAsia" w:cs="宋体"/>
          <w:szCs w:val="24"/>
        </w:rPr>
        <w:t>及副本</w:t>
      </w:r>
      <w:r>
        <w:rPr>
          <w:rFonts w:cs="宋体"/>
          <w:szCs w:val="24"/>
          <w:u w:val="single"/>
        </w:rPr>
        <w:tab/>
      </w:r>
      <w:r>
        <w:rPr>
          <w:rFonts w:hint="eastAsia" w:cs="宋体"/>
          <w:szCs w:val="24"/>
          <w:u w:val="single"/>
        </w:rPr>
        <w:t xml:space="preserve">    份</w:t>
      </w:r>
      <w:r>
        <w:rPr>
          <w:rFonts w:hint="eastAsia" w:cs="宋体"/>
          <w:szCs w:val="24"/>
        </w:rPr>
        <w:t>：</w:t>
      </w:r>
    </w:p>
    <w:p>
      <w:pPr>
        <w:spacing w:line="360" w:lineRule="auto"/>
        <w:ind w:firstLine="480"/>
        <w:rPr>
          <w:rFonts w:ascii="宋体" w:cs="宋体"/>
          <w:szCs w:val="24"/>
        </w:rPr>
      </w:pPr>
      <w:r>
        <w:rPr>
          <w:rFonts w:ascii="宋体" w:hAnsi="宋体" w:cs="宋体"/>
          <w:szCs w:val="24"/>
        </w:rPr>
        <w:t>1.</w:t>
      </w:r>
      <w:r>
        <w:rPr>
          <w:rFonts w:hint="eastAsia" w:ascii="宋体" w:hAnsi="宋体" w:cs="宋体"/>
          <w:szCs w:val="24"/>
        </w:rPr>
        <w:t>磋商函附录</w:t>
      </w:r>
    </w:p>
    <w:p>
      <w:pPr>
        <w:spacing w:line="360" w:lineRule="auto"/>
        <w:ind w:firstLine="480"/>
        <w:rPr>
          <w:rFonts w:ascii="宋体" w:cs="宋体"/>
          <w:szCs w:val="24"/>
        </w:rPr>
      </w:pPr>
      <w:r>
        <w:rPr>
          <w:rFonts w:ascii="宋体" w:hAnsi="宋体" w:cs="宋体"/>
          <w:szCs w:val="24"/>
        </w:rPr>
        <w:t>2.</w:t>
      </w:r>
      <w:r>
        <w:rPr>
          <w:rFonts w:hint="eastAsia" w:ascii="宋体" w:hAnsi="宋体" w:cs="宋体"/>
          <w:szCs w:val="24"/>
        </w:rPr>
        <w:t>联合体协议（如有）</w:t>
      </w:r>
    </w:p>
    <w:p>
      <w:pPr>
        <w:spacing w:line="360" w:lineRule="auto"/>
        <w:ind w:firstLine="480"/>
        <w:rPr>
          <w:rFonts w:ascii="宋体" w:cs="宋体"/>
          <w:szCs w:val="24"/>
        </w:rPr>
      </w:pPr>
      <w:r>
        <w:rPr>
          <w:rFonts w:ascii="宋体" w:hAnsi="宋体" w:cs="宋体"/>
          <w:szCs w:val="24"/>
        </w:rPr>
        <w:t>3.</w:t>
      </w:r>
      <w:r>
        <w:rPr>
          <w:rFonts w:hint="eastAsia" w:ascii="宋体" w:hAnsi="宋体" w:cs="宋体"/>
          <w:szCs w:val="24"/>
        </w:rPr>
        <w:t>法定代表人证明</w:t>
      </w:r>
    </w:p>
    <w:p>
      <w:pPr>
        <w:spacing w:line="360" w:lineRule="auto"/>
        <w:ind w:firstLine="480"/>
        <w:rPr>
          <w:rFonts w:ascii="宋体" w:cs="宋体"/>
          <w:szCs w:val="24"/>
        </w:rPr>
      </w:pPr>
      <w:r>
        <w:rPr>
          <w:rFonts w:ascii="宋体" w:hAnsi="宋体" w:cs="宋体"/>
          <w:szCs w:val="24"/>
        </w:rPr>
        <w:t>4.</w:t>
      </w:r>
      <w:r>
        <w:rPr>
          <w:rFonts w:hint="eastAsia" w:ascii="宋体" w:hAnsi="宋体" w:cs="宋体"/>
          <w:szCs w:val="24"/>
        </w:rPr>
        <w:t>授权委托书</w:t>
      </w:r>
    </w:p>
    <w:p>
      <w:pPr>
        <w:spacing w:line="360" w:lineRule="auto"/>
        <w:ind w:firstLine="480"/>
        <w:rPr>
          <w:rFonts w:ascii="宋体" w:cs="宋体"/>
          <w:szCs w:val="24"/>
        </w:rPr>
      </w:pPr>
      <w:r>
        <w:rPr>
          <w:rFonts w:ascii="宋体" w:hAnsi="宋体" w:cs="宋体"/>
          <w:szCs w:val="24"/>
        </w:rPr>
        <w:t>5.</w:t>
      </w:r>
      <w:r>
        <w:rPr>
          <w:rFonts w:hint="eastAsia" w:ascii="宋体" w:hAnsi="宋体" w:cs="宋体"/>
          <w:szCs w:val="24"/>
        </w:rPr>
        <w:t>磋商保证金</w:t>
      </w:r>
    </w:p>
    <w:p>
      <w:pPr>
        <w:spacing w:line="360" w:lineRule="auto"/>
        <w:ind w:firstLine="480"/>
        <w:rPr>
          <w:rFonts w:ascii="宋体" w:cs="宋体"/>
          <w:szCs w:val="24"/>
        </w:rPr>
      </w:pPr>
      <w:r>
        <w:rPr>
          <w:rFonts w:ascii="宋体" w:hAnsi="宋体" w:cs="宋体"/>
          <w:szCs w:val="24"/>
        </w:rPr>
        <w:t>6.</w:t>
      </w:r>
      <w:r>
        <w:rPr>
          <w:rFonts w:hint="eastAsia" w:ascii="宋体" w:hAnsi="宋体" w:cs="宋体"/>
          <w:szCs w:val="24"/>
        </w:rPr>
        <w:t>磋商价格表</w:t>
      </w:r>
    </w:p>
    <w:p>
      <w:pPr>
        <w:spacing w:line="360" w:lineRule="auto"/>
        <w:ind w:firstLine="480"/>
        <w:rPr>
          <w:rFonts w:ascii="宋体" w:cs="宋体"/>
          <w:szCs w:val="24"/>
        </w:rPr>
      </w:pPr>
      <w:r>
        <w:rPr>
          <w:rFonts w:ascii="宋体" w:hAnsi="宋体" w:cs="宋体"/>
          <w:szCs w:val="24"/>
        </w:rPr>
        <w:t>7.</w:t>
      </w:r>
      <w:r>
        <w:rPr>
          <w:rFonts w:hint="eastAsia" w:ascii="宋体" w:hAnsi="宋体" w:cs="宋体"/>
          <w:szCs w:val="24"/>
        </w:rPr>
        <w:t>偏离表</w:t>
      </w:r>
    </w:p>
    <w:p>
      <w:pPr>
        <w:spacing w:line="360" w:lineRule="auto"/>
        <w:ind w:firstLine="480"/>
        <w:rPr>
          <w:rFonts w:ascii="宋体" w:cs="宋体"/>
          <w:szCs w:val="24"/>
        </w:rPr>
      </w:pPr>
      <w:r>
        <w:rPr>
          <w:rFonts w:ascii="宋体" w:hAnsi="宋体" w:cs="宋体"/>
          <w:szCs w:val="24"/>
        </w:rPr>
        <w:t>8.</w:t>
      </w:r>
      <w:r>
        <w:rPr>
          <w:rFonts w:hint="eastAsia" w:ascii="宋体" w:hAnsi="宋体" w:cs="宋体"/>
          <w:szCs w:val="24"/>
        </w:rPr>
        <w:t>响应供应商资格证明材料</w:t>
      </w:r>
    </w:p>
    <w:p>
      <w:pPr>
        <w:spacing w:line="360" w:lineRule="auto"/>
        <w:ind w:firstLine="480"/>
        <w:rPr>
          <w:rFonts w:ascii="宋体" w:cs="宋体"/>
          <w:szCs w:val="24"/>
        </w:rPr>
      </w:pPr>
      <w:r>
        <w:rPr>
          <w:rFonts w:ascii="宋体" w:hAnsi="宋体" w:cs="宋体"/>
          <w:szCs w:val="24"/>
        </w:rPr>
        <w:t>9.</w:t>
      </w:r>
      <w:r>
        <w:rPr>
          <w:rFonts w:hint="eastAsia" w:ascii="宋体" w:hAnsi="宋体" w:cs="宋体"/>
          <w:szCs w:val="24"/>
        </w:rPr>
        <w:t>供应商拟定的项目实施方案</w:t>
      </w:r>
    </w:p>
    <w:p>
      <w:pPr>
        <w:spacing w:line="360" w:lineRule="auto"/>
        <w:ind w:firstLine="480"/>
        <w:rPr>
          <w:rFonts w:ascii="宋体" w:cs="宋体"/>
          <w:szCs w:val="24"/>
        </w:rPr>
      </w:pPr>
      <w:r>
        <w:rPr>
          <w:rFonts w:ascii="宋体" w:hAnsi="宋体" w:cs="宋体"/>
          <w:szCs w:val="24"/>
        </w:rPr>
        <w:t>10.</w:t>
      </w:r>
      <w:r>
        <w:rPr>
          <w:rFonts w:hint="eastAsia" w:ascii="宋体" w:hAnsi="宋体" w:cs="宋体"/>
          <w:szCs w:val="24"/>
        </w:rPr>
        <w:t>磋商文件要求提供的其它有关文件</w:t>
      </w:r>
    </w:p>
    <w:p>
      <w:pPr>
        <w:spacing w:line="360" w:lineRule="auto"/>
        <w:ind w:firstLine="480"/>
        <w:rPr>
          <w:rFonts w:ascii="宋体" w:cs="宋体"/>
          <w:szCs w:val="24"/>
          <w:u w:val="single"/>
        </w:rPr>
      </w:pPr>
      <w:r>
        <w:rPr>
          <w:rFonts w:hint="eastAsia" w:ascii="宋体" w:hAnsi="宋体" w:cs="宋体"/>
          <w:szCs w:val="24"/>
        </w:rPr>
        <w:t>我方已仔细阅读并研究了</w:t>
      </w:r>
      <w:r>
        <w:rPr>
          <w:rFonts w:hint="eastAsia" w:ascii="宋体" w:hAnsi="宋体" w:cs="宋体"/>
          <w:szCs w:val="24"/>
          <w:u w:val="single"/>
        </w:rPr>
        <w:t>（项目名称）</w:t>
      </w:r>
      <w:r>
        <w:rPr>
          <w:rFonts w:hint="eastAsia" w:ascii="宋体" w:hAnsi="宋体" w:cs="宋体"/>
          <w:szCs w:val="24"/>
        </w:rPr>
        <w:t>磋商文件的全部内容（含本项目的所有补遗</w:t>
      </w:r>
      <w:r>
        <w:rPr>
          <w:rFonts w:ascii="宋体" w:cs="宋体"/>
          <w:szCs w:val="24"/>
        </w:rPr>
        <w:t>.</w:t>
      </w:r>
      <w:r>
        <w:rPr>
          <w:rFonts w:hint="eastAsia" w:ascii="宋体" w:hAnsi="宋体" w:cs="宋体"/>
          <w:szCs w:val="24"/>
        </w:rPr>
        <w:t>澄清和变更资料），我们完全熟悉其中的要求、条款和条件。愿意以人民币</w:t>
      </w:r>
      <w:r>
        <w:rPr>
          <w:rFonts w:hint="eastAsia" w:ascii="宋体" w:hAnsi="宋体" w:cs="宋体"/>
          <w:szCs w:val="24"/>
          <w:u w:val="single"/>
        </w:rPr>
        <w:t xml:space="preserve">大写：          </w:t>
      </w:r>
      <w:r>
        <w:rPr>
          <w:rFonts w:hint="eastAsia" w:ascii="宋体" w:hAnsi="宋体" w:cs="宋体"/>
          <w:szCs w:val="24"/>
        </w:rPr>
        <w:t>价格，小写：</w:t>
      </w:r>
      <w:r>
        <w:rPr>
          <w:rFonts w:hint="eastAsia" w:ascii="宋体" w:hAnsi="宋体" w:cs="宋体"/>
          <w:szCs w:val="24"/>
          <w:u w:val="single"/>
        </w:rPr>
        <w:t xml:space="preserve">               </w:t>
      </w:r>
      <w:r>
        <w:rPr>
          <w:rFonts w:hint="eastAsia" w:ascii="宋体" w:hAnsi="宋体" w:cs="宋体"/>
          <w:szCs w:val="24"/>
        </w:rPr>
        <w:t>，按磋商文件要求对完成本项目服务周期内的相应工作。同时做出以下声明：</w:t>
      </w:r>
    </w:p>
    <w:p>
      <w:pPr>
        <w:spacing w:line="360" w:lineRule="auto"/>
        <w:ind w:firstLine="480"/>
        <w:rPr>
          <w:rFonts w:ascii="宋体" w:cs="宋体"/>
          <w:szCs w:val="24"/>
        </w:rPr>
      </w:pPr>
      <w:r>
        <w:rPr>
          <w:rFonts w:ascii="宋体" w:hAnsi="宋体" w:cs="宋体"/>
          <w:szCs w:val="24"/>
        </w:rPr>
        <w:t>1.</w:t>
      </w:r>
      <w:r>
        <w:rPr>
          <w:rFonts w:hint="eastAsia" w:ascii="宋体" w:hAnsi="宋体" w:cs="宋体"/>
          <w:szCs w:val="24"/>
        </w:rPr>
        <w:t>我方完全按磋商文件的要求编制响应文件，并对磋商文件及磋商补充要求完全响应。</w:t>
      </w:r>
    </w:p>
    <w:p>
      <w:pPr>
        <w:spacing w:line="360" w:lineRule="auto"/>
        <w:ind w:firstLine="480"/>
        <w:rPr>
          <w:rFonts w:ascii="宋体" w:cs="宋体"/>
          <w:szCs w:val="24"/>
        </w:rPr>
      </w:pPr>
      <w:r>
        <w:rPr>
          <w:rFonts w:ascii="宋体" w:hAnsi="宋体" w:cs="宋体"/>
          <w:szCs w:val="24"/>
        </w:rPr>
        <w:t>2.</w:t>
      </w:r>
      <w:r>
        <w:rPr>
          <w:rFonts w:hint="eastAsia" w:ascii="宋体" w:hAnsi="宋体" w:cs="宋体"/>
          <w:szCs w:val="24"/>
        </w:rPr>
        <w:t>我方磋商有效期为</w:t>
      </w:r>
      <w:r>
        <w:rPr>
          <w:rFonts w:hint="eastAsia" w:ascii="宋体" w:hAnsi="宋体" w:cs="宋体"/>
          <w:szCs w:val="24"/>
          <w:u w:val="single"/>
        </w:rPr>
        <w:t xml:space="preserve">   </w:t>
      </w:r>
      <w:r>
        <w:rPr>
          <w:rFonts w:hint="eastAsia" w:ascii="宋体" w:hAnsi="宋体" w:cs="宋体"/>
          <w:szCs w:val="24"/>
        </w:rPr>
        <w:t>天。</w:t>
      </w:r>
    </w:p>
    <w:p>
      <w:pPr>
        <w:spacing w:line="360" w:lineRule="auto"/>
        <w:ind w:firstLine="480"/>
        <w:rPr>
          <w:rFonts w:ascii="宋体" w:cs="宋体"/>
          <w:szCs w:val="24"/>
        </w:rPr>
      </w:pPr>
      <w:r>
        <w:rPr>
          <w:rFonts w:ascii="宋体" w:hAnsi="宋体" w:cs="宋体"/>
          <w:szCs w:val="24"/>
        </w:rPr>
        <w:t>3.</w:t>
      </w:r>
      <w:r>
        <w:rPr>
          <w:rFonts w:hint="eastAsia" w:ascii="宋体" w:hAnsi="宋体" w:cs="宋体"/>
          <w:szCs w:val="24"/>
        </w:rPr>
        <w:t>我方承诺与采购人聘请的为此项目提供咨询服务的公司及任何附属机构均无关联，我方不是采购人的附属机构。</w:t>
      </w:r>
    </w:p>
    <w:p>
      <w:pPr>
        <w:spacing w:line="360" w:lineRule="auto"/>
        <w:ind w:firstLine="480"/>
        <w:rPr>
          <w:rFonts w:ascii="宋体" w:cs="宋体"/>
          <w:szCs w:val="24"/>
        </w:rPr>
      </w:pPr>
      <w:r>
        <w:rPr>
          <w:rFonts w:ascii="宋体" w:hAnsi="宋体" w:cs="宋体"/>
          <w:szCs w:val="24"/>
        </w:rPr>
        <w:t>4.</w:t>
      </w:r>
      <w:r>
        <w:rPr>
          <w:rFonts w:hint="eastAsia" w:ascii="宋体" w:hAnsi="宋体" w:cs="宋体"/>
          <w:szCs w:val="24"/>
        </w:rPr>
        <w:t>我方将按磋商文件的规定履行合同责任和义务。</w:t>
      </w:r>
    </w:p>
    <w:p>
      <w:pPr>
        <w:spacing w:line="360" w:lineRule="auto"/>
        <w:ind w:firstLine="480"/>
        <w:rPr>
          <w:rFonts w:ascii="宋体" w:cs="宋体"/>
          <w:szCs w:val="24"/>
        </w:rPr>
      </w:pPr>
      <w:r>
        <w:rPr>
          <w:rFonts w:ascii="宋体" w:hAnsi="宋体" w:cs="宋体"/>
          <w:szCs w:val="24"/>
        </w:rPr>
        <w:t>5.</w:t>
      </w:r>
      <w:r>
        <w:rPr>
          <w:rFonts w:hint="eastAsia" w:ascii="宋体" w:hAnsi="宋体" w:cs="宋体"/>
          <w:szCs w:val="24"/>
        </w:rPr>
        <w:t>我方同意竞争性磋商须知中关于没收磋商保证金的规定。</w:t>
      </w:r>
    </w:p>
    <w:p>
      <w:pPr>
        <w:spacing w:line="360" w:lineRule="auto"/>
        <w:ind w:firstLine="480"/>
        <w:rPr>
          <w:rFonts w:ascii="宋体" w:cs="宋体"/>
          <w:szCs w:val="24"/>
        </w:rPr>
      </w:pPr>
      <w:r>
        <w:rPr>
          <w:rFonts w:ascii="宋体" w:hAnsi="宋体" w:cs="宋体"/>
          <w:szCs w:val="24"/>
        </w:rPr>
        <w:t>6.</w:t>
      </w:r>
      <w:r>
        <w:rPr>
          <w:rFonts w:hint="eastAsia" w:ascii="宋体" w:hAnsi="宋体" w:cs="宋体"/>
          <w:szCs w:val="24"/>
        </w:rPr>
        <w:t>我方同意提供贵方可能要求的与其磋商有关的一切数据或资料。</w:t>
      </w:r>
    </w:p>
    <w:p>
      <w:pPr>
        <w:spacing w:line="360" w:lineRule="auto"/>
        <w:ind w:firstLine="480"/>
        <w:rPr>
          <w:rFonts w:ascii="宋体" w:cs="宋体"/>
          <w:szCs w:val="24"/>
        </w:rPr>
      </w:pPr>
      <w:r>
        <w:rPr>
          <w:rFonts w:ascii="宋体" w:hAnsi="宋体" w:cs="宋体"/>
          <w:szCs w:val="24"/>
        </w:rPr>
        <w:t>7.</w:t>
      </w:r>
      <w:r>
        <w:rPr>
          <w:rFonts w:hint="eastAsia" w:ascii="宋体" w:hAnsi="宋体" w:cs="宋体"/>
          <w:szCs w:val="24"/>
        </w:rPr>
        <w:t>我方完全理解贵方不一定接受最低价的响应或收到的任何响应。</w:t>
      </w:r>
    </w:p>
    <w:p>
      <w:pPr>
        <w:spacing w:line="360" w:lineRule="auto"/>
        <w:ind w:firstLine="480"/>
        <w:rPr>
          <w:rFonts w:ascii="宋体" w:cs="宋体"/>
          <w:szCs w:val="24"/>
        </w:rPr>
      </w:pPr>
      <w:r>
        <w:rPr>
          <w:rFonts w:ascii="宋体" w:hAnsi="宋体" w:cs="宋体"/>
          <w:szCs w:val="24"/>
        </w:rPr>
        <w:t>8.</w:t>
      </w:r>
      <w:r>
        <w:rPr>
          <w:rFonts w:hint="eastAsia" w:ascii="宋体" w:hAnsi="宋体" w:cs="宋体"/>
          <w:szCs w:val="24"/>
        </w:rPr>
        <w:t>我方承诺不泄露磋商活动中获取的项目信息</w:t>
      </w:r>
      <w:r>
        <w:rPr>
          <w:rFonts w:ascii="宋体" w:cs="宋体"/>
          <w:szCs w:val="24"/>
        </w:rPr>
        <w:t>.</w:t>
      </w:r>
      <w:r>
        <w:rPr>
          <w:rFonts w:hint="eastAsia" w:ascii="宋体" w:hAnsi="宋体" w:cs="宋体"/>
          <w:szCs w:val="24"/>
        </w:rPr>
        <w:t>商业秘密。</w:t>
      </w:r>
    </w:p>
    <w:p>
      <w:pPr>
        <w:spacing w:line="360" w:lineRule="auto"/>
        <w:ind w:firstLine="480"/>
        <w:rPr>
          <w:rFonts w:ascii="宋体" w:cs="宋体"/>
          <w:szCs w:val="24"/>
        </w:rPr>
      </w:pPr>
      <w:r>
        <w:rPr>
          <w:rFonts w:ascii="宋体" w:hAnsi="宋体" w:cs="宋体"/>
          <w:szCs w:val="24"/>
        </w:rPr>
        <w:t>9.</w:t>
      </w:r>
      <w:r>
        <w:rPr>
          <w:rFonts w:hint="eastAsia" w:ascii="宋体" w:hAnsi="宋体" w:cs="宋体"/>
          <w:szCs w:val="24"/>
        </w:rPr>
        <w:t>我方在此声明，所递交的响应文件及有关资料内容完整</w:t>
      </w:r>
      <w:r>
        <w:rPr>
          <w:rFonts w:ascii="宋体" w:cs="宋体"/>
          <w:szCs w:val="24"/>
        </w:rPr>
        <w:t>.</w:t>
      </w:r>
      <w:r>
        <w:rPr>
          <w:rFonts w:hint="eastAsia" w:ascii="宋体" w:hAnsi="宋体" w:cs="宋体"/>
          <w:szCs w:val="24"/>
        </w:rPr>
        <w:t>真实和准确。</w:t>
      </w:r>
    </w:p>
    <w:p>
      <w:pPr>
        <w:spacing w:line="360" w:lineRule="auto"/>
        <w:ind w:firstLine="480"/>
        <w:rPr>
          <w:rFonts w:ascii="宋体" w:hAnsi="宋体" w:cs="宋体"/>
          <w:szCs w:val="24"/>
        </w:rPr>
      </w:pPr>
      <w:r>
        <w:rPr>
          <w:rFonts w:hint="eastAsia" w:ascii="宋体" w:hAnsi="宋体" w:cs="宋体"/>
          <w:szCs w:val="24"/>
        </w:rPr>
        <w:t>10.我方提交的响应文件完全响应采购文件的要求。</w:t>
      </w:r>
    </w:p>
    <w:p>
      <w:pPr>
        <w:spacing w:line="360" w:lineRule="auto"/>
        <w:ind w:firstLine="480"/>
        <w:rPr>
          <w:rFonts w:ascii="宋体" w:cs="宋体"/>
          <w:szCs w:val="24"/>
        </w:rPr>
      </w:pPr>
      <w:r>
        <w:rPr>
          <w:rFonts w:hint="eastAsia" w:ascii="宋体" w:hAnsi="宋体" w:cs="宋体"/>
          <w:szCs w:val="24"/>
        </w:rPr>
        <w:t>与本磋商有关的一切正式信函请寄：</w:t>
      </w:r>
    </w:p>
    <w:p>
      <w:pPr>
        <w:spacing w:before="26" w:line="360" w:lineRule="auto"/>
        <w:ind w:firstLine="423"/>
        <w:rPr>
          <w:rFonts w:cs="宋体"/>
          <w:spacing w:val="-1"/>
          <w:szCs w:val="24"/>
        </w:rPr>
      </w:pPr>
    </w:p>
    <w:p>
      <w:pPr>
        <w:spacing w:before="26" w:line="360" w:lineRule="auto"/>
        <w:ind w:firstLine="423"/>
        <w:rPr>
          <w:rFonts w:cs="宋体"/>
          <w:spacing w:val="-1"/>
          <w:szCs w:val="24"/>
        </w:rPr>
      </w:pPr>
    </w:p>
    <w:p>
      <w:pPr>
        <w:spacing w:before="26" w:line="360" w:lineRule="auto"/>
        <w:ind w:firstLine="421"/>
        <w:rPr>
          <w:rFonts w:cs="宋体"/>
          <w:szCs w:val="24"/>
          <w:u w:val="single"/>
        </w:rPr>
      </w:pPr>
      <w:r>
        <w:rPr>
          <w:rFonts w:hint="eastAsia" w:cs="宋体"/>
          <w:spacing w:val="-1"/>
          <w:szCs w:val="24"/>
        </w:rPr>
        <w:t>单位名称（盖章）</w:t>
      </w:r>
      <w:r>
        <w:rPr>
          <w:rFonts w:hint="eastAsia" w:cs="宋体"/>
          <w:spacing w:val="-1"/>
          <w:szCs w:val="24"/>
          <w:u w:val="single"/>
        </w:rPr>
        <w:t xml:space="preserve">                             </w:t>
      </w:r>
    </w:p>
    <w:p>
      <w:pPr>
        <w:spacing w:before="26" w:line="360" w:lineRule="auto"/>
        <w:ind w:firstLine="425"/>
        <w:rPr>
          <w:rFonts w:cs="宋体"/>
          <w:szCs w:val="24"/>
          <w:u w:val="single"/>
        </w:rPr>
      </w:pPr>
      <w:r>
        <w:rPr>
          <w:rFonts w:hint="eastAsia" w:cs="宋体"/>
          <w:szCs w:val="24"/>
        </w:rPr>
        <w:t>地址：</w:t>
      </w:r>
      <w:r>
        <w:rPr>
          <w:rFonts w:hint="eastAsia" w:cs="宋体"/>
          <w:szCs w:val="24"/>
          <w:u w:val="single"/>
        </w:rPr>
        <w:t xml:space="preserve">  </w:t>
      </w:r>
      <w:r>
        <w:rPr>
          <w:rFonts w:cs="宋体"/>
          <w:szCs w:val="24"/>
          <w:u w:val="single"/>
        </w:rPr>
        <w:tab/>
      </w:r>
      <w:r>
        <w:rPr>
          <w:rFonts w:hint="eastAsia" w:cs="宋体"/>
          <w:szCs w:val="24"/>
          <w:u w:val="single"/>
        </w:rPr>
        <w:t xml:space="preserve">                         </w:t>
      </w:r>
    </w:p>
    <w:p>
      <w:pPr>
        <w:spacing w:before="26" w:line="360" w:lineRule="auto"/>
        <w:ind w:firstLine="425"/>
        <w:rPr>
          <w:rFonts w:cs="宋体"/>
          <w:szCs w:val="24"/>
          <w:u w:val="single"/>
        </w:rPr>
      </w:pPr>
      <w:r>
        <w:rPr>
          <w:rFonts w:hint="eastAsia" w:cs="宋体"/>
          <w:szCs w:val="24"/>
        </w:rPr>
        <w:t>电话：</w:t>
      </w:r>
      <w:r>
        <w:rPr>
          <w:rFonts w:cs="宋体"/>
          <w:szCs w:val="24"/>
          <w:u w:val="single"/>
        </w:rPr>
        <w:tab/>
      </w:r>
      <w:r>
        <w:rPr>
          <w:rFonts w:hint="eastAsia" w:cs="宋体"/>
          <w:szCs w:val="24"/>
          <w:u w:val="single"/>
        </w:rPr>
        <w:t xml:space="preserve">     </w:t>
      </w:r>
    </w:p>
    <w:p>
      <w:pPr>
        <w:spacing w:before="26" w:line="360" w:lineRule="auto"/>
        <w:ind w:firstLine="423"/>
        <w:rPr>
          <w:rFonts w:cs="宋体"/>
          <w:spacing w:val="-1"/>
          <w:szCs w:val="24"/>
        </w:rPr>
      </w:pPr>
      <w:r>
        <w:rPr>
          <w:rFonts w:hint="eastAsia" w:cs="宋体"/>
          <w:spacing w:val="-1"/>
          <w:szCs w:val="24"/>
        </w:rPr>
        <w:t>法人代表或授权代表签字</w:t>
      </w:r>
      <w:r>
        <w:rPr>
          <w:rFonts w:cs="宋体"/>
          <w:spacing w:val="-1"/>
          <w:szCs w:val="24"/>
        </w:rPr>
        <w:t>:</w:t>
      </w:r>
      <w:r>
        <w:rPr>
          <w:rFonts w:cs="宋体"/>
          <w:szCs w:val="24"/>
          <w:u w:val="single"/>
        </w:rPr>
        <w:tab/>
      </w:r>
      <w:r>
        <w:rPr>
          <w:rFonts w:hint="eastAsia" w:cs="宋体"/>
          <w:szCs w:val="24"/>
          <w:u w:val="single"/>
        </w:rPr>
        <w:t xml:space="preserve">                      </w:t>
      </w:r>
    </w:p>
    <w:p>
      <w:pPr>
        <w:spacing w:before="26" w:line="360" w:lineRule="auto"/>
        <w:ind w:firstLine="423"/>
        <w:rPr>
          <w:rFonts w:cs="宋体"/>
          <w:szCs w:val="24"/>
        </w:rPr>
      </w:pPr>
      <w:r>
        <w:rPr>
          <w:rFonts w:hint="eastAsia" w:cs="宋体"/>
          <w:spacing w:val="-1"/>
          <w:szCs w:val="24"/>
        </w:rPr>
        <w:t>日期</w:t>
      </w:r>
      <w:r>
        <w:rPr>
          <w:rFonts w:cs="宋体"/>
          <w:spacing w:val="-1"/>
          <w:szCs w:val="24"/>
        </w:rPr>
        <w:t>:</w:t>
      </w:r>
      <w:r>
        <w:rPr>
          <w:rFonts w:hint="eastAsia" w:cs="宋体"/>
          <w:spacing w:val="-1"/>
          <w:szCs w:val="24"/>
        </w:rPr>
        <w:t xml:space="preserve"> </w:t>
      </w:r>
      <w:r>
        <w:rPr>
          <w:rFonts w:cs="宋体"/>
          <w:szCs w:val="24"/>
          <w:u w:val="single"/>
        </w:rPr>
        <w:tab/>
      </w:r>
      <w:r>
        <w:rPr>
          <w:rFonts w:hint="eastAsia" w:cs="宋体"/>
          <w:szCs w:val="24"/>
          <w:u w:val="single"/>
        </w:rPr>
        <w:t xml:space="preserve">    </w:t>
      </w:r>
    </w:p>
    <w:p>
      <w:pPr>
        <w:spacing w:line="360" w:lineRule="auto"/>
        <w:ind w:firstLine="1446"/>
        <w:rPr>
          <w:rFonts w:ascii="宋体" w:cs="宋体"/>
          <w:b/>
          <w:szCs w:val="24"/>
        </w:rPr>
      </w:pPr>
    </w:p>
    <w:p>
      <w:pPr>
        <w:ind w:firstLine="1446"/>
        <w:rPr>
          <w:rFonts w:ascii="宋体" w:cs="宋体"/>
          <w:b/>
          <w:szCs w:val="24"/>
        </w:rPr>
      </w:pPr>
    </w:p>
    <w:p>
      <w:pPr>
        <w:pStyle w:val="28"/>
        <w:jc w:val="both"/>
        <w:rPr>
          <w:rFonts w:ascii="宋体" w:cs="宋体"/>
          <w:sz w:val="24"/>
          <w:szCs w:val="24"/>
        </w:rPr>
      </w:pPr>
      <w:bookmarkStart w:id="40" w:name="_Toc448307971"/>
      <w:bookmarkEnd w:id="40"/>
      <w:bookmarkStart w:id="41" w:name="_Toc431307798"/>
      <w:bookmarkEnd w:id="41"/>
      <w:r>
        <w:br w:type="page"/>
      </w:r>
      <w:r>
        <w:rPr>
          <w:rFonts w:hint="eastAsia" w:ascii="宋体" w:hAnsi="宋体" w:cs="宋体"/>
          <w:sz w:val="24"/>
          <w:szCs w:val="24"/>
        </w:rPr>
        <w:t>格式</w:t>
      </w:r>
      <w:r>
        <w:rPr>
          <w:rFonts w:ascii="宋体" w:hAnsi="宋体" w:cs="宋体"/>
          <w:sz w:val="24"/>
          <w:szCs w:val="24"/>
        </w:rPr>
        <w:t>2</w:t>
      </w:r>
    </w:p>
    <w:p>
      <w:pPr>
        <w:spacing w:line="480" w:lineRule="exact"/>
        <w:rPr>
          <w:szCs w:val="24"/>
        </w:rPr>
      </w:pPr>
    </w:p>
    <w:p>
      <w:pPr>
        <w:spacing w:line="480" w:lineRule="exact"/>
        <w:jc w:val="center"/>
        <w:rPr>
          <w:rFonts w:ascii="宋体"/>
          <w:b/>
          <w:bCs/>
          <w:sz w:val="36"/>
          <w:szCs w:val="36"/>
        </w:rPr>
      </w:pPr>
      <w:r>
        <w:rPr>
          <w:rFonts w:hint="eastAsia" w:ascii="宋体" w:hAnsi="宋体"/>
          <w:b/>
          <w:bCs/>
          <w:sz w:val="36"/>
          <w:szCs w:val="36"/>
        </w:rPr>
        <w:t>报价一览表</w:t>
      </w:r>
    </w:p>
    <w:p>
      <w:pPr>
        <w:spacing w:line="320" w:lineRule="exact"/>
        <w:rPr>
          <w:rFonts w:ascii="宋体"/>
          <w:szCs w:val="21"/>
        </w:rPr>
      </w:pPr>
    </w:p>
    <w:p>
      <w:pPr>
        <w:spacing w:line="320" w:lineRule="exact"/>
        <w:rPr>
          <w:rFonts w:ascii="宋体"/>
          <w:szCs w:val="24"/>
          <w:u w:val="single"/>
        </w:rPr>
      </w:pPr>
      <w:r>
        <w:rPr>
          <w:rFonts w:hint="eastAsia" w:ascii="宋体" w:hAnsi="宋体"/>
          <w:szCs w:val="24"/>
        </w:rPr>
        <w:t>采购项目名称：</w:t>
      </w:r>
    </w:p>
    <w:p>
      <w:pPr>
        <w:spacing w:line="320" w:lineRule="exact"/>
        <w:rPr>
          <w:rFonts w:ascii="宋体"/>
          <w:i/>
          <w:iCs/>
          <w:szCs w:val="24"/>
        </w:rPr>
      </w:pPr>
      <w:r>
        <w:rPr>
          <w:rFonts w:hint="eastAsia" w:ascii="宋体" w:hAnsi="宋体"/>
          <w:szCs w:val="24"/>
        </w:rPr>
        <w:t>采购项目编号：</w:t>
      </w:r>
    </w:p>
    <w:p>
      <w:pPr>
        <w:spacing w:line="320" w:lineRule="exact"/>
        <w:ind w:firstLine="6840"/>
        <w:rPr>
          <w:rFonts w:ascii="宋体" w:cs="Arial"/>
          <w:szCs w:val="24"/>
        </w:rPr>
      </w:pPr>
      <w:r>
        <w:rPr>
          <w:rFonts w:hint="eastAsia" w:ascii="宋体" w:hAnsi="宋体" w:cs="Arial"/>
          <w:szCs w:val="24"/>
        </w:rPr>
        <w:t>单位：元（人民币）</w:t>
      </w:r>
    </w:p>
    <w:tbl>
      <w:tblPr>
        <w:tblStyle w:val="34"/>
        <w:tblW w:w="9490" w:type="dxa"/>
        <w:tblInd w:w="106" w:type="dxa"/>
        <w:tblLayout w:type="fixed"/>
        <w:tblCellMar>
          <w:top w:w="0" w:type="dxa"/>
          <w:left w:w="10" w:type="dxa"/>
          <w:bottom w:w="0" w:type="dxa"/>
          <w:right w:w="10" w:type="dxa"/>
        </w:tblCellMar>
      </w:tblPr>
      <w:tblGrid>
        <w:gridCol w:w="1413"/>
        <w:gridCol w:w="5252"/>
        <w:gridCol w:w="1549"/>
        <w:gridCol w:w="1276"/>
      </w:tblGrid>
      <w:tr>
        <w:tblPrEx>
          <w:tblLayout w:type="fixed"/>
          <w:tblCellMar>
            <w:top w:w="0" w:type="dxa"/>
            <w:left w:w="10" w:type="dxa"/>
            <w:bottom w:w="0" w:type="dxa"/>
            <w:right w:w="10" w:type="dxa"/>
          </w:tblCellMar>
        </w:tblPrEx>
        <w:trPr>
          <w:trHeight w:val="581" w:hRule="atLeast"/>
        </w:trPr>
        <w:tc>
          <w:tcPr>
            <w:tcW w:w="14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rPr>
            </w:pPr>
            <w:r>
              <w:rPr>
                <w:rFonts w:hint="eastAsia" w:ascii="宋体" w:hAnsi="宋体"/>
              </w:rPr>
              <w:t>项目名称</w:t>
            </w:r>
          </w:p>
        </w:tc>
        <w:tc>
          <w:tcPr>
            <w:tcW w:w="52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rPr>
            </w:pPr>
            <w:r>
              <w:rPr>
                <w:rFonts w:hint="eastAsia" w:ascii="宋体" w:hAnsi="宋体"/>
              </w:rPr>
              <w:t>报价</w:t>
            </w:r>
          </w:p>
        </w:tc>
        <w:tc>
          <w:tcPr>
            <w:tcW w:w="15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rPr>
            </w:pPr>
            <w:r>
              <w:rPr>
                <w:rFonts w:hint="eastAsia" w:ascii="宋体" w:hAnsi="宋体"/>
              </w:rPr>
              <w:t>期限(工期)</w:t>
            </w:r>
          </w:p>
        </w:tc>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rPr>
            </w:pPr>
            <w:r>
              <w:rPr>
                <w:rFonts w:hint="eastAsia" w:ascii="宋体" w:hAnsi="宋体"/>
              </w:rPr>
              <w:t>备注</w:t>
            </w:r>
          </w:p>
        </w:tc>
      </w:tr>
      <w:tr>
        <w:tblPrEx>
          <w:tblLayout w:type="fixed"/>
          <w:tblCellMar>
            <w:top w:w="0" w:type="dxa"/>
            <w:left w:w="10" w:type="dxa"/>
            <w:bottom w:w="0" w:type="dxa"/>
            <w:right w:w="10" w:type="dxa"/>
          </w:tblCellMar>
        </w:tblPrEx>
        <w:trPr>
          <w:trHeight w:val="592" w:hRule="atLeast"/>
        </w:trPr>
        <w:tc>
          <w:tcPr>
            <w:tcW w:w="14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80" w:lineRule="exact"/>
              <w:ind w:firstLine="31"/>
              <w:jc w:val="center"/>
              <w:rPr>
                <w:rFonts w:ascii="宋体"/>
              </w:rPr>
            </w:pPr>
          </w:p>
        </w:tc>
        <w:tc>
          <w:tcPr>
            <w:tcW w:w="52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80" w:lineRule="exact"/>
              <w:rPr>
                <w:rFonts w:ascii="宋体"/>
                <w:u w:val="single"/>
              </w:rPr>
            </w:pPr>
            <w:r>
              <w:rPr>
                <w:rFonts w:hint="eastAsia" w:ascii="宋体" w:hAnsi="宋体"/>
                <w:szCs w:val="21"/>
              </w:rPr>
              <w:t>大写：              ；小写：</w:t>
            </w:r>
          </w:p>
        </w:tc>
        <w:tc>
          <w:tcPr>
            <w:tcW w:w="15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rPr>
            </w:pPr>
          </w:p>
        </w:tc>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rPr>
            </w:pPr>
          </w:p>
        </w:tc>
      </w:tr>
      <w:tr>
        <w:tblPrEx>
          <w:tblLayout w:type="fixed"/>
          <w:tblCellMar>
            <w:top w:w="0" w:type="dxa"/>
            <w:left w:w="10" w:type="dxa"/>
            <w:bottom w:w="0" w:type="dxa"/>
            <w:right w:w="10" w:type="dxa"/>
          </w:tblCellMar>
        </w:tblPrEx>
        <w:trPr>
          <w:trHeight w:val="592" w:hRule="atLeast"/>
        </w:trPr>
        <w:tc>
          <w:tcPr>
            <w:tcW w:w="14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80" w:lineRule="exact"/>
              <w:ind w:firstLine="31"/>
              <w:jc w:val="center"/>
              <w:rPr>
                <w:rFonts w:ascii="宋体"/>
              </w:rPr>
            </w:pPr>
          </w:p>
        </w:tc>
        <w:tc>
          <w:tcPr>
            <w:tcW w:w="52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80" w:lineRule="exact"/>
              <w:rPr>
                <w:rFonts w:ascii="宋体" w:hAnsi="宋体"/>
                <w:szCs w:val="21"/>
              </w:rPr>
            </w:pPr>
          </w:p>
        </w:tc>
        <w:tc>
          <w:tcPr>
            <w:tcW w:w="15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rPr>
            </w:pPr>
          </w:p>
        </w:tc>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rPr>
            </w:pPr>
          </w:p>
        </w:tc>
      </w:tr>
    </w:tbl>
    <w:p>
      <w:pPr>
        <w:spacing w:line="320" w:lineRule="exact"/>
        <w:rPr>
          <w:rFonts w:ascii="宋体" w:cs="Arial"/>
          <w:b/>
          <w:bCs/>
          <w:szCs w:val="24"/>
        </w:rPr>
      </w:pPr>
      <w:r>
        <w:rPr>
          <w:rFonts w:hint="eastAsia" w:ascii="宋体" w:hAnsi="宋体" w:cs="Arial"/>
          <w:b/>
          <w:bCs/>
          <w:szCs w:val="24"/>
        </w:rPr>
        <w:t>填写说明：</w:t>
      </w:r>
    </w:p>
    <w:p>
      <w:pPr>
        <w:numPr>
          <w:ilvl w:val="0"/>
          <w:numId w:val="6"/>
        </w:numPr>
        <w:spacing w:line="400" w:lineRule="exact"/>
        <w:ind w:firstLine="480" w:firstLineChars="200"/>
        <w:rPr>
          <w:rFonts w:ascii="宋体" w:hAnsi="宋体" w:cs="Arial"/>
          <w:szCs w:val="24"/>
        </w:rPr>
      </w:pPr>
      <w:r>
        <w:rPr>
          <w:rFonts w:hint="eastAsia" w:ascii="宋体" w:hAnsi="宋体" w:cs="Arial"/>
          <w:szCs w:val="24"/>
        </w:rPr>
        <w:t>本表中的内容与</w:t>
      </w:r>
      <w:r>
        <w:rPr>
          <w:rFonts w:ascii="宋体" w:hAnsi="宋体" w:cs="Arial"/>
          <w:szCs w:val="24"/>
        </w:rPr>
        <w:t>响应</w:t>
      </w:r>
      <w:r>
        <w:rPr>
          <w:rFonts w:hint="eastAsia" w:ascii="宋体" w:hAnsi="宋体" w:cs="Arial"/>
          <w:szCs w:val="24"/>
        </w:rPr>
        <w:t>文件中的磋商函、分项报价表的内容不一致的，以本表为准；大写金额和小写金额不一致的，以大写金额为准；总价金额与按单价汇总金额不一致的，以单价金额计算结果为准；单价金额小数点有明显错位的，应以总价为准，并修改单价。</w:t>
      </w:r>
    </w:p>
    <w:p>
      <w:pPr>
        <w:numPr>
          <w:ilvl w:val="0"/>
          <w:numId w:val="6"/>
        </w:numPr>
        <w:spacing w:line="400" w:lineRule="exact"/>
        <w:ind w:firstLine="480" w:firstLineChars="200"/>
        <w:rPr>
          <w:rFonts w:ascii="宋体" w:hAnsi="宋体" w:cs="Arial"/>
          <w:szCs w:val="24"/>
        </w:rPr>
      </w:pPr>
      <w:r>
        <w:rPr>
          <w:rFonts w:hint="eastAsia" w:ascii="宋体" w:hAnsi="宋体" w:cs="Arial"/>
          <w:szCs w:val="24"/>
        </w:rPr>
        <w:t>报价为采购范围所列全部货物和服务的报价总和，应与分项报价表保持一致。</w:t>
      </w:r>
    </w:p>
    <w:p>
      <w:pPr>
        <w:tabs>
          <w:tab w:val="left" w:pos="4881"/>
        </w:tabs>
        <w:spacing w:before="33" w:line="360" w:lineRule="auto"/>
        <w:ind w:left="102" w:right="4125"/>
        <w:rPr>
          <w:rFonts w:cs="宋体"/>
          <w:spacing w:val="-1"/>
          <w:szCs w:val="24"/>
        </w:rPr>
      </w:pPr>
    </w:p>
    <w:p>
      <w:pPr>
        <w:tabs>
          <w:tab w:val="left" w:pos="4881"/>
        </w:tabs>
        <w:spacing w:before="33" w:line="360" w:lineRule="auto"/>
        <w:ind w:left="102" w:right="4125"/>
        <w:rPr>
          <w:rFonts w:cs="宋体"/>
          <w:spacing w:val="-1"/>
          <w:szCs w:val="24"/>
        </w:rPr>
      </w:pPr>
    </w:p>
    <w:p>
      <w:pPr>
        <w:tabs>
          <w:tab w:val="left" w:pos="4881"/>
        </w:tabs>
        <w:spacing w:before="33" w:line="360" w:lineRule="auto"/>
        <w:ind w:left="102" w:right="4125"/>
        <w:rPr>
          <w:rFonts w:cs="宋体"/>
          <w:szCs w:val="24"/>
          <w:u w:val="single"/>
        </w:rPr>
      </w:pPr>
      <w:r>
        <w:rPr>
          <w:rFonts w:hint="eastAsia" w:cs="宋体"/>
          <w:spacing w:val="-1"/>
          <w:szCs w:val="24"/>
        </w:rPr>
        <w:t>单位名称（盖章）</w:t>
      </w:r>
      <w:r>
        <w:rPr>
          <w:rFonts w:cs="宋体"/>
          <w:spacing w:val="-1"/>
          <w:szCs w:val="24"/>
        </w:rPr>
        <w:t>:</w:t>
      </w:r>
    </w:p>
    <w:p>
      <w:pPr>
        <w:tabs>
          <w:tab w:val="left" w:pos="4881"/>
        </w:tabs>
        <w:spacing w:before="33" w:line="360" w:lineRule="auto"/>
        <w:ind w:left="102" w:right="4125"/>
        <w:rPr>
          <w:rFonts w:cs="宋体"/>
          <w:spacing w:val="25"/>
          <w:szCs w:val="24"/>
        </w:rPr>
      </w:pPr>
      <w:r>
        <w:rPr>
          <w:rFonts w:hint="eastAsia" w:cs="宋体"/>
          <w:spacing w:val="-1"/>
          <w:szCs w:val="24"/>
        </w:rPr>
        <w:t>法人代表或授权代表签字</w:t>
      </w:r>
      <w:r>
        <w:rPr>
          <w:rFonts w:cs="宋体"/>
          <w:spacing w:val="-1"/>
          <w:szCs w:val="24"/>
        </w:rPr>
        <w:t>:</w:t>
      </w:r>
      <w:r>
        <w:rPr>
          <w:rFonts w:cs="宋体"/>
          <w:szCs w:val="24"/>
          <w:u w:val="single"/>
        </w:rPr>
        <w:tab/>
      </w:r>
    </w:p>
    <w:p>
      <w:pPr>
        <w:tabs>
          <w:tab w:val="left" w:pos="4881"/>
        </w:tabs>
        <w:spacing w:before="33" w:line="360" w:lineRule="auto"/>
        <w:ind w:left="102" w:right="4125"/>
        <w:rPr>
          <w:rFonts w:cs="宋体"/>
          <w:szCs w:val="24"/>
        </w:rPr>
      </w:pPr>
      <w:r>
        <w:rPr>
          <w:rFonts w:hint="eastAsia" w:cs="宋体"/>
          <w:spacing w:val="-1"/>
          <w:szCs w:val="24"/>
        </w:rPr>
        <w:t>日期</w:t>
      </w:r>
      <w:r>
        <w:rPr>
          <w:rFonts w:cs="宋体"/>
          <w:spacing w:val="-1"/>
          <w:szCs w:val="24"/>
        </w:rPr>
        <w:t>:</w:t>
      </w:r>
      <w:r>
        <w:rPr>
          <w:rFonts w:cs="宋体"/>
          <w:szCs w:val="24"/>
          <w:u w:val="single"/>
        </w:rPr>
        <w:tab/>
      </w:r>
    </w:p>
    <w:p>
      <w:pPr>
        <w:pStyle w:val="28"/>
        <w:jc w:val="both"/>
        <w:rPr>
          <w:rFonts w:ascii="宋体" w:cs="宋体"/>
        </w:rPr>
      </w:pPr>
    </w:p>
    <w:p>
      <w:pPr>
        <w:spacing w:line="362" w:lineRule="auto"/>
        <w:rPr>
          <w:rFonts w:cs="宋体"/>
          <w:szCs w:val="24"/>
        </w:rPr>
      </w:pPr>
    </w:p>
    <w:p>
      <w:pPr>
        <w:spacing w:line="362" w:lineRule="auto"/>
        <w:rPr>
          <w:rFonts w:ascii="宋体" w:cs="宋体"/>
          <w:b/>
          <w:szCs w:val="24"/>
        </w:rPr>
      </w:pPr>
      <w:r>
        <w:br w:type="page"/>
      </w:r>
      <w:r>
        <w:rPr>
          <w:rFonts w:hint="eastAsia" w:ascii="宋体" w:hAnsi="宋体" w:cs="宋体"/>
          <w:b/>
          <w:szCs w:val="24"/>
        </w:rPr>
        <w:t>格式</w:t>
      </w:r>
      <w:r>
        <w:rPr>
          <w:rFonts w:ascii="宋体" w:hAnsi="宋体" w:cs="宋体"/>
          <w:b/>
          <w:szCs w:val="24"/>
        </w:rPr>
        <w:t>3</w:t>
      </w:r>
    </w:p>
    <w:p>
      <w:pPr>
        <w:autoSpaceDE w:val="0"/>
        <w:autoSpaceDN w:val="0"/>
        <w:adjustRightInd w:val="0"/>
        <w:spacing w:line="360" w:lineRule="auto"/>
        <w:jc w:val="center"/>
        <w:outlineLvl w:val="0"/>
        <w:rPr>
          <w:rFonts w:hAnsi="宋体"/>
          <w:b/>
          <w:snapToGrid w:val="0"/>
          <w:kern w:val="0"/>
          <w:sz w:val="36"/>
          <w:szCs w:val="36"/>
        </w:rPr>
      </w:pPr>
      <w:bookmarkStart w:id="42" w:name="_Toc448307972"/>
      <w:bookmarkEnd w:id="42"/>
      <w:r>
        <w:rPr>
          <w:rFonts w:hint="eastAsia" w:hAnsi="宋体"/>
          <w:b/>
          <w:snapToGrid w:val="0"/>
          <w:kern w:val="0"/>
          <w:sz w:val="36"/>
          <w:szCs w:val="36"/>
        </w:rPr>
        <w:t>分项报价表</w:t>
      </w:r>
    </w:p>
    <w:p>
      <w:pPr>
        <w:spacing w:before="50" w:after="120" w:afterLines="50" w:line="360" w:lineRule="auto"/>
        <w:contextualSpacing/>
        <w:jc w:val="left"/>
        <w:rPr>
          <w:rFonts w:asciiTheme="minorEastAsia" w:hAnsiTheme="minorEastAsia"/>
          <w:color w:val="000000"/>
          <w:szCs w:val="24"/>
        </w:rPr>
      </w:pPr>
      <w:r>
        <w:rPr>
          <w:rFonts w:hint="eastAsia" w:asciiTheme="minorEastAsia" w:hAnsiTheme="minorEastAsia"/>
          <w:color w:val="000000"/>
          <w:szCs w:val="24"/>
        </w:rPr>
        <w:t>项目编号：</w:t>
      </w:r>
    </w:p>
    <w:p>
      <w:pPr>
        <w:autoSpaceDE w:val="0"/>
        <w:autoSpaceDN w:val="0"/>
        <w:adjustRightInd w:val="0"/>
        <w:spacing w:line="360" w:lineRule="auto"/>
        <w:outlineLvl w:val="0"/>
        <w:rPr>
          <w:rFonts w:hAnsi="宋体"/>
          <w:b/>
          <w:snapToGrid w:val="0"/>
          <w:kern w:val="0"/>
          <w:sz w:val="36"/>
          <w:szCs w:val="36"/>
        </w:rPr>
      </w:pPr>
      <w:r>
        <w:rPr>
          <w:rFonts w:hint="eastAsia" w:asciiTheme="minorEastAsia" w:hAnsiTheme="minorEastAsia"/>
          <w:color w:val="000000"/>
          <w:szCs w:val="24"/>
        </w:rPr>
        <w:t xml:space="preserve">项目名称：   </w:t>
      </w:r>
    </w:p>
    <w:tbl>
      <w:tblPr>
        <w:tblStyle w:val="34"/>
        <w:tblW w:w="9889" w:type="dxa"/>
        <w:tblInd w:w="0" w:type="dxa"/>
        <w:tblLayout w:type="fixed"/>
        <w:tblCellMar>
          <w:top w:w="0" w:type="dxa"/>
          <w:left w:w="108" w:type="dxa"/>
          <w:bottom w:w="0" w:type="dxa"/>
          <w:right w:w="108" w:type="dxa"/>
        </w:tblCellMar>
      </w:tblPr>
      <w:tblGrid>
        <w:gridCol w:w="817"/>
        <w:gridCol w:w="851"/>
        <w:gridCol w:w="1500"/>
        <w:gridCol w:w="1260"/>
        <w:gridCol w:w="783"/>
        <w:gridCol w:w="851"/>
        <w:gridCol w:w="992"/>
        <w:gridCol w:w="851"/>
        <w:gridCol w:w="1984"/>
      </w:tblGrid>
      <w:tr>
        <w:tblPrEx>
          <w:tblLayout w:type="fixed"/>
          <w:tblCellMar>
            <w:top w:w="0" w:type="dxa"/>
            <w:left w:w="108" w:type="dxa"/>
            <w:bottom w:w="0" w:type="dxa"/>
            <w:right w:w="108" w:type="dxa"/>
          </w:tblCellMar>
        </w:tblPrEx>
        <w:trPr>
          <w:trHeight w:val="851" w:hRule="atLeast"/>
        </w:trPr>
        <w:tc>
          <w:tcPr>
            <w:tcW w:w="8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4"/>
                <w:lang w:val="zh-CN"/>
              </w:rPr>
            </w:pPr>
            <w:r>
              <w:rPr>
                <w:rFonts w:hint="eastAsia" w:cs="宋体" w:asciiTheme="minorEastAsia" w:hAnsiTheme="minorEastAsia"/>
                <w:b/>
                <w:szCs w:val="24"/>
                <w:lang w:val="zh-CN"/>
              </w:rPr>
              <w:t>序号</w:t>
            </w:r>
          </w:p>
        </w:tc>
        <w:tc>
          <w:tcPr>
            <w:tcW w:w="85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4"/>
                <w:lang w:val="zh-CN"/>
              </w:rPr>
            </w:pPr>
            <w:r>
              <w:rPr>
                <w:rFonts w:hint="eastAsia" w:cs="宋体" w:asciiTheme="minorEastAsia" w:hAnsiTheme="minorEastAsia"/>
                <w:b/>
                <w:szCs w:val="24"/>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4"/>
                <w:lang w:val="zh-CN"/>
              </w:rPr>
            </w:pPr>
            <w:r>
              <w:rPr>
                <w:rFonts w:hint="eastAsia" w:cs="宋体" w:asciiTheme="minorEastAsia" w:hAnsiTheme="minorEastAsia"/>
                <w:b/>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4"/>
                <w:lang w:val="zh-CN"/>
              </w:rPr>
            </w:pPr>
            <w:r>
              <w:rPr>
                <w:rFonts w:hint="eastAsia" w:cs="宋体" w:asciiTheme="minorEastAsia" w:hAnsiTheme="minorEastAsia"/>
                <w:b/>
                <w:szCs w:val="24"/>
                <w:lang w:val="zh-CN"/>
              </w:rPr>
              <w:t>技术参数</w:t>
            </w:r>
          </w:p>
        </w:tc>
        <w:tc>
          <w:tcPr>
            <w:tcW w:w="78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4"/>
                <w:lang w:val="zh-CN"/>
              </w:rPr>
            </w:pPr>
            <w:r>
              <w:rPr>
                <w:rFonts w:hint="eastAsia" w:cs="宋体" w:asciiTheme="minorEastAsia" w:hAnsiTheme="minorEastAsia"/>
                <w:b/>
                <w:szCs w:val="24"/>
                <w:lang w:val="zh-CN"/>
              </w:rPr>
              <w:t>单位</w:t>
            </w:r>
          </w:p>
        </w:tc>
        <w:tc>
          <w:tcPr>
            <w:tcW w:w="85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4"/>
                <w:lang w:val="zh-CN"/>
              </w:rPr>
            </w:pPr>
            <w:r>
              <w:rPr>
                <w:rFonts w:hint="eastAsia" w:cs="宋体" w:asciiTheme="minorEastAsia" w:hAnsiTheme="minorEastAsia"/>
                <w:b/>
                <w:szCs w:val="24"/>
                <w:lang w:val="zh-CN"/>
              </w:rPr>
              <w:t>数量</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4"/>
                <w:lang w:val="zh-CN"/>
              </w:rPr>
            </w:pPr>
            <w:r>
              <w:rPr>
                <w:rFonts w:hint="eastAsia" w:cs="宋体" w:asciiTheme="minorEastAsia" w:hAnsiTheme="minorEastAsia"/>
                <w:b/>
                <w:szCs w:val="24"/>
                <w:lang w:val="zh-CN"/>
              </w:rPr>
              <w:t>单价</w:t>
            </w:r>
          </w:p>
        </w:tc>
        <w:tc>
          <w:tcPr>
            <w:tcW w:w="85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4"/>
                <w:lang w:val="zh-CN"/>
              </w:rPr>
            </w:pPr>
            <w:r>
              <w:rPr>
                <w:rFonts w:hint="eastAsia" w:cs="宋体" w:asciiTheme="minorEastAsia" w:hAnsiTheme="minorEastAsia"/>
                <w:b/>
                <w:szCs w:val="24"/>
                <w:lang w:val="zh-CN"/>
              </w:rPr>
              <w:t>总价</w:t>
            </w:r>
          </w:p>
        </w:tc>
        <w:tc>
          <w:tcPr>
            <w:tcW w:w="198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4"/>
                <w:lang w:val="zh-CN"/>
              </w:rPr>
            </w:pPr>
            <w:r>
              <w:rPr>
                <w:rFonts w:hint="eastAsia" w:cs="宋体" w:asciiTheme="minorEastAsia" w:hAnsiTheme="minorEastAsia"/>
                <w:b/>
                <w:szCs w:val="24"/>
                <w:lang w:val="zh-CN"/>
              </w:rPr>
              <w:t>产地及厂家</w:t>
            </w:r>
          </w:p>
        </w:tc>
      </w:tr>
      <w:tr>
        <w:tblPrEx>
          <w:tblLayout w:type="fixed"/>
          <w:tblCellMar>
            <w:top w:w="0" w:type="dxa"/>
            <w:left w:w="108" w:type="dxa"/>
            <w:bottom w:w="0" w:type="dxa"/>
            <w:right w:w="108" w:type="dxa"/>
          </w:tblCellMar>
        </w:tblPrEx>
        <w:trPr>
          <w:trHeight w:val="851" w:hRule="atLeast"/>
        </w:trPr>
        <w:tc>
          <w:tcPr>
            <w:tcW w:w="8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4"/>
              </w:rPr>
            </w:pPr>
            <w:r>
              <w:rPr>
                <w:rFonts w:hint="eastAsia" w:asciiTheme="minorEastAsia" w:hAnsiTheme="minorEastAsia"/>
                <w:szCs w:val="24"/>
              </w:rPr>
              <w:t>1</w:t>
            </w: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4"/>
              </w:rPr>
            </w:pPr>
          </w:p>
        </w:tc>
        <w:tc>
          <w:tcPr>
            <w:tcW w:w="78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4"/>
              </w:rPr>
            </w:pP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4"/>
              </w:rPr>
            </w:pP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4"/>
              </w:rPr>
            </w:pPr>
          </w:p>
        </w:tc>
        <w:tc>
          <w:tcPr>
            <w:tcW w:w="198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4"/>
              </w:rPr>
            </w:pPr>
          </w:p>
        </w:tc>
      </w:tr>
      <w:tr>
        <w:tblPrEx>
          <w:tblLayout w:type="fixed"/>
          <w:tblCellMar>
            <w:top w:w="0" w:type="dxa"/>
            <w:left w:w="108" w:type="dxa"/>
            <w:bottom w:w="0" w:type="dxa"/>
            <w:right w:w="108" w:type="dxa"/>
          </w:tblCellMar>
        </w:tblPrEx>
        <w:trPr>
          <w:trHeight w:val="851" w:hRule="atLeast"/>
        </w:trPr>
        <w:tc>
          <w:tcPr>
            <w:tcW w:w="8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4"/>
              </w:rPr>
            </w:pPr>
            <w:r>
              <w:rPr>
                <w:rFonts w:hint="eastAsia" w:asciiTheme="minorEastAsia" w:hAnsiTheme="minorEastAsia"/>
                <w:szCs w:val="24"/>
              </w:rPr>
              <w:t>…</w:t>
            </w: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4"/>
              </w:rPr>
            </w:pPr>
          </w:p>
        </w:tc>
        <w:tc>
          <w:tcPr>
            <w:tcW w:w="78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4"/>
              </w:rPr>
            </w:pP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4"/>
              </w:rPr>
            </w:pP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4"/>
              </w:rPr>
            </w:pPr>
          </w:p>
        </w:tc>
        <w:tc>
          <w:tcPr>
            <w:tcW w:w="198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4"/>
              </w:rPr>
            </w:pPr>
            <w:r>
              <w:rPr>
                <w:rFonts w:hint="eastAsia" w:cs="宋体" w:asciiTheme="minorEastAsia" w:hAnsiTheme="minorEastAsia"/>
                <w:szCs w:val="24"/>
                <w:lang w:val="zh-CN"/>
              </w:rPr>
              <w:t>合计</w:t>
            </w:r>
          </w:p>
        </w:tc>
        <w:tc>
          <w:tcPr>
            <w:tcW w:w="8221"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Cs w:val="24"/>
                <w:u w:val="single"/>
                <w:lang w:val="zh-CN"/>
              </w:rPr>
            </w:pPr>
            <w:r>
              <w:rPr>
                <w:rFonts w:hint="eastAsia" w:cs="宋体" w:asciiTheme="minorEastAsia" w:hAnsiTheme="minorEastAsia"/>
                <w:szCs w:val="24"/>
                <w:lang w:val="zh-CN"/>
              </w:rPr>
              <w:t>大写：　　</w:t>
            </w:r>
            <w:r>
              <w:rPr>
                <w:rFonts w:hint="eastAsia" w:cs="宋体" w:asciiTheme="minorEastAsia" w:hAnsiTheme="minorEastAsia"/>
                <w:szCs w:val="24"/>
                <w:lang w:val="en-US" w:eastAsia="zh-CN"/>
              </w:rPr>
              <w:t xml:space="preserve">                    </w:t>
            </w:r>
            <w:r>
              <w:rPr>
                <w:rFonts w:hint="eastAsia" w:cs="宋体" w:asciiTheme="minorEastAsia" w:hAnsiTheme="minorEastAsia"/>
                <w:szCs w:val="24"/>
                <w:lang w:val="zh-CN"/>
              </w:rPr>
              <w:t>小写：</w:t>
            </w:r>
            <w:r>
              <w:rPr>
                <w:rFonts w:hint="eastAsia" w:ascii="宋体" w:hAnsi="宋体" w:eastAsia="宋体" w:cs="宋体"/>
                <w:szCs w:val="24"/>
                <w:lang w:val="zh-CN"/>
              </w:rPr>
              <w:t>￥</w:t>
            </w:r>
          </w:p>
        </w:tc>
      </w:tr>
    </w:tbl>
    <w:p>
      <w:pPr>
        <w:tabs>
          <w:tab w:val="left" w:pos="4881"/>
        </w:tabs>
        <w:spacing w:before="33" w:line="360" w:lineRule="auto"/>
        <w:ind w:left="102" w:right="4125"/>
        <w:rPr>
          <w:rFonts w:cs="宋体"/>
          <w:szCs w:val="24"/>
          <w:u w:val="single"/>
        </w:rPr>
      </w:pPr>
      <w:r>
        <w:rPr>
          <w:rFonts w:hint="eastAsia" w:cs="宋体"/>
          <w:spacing w:val="-1"/>
          <w:szCs w:val="24"/>
        </w:rPr>
        <w:t>单位名称（盖章）</w:t>
      </w:r>
      <w:r>
        <w:rPr>
          <w:rFonts w:cs="宋体"/>
          <w:spacing w:val="-1"/>
          <w:szCs w:val="24"/>
        </w:rPr>
        <w:t>:</w:t>
      </w:r>
    </w:p>
    <w:p>
      <w:pPr>
        <w:tabs>
          <w:tab w:val="left" w:pos="4881"/>
        </w:tabs>
        <w:spacing w:before="33" w:line="360" w:lineRule="auto"/>
        <w:ind w:left="102" w:right="4125"/>
        <w:rPr>
          <w:rFonts w:cs="宋体"/>
          <w:szCs w:val="24"/>
          <w:u w:val="single"/>
        </w:rPr>
      </w:pPr>
      <w:r>
        <w:rPr>
          <w:rFonts w:hint="eastAsia" w:cs="宋体"/>
          <w:spacing w:val="-1"/>
          <w:szCs w:val="24"/>
        </w:rPr>
        <w:t>法人代表或授权代表签字</w:t>
      </w:r>
      <w:r>
        <w:rPr>
          <w:rFonts w:cs="宋体"/>
          <w:spacing w:val="-1"/>
          <w:szCs w:val="24"/>
        </w:rPr>
        <w:t>:</w:t>
      </w:r>
    </w:p>
    <w:p>
      <w:pPr>
        <w:tabs>
          <w:tab w:val="left" w:pos="4881"/>
        </w:tabs>
        <w:spacing w:before="33" w:line="360" w:lineRule="auto"/>
        <w:ind w:left="102" w:right="4125"/>
        <w:rPr>
          <w:rFonts w:ascii="宋体" w:hAnsi="宋体"/>
          <w:b/>
          <w:bCs/>
          <w:sz w:val="32"/>
          <w:szCs w:val="32"/>
        </w:rPr>
      </w:pPr>
      <w:r>
        <w:rPr>
          <w:rFonts w:hint="eastAsia" w:cs="宋体"/>
          <w:spacing w:val="-1"/>
          <w:szCs w:val="24"/>
        </w:rPr>
        <w:t>日期</w:t>
      </w:r>
      <w:r>
        <w:rPr>
          <w:rFonts w:cs="宋体"/>
          <w:spacing w:val="-1"/>
          <w:szCs w:val="24"/>
        </w:rPr>
        <w:t>:</w:t>
      </w:r>
    </w:p>
    <w:p>
      <w:pPr>
        <w:pStyle w:val="28"/>
        <w:jc w:val="both"/>
        <w:rPr>
          <w:rFonts w:ascii="宋体" w:hAnsi="宋体" w:cs="宋体"/>
          <w:sz w:val="24"/>
          <w:szCs w:val="24"/>
        </w:rPr>
      </w:pPr>
    </w:p>
    <w:p>
      <w:pPr>
        <w:pStyle w:val="28"/>
        <w:jc w:val="both"/>
        <w:rPr>
          <w:rFonts w:ascii="宋体" w:hAnsi="宋体" w:cs="宋体"/>
          <w:sz w:val="24"/>
          <w:szCs w:val="24"/>
        </w:rPr>
      </w:pPr>
    </w:p>
    <w:p>
      <w:pPr>
        <w:pStyle w:val="28"/>
        <w:jc w:val="both"/>
        <w:rPr>
          <w:rFonts w:ascii="宋体" w:hAnsi="宋体" w:cs="宋体"/>
          <w:sz w:val="24"/>
          <w:szCs w:val="24"/>
        </w:rPr>
      </w:pPr>
    </w:p>
    <w:p>
      <w:pPr>
        <w:pStyle w:val="28"/>
        <w:jc w:val="both"/>
        <w:rPr>
          <w:rFonts w:ascii="宋体" w:hAnsi="宋体" w:cs="宋体"/>
          <w:sz w:val="24"/>
          <w:szCs w:val="24"/>
        </w:rPr>
      </w:pPr>
    </w:p>
    <w:p>
      <w:pPr>
        <w:pStyle w:val="28"/>
        <w:jc w:val="both"/>
        <w:rPr>
          <w:rFonts w:ascii="宋体" w:hAnsi="宋体" w:cs="宋体"/>
          <w:sz w:val="24"/>
          <w:szCs w:val="24"/>
        </w:rPr>
      </w:pPr>
    </w:p>
    <w:p>
      <w:pPr>
        <w:pStyle w:val="28"/>
        <w:jc w:val="both"/>
        <w:rPr>
          <w:rFonts w:ascii="宋体" w:hAnsi="宋体" w:cs="宋体"/>
          <w:sz w:val="24"/>
          <w:szCs w:val="24"/>
        </w:rPr>
      </w:pPr>
    </w:p>
    <w:p>
      <w:pPr>
        <w:pStyle w:val="28"/>
        <w:jc w:val="both"/>
        <w:rPr>
          <w:rFonts w:ascii="宋体" w:hAnsi="宋体" w:cs="宋体"/>
          <w:sz w:val="24"/>
          <w:szCs w:val="24"/>
        </w:rPr>
      </w:pPr>
    </w:p>
    <w:p>
      <w:pPr>
        <w:pStyle w:val="28"/>
        <w:jc w:val="both"/>
        <w:rPr>
          <w:rFonts w:ascii="宋体" w:hAnsi="宋体" w:cs="宋体"/>
          <w:sz w:val="24"/>
          <w:szCs w:val="24"/>
        </w:rPr>
      </w:pPr>
    </w:p>
    <w:p>
      <w:pPr>
        <w:pStyle w:val="28"/>
        <w:jc w:val="both"/>
        <w:rPr>
          <w:rFonts w:ascii="宋体" w:hAnsi="宋体" w:cs="宋体"/>
          <w:sz w:val="24"/>
          <w:szCs w:val="24"/>
        </w:rPr>
      </w:pPr>
    </w:p>
    <w:p>
      <w:pPr>
        <w:pStyle w:val="28"/>
        <w:jc w:val="both"/>
        <w:rPr>
          <w:rFonts w:ascii="宋体" w:hAnsi="宋体" w:cs="宋体"/>
          <w:sz w:val="24"/>
          <w:szCs w:val="24"/>
        </w:rPr>
      </w:pPr>
    </w:p>
    <w:p>
      <w:pPr>
        <w:pStyle w:val="28"/>
        <w:jc w:val="both"/>
        <w:rPr>
          <w:rFonts w:ascii="宋体" w:hAnsi="宋体" w:cs="宋体"/>
          <w:sz w:val="24"/>
          <w:szCs w:val="24"/>
        </w:rPr>
      </w:pPr>
    </w:p>
    <w:p>
      <w:pPr>
        <w:pStyle w:val="28"/>
        <w:jc w:val="both"/>
        <w:rPr>
          <w:rFonts w:ascii="宋体" w:hAnsi="宋体" w:cs="宋体"/>
          <w:sz w:val="24"/>
          <w:szCs w:val="24"/>
        </w:rPr>
      </w:pPr>
    </w:p>
    <w:p>
      <w:pPr>
        <w:pStyle w:val="28"/>
        <w:jc w:val="both"/>
        <w:rPr>
          <w:rFonts w:ascii="宋体" w:cs="宋体"/>
          <w:sz w:val="24"/>
          <w:szCs w:val="24"/>
        </w:rPr>
      </w:pPr>
      <w:r>
        <w:rPr>
          <w:rFonts w:hint="eastAsia" w:ascii="宋体" w:hAnsi="宋体" w:cs="宋体"/>
          <w:sz w:val="24"/>
          <w:szCs w:val="24"/>
        </w:rPr>
        <w:t>格式4</w:t>
      </w:r>
    </w:p>
    <w:p>
      <w:pPr>
        <w:autoSpaceDE w:val="0"/>
        <w:autoSpaceDN w:val="0"/>
        <w:adjustRightInd w:val="0"/>
        <w:spacing w:line="360" w:lineRule="auto"/>
        <w:jc w:val="center"/>
        <w:outlineLvl w:val="0"/>
        <w:rPr>
          <w:rFonts w:hAnsi="宋体"/>
          <w:b/>
          <w:snapToGrid w:val="0"/>
          <w:kern w:val="0"/>
          <w:sz w:val="36"/>
          <w:szCs w:val="36"/>
        </w:rPr>
      </w:pPr>
      <w:r>
        <w:rPr>
          <w:rFonts w:hint="eastAsia" w:hAnsi="宋体"/>
          <w:b/>
          <w:snapToGrid w:val="0"/>
          <w:kern w:val="0"/>
          <w:sz w:val="36"/>
          <w:szCs w:val="36"/>
        </w:rPr>
        <w:t>技术规格偏离表</w:t>
      </w:r>
    </w:p>
    <w:p>
      <w:pPr>
        <w:spacing w:before="50" w:after="120" w:afterLines="50" w:line="360" w:lineRule="auto"/>
        <w:contextualSpacing/>
        <w:jc w:val="left"/>
        <w:rPr>
          <w:rFonts w:asciiTheme="minorEastAsia" w:hAnsiTheme="minorEastAsia"/>
          <w:color w:val="000000"/>
          <w:szCs w:val="24"/>
        </w:rPr>
      </w:pPr>
      <w:r>
        <w:rPr>
          <w:rFonts w:hint="eastAsia" w:asciiTheme="minorEastAsia" w:hAnsiTheme="minorEastAsia"/>
          <w:color w:val="000000"/>
          <w:szCs w:val="24"/>
        </w:rPr>
        <w:t>项目编号：</w:t>
      </w:r>
    </w:p>
    <w:p>
      <w:pPr>
        <w:autoSpaceDE w:val="0"/>
        <w:autoSpaceDN w:val="0"/>
        <w:adjustRightInd w:val="0"/>
        <w:spacing w:line="360" w:lineRule="auto"/>
        <w:outlineLvl w:val="0"/>
        <w:rPr>
          <w:rFonts w:hAnsi="宋体"/>
          <w:b/>
          <w:snapToGrid w:val="0"/>
          <w:kern w:val="0"/>
          <w:sz w:val="36"/>
          <w:szCs w:val="36"/>
        </w:rPr>
      </w:pPr>
      <w:r>
        <w:rPr>
          <w:rFonts w:hint="eastAsia" w:asciiTheme="minorEastAsia" w:hAnsiTheme="minorEastAsia"/>
          <w:color w:val="000000"/>
          <w:szCs w:val="24"/>
        </w:rPr>
        <w:t xml:space="preserve">项目名称：   </w:t>
      </w:r>
    </w:p>
    <w:tbl>
      <w:tblPr>
        <w:tblStyle w:val="34"/>
        <w:tblW w:w="9889" w:type="dxa"/>
        <w:tblInd w:w="0" w:type="dxa"/>
        <w:tblLayout w:type="fixed"/>
        <w:tblCellMar>
          <w:top w:w="0" w:type="dxa"/>
          <w:left w:w="108" w:type="dxa"/>
          <w:bottom w:w="0" w:type="dxa"/>
          <w:right w:w="108" w:type="dxa"/>
        </w:tblCellMar>
      </w:tblPr>
      <w:tblGrid>
        <w:gridCol w:w="828"/>
        <w:gridCol w:w="1548"/>
        <w:gridCol w:w="1276"/>
        <w:gridCol w:w="2157"/>
        <w:gridCol w:w="1831"/>
        <w:gridCol w:w="900"/>
        <w:gridCol w:w="1349"/>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54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ind w:left="-134" w:leftChars="-56" w:right="-122" w:rightChars="-51"/>
              <w:jc w:val="center"/>
              <w:rPr>
                <w:rFonts w:ascii="宋体" w:hAnsi="宋体" w:eastAsia="宋体" w:cs="宋体"/>
                <w:b/>
                <w:bCs/>
                <w:sz w:val="24"/>
                <w:szCs w:val="24"/>
              </w:rPr>
            </w:pPr>
            <w:r>
              <w:rPr>
                <w:rFonts w:hint="eastAsia" w:ascii="宋体" w:hAnsi="宋体" w:eastAsia="宋体" w:cs="宋体"/>
                <w:b/>
                <w:bCs/>
                <w:sz w:val="24"/>
                <w:szCs w:val="24"/>
              </w:rPr>
              <w:t>货物服务名称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规格型号</w:t>
            </w:r>
          </w:p>
        </w:tc>
        <w:tc>
          <w:tcPr>
            <w:tcW w:w="215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招标文件技术参数</w:t>
            </w:r>
          </w:p>
        </w:tc>
        <w:tc>
          <w:tcPr>
            <w:tcW w:w="183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投标技术参数</w:t>
            </w:r>
          </w:p>
        </w:tc>
        <w:tc>
          <w:tcPr>
            <w:tcW w:w="9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134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偏离情况说明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4"/>
              </w:rPr>
            </w:pPr>
            <w:r>
              <w:rPr>
                <w:rFonts w:hint="eastAsia" w:asciiTheme="minorEastAsia" w:hAnsiTheme="minorEastAsia"/>
                <w:bCs/>
                <w:szCs w:val="24"/>
              </w:rPr>
              <w:t>1</w:t>
            </w:r>
          </w:p>
        </w:tc>
        <w:tc>
          <w:tcPr>
            <w:tcW w:w="15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4"/>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4"/>
              </w:rPr>
            </w:pPr>
          </w:p>
        </w:tc>
        <w:tc>
          <w:tcPr>
            <w:tcW w:w="215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4"/>
              </w:rPr>
            </w:pPr>
          </w:p>
        </w:tc>
        <w:tc>
          <w:tcPr>
            <w:tcW w:w="183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4"/>
              </w:rPr>
            </w:pPr>
          </w:p>
        </w:tc>
        <w:tc>
          <w:tcPr>
            <w:tcW w:w="13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4"/>
              </w:rPr>
            </w:pPr>
            <w:r>
              <w:rPr>
                <w:rFonts w:hint="eastAsia" w:asciiTheme="minorEastAsia" w:hAnsiTheme="minorEastAsia"/>
                <w:szCs w:val="24"/>
              </w:rPr>
              <w:t>…</w:t>
            </w:r>
          </w:p>
        </w:tc>
        <w:tc>
          <w:tcPr>
            <w:tcW w:w="15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4"/>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4"/>
              </w:rPr>
            </w:pPr>
          </w:p>
        </w:tc>
        <w:tc>
          <w:tcPr>
            <w:tcW w:w="215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4"/>
              </w:rPr>
            </w:pPr>
          </w:p>
        </w:tc>
        <w:tc>
          <w:tcPr>
            <w:tcW w:w="183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4"/>
              </w:rPr>
            </w:pPr>
          </w:p>
        </w:tc>
        <w:tc>
          <w:tcPr>
            <w:tcW w:w="13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4"/>
              </w:rPr>
            </w:pPr>
          </w:p>
        </w:tc>
      </w:tr>
    </w:tbl>
    <w:p>
      <w:pPr>
        <w:autoSpaceDE w:val="0"/>
        <w:autoSpaceDN w:val="0"/>
        <w:adjustRightInd w:val="0"/>
        <w:spacing w:line="480" w:lineRule="auto"/>
        <w:rPr>
          <w:rFonts w:cs="宋体" w:asciiTheme="minorEastAsia" w:hAnsiTheme="minorEastAsia"/>
          <w:szCs w:val="24"/>
          <w:lang w:val="zh-CN"/>
        </w:rPr>
      </w:pPr>
      <w:r>
        <w:rPr>
          <w:rFonts w:hint="eastAsia" w:cs="宋体" w:asciiTheme="minorEastAsia" w:hAnsiTheme="minorEastAsia"/>
          <w:szCs w:val="24"/>
          <w:lang w:val="zh-CN"/>
        </w:rPr>
        <w:t>投标人（公章）：</w:t>
      </w:r>
    </w:p>
    <w:p>
      <w:pPr>
        <w:autoSpaceDE w:val="0"/>
        <w:autoSpaceDN w:val="0"/>
        <w:adjustRightInd w:val="0"/>
        <w:spacing w:line="480" w:lineRule="auto"/>
        <w:rPr>
          <w:rFonts w:cs="宋体" w:asciiTheme="minorEastAsia" w:hAnsiTheme="minorEastAsia"/>
          <w:szCs w:val="24"/>
          <w:lang w:val="zh-CN"/>
        </w:rPr>
      </w:pPr>
      <w:r>
        <w:rPr>
          <w:rFonts w:hint="eastAsia" w:cs="宋体" w:asciiTheme="minorEastAsia" w:hAnsiTheme="minorEastAsia"/>
          <w:szCs w:val="24"/>
          <w:lang w:val="zh-CN"/>
        </w:rPr>
        <w:t>投标人法定代表人（或授权代表）签字：</w:t>
      </w:r>
    </w:p>
    <w:p>
      <w:pPr>
        <w:pStyle w:val="2"/>
        <w:ind w:firstLine="340"/>
        <w:rPr>
          <w:lang w:val="zh-CN"/>
        </w:rPr>
      </w:pPr>
    </w:p>
    <w:p>
      <w:pPr>
        <w:spacing w:line="480" w:lineRule="exact"/>
        <w:jc w:val="center"/>
        <w:rPr>
          <w:rFonts w:asciiTheme="majorEastAsia" w:hAnsiTheme="majorEastAsia" w:eastAsiaTheme="majorEastAsia"/>
          <w:b/>
          <w:bCs/>
          <w:color w:val="000000"/>
          <w:sz w:val="36"/>
          <w:szCs w:val="36"/>
        </w:rPr>
      </w:pPr>
    </w:p>
    <w:p>
      <w:pPr>
        <w:spacing w:line="480" w:lineRule="exact"/>
        <w:jc w:val="center"/>
        <w:rPr>
          <w:rFonts w:asciiTheme="majorEastAsia" w:hAnsiTheme="majorEastAsia" w:eastAsiaTheme="majorEastAsia"/>
          <w:b/>
          <w:bCs/>
          <w:color w:val="000000"/>
          <w:sz w:val="36"/>
          <w:szCs w:val="36"/>
        </w:rPr>
      </w:pPr>
    </w:p>
    <w:p>
      <w:pPr>
        <w:spacing w:line="480" w:lineRule="exact"/>
        <w:jc w:val="center"/>
        <w:rPr>
          <w:rFonts w:asciiTheme="majorEastAsia" w:hAnsiTheme="majorEastAsia" w:eastAsiaTheme="majorEastAsia"/>
          <w:b/>
          <w:bCs/>
          <w:color w:val="000000"/>
          <w:sz w:val="36"/>
          <w:szCs w:val="36"/>
        </w:rPr>
      </w:pPr>
    </w:p>
    <w:p>
      <w:pPr>
        <w:spacing w:line="480" w:lineRule="exact"/>
        <w:rPr>
          <w:rFonts w:asciiTheme="majorEastAsia" w:hAnsiTheme="majorEastAsia" w:eastAsiaTheme="majorEastAsia"/>
          <w:b/>
          <w:bCs/>
          <w:color w:val="000000"/>
          <w:sz w:val="36"/>
          <w:szCs w:val="36"/>
        </w:rPr>
      </w:pPr>
    </w:p>
    <w:p>
      <w:pPr>
        <w:pStyle w:val="28"/>
        <w:jc w:val="both"/>
        <w:rPr>
          <w:rFonts w:ascii="宋体" w:hAnsi="宋体" w:cs="宋体"/>
          <w:sz w:val="24"/>
          <w:szCs w:val="24"/>
        </w:rPr>
      </w:pPr>
    </w:p>
    <w:p>
      <w:pPr>
        <w:pStyle w:val="28"/>
        <w:jc w:val="both"/>
        <w:rPr>
          <w:rFonts w:ascii="宋体" w:hAnsi="宋体" w:cs="宋体"/>
          <w:sz w:val="24"/>
          <w:szCs w:val="24"/>
        </w:rPr>
      </w:pPr>
    </w:p>
    <w:p>
      <w:pPr>
        <w:pStyle w:val="28"/>
        <w:jc w:val="both"/>
        <w:rPr>
          <w:rFonts w:ascii="宋体" w:hAnsi="宋体" w:cs="宋体"/>
          <w:sz w:val="24"/>
          <w:szCs w:val="24"/>
        </w:rPr>
      </w:pPr>
    </w:p>
    <w:p>
      <w:pPr>
        <w:pStyle w:val="28"/>
        <w:jc w:val="both"/>
        <w:rPr>
          <w:rFonts w:ascii="宋体" w:hAnsi="宋体" w:cs="宋体"/>
          <w:sz w:val="24"/>
          <w:szCs w:val="24"/>
        </w:rPr>
      </w:pPr>
    </w:p>
    <w:p>
      <w:pPr>
        <w:pStyle w:val="28"/>
        <w:jc w:val="both"/>
        <w:rPr>
          <w:rFonts w:ascii="宋体" w:hAnsi="宋体" w:cs="宋体"/>
          <w:sz w:val="24"/>
          <w:szCs w:val="24"/>
        </w:rPr>
      </w:pPr>
    </w:p>
    <w:p>
      <w:pPr>
        <w:pStyle w:val="28"/>
        <w:jc w:val="both"/>
        <w:rPr>
          <w:rFonts w:ascii="宋体" w:hAnsi="宋体" w:cs="宋体"/>
          <w:sz w:val="24"/>
          <w:szCs w:val="24"/>
        </w:rPr>
      </w:pPr>
    </w:p>
    <w:p>
      <w:pPr>
        <w:pStyle w:val="28"/>
        <w:jc w:val="both"/>
        <w:rPr>
          <w:rFonts w:ascii="宋体" w:hAnsi="宋体" w:cs="宋体"/>
          <w:sz w:val="24"/>
          <w:szCs w:val="24"/>
        </w:rPr>
      </w:pPr>
    </w:p>
    <w:p>
      <w:pPr>
        <w:pStyle w:val="28"/>
        <w:jc w:val="both"/>
        <w:rPr>
          <w:rFonts w:ascii="宋体" w:hAnsi="宋体" w:cs="宋体"/>
          <w:sz w:val="24"/>
          <w:szCs w:val="24"/>
        </w:rPr>
      </w:pPr>
    </w:p>
    <w:p>
      <w:pPr>
        <w:pStyle w:val="28"/>
        <w:jc w:val="both"/>
        <w:rPr>
          <w:rFonts w:ascii="宋体" w:hAnsi="宋体" w:cs="宋体"/>
          <w:sz w:val="24"/>
          <w:szCs w:val="24"/>
        </w:rPr>
      </w:pPr>
    </w:p>
    <w:p>
      <w:pPr>
        <w:pStyle w:val="28"/>
        <w:jc w:val="both"/>
        <w:rPr>
          <w:rFonts w:ascii="宋体" w:hAnsi="宋体" w:cs="宋体"/>
          <w:sz w:val="24"/>
          <w:szCs w:val="24"/>
        </w:rPr>
      </w:pPr>
    </w:p>
    <w:p>
      <w:pPr>
        <w:pStyle w:val="28"/>
        <w:jc w:val="both"/>
        <w:rPr>
          <w:rFonts w:ascii="宋体" w:hAnsi="宋体" w:cs="宋体"/>
          <w:sz w:val="24"/>
          <w:szCs w:val="24"/>
        </w:rPr>
      </w:pPr>
      <w:r>
        <w:rPr>
          <w:rFonts w:hint="eastAsia" w:ascii="宋体" w:hAnsi="宋体" w:cs="宋体"/>
          <w:sz w:val="24"/>
          <w:szCs w:val="24"/>
        </w:rPr>
        <w:t>格式5</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 xml:space="preserve">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Cs w:val="24"/>
        </w:rPr>
      </w:pPr>
    </w:p>
    <w:p>
      <w:pPr>
        <w:pStyle w:val="91"/>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91"/>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91"/>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91"/>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加贵方招</w:t>
      </w:r>
      <w:r>
        <w:rPr>
          <w:rFonts w:asciiTheme="minorEastAsia" w:hAnsiTheme="minorEastAsia"/>
          <w:color w:val="000000"/>
          <w:szCs w:val="24"/>
        </w:rPr>
        <w:t>标编号为</w:t>
      </w:r>
      <w:r>
        <w:rPr>
          <w:rFonts w:asciiTheme="minorEastAsia" w:hAnsiTheme="minorEastAsia"/>
          <w:i/>
          <w:color w:val="000000"/>
          <w:szCs w:val="24"/>
          <w:u w:val="single"/>
        </w:rPr>
        <w:t>项目编号</w:t>
      </w:r>
      <w:r>
        <w:rPr>
          <w:rFonts w:hint="eastAsia" w:asciiTheme="minorEastAsia" w:hAnsiTheme="minorEastAsia"/>
          <w:color w:val="000000"/>
          <w:szCs w:val="24"/>
        </w:rPr>
        <w:t>的</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91"/>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91"/>
        <w:spacing w:line="480" w:lineRule="auto"/>
        <w:ind w:firstLine="540" w:firstLineChars="225"/>
        <w:jc w:val="left"/>
        <w:rPr>
          <w:rFonts w:asciiTheme="minorEastAsia" w:hAnsiTheme="minorEastAsia"/>
          <w:color w:val="000000"/>
          <w:szCs w:val="24"/>
        </w:rPr>
      </w:pPr>
    </w:p>
    <w:p>
      <w:pPr>
        <w:pStyle w:val="91"/>
        <w:spacing w:line="480" w:lineRule="auto"/>
        <w:ind w:firstLine="540" w:firstLineChars="225"/>
        <w:jc w:val="left"/>
        <w:rPr>
          <w:rFonts w:asciiTheme="minorEastAsia" w:hAnsiTheme="minorEastAsia"/>
          <w:color w:val="000000"/>
          <w:szCs w:val="24"/>
        </w:rPr>
      </w:pPr>
    </w:p>
    <w:p>
      <w:pPr>
        <w:pStyle w:val="91"/>
        <w:spacing w:line="480" w:lineRule="auto"/>
        <w:ind w:left="-614"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91"/>
        <w:spacing w:line="480" w:lineRule="auto"/>
        <w:ind w:left="-614"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Cs w:val="24"/>
          <w:lang w:val="zh-CN"/>
        </w:rPr>
      </w:pPr>
    </w:p>
    <w:p>
      <w:pPr>
        <w:autoSpaceDE w:val="0"/>
        <w:autoSpaceDN w:val="0"/>
        <w:adjustRightInd w:val="0"/>
        <w:spacing w:line="360" w:lineRule="auto"/>
        <w:ind w:right="-11"/>
        <w:rPr>
          <w:rFonts w:cs="宋体" w:asciiTheme="minorEastAsia" w:hAnsiTheme="minorEastAsia"/>
          <w:szCs w:val="24"/>
          <w:lang w:val="zh-CN"/>
        </w:rPr>
      </w:pPr>
    </w:p>
    <w:p>
      <w:pPr>
        <w:autoSpaceDE w:val="0"/>
        <w:autoSpaceDN w:val="0"/>
        <w:adjustRightInd w:val="0"/>
        <w:spacing w:line="360" w:lineRule="auto"/>
        <w:ind w:right="-11"/>
        <w:rPr>
          <w:rFonts w:cs="宋体" w:asciiTheme="minorEastAsia" w:hAnsiTheme="minorEastAsia"/>
          <w:szCs w:val="24"/>
          <w:lang w:val="zh-CN"/>
        </w:rPr>
      </w:pPr>
    </w:p>
    <w:p>
      <w:pPr>
        <w:spacing w:line="480" w:lineRule="auto"/>
        <w:ind w:firstLine="3900" w:firstLineChars="1625"/>
        <w:rPr>
          <w:rFonts w:cs="Arial" w:asciiTheme="minorEastAsia" w:hAnsiTheme="minorEastAsia"/>
          <w:color w:val="000000"/>
          <w:szCs w:val="24"/>
          <w:u w:val="single"/>
        </w:rPr>
      </w:pPr>
      <w:r>
        <w:rPr>
          <w:rFonts w:hint="eastAsia" w:cs="Arial" w:asciiTheme="minorEastAsia" w:hAnsiTheme="minorEastAsia"/>
          <w:color w:val="000000"/>
          <w:szCs w:val="24"/>
        </w:rPr>
        <w:t>投标人名称（并加盖公章）：</w:t>
      </w:r>
    </w:p>
    <w:p>
      <w:pPr>
        <w:pStyle w:val="54"/>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92"/>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Cs w:val="24"/>
        </w:rPr>
      </w:pPr>
      <w:r>
        <w:rPr>
          <w:rFonts w:hint="eastAsia" w:asciiTheme="minorEastAsia" w:hAnsiTheme="minorEastAsia"/>
          <w:bCs/>
          <w:color w:val="000000"/>
          <w:kern w:val="12"/>
          <w:szCs w:val="24"/>
        </w:rPr>
        <w:t>说明：法定代表人</w:t>
      </w:r>
      <w:r>
        <w:rPr>
          <w:rFonts w:asciiTheme="minorEastAsia" w:hAnsiTheme="minorEastAsia"/>
          <w:bCs/>
          <w:color w:val="000000"/>
          <w:kern w:val="12"/>
          <w:szCs w:val="24"/>
        </w:rPr>
        <w:t>参</w:t>
      </w:r>
      <w:r>
        <w:rPr>
          <w:rFonts w:hint="eastAsia" w:asciiTheme="minorEastAsia" w:hAnsiTheme="minorEastAsia"/>
          <w:bCs/>
          <w:color w:val="000000"/>
          <w:kern w:val="12"/>
          <w:szCs w:val="24"/>
        </w:rPr>
        <w:t>加本招</w:t>
      </w:r>
      <w:r>
        <w:rPr>
          <w:rFonts w:asciiTheme="minorEastAsia" w:hAnsiTheme="minorEastAsia"/>
          <w:bCs/>
          <w:color w:val="000000"/>
          <w:kern w:val="12"/>
          <w:szCs w:val="24"/>
        </w:rPr>
        <w:t>标项目</w:t>
      </w:r>
      <w:r>
        <w:rPr>
          <w:rFonts w:hint="eastAsia" w:asciiTheme="minorEastAsia" w:hAnsiTheme="minorEastAsia"/>
          <w:bCs/>
          <w:color w:val="000000"/>
          <w:kern w:val="12"/>
          <w:szCs w:val="24"/>
        </w:rPr>
        <w:t>投</w:t>
      </w:r>
      <w:r>
        <w:rPr>
          <w:rFonts w:asciiTheme="minorEastAsia" w:hAnsiTheme="minorEastAsia"/>
          <w:bCs/>
          <w:color w:val="000000"/>
          <w:kern w:val="12"/>
          <w:szCs w:val="24"/>
        </w:rPr>
        <w:t>标</w:t>
      </w:r>
      <w:r>
        <w:rPr>
          <w:rFonts w:hint="eastAsia" w:asciiTheme="minorEastAsia" w:hAnsiTheme="minorEastAsia"/>
          <w:bCs/>
          <w:color w:val="000000"/>
          <w:kern w:val="12"/>
          <w:szCs w:val="24"/>
        </w:rPr>
        <w:t>的，</w:t>
      </w:r>
      <w:r>
        <w:rPr>
          <w:rFonts w:asciiTheme="minorEastAsia" w:hAnsiTheme="minorEastAsia"/>
          <w:bCs/>
          <w:color w:val="000000"/>
          <w:kern w:val="12"/>
          <w:szCs w:val="24"/>
        </w:rPr>
        <w:t>仅须</w:t>
      </w:r>
      <w:r>
        <w:rPr>
          <w:rFonts w:hint="eastAsia" w:asciiTheme="minorEastAsia" w:hAnsiTheme="minorEastAsia"/>
          <w:bCs/>
          <w:color w:val="000000"/>
          <w:kern w:val="12"/>
          <w:szCs w:val="24"/>
        </w:rPr>
        <w:t>出具此</w:t>
      </w:r>
      <w:r>
        <w:rPr>
          <w:rFonts w:asciiTheme="minorEastAsia" w:hAnsiTheme="minorEastAsia"/>
          <w:bCs/>
          <w:color w:val="000000"/>
          <w:kern w:val="12"/>
          <w:szCs w:val="24"/>
        </w:rPr>
        <w:t>证</w:t>
      </w:r>
      <w:r>
        <w:rPr>
          <w:rFonts w:hint="eastAsia" w:asciiTheme="minorEastAsia" w:hAnsiTheme="minorEastAsia"/>
          <w:bCs/>
          <w:color w:val="000000"/>
          <w:kern w:val="12"/>
          <w:szCs w:val="24"/>
        </w:rPr>
        <w:t>明</w:t>
      </w:r>
      <w:r>
        <w:rPr>
          <w:rFonts w:asciiTheme="minorEastAsia" w:hAnsiTheme="minorEastAsia"/>
          <w:bCs/>
          <w:color w:val="000000"/>
          <w:kern w:val="12"/>
          <w:szCs w:val="24"/>
        </w:rPr>
        <w:t>书</w:t>
      </w:r>
      <w:r>
        <w:rPr>
          <w:rFonts w:hint="eastAsia" w:asciiTheme="minorEastAsia" w:hAnsiTheme="minorEastAsia"/>
          <w:bCs/>
          <w:color w:val="000000"/>
          <w:kern w:val="12"/>
          <w:szCs w:val="24"/>
        </w:rPr>
        <w:t>。</w:t>
      </w:r>
    </w:p>
    <w:p>
      <w:pPr>
        <w:spacing w:line="480" w:lineRule="exact"/>
        <w:jc w:val="center"/>
        <w:rPr>
          <w:rFonts w:ascii="宋体" w:hAnsi="宋体"/>
          <w:b/>
          <w:bCs/>
          <w:color w:val="000000"/>
          <w:sz w:val="36"/>
          <w:szCs w:val="36"/>
        </w:rPr>
      </w:pPr>
    </w:p>
    <w:p>
      <w:pPr>
        <w:widowControl/>
        <w:jc w:val="left"/>
        <w:rPr>
          <w:rFonts w:ascii="宋体" w:hAnsi="宋体"/>
          <w:b/>
          <w:bCs/>
          <w:color w:val="000000"/>
          <w:sz w:val="36"/>
          <w:szCs w:val="36"/>
        </w:rPr>
      </w:pPr>
      <w:r>
        <w:rPr>
          <w:rFonts w:ascii="宋体" w:hAnsi="宋体"/>
          <w:b/>
          <w:bCs/>
          <w:color w:val="000000"/>
          <w:sz w:val="36"/>
          <w:szCs w:val="36"/>
        </w:rPr>
        <w:br w:type="page"/>
      </w:r>
    </w:p>
    <w:p>
      <w:pPr>
        <w:pStyle w:val="28"/>
        <w:jc w:val="both"/>
        <w:rPr>
          <w:rFonts w:ascii="宋体" w:hAnsi="宋体" w:cs="宋体"/>
          <w:sz w:val="24"/>
          <w:szCs w:val="24"/>
        </w:rPr>
      </w:pPr>
      <w:r>
        <w:rPr>
          <w:rFonts w:hint="eastAsia" w:ascii="宋体" w:hAnsi="宋体" w:cs="宋体"/>
          <w:sz w:val="24"/>
          <w:szCs w:val="24"/>
        </w:rPr>
        <w:t>格式6</w:t>
      </w:r>
    </w:p>
    <w:p>
      <w:pPr>
        <w:spacing w:line="480" w:lineRule="exact"/>
        <w:jc w:val="center"/>
        <w:rPr>
          <w:rFonts w:ascii="宋体" w:hAnsi="宋体"/>
          <w:b/>
          <w:bCs/>
          <w:color w:val="000000"/>
          <w:sz w:val="36"/>
          <w:szCs w:val="36"/>
        </w:rPr>
      </w:pPr>
      <w:r>
        <w:rPr>
          <w:rFonts w:hint="eastAsia" w:ascii="宋体" w:hAnsi="宋体"/>
          <w:b/>
          <w:bCs/>
          <w:color w:val="000000"/>
          <w:sz w:val="36"/>
          <w:szCs w:val="36"/>
        </w:rPr>
        <w:t xml:space="preserve">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Cs w:val="24"/>
        </w:rPr>
      </w:pPr>
      <w:r>
        <w:rPr>
          <w:rFonts w:hint="eastAsia" w:cs="Arial" w:asciiTheme="minorEastAsia" w:hAnsiTheme="minorEastAsia"/>
          <w:szCs w:val="24"/>
        </w:rPr>
        <w:t>本人</w:t>
      </w:r>
      <w:r>
        <w:rPr>
          <w:rFonts w:hint="eastAsia" w:cs="Arial" w:asciiTheme="minorEastAsia" w:hAnsiTheme="minorEastAsia"/>
          <w:szCs w:val="24"/>
          <w:u w:val="single"/>
        </w:rPr>
        <w:t xml:space="preserve">　 </w:t>
      </w:r>
      <w:r>
        <w:rPr>
          <w:rFonts w:hint="eastAsia" w:asciiTheme="minorEastAsia" w:hAnsiTheme="minorEastAsia"/>
          <w:i/>
          <w:snapToGrid w:val="0"/>
          <w:szCs w:val="24"/>
          <w:u w:val="single"/>
        </w:rPr>
        <w:t>法人姓名</w:t>
      </w:r>
      <w:r>
        <w:rPr>
          <w:rFonts w:hint="eastAsia" w:cs="Arial" w:asciiTheme="minorEastAsia" w:hAnsiTheme="minorEastAsia"/>
          <w:szCs w:val="24"/>
        </w:rPr>
        <w:t>系</w:t>
      </w:r>
      <w:r>
        <w:rPr>
          <w:rFonts w:hint="eastAsia" w:cs="Arial" w:asciiTheme="minorEastAsia" w:hAnsiTheme="minorEastAsia"/>
          <w:szCs w:val="24"/>
          <w:u w:val="single"/>
        </w:rPr>
        <w:t>　</w:t>
      </w:r>
      <w:r>
        <w:rPr>
          <w:rFonts w:hint="eastAsia" w:asciiTheme="minorEastAsia" w:hAnsiTheme="minorEastAsia"/>
          <w:i/>
          <w:snapToGrid w:val="0"/>
          <w:szCs w:val="24"/>
          <w:u w:val="single"/>
        </w:rPr>
        <w:t xml:space="preserve">投标人名称  </w:t>
      </w:r>
      <w:r>
        <w:rPr>
          <w:rFonts w:hint="eastAsia" w:cs="Arial" w:asciiTheme="minorEastAsia" w:hAnsiTheme="minorEastAsia"/>
          <w:szCs w:val="24"/>
        </w:rPr>
        <w:t>的法定代表人，现委托</w:t>
      </w:r>
      <w:r>
        <w:rPr>
          <w:rFonts w:hint="eastAsia" w:cs="Arial" w:asciiTheme="minorEastAsia" w:hAnsiTheme="minorEastAsia"/>
          <w:szCs w:val="24"/>
          <w:u w:val="single"/>
        </w:rPr>
        <w:t xml:space="preserve">　 </w:t>
      </w:r>
      <w:r>
        <w:rPr>
          <w:rFonts w:hint="eastAsia" w:asciiTheme="minorEastAsia" w:hAnsiTheme="minorEastAsia"/>
          <w:i/>
          <w:snapToGrid w:val="0"/>
          <w:szCs w:val="24"/>
          <w:u w:val="single"/>
        </w:rPr>
        <w:t>姓名，职务</w:t>
      </w:r>
      <w:r>
        <w:rPr>
          <w:rFonts w:hint="eastAsia" w:cs="Arial" w:asciiTheme="minorEastAsia" w:hAnsiTheme="minorEastAsia"/>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Cs w:val="24"/>
        </w:rPr>
      </w:pPr>
      <w:r>
        <w:rPr>
          <w:rFonts w:hint="eastAsia" w:cs="Arial" w:asciiTheme="minorEastAsia" w:hAnsiTheme="minorEastAsia"/>
          <w:szCs w:val="24"/>
        </w:rPr>
        <w:t>我方对被授权人的签名事项负全部责任。</w:t>
      </w:r>
    </w:p>
    <w:p>
      <w:pPr>
        <w:adjustRightInd w:val="0"/>
        <w:spacing w:line="360" w:lineRule="auto"/>
        <w:ind w:firstLine="504" w:firstLineChars="210"/>
        <w:contextualSpacing/>
        <w:rPr>
          <w:rFonts w:cs="Arial" w:asciiTheme="minorEastAsia" w:hAnsiTheme="minorEastAsia"/>
          <w:szCs w:val="24"/>
        </w:rPr>
      </w:pPr>
      <w:r>
        <w:rPr>
          <w:rFonts w:hint="eastAsia" w:cs="Arial" w:asciiTheme="minorEastAsia" w:hAnsiTheme="minorEastAsia"/>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Cs w:val="24"/>
        </w:rPr>
      </w:pPr>
      <w:r>
        <w:rPr>
          <w:rFonts w:hint="eastAsia" w:cs="Arial" w:asciiTheme="minorEastAsia" w:hAnsiTheme="minorEastAsia"/>
          <w:szCs w:val="24"/>
        </w:rPr>
        <w:t>被授权人无转委托权，特此委托。</w:t>
      </w:r>
    </w:p>
    <w:p>
      <w:pPr>
        <w:spacing w:line="480" w:lineRule="auto"/>
        <w:ind w:firstLine="480" w:firstLineChars="200"/>
        <w:rPr>
          <w:rFonts w:asciiTheme="minorEastAsia" w:hAnsiTheme="minorEastAsia"/>
          <w:szCs w:val="24"/>
        </w:rPr>
      </w:pPr>
      <w:r>
        <w:rPr>
          <w:rFonts w:hint="eastAsia" w:asciiTheme="minorEastAsia" w:hAnsiTheme="minorEastAsia"/>
          <w:szCs w:val="24"/>
        </w:rPr>
        <w:t xml:space="preserve">投标人名称： </w:t>
      </w:r>
      <w:r>
        <w:rPr>
          <w:rFonts w:hint="eastAsia" w:asciiTheme="minorEastAsia" w:hAnsiTheme="minorEastAsia"/>
          <w:szCs w:val="24"/>
          <w:u w:val="single"/>
        </w:rPr>
        <w:t xml:space="preserve">       （全称）       </w:t>
      </w:r>
      <w:r>
        <w:rPr>
          <w:rFonts w:hint="eastAsia" w:asciiTheme="minorEastAsia" w:hAnsiTheme="minorEastAsia"/>
          <w:szCs w:val="24"/>
        </w:rPr>
        <w:t xml:space="preserve"> （盖单位公章）</w:t>
      </w:r>
    </w:p>
    <w:p>
      <w:pPr>
        <w:spacing w:line="480" w:lineRule="auto"/>
        <w:ind w:firstLine="480" w:firstLineChars="200"/>
        <w:rPr>
          <w:rFonts w:asciiTheme="minorEastAsia" w:hAnsiTheme="minorEastAsia"/>
          <w:szCs w:val="24"/>
        </w:rPr>
      </w:pPr>
      <w:r>
        <w:rPr>
          <w:rFonts w:hint="eastAsia" w:asciiTheme="minorEastAsia" w:hAnsiTheme="minorEastAsia"/>
          <w:szCs w:val="24"/>
        </w:rPr>
        <w:t>法定代表人：  （签字或加盖名章）</w:t>
      </w:r>
    </w:p>
    <w:p>
      <w:pPr>
        <w:spacing w:line="480" w:lineRule="auto"/>
        <w:ind w:firstLine="480" w:firstLineChars="200"/>
        <w:rPr>
          <w:rFonts w:asciiTheme="minorEastAsia" w:hAnsiTheme="minorEastAsia"/>
          <w:szCs w:val="24"/>
        </w:rPr>
      </w:pPr>
      <w:r>
        <w:rPr>
          <w:rFonts w:hint="eastAsia" w:asciiTheme="minorEastAsia" w:hAnsiTheme="minorEastAsia"/>
          <w:szCs w:val="24"/>
        </w:rPr>
        <w:t>法定代表人授权代表：  （签字或加盖名章）</w:t>
      </w:r>
    </w:p>
    <w:tbl>
      <w:tblPr>
        <w:tblStyle w:val="34"/>
        <w:tblW w:w="9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2"/>
        <w:gridCol w:w="8"/>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3" w:hRule="atLeast"/>
        </w:trPr>
        <w:tc>
          <w:tcPr>
            <w:tcW w:w="5102" w:type="dxa"/>
            <w:vAlign w:val="center"/>
          </w:tcPr>
          <w:p>
            <w:pPr>
              <w:jc w:val="center"/>
              <w:rPr>
                <w:rFonts w:asciiTheme="minorEastAsia" w:hAnsiTheme="minorEastAsia"/>
                <w:szCs w:val="24"/>
              </w:rPr>
            </w:pPr>
            <w:r>
              <w:rPr>
                <w:rFonts w:hint="eastAsia" w:asciiTheme="minorEastAsia" w:hAnsiTheme="minorEastAsia"/>
                <w:szCs w:val="24"/>
              </w:rPr>
              <w:t>法定代表人身份证（正面）</w:t>
            </w:r>
          </w:p>
        </w:tc>
        <w:tc>
          <w:tcPr>
            <w:tcW w:w="4828" w:type="dxa"/>
            <w:gridSpan w:val="2"/>
            <w:vAlign w:val="center"/>
          </w:tcPr>
          <w:p>
            <w:pPr>
              <w:jc w:val="center"/>
              <w:rPr>
                <w:rFonts w:asciiTheme="minorEastAsia" w:hAnsiTheme="minorEastAsia"/>
                <w:szCs w:val="24"/>
              </w:rPr>
            </w:pPr>
            <w:r>
              <w:rPr>
                <w:rFonts w:hint="eastAsia" w:asciiTheme="minorEastAsia" w:hAnsiTheme="minorEastAsia"/>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9" w:hRule="atLeast"/>
        </w:trPr>
        <w:tc>
          <w:tcPr>
            <w:tcW w:w="5110" w:type="dxa"/>
            <w:gridSpan w:val="2"/>
            <w:vAlign w:val="center"/>
          </w:tcPr>
          <w:p>
            <w:pPr>
              <w:jc w:val="center"/>
              <w:rPr>
                <w:rFonts w:asciiTheme="minorEastAsia" w:hAnsiTheme="minorEastAsia"/>
                <w:szCs w:val="24"/>
              </w:rPr>
            </w:pPr>
            <w:bookmarkStart w:id="43" w:name="_资格证明文件"/>
            <w:bookmarkEnd w:id="43"/>
            <w:bookmarkStart w:id="44" w:name="_Toc364329026"/>
            <w:r>
              <w:rPr>
                <w:rFonts w:hint="eastAsia" w:asciiTheme="minorEastAsia" w:hAnsiTheme="minorEastAsia"/>
                <w:szCs w:val="24"/>
              </w:rPr>
              <w:t>法定代表人授权代表身份证（正面）</w:t>
            </w:r>
            <w:bookmarkEnd w:id="44"/>
          </w:p>
        </w:tc>
        <w:tc>
          <w:tcPr>
            <w:tcW w:w="4820" w:type="dxa"/>
            <w:vAlign w:val="center"/>
          </w:tcPr>
          <w:p>
            <w:pPr>
              <w:jc w:val="center"/>
              <w:rPr>
                <w:rFonts w:asciiTheme="minorEastAsia" w:hAnsiTheme="minorEastAsia"/>
                <w:szCs w:val="24"/>
              </w:rPr>
            </w:pPr>
            <w:bookmarkStart w:id="45" w:name="_Toc364329027"/>
            <w:r>
              <w:rPr>
                <w:rFonts w:hint="eastAsia" w:asciiTheme="minorEastAsia" w:hAnsiTheme="minorEastAsia"/>
                <w:szCs w:val="24"/>
              </w:rPr>
              <w:t>法定代表人授权代表身份证（反面）</w:t>
            </w:r>
            <w:bookmarkEnd w:id="45"/>
          </w:p>
        </w:tc>
      </w:tr>
    </w:tbl>
    <w:p>
      <w:pPr>
        <w:spacing w:line="320" w:lineRule="exact"/>
        <w:ind w:left="2" w:firstLine="357" w:firstLineChars="149"/>
        <w:rPr>
          <w:rFonts w:cs="Courier New" w:asciiTheme="minorEastAsia" w:hAnsiTheme="minorEastAsia"/>
          <w:szCs w:val="24"/>
        </w:rPr>
      </w:pPr>
    </w:p>
    <w:p>
      <w:pPr>
        <w:widowControl/>
        <w:jc w:val="left"/>
        <w:rPr>
          <w:rFonts w:ascii="宋体" w:hAnsi="宋体"/>
          <w:b/>
          <w:bCs/>
          <w:color w:val="000000"/>
          <w:sz w:val="36"/>
          <w:szCs w:val="36"/>
        </w:rPr>
      </w:pPr>
      <w:r>
        <w:rPr>
          <w:rFonts w:ascii="宋体" w:hAnsi="宋体"/>
          <w:b/>
          <w:bCs/>
          <w:color w:val="000000"/>
          <w:sz w:val="36"/>
          <w:szCs w:val="36"/>
        </w:rPr>
        <w:br w:type="page"/>
      </w:r>
    </w:p>
    <w:p>
      <w:pPr>
        <w:pStyle w:val="28"/>
        <w:jc w:val="both"/>
        <w:rPr>
          <w:rFonts w:ascii="宋体" w:cs="宋体"/>
          <w:sz w:val="24"/>
          <w:szCs w:val="24"/>
        </w:rPr>
      </w:pPr>
      <w:r>
        <w:rPr>
          <w:rFonts w:hint="eastAsia" w:ascii="宋体" w:hAnsi="宋体" w:cs="宋体"/>
          <w:sz w:val="24"/>
          <w:szCs w:val="24"/>
        </w:rPr>
        <w:t>格式7</w:t>
      </w:r>
    </w:p>
    <w:p>
      <w:pPr>
        <w:pStyle w:val="28"/>
        <w:jc w:val="center"/>
        <w:rPr>
          <w:rFonts w:ascii="宋体" w:cs="宋体"/>
          <w:sz w:val="36"/>
          <w:szCs w:val="36"/>
        </w:rPr>
      </w:pPr>
      <w:r>
        <w:rPr>
          <w:rFonts w:hint="eastAsia" w:ascii="宋体" w:hAnsi="宋体" w:cs="宋体"/>
          <w:sz w:val="36"/>
          <w:szCs w:val="36"/>
        </w:rPr>
        <w:t>磋商保证金</w:t>
      </w:r>
    </w:p>
    <w:p>
      <w:pPr>
        <w:rPr>
          <w:rFonts w:ascii="宋体" w:cs="宋体"/>
        </w:rPr>
      </w:pPr>
    </w:p>
    <w:p>
      <w:pPr>
        <w:autoSpaceDE w:val="0"/>
        <w:autoSpaceDN w:val="0"/>
        <w:adjustRightInd w:val="0"/>
        <w:spacing w:line="360" w:lineRule="auto"/>
        <w:jc w:val="center"/>
        <w:rPr>
          <w:rFonts w:cs="宋体" w:asciiTheme="minorEastAsia" w:hAnsiTheme="minorEastAsia"/>
          <w:szCs w:val="24"/>
          <w:lang w:val="zh-CN"/>
        </w:rPr>
      </w:pPr>
      <w:r>
        <w:rPr>
          <w:rFonts w:hint="eastAsia" w:cs="宋体" w:asciiTheme="minorEastAsia" w:hAnsiTheme="minorEastAsia"/>
          <w:szCs w:val="24"/>
          <w:lang w:val="zh-CN"/>
        </w:rPr>
        <w:t>许昌公共资源交易中心保证金缴纳回执</w:t>
      </w: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r>
        <w:rPr>
          <w:rFonts w:hint="eastAsia" w:ascii="宋体" w:cs="宋体"/>
          <w:lang w:val="zh-CN"/>
        </w:rPr>
        <w:t>（注：开标现场单独提供一份“许昌公共资源交易中心保证金缴纳回执”以备查询）</w:t>
      </w:r>
    </w:p>
    <w:p>
      <w:pPr>
        <w:tabs>
          <w:tab w:val="left" w:pos="4881"/>
        </w:tabs>
        <w:spacing w:before="33" w:line="360" w:lineRule="auto"/>
        <w:ind w:left="102" w:right="4125"/>
        <w:rPr>
          <w:rFonts w:cs="宋体"/>
          <w:spacing w:val="-1"/>
          <w:szCs w:val="24"/>
        </w:rPr>
      </w:pPr>
    </w:p>
    <w:p>
      <w:pPr>
        <w:rPr>
          <w:rFonts w:ascii="宋体" w:cs="宋体"/>
        </w:rPr>
      </w:pPr>
    </w:p>
    <w:p>
      <w:pPr>
        <w:pStyle w:val="28"/>
        <w:jc w:val="both"/>
        <w:rPr>
          <w:rFonts w:ascii="宋体" w:cs="宋体"/>
          <w:sz w:val="24"/>
          <w:szCs w:val="24"/>
        </w:rPr>
      </w:pPr>
      <w:bookmarkStart w:id="46" w:name="_Toc431307803"/>
      <w:bookmarkEnd w:id="46"/>
      <w:bookmarkStart w:id="47" w:name="_Toc448307977"/>
      <w:bookmarkEnd w:id="47"/>
      <w:r>
        <w:br w:type="page"/>
      </w:r>
      <w:r>
        <w:rPr>
          <w:rFonts w:hint="eastAsia" w:ascii="宋体" w:hAnsi="宋体" w:cs="宋体"/>
          <w:sz w:val="24"/>
          <w:szCs w:val="24"/>
        </w:rPr>
        <w:t>格式8</w:t>
      </w:r>
    </w:p>
    <w:p>
      <w:pPr>
        <w:spacing w:line="480" w:lineRule="exact"/>
        <w:jc w:val="center"/>
        <w:rPr>
          <w:rFonts w:ascii="宋体" w:cs="宋体"/>
          <w:b/>
          <w:sz w:val="36"/>
          <w:szCs w:val="36"/>
        </w:rPr>
      </w:pPr>
      <w:r>
        <w:rPr>
          <w:rFonts w:hint="eastAsia" w:ascii="宋体" w:hAnsi="宋体" w:cs="宋体"/>
          <w:b/>
          <w:sz w:val="36"/>
          <w:szCs w:val="36"/>
        </w:rPr>
        <w:t>供应商响应文件响应承诺</w:t>
      </w:r>
    </w:p>
    <w:p>
      <w:pPr>
        <w:spacing w:line="362" w:lineRule="auto"/>
        <w:jc w:val="center"/>
        <w:rPr>
          <w:rFonts w:cs="宋体"/>
          <w:sz w:val="28"/>
          <w:szCs w:val="28"/>
        </w:rPr>
      </w:pPr>
      <w:r>
        <w:rPr>
          <w:rFonts w:hint="eastAsia" w:cs="宋体"/>
          <w:sz w:val="24"/>
          <w:szCs w:val="24"/>
        </w:rPr>
        <w:t>格式内容自定。（应对竞争性磋商文件作出实质性响应）</w:t>
      </w:r>
    </w:p>
    <w:p>
      <w:pPr>
        <w:spacing w:line="362" w:lineRule="auto"/>
        <w:rPr>
          <w:rFonts w:cs="宋体"/>
          <w:b/>
          <w:szCs w:val="24"/>
        </w:rPr>
      </w:pPr>
    </w:p>
    <w:p>
      <w:pPr>
        <w:spacing w:line="362" w:lineRule="auto"/>
        <w:rPr>
          <w:rFonts w:cs="宋体"/>
          <w:b/>
          <w:szCs w:val="24"/>
        </w:rPr>
      </w:pPr>
    </w:p>
    <w:p>
      <w:pPr>
        <w:tabs>
          <w:tab w:val="left" w:pos="4881"/>
        </w:tabs>
        <w:spacing w:before="33" w:line="360" w:lineRule="auto"/>
        <w:ind w:left="102" w:right="4125"/>
        <w:rPr>
          <w:rFonts w:cs="宋体"/>
          <w:szCs w:val="24"/>
          <w:u w:val="single"/>
        </w:rPr>
      </w:pPr>
      <w:r>
        <w:rPr>
          <w:rFonts w:hint="eastAsia" w:cs="宋体"/>
          <w:spacing w:val="-1"/>
          <w:szCs w:val="24"/>
        </w:rPr>
        <w:t>单位名称（盖章）</w:t>
      </w:r>
      <w:r>
        <w:rPr>
          <w:rFonts w:cs="宋体"/>
          <w:spacing w:val="-1"/>
          <w:szCs w:val="24"/>
        </w:rPr>
        <w:t>:</w:t>
      </w:r>
    </w:p>
    <w:p>
      <w:pPr>
        <w:tabs>
          <w:tab w:val="left" w:pos="4881"/>
        </w:tabs>
        <w:spacing w:before="33" w:line="360" w:lineRule="auto"/>
        <w:ind w:left="102" w:right="4125"/>
        <w:rPr>
          <w:rFonts w:cs="宋体"/>
          <w:spacing w:val="25"/>
          <w:szCs w:val="24"/>
        </w:rPr>
      </w:pPr>
      <w:r>
        <w:rPr>
          <w:rFonts w:hint="eastAsia" w:cs="宋体"/>
          <w:spacing w:val="-1"/>
          <w:szCs w:val="24"/>
        </w:rPr>
        <w:t>法人代表或授权代表签字</w:t>
      </w:r>
      <w:r>
        <w:rPr>
          <w:rFonts w:cs="宋体"/>
          <w:spacing w:val="-1"/>
          <w:szCs w:val="24"/>
        </w:rPr>
        <w:t>:</w:t>
      </w:r>
      <w:r>
        <w:rPr>
          <w:rFonts w:cs="宋体"/>
          <w:szCs w:val="24"/>
          <w:u w:val="single"/>
        </w:rPr>
        <w:tab/>
      </w:r>
    </w:p>
    <w:p>
      <w:pPr>
        <w:tabs>
          <w:tab w:val="left" w:pos="4881"/>
        </w:tabs>
        <w:spacing w:before="33" w:line="360" w:lineRule="auto"/>
        <w:ind w:left="102" w:right="4125"/>
        <w:rPr>
          <w:rFonts w:cs="宋体"/>
        </w:rPr>
      </w:pPr>
      <w:r>
        <w:rPr>
          <w:rFonts w:hint="eastAsia" w:cs="宋体"/>
          <w:spacing w:val="-1"/>
          <w:szCs w:val="24"/>
        </w:rPr>
        <w:t>日期</w:t>
      </w:r>
      <w:r>
        <w:rPr>
          <w:rFonts w:cs="宋体"/>
          <w:spacing w:val="-1"/>
          <w:szCs w:val="24"/>
        </w:rPr>
        <w:t>:</w:t>
      </w:r>
      <w:r>
        <w:rPr>
          <w:rFonts w:cs="宋体"/>
          <w:szCs w:val="24"/>
          <w:u w:val="single"/>
        </w:rPr>
        <w:tab/>
      </w:r>
    </w:p>
    <w:p>
      <w:pPr>
        <w:rPr>
          <w:rFonts w:ascii="宋体" w:cs="宋体"/>
          <w:b/>
          <w:szCs w:val="21"/>
        </w:rPr>
      </w:pPr>
    </w:p>
    <w:p>
      <w:pPr>
        <w:rPr>
          <w:rFonts w:ascii="宋体" w:cs="宋体"/>
          <w:b/>
          <w:szCs w:val="21"/>
        </w:rPr>
      </w:pPr>
    </w:p>
    <w:p>
      <w:pPr>
        <w:rPr>
          <w:rFonts w:ascii="宋体" w:cs="宋体"/>
          <w:b/>
          <w:szCs w:val="21"/>
        </w:rPr>
      </w:pPr>
    </w:p>
    <w:p>
      <w:pPr>
        <w:rPr>
          <w:rFonts w:ascii="宋体" w:cs="宋体"/>
          <w:b/>
          <w:szCs w:val="21"/>
        </w:rPr>
      </w:pPr>
    </w:p>
    <w:p>
      <w:pPr>
        <w:rPr>
          <w:rFonts w:ascii="宋体" w:cs="宋体"/>
          <w:b/>
          <w:szCs w:val="21"/>
        </w:rPr>
      </w:pPr>
    </w:p>
    <w:p>
      <w:pPr>
        <w:pStyle w:val="28"/>
        <w:jc w:val="both"/>
        <w:rPr>
          <w:rFonts w:ascii="宋体" w:hAnsi="宋体" w:cs="宋体"/>
          <w:sz w:val="24"/>
          <w:szCs w:val="24"/>
        </w:rPr>
      </w:pPr>
      <w:bookmarkStart w:id="48" w:name="_Toc448307978"/>
      <w:bookmarkEnd w:id="48"/>
    </w:p>
    <w:p>
      <w:pPr>
        <w:pStyle w:val="28"/>
        <w:jc w:val="both"/>
        <w:rPr>
          <w:rFonts w:ascii="宋体" w:hAnsi="宋体" w:cs="宋体"/>
          <w:sz w:val="24"/>
          <w:szCs w:val="24"/>
        </w:rPr>
      </w:pPr>
    </w:p>
    <w:p>
      <w:pPr>
        <w:pStyle w:val="28"/>
        <w:jc w:val="both"/>
        <w:rPr>
          <w:rFonts w:ascii="宋体" w:hAnsi="宋体" w:cs="宋体"/>
          <w:sz w:val="24"/>
          <w:szCs w:val="24"/>
        </w:rPr>
      </w:pPr>
    </w:p>
    <w:p>
      <w:pPr>
        <w:pStyle w:val="28"/>
        <w:jc w:val="both"/>
        <w:rPr>
          <w:rFonts w:ascii="宋体" w:hAnsi="宋体" w:cs="宋体"/>
          <w:sz w:val="24"/>
          <w:szCs w:val="24"/>
        </w:rPr>
      </w:pPr>
    </w:p>
    <w:p>
      <w:pPr>
        <w:pStyle w:val="28"/>
        <w:jc w:val="both"/>
        <w:rPr>
          <w:rFonts w:ascii="宋体" w:hAnsi="宋体" w:cs="宋体"/>
          <w:sz w:val="24"/>
          <w:szCs w:val="24"/>
        </w:rPr>
      </w:pPr>
    </w:p>
    <w:p>
      <w:pPr>
        <w:pStyle w:val="28"/>
        <w:jc w:val="both"/>
        <w:rPr>
          <w:rFonts w:ascii="宋体" w:hAnsi="宋体" w:cs="宋体"/>
          <w:sz w:val="24"/>
          <w:szCs w:val="24"/>
        </w:rPr>
      </w:pPr>
    </w:p>
    <w:p>
      <w:pPr>
        <w:pStyle w:val="28"/>
        <w:jc w:val="both"/>
        <w:rPr>
          <w:rFonts w:ascii="宋体" w:hAnsi="宋体" w:cs="宋体"/>
          <w:sz w:val="24"/>
          <w:szCs w:val="24"/>
        </w:rPr>
      </w:pPr>
    </w:p>
    <w:p>
      <w:pPr>
        <w:pStyle w:val="28"/>
        <w:jc w:val="both"/>
        <w:rPr>
          <w:rFonts w:ascii="宋体" w:hAnsi="宋体" w:cs="宋体"/>
          <w:sz w:val="24"/>
          <w:szCs w:val="24"/>
        </w:rPr>
      </w:pPr>
    </w:p>
    <w:p>
      <w:pPr>
        <w:pStyle w:val="28"/>
        <w:jc w:val="both"/>
        <w:rPr>
          <w:rFonts w:ascii="宋体" w:hAnsi="宋体" w:cs="宋体"/>
          <w:sz w:val="24"/>
          <w:szCs w:val="24"/>
        </w:rPr>
      </w:pPr>
    </w:p>
    <w:p>
      <w:pPr>
        <w:pStyle w:val="28"/>
        <w:jc w:val="both"/>
        <w:rPr>
          <w:rFonts w:ascii="宋体" w:hAnsi="宋体" w:cs="宋体"/>
          <w:sz w:val="24"/>
          <w:szCs w:val="24"/>
        </w:rPr>
      </w:pPr>
    </w:p>
    <w:p>
      <w:pPr>
        <w:pStyle w:val="28"/>
        <w:jc w:val="both"/>
        <w:rPr>
          <w:rFonts w:ascii="宋体" w:hAnsi="宋体" w:cs="宋体"/>
          <w:sz w:val="24"/>
          <w:szCs w:val="24"/>
        </w:rPr>
      </w:pPr>
    </w:p>
    <w:p>
      <w:pPr>
        <w:pStyle w:val="28"/>
        <w:jc w:val="both"/>
        <w:rPr>
          <w:rFonts w:ascii="宋体" w:hAnsi="宋体" w:cs="宋体"/>
          <w:sz w:val="24"/>
          <w:szCs w:val="24"/>
        </w:rPr>
      </w:pPr>
    </w:p>
    <w:p>
      <w:pPr>
        <w:pStyle w:val="28"/>
        <w:jc w:val="both"/>
        <w:rPr>
          <w:rFonts w:ascii="宋体" w:hAnsi="宋体" w:cs="宋体"/>
          <w:sz w:val="24"/>
          <w:szCs w:val="24"/>
        </w:rPr>
      </w:pPr>
    </w:p>
    <w:p>
      <w:pPr>
        <w:pStyle w:val="28"/>
        <w:jc w:val="both"/>
        <w:rPr>
          <w:rFonts w:ascii="宋体" w:hAnsi="宋体" w:cs="宋体"/>
          <w:sz w:val="24"/>
          <w:szCs w:val="24"/>
        </w:rPr>
      </w:pPr>
    </w:p>
    <w:p>
      <w:pPr>
        <w:pStyle w:val="28"/>
        <w:jc w:val="both"/>
        <w:rPr>
          <w:rFonts w:ascii="宋体" w:hAnsi="宋体" w:cs="宋体"/>
          <w:sz w:val="24"/>
          <w:szCs w:val="24"/>
        </w:rPr>
      </w:pPr>
    </w:p>
    <w:p>
      <w:pPr>
        <w:pStyle w:val="28"/>
        <w:jc w:val="both"/>
        <w:rPr>
          <w:rFonts w:ascii="宋体" w:cs="宋体"/>
          <w:sz w:val="24"/>
          <w:szCs w:val="24"/>
        </w:rPr>
      </w:pPr>
      <w:r>
        <w:rPr>
          <w:rFonts w:hint="eastAsia" w:ascii="宋体" w:hAnsi="宋体" w:cs="宋体"/>
          <w:sz w:val="24"/>
          <w:szCs w:val="24"/>
        </w:rPr>
        <w:t>格式9</w:t>
      </w:r>
    </w:p>
    <w:p>
      <w:pPr>
        <w:pStyle w:val="28"/>
        <w:jc w:val="center"/>
        <w:rPr>
          <w:rFonts w:ascii="宋体" w:hAnsi="宋体" w:cs="宋体"/>
          <w:sz w:val="36"/>
          <w:szCs w:val="36"/>
        </w:rPr>
      </w:pPr>
      <w:r>
        <w:rPr>
          <w:rFonts w:hint="eastAsia" w:ascii="宋体" w:hAnsi="宋体" w:cs="宋体"/>
          <w:sz w:val="36"/>
          <w:szCs w:val="36"/>
        </w:rPr>
        <w:t>供应商资格证明文件</w:t>
      </w:r>
    </w:p>
    <w:p>
      <w:pPr>
        <w:spacing w:line="360" w:lineRule="auto"/>
        <w:rPr>
          <w:rFonts w:cs="宋体"/>
          <w:szCs w:val="24"/>
        </w:rPr>
      </w:pPr>
    </w:p>
    <w:p>
      <w:pPr>
        <w:pStyle w:val="28"/>
        <w:jc w:val="both"/>
        <w:rPr>
          <w:rFonts w:ascii="宋体" w:cs="宋体"/>
          <w:sz w:val="24"/>
          <w:szCs w:val="24"/>
        </w:rPr>
      </w:pPr>
      <w:bookmarkStart w:id="49" w:name="_Toc431307805"/>
      <w:bookmarkEnd w:id="49"/>
      <w:bookmarkStart w:id="50" w:name="_Toc448307979"/>
      <w:bookmarkEnd w:id="50"/>
      <w:r>
        <w:br w:type="page"/>
      </w:r>
      <w:r>
        <w:rPr>
          <w:rFonts w:hint="eastAsia" w:ascii="宋体" w:hAnsi="宋体" w:cs="宋体"/>
          <w:sz w:val="24"/>
          <w:szCs w:val="24"/>
        </w:rPr>
        <w:t>格式10</w:t>
      </w:r>
    </w:p>
    <w:p>
      <w:pPr>
        <w:pStyle w:val="28"/>
        <w:jc w:val="center"/>
        <w:rPr>
          <w:rFonts w:ascii="宋体" w:cs="宋体"/>
          <w:sz w:val="36"/>
          <w:szCs w:val="36"/>
        </w:rPr>
      </w:pPr>
      <w:r>
        <w:rPr>
          <w:rFonts w:hint="eastAsia" w:ascii="宋体" w:hAnsi="宋体" w:cs="宋体"/>
          <w:sz w:val="36"/>
          <w:szCs w:val="36"/>
        </w:rPr>
        <w:t>供应商基本情况</w:t>
      </w:r>
    </w:p>
    <w:tbl>
      <w:tblPr>
        <w:tblStyle w:val="34"/>
        <w:tblW w:w="9459" w:type="dxa"/>
        <w:tblInd w:w="151" w:type="dxa"/>
        <w:tblLayout w:type="fixed"/>
        <w:tblCellMar>
          <w:top w:w="0" w:type="dxa"/>
          <w:left w:w="10" w:type="dxa"/>
          <w:bottom w:w="0" w:type="dxa"/>
          <w:right w:w="10" w:type="dxa"/>
        </w:tblCellMar>
      </w:tblPr>
      <w:tblGrid>
        <w:gridCol w:w="1331"/>
        <w:gridCol w:w="973"/>
        <w:gridCol w:w="930"/>
        <w:gridCol w:w="855"/>
        <w:gridCol w:w="351"/>
        <w:gridCol w:w="311"/>
        <w:gridCol w:w="1213"/>
        <w:gridCol w:w="355"/>
        <w:gridCol w:w="860"/>
        <w:gridCol w:w="2280"/>
      </w:tblGrid>
      <w:tr>
        <w:tblPrEx>
          <w:tblLayout w:type="fixed"/>
          <w:tblCellMar>
            <w:top w:w="0" w:type="dxa"/>
            <w:left w:w="10" w:type="dxa"/>
            <w:bottom w:w="0" w:type="dxa"/>
            <w:right w:w="10" w:type="dxa"/>
          </w:tblCellMar>
        </w:tblPrEx>
        <w:trPr>
          <w:trHeight w:val="561" w:hRule="atLeast"/>
        </w:trPr>
        <w:tc>
          <w:tcPr>
            <w:tcW w:w="13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单位名称</w:t>
            </w:r>
          </w:p>
        </w:tc>
        <w:tc>
          <w:tcPr>
            <w:tcW w:w="8128"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r>
      <w:tr>
        <w:tblPrEx>
          <w:tblLayout w:type="fixed"/>
          <w:tblCellMar>
            <w:top w:w="0" w:type="dxa"/>
            <w:left w:w="10" w:type="dxa"/>
            <w:bottom w:w="0" w:type="dxa"/>
            <w:right w:w="10" w:type="dxa"/>
          </w:tblCellMar>
        </w:tblPrEx>
        <w:trPr>
          <w:trHeight w:val="611" w:hRule="atLeast"/>
        </w:trPr>
        <w:tc>
          <w:tcPr>
            <w:tcW w:w="13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注册地址</w:t>
            </w:r>
          </w:p>
        </w:tc>
        <w:tc>
          <w:tcPr>
            <w:tcW w:w="3420"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c>
          <w:tcPr>
            <w:tcW w:w="12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邮政编码</w:t>
            </w:r>
          </w:p>
        </w:tc>
        <w:tc>
          <w:tcPr>
            <w:tcW w:w="3495"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r>
      <w:tr>
        <w:tblPrEx>
          <w:tblLayout w:type="fixed"/>
          <w:tblCellMar>
            <w:top w:w="0" w:type="dxa"/>
            <w:left w:w="10" w:type="dxa"/>
            <w:bottom w:w="0" w:type="dxa"/>
            <w:right w:w="10" w:type="dxa"/>
          </w:tblCellMar>
        </w:tblPrEx>
        <w:trPr>
          <w:cantSplit/>
          <w:trHeight w:val="605" w:hRule="atLeast"/>
        </w:trPr>
        <w:tc>
          <w:tcPr>
            <w:tcW w:w="1331"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联系方式</w:t>
            </w:r>
          </w:p>
        </w:tc>
        <w:tc>
          <w:tcPr>
            <w:tcW w:w="9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联系人</w:t>
            </w:r>
          </w:p>
        </w:tc>
        <w:tc>
          <w:tcPr>
            <w:tcW w:w="2447"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c>
          <w:tcPr>
            <w:tcW w:w="12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电话</w:t>
            </w:r>
          </w:p>
        </w:tc>
        <w:tc>
          <w:tcPr>
            <w:tcW w:w="3495"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r>
      <w:tr>
        <w:tblPrEx>
          <w:tblLayout w:type="fixed"/>
          <w:tblCellMar>
            <w:top w:w="0" w:type="dxa"/>
            <w:left w:w="10" w:type="dxa"/>
            <w:bottom w:w="0" w:type="dxa"/>
            <w:right w:w="10" w:type="dxa"/>
          </w:tblCellMar>
        </w:tblPrEx>
        <w:trPr>
          <w:cantSplit/>
          <w:trHeight w:val="613" w:hRule="atLeast"/>
        </w:trPr>
        <w:tc>
          <w:tcPr>
            <w:tcW w:w="1331"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9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传真</w:t>
            </w:r>
          </w:p>
        </w:tc>
        <w:tc>
          <w:tcPr>
            <w:tcW w:w="2447"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c>
          <w:tcPr>
            <w:tcW w:w="12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网址</w:t>
            </w:r>
          </w:p>
        </w:tc>
        <w:tc>
          <w:tcPr>
            <w:tcW w:w="3495"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r>
      <w:tr>
        <w:tblPrEx>
          <w:tblLayout w:type="fixed"/>
          <w:tblCellMar>
            <w:top w:w="0" w:type="dxa"/>
            <w:left w:w="10" w:type="dxa"/>
            <w:bottom w:w="0" w:type="dxa"/>
            <w:right w:w="10" w:type="dxa"/>
          </w:tblCellMar>
        </w:tblPrEx>
        <w:trPr>
          <w:trHeight w:val="614" w:hRule="atLeast"/>
        </w:trPr>
        <w:tc>
          <w:tcPr>
            <w:tcW w:w="13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组织结构</w:t>
            </w:r>
          </w:p>
        </w:tc>
        <w:tc>
          <w:tcPr>
            <w:tcW w:w="8128"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r>
      <w:tr>
        <w:tblPrEx>
          <w:tblLayout w:type="fixed"/>
          <w:tblCellMar>
            <w:top w:w="0" w:type="dxa"/>
            <w:left w:w="10" w:type="dxa"/>
            <w:bottom w:w="0" w:type="dxa"/>
            <w:right w:w="10" w:type="dxa"/>
          </w:tblCellMar>
        </w:tblPrEx>
        <w:trPr>
          <w:trHeight w:val="608" w:hRule="atLeast"/>
        </w:trPr>
        <w:tc>
          <w:tcPr>
            <w:tcW w:w="13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法定代表人</w:t>
            </w:r>
          </w:p>
        </w:tc>
        <w:tc>
          <w:tcPr>
            <w:tcW w:w="9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姓名</w:t>
            </w:r>
          </w:p>
        </w:tc>
        <w:tc>
          <w:tcPr>
            <w:tcW w:w="9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c>
          <w:tcPr>
            <w:tcW w:w="1206"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技术职称</w:t>
            </w:r>
          </w:p>
        </w:tc>
        <w:tc>
          <w:tcPr>
            <w:tcW w:w="1879"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c>
          <w:tcPr>
            <w:tcW w:w="8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电话</w:t>
            </w:r>
          </w:p>
        </w:tc>
        <w:tc>
          <w:tcPr>
            <w:tcW w:w="22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r>
      <w:tr>
        <w:tblPrEx>
          <w:tblLayout w:type="fixed"/>
          <w:tblCellMar>
            <w:top w:w="0" w:type="dxa"/>
            <w:left w:w="10" w:type="dxa"/>
            <w:bottom w:w="0" w:type="dxa"/>
            <w:right w:w="10" w:type="dxa"/>
          </w:tblCellMar>
        </w:tblPrEx>
        <w:trPr>
          <w:trHeight w:val="624" w:hRule="atLeast"/>
        </w:trPr>
        <w:tc>
          <w:tcPr>
            <w:tcW w:w="13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成立时间</w:t>
            </w:r>
          </w:p>
        </w:tc>
        <w:tc>
          <w:tcPr>
            <w:tcW w:w="190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c>
          <w:tcPr>
            <w:tcW w:w="6225" w:type="dxa"/>
            <w:gridSpan w:val="7"/>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120"/>
              <w:rPr>
                <w:rFonts w:ascii="宋体" w:cs="宋体"/>
                <w:szCs w:val="24"/>
              </w:rPr>
            </w:pPr>
            <w:r>
              <w:rPr>
                <w:rFonts w:hint="eastAsia" w:ascii="宋体" w:hAnsi="宋体" w:cs="宋体"/>
                <w:szCs w:val="24"/>
              </w:rPr>
              <w:t>员工总人数：</w:t>
            </w:r>
          </w:p>
        </w:tc>
      </w:tr>
      <w:tr>
        <w:tblPrEx>
          <w:tblLayout w:type="fixed"/>
          <w:tblCellMar>
            <w:top w:w="0" w:type="dxa"/>
            <w:left w:w="10" w:type="dxa"/>
            <w:bottom w:w="0" w:type="dxa"/>
            <w:right w:w="10" w:type="dxa"/>
          </w:tblCellMar>
        </w:tblPrEx>
        <w:trPr>
          <w:cantSplit/>
          <w:trHeight w:val="610" w:hRule="atLeast"/>
        </w:trPr>
        <w:tc>
          <w:tcPr>
            <w:tcW w:w="13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营业执照</w:t>
            </w:r>
          </w:p>
          <w:p>
            <w:pPr>
              <w:spacing w:line="440" w:lineRule="exact"/>
              <w:rPr>
                <w:rFonts w:ascii="宋体" w:cs="宋体"/>
                <w:szCs w:val="24"/>
              </w:rPr>
            </w:pPr>
            <w:r>
              <w:rPr>
                <w:rFonts w:hint="eastAsia" w:ascii="宋体" w:hAnsi="宋体" w:cs="宋体"/>
                <w:szCs w:val="24"/>
              </w:rPr>
              <w:t>注册号</w:t>
            </w:r>
          </w:p>
        </w:tc>
        <w:tc>
          <w:tcPr>
            <w:tcW w:w="190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c>
          <w:tcPr>
            <w:tcW w:w="855"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其中</w:t>
            </w:r>
          </w:p>
        </w:tc>
        <w:tc>
          <w:tcPr>
            <w:tcW w:w="2230"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高级职称人员</w:t>
            </w:r>
          </w:p>
        </w:tc>
        <w:tc>
          <w:tcPr>
            <w:tcW w:w="314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r>
      <w:tr>
        <w:tblPrEx>
          <w:tblLayout w:type="fixed"/>
          <w:tblCellMar>
            <w:top w:w="0" w:type="dxa"/>
            <w:left w:w="10" w:type="dxa"/>
            <w:bottom w:w="0" w:type="dxa"/>
            <w:right w:w="10" w:type="dxa"/>
          </w:tblCellMar>
        </w:tblPrEx>
        <w:trPr>
          <w:cantSplit/>
          <w:trHeight w:val="604" w:hRule="atLeast"/>
        </w:trPr>
        <w:tc>
          <w:tcPr>
            <w:tcW w:w="13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注册资金</w:t>
            </w:r>
          </w:p>
        </w:tc>
        <w:tc>
          <w:tcPr>
            <w:tcW w:w="190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c>
          <w:tcPr>
            <w:tcW w:w="855"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2230"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中级职称人员</w:t>
            </w:r>
          </w:p>
        </w:tc>
        <w:tc>
          <w:tcPr>
            <w:tcW w:w="314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r>
      <w:tr>
        <w:tblPrEx>
          <w:tblLayout w:type="fixed"/>
          <w:tblCellMar>
            <w:top w:w="0" w:type="dxa"/>
            <w:left w:w="10" w:type="dxa"/>
            <w:bottom w:w="0" w:type="dxa"/>
            <w:right w:w="10" w:type="dxa"/>
          </w:tblCellMar>
        </w:tblPrEx>
        <w:trPr>
          <w:cantSplit/>
          <w:trHeight w:val="626" w:hRule="atLeast"/>
        </w:trPr>
        <w:tc>
          <w:tcPr>
            <w:tcW w:w="13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开户银行</w:t>
            </w:r>
          </w:p>
        </w:tc>
        <w:tc>
          <w:tcPr>
            <w:tcW w:w="190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c>
          <w:tcPr>
            <w:tcW w:w="855"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2230"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初级职称人员</w:t>
            </w:r>
          </w:p>
        </w:tc>
        <w:tc>
          <w:tcPr>
            <w:tcW w:w="314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r>
      <w:tr>
        <w:tblPrEx>
          <w:tblLayout w:type="fixed"/>
          <w:tblCellMar>
            <w:top w:w="0" w:type="dxa"/>
            <w:left w:w="10" w:type="dxa"/>
            <w:bottom w:w="0" w:type="dxa"/>
            <w:right w:w="10" w:type="dxa"/>
          </w:tblCellMar>
        </w:tblPrEx>
        <w:trPr>
          <w:cantSplit/>
          <w:trHeight w:val="606" w:hRule="atLeast"/>
        </w:trPr>
        <w:tc>
          <w:tcPr>
            <w:tcW w:w="13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账号</w:t>
            </w:r>
          </w:p>
        </w:tc>
        <w:tc>
          <w:tcPr>
            <w:tcW w:w="190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c>
          <w:tcPr>
            <w:tcW w:w="855"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2230"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技工</w:t>
            </w:r>
          </w:p>
        </w:tc>
        <w:tc>
          <w:tcPr>
            <w:tcW w:w="314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r>
      <w:tr>
        <w:tblPrEx>
          <w:tblLayout w:type="fixed"/>
          <w:tblCellMar>
            <w:top w:w="0" w:type="dxa"/>
            <w:left w:w="10" w:type="dxa"/>
            <w:bottom w:w="0" w:type="dxa"/>
            <w:right w:w="10" w:type="dxa"/>
          </w:tblCellMar>
        </w:tblPrEx>
        <w:trPr>
          <w:trHeight w:val="1595" w:hRule="atLeast"/>
        </w:trPr>
        <w:tc>
          <w:tcPr>
            <w:tcW w:w="1331" w:type="dxa"/>
            <w:tcBorders>
              <w:top w:val="single" w:color="000000" w:sz="4" w:space="0"/>
              <w:left w:val="single" w:color="000000" w:sz="4" w:space="0"/>
              <w:bottom w:val="nil"/>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经营范围</w:t>
            </w:r>
          </w:p>
        </w:tc>
        <w:tc>
          <w:tcPr>
            <w:tcW w:w="8128" w:type="dxa"/>
            <w:gridSpan w:val="9"/>
            <w:tcBorders>
              <w:top w:val="single" w:color="000000" w:sz="4" w:space="0"/>
              <w:left w:val="single" w:color="000000" w:sz="4" w:space="0"/>
              <w:bottom w:val="nil"/>
              <w:right w:val="single" w:color="000000" w:sz="4" w:space="0"/>
            </w:tcBorders>
            <w:tcMar>
              <w:top w:w="0" w:type="dxa"/>
              <w:left w:w="108" w:type="dxa"/>
              <w:bottom w:w="0" w:type="dxa"/>
              <w:right w:w="108" w:type="dxa"/>
            </w:tcMar>
            <w:vAlign w:val="center"/>
          </w:tcPr>
          <w:p>
            <w:pPr>
              <w:rPr>
                <w:rFonts w:ascii="宋体" w:cs="宋体"/>
                <w:szCs w:val="24"/>
              </w:rPr>
            </w:pPr>
          </w:p>
          <w:p>
            <w:pPr>
              <w:rPr>
                <w:rFonts w:ascii="宋体" w:cs="宋体"/>
                <w:szCs w:val="24"/>
              </w:rPr>
            </w:pPr>
          </w:p>
          <w:p>
            <w:pPr>
              <w:rPr>
                <w:rFonts w:ascii="宋体" w:cs="宋体"/>
                <w:szCs w:val="24"/>
              </w:rPr>
            </w:pPr>
          </w:p>
          <w:p>
            <w:pPr>
              <w:rPr>
                <w:rFonts w:ascii="宋体" w:cs="宋体"/>
                <w:szCs w:val="24"/>
              </w:rPr>
            </w:pPr>
          </w:p>
          <w:p>
            <w:pPr>
              <w:rPr>
                <w:rFonts w:ascii="宋体" w:cs="宋体"/>
                <w:szCs w:val="24"/>
              </w:rPr>
            </w:pPr>
          </w:p>
        </w:tc>
      </w:tr>
      <w:tr>
        <w:tblPrEx>
          <w:tblLayout w:type="fixed"/>
          <w:tblCellMar>
            <w:top w:w="0" w:type="dxa"/>
            <w:left w:w="10" w:type="dxa"/>
            <w:bottom w:w="0" w:type="dxa"/>
            <w:right w:w="10" w:type="dxa"/>
          </w:tblCellMar>
        </w:tblPrEx>
        <w:trPr>
          <w:trHeight w:val="615" w:hRule="atLeast"/>
        </w:trPr>
        <w:tc>
          <w:tcPr>
            <w:tcW w:w="13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cs="宋体"/>
                <w:szCs w:val="24"/>
              </w:rPr>
            </w:pPr>
            <w:r>
              <w:rPr>
                <w:rFonts w:hint="eastAsia" w:ascii="宋体" w:hAnsi="宋体" w:cs="宋体"/>
                <w:szCs w:val="24"/>
              </w:rPr>
              <w:t>备注</w:t>
            </w:r>
          </w:p>
        </w:tc>
        <w:tc>
          <w:tcPr>
            <w:tcW w:w="8128"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cs="宋体"/>
                <w:szCs w:val="24"/>
              </w:rPr>
            </w:pPr>
          </w:p>
        </w:tc>
      </w:tr>
    </w:tbl>
    <w:p>
      <w:pPr>
        <w:spacing w:line="362" w:lineRule="auto"/>
        <w:rPr>
          <w:rFonts w:cs="宋体"/>
          <w:szCs w:val="24"/>
        </w:rPr>
      </w:pPr>
      <w:r>
        <w:rPr>
          <w:rFonts w:hint="eastAsia" w:cs="宋体"/>
          <w:szCs w:val="24"/>
        </w:rPr>
        <w:t>注：后附投标经营方营业执照、基本户开户证明、投标经营方管理机构人员资格证明、近期财务报表、银行资信证明等资格证明文件。</w:t>
      </w:r>
    </w:p>
    <w:p>
      <w:pPr>
        <w:tabs>
          <w:tab w:val="left" w:pos="4881"/>
        </w:tabs>
        <w:spacing w:before="33" w:line="360" w:lineRule="auto"/>
        <w:ind w:left="102" w:right="4125"/>
        <w:rPr>
          <w:rFonts w:cs="宋体"/>
          <w:spacing w:val="-1"/>
          <w:szCs w:val="24"/>
        </w:rPr>
      </w:pPr>
    </w:p>
    <w:p>
      <w:pPr>
        <w:tabs>
          <w:tab w:val="left" w:pos="4881"/>
        </w:tabs>
        <w:spacing w:before="33" w:line="360" w:lineRule="auto"/>
        <w:ind w:left="102" w:right="4125"/>
        <w:rPr>
          <w:rFonts w:cs="宋体"/>
          <w:szCs w:val="24"/>
          <w:u w:val="single"/>
        </w:rPr>
      </w:pPr>
      <w:r>
        <w:rPr>
          <w:rFonts w:hint="eastAsia" w:cs="宋体"/>
          <w:spacing w:val="-1"/>
          <w:szCs w:val="24"/>
        </w:rPr>
        <w:t>单位名称（盖章）</w:t>
      </w:r>
      <w:r>
        <w:rPr>
          <w:rFonts w:cs="宋体"/>
          <w:spacing w:val="-1"/>
          <w:szCs w:val="24"/>
        </w:rPr>
        <w:t>:</w:t>
      </w:r>
    </w:p>
    <w:p>
      <w:pPr>
        <w:tabs>
          <w:tab w:val="left" w:pos="4881"/>
        </w:tabs>
        <w:spacing w:before="33" w:line="360" w:lineRule="auto"/>
        <w:ind w:right="4125" w:firstLine="119"/>
        <w:rPr>
          <w:rFonts w:cs="宋体"/>
          <w:spacing w:val="25"/>
          <w:szCs w:val="24"/>
        </w:rPr>
      </w:pPr>
      <w:r>
        <w:rPr>
          <w:rFonts w:hint="eastAsia" w:cs="宋体"/>
          <w:spacing w:val="-1"/>
          <w:szCs w:val="24"/>
        </w:rPr>
        <w:t>法人代表或授权代表签字</w:t>
      </w:r>
      <w:r>
        <w:rPr>
          <w:rFonts w:cs="宋体"/>
          <w:spacing w:val="-1"/>
          <w:szCs w:val="24"/>
        </w:rPr>
        <w:t>:</w:t>
      </w:r>
      <w:r>
        <w:rPr>
          <w:rFonts w:cs="宋体"/>
          <w:szCs w:val="24"/>
          <w:u w:val="single"/>
        </w:rPr>
        <w:tab/>
      </w:r>
    </w:p>
    <w:p>
      <w:pPr>
        <w:tabs>
          <w:tab w:val="left" w:pos="4881"/>
        </w:tabs>
        <w:spacing w:before="33" w:line="360" w:lineRule="auto"/>
        <w:ind w:left="102" w:right="4125"/>
        <w:rPr>
          <w:rFonts w:cs="宋体"/>
        </w:rPr>
      </w:pPr>
      <w:r>
        <w:rPr>
          <w:rFonts w:hint="eastAsia" w:cs="宋体"/>
          <w:spacing w:val="-1"/>
          <w:szCs w:val="24"/>
        </w:rPr>
        <w:t>日期</w:t>
      </w:r>
      <w:r>
        <w:rPr>
          <w:rFonts w:cs="宋体"/>
          <w:spacing w:val="-1"/>
          <w:szCs w:val="24"/>
        </w:rPr>
        <w:t>:</w:t>
      </w:r>
      <w:r>
        <w:rPr>
          <w:rFonts w:cs="宋体"/>
          <w:szCs w:val="24"/>
          <w:u w:val="single"/>
        </w:rPr>
        <w:tab/>
      </w:r>
    </w:p>
    <w:p>
      <w:pPr>
        <w:pStyle w:val="28"/>
        <w:jc w:val="both"/>
        <w:rPr>
          <w:rFonts w:ascii="宋体" w:cs="宋体"/>
          <w:sz w:val="24"/>
          <w:szCs w:val="24"/>
        </w:rPr>
      </w:pPr>
      <w:bookmarkStart w:id="51" w:name="_Toc448307980"/>
      <w:bookmarkEnd w:id="51"/>
      <w:bookmarkStart w:id="52" w:name="_Toc431307806"/>
      <w:bookmarkEnd w:id="52"/>
      <w:r>
        <w:rPr>
          <w:rFonts w:hint="eastAsia" w:ascii="宋体" w:hAnsi="宋体" w:cs="宋体"/>
          <w:sz w:val="24"/>
          <w:szCs w:val="24"/>
        </w:rPr>
        <w:t>格式</w:t>
      </w:r>
      <w:r>
        <w:rPr>
          <w:rFonts w:ascii="宋体" w:hAnsi="宋体" w:cs="宋体"/>
          <w:sz w:val="24"/>
          <w:szCs w:val="24"/>
        </w:rPr>
        <w:t>1</w:t>
      </w:r>
      <w:r>
        <w:rPr>
          <w:rFonts w:hint="eastAsia" w:ascii="宋体" w:hAnsi="宋体" w:cs="宋体"/>
          <w:sz w:val="24"/>
          <w:szCs w:val="24"/>
        </w:rPr>
        <w:t>1</w:t>
      </w:r>
    </w:p>
    <w:p>
      <w:pPr>
        <w:pStyle w:val="16"/>
        <w:spacing w:line="360" w:lineRule="auto"/>
        <w:jc w:val="center"/>
        <w:rPr>
          <w:rFonts w:ascii="宋体" w:cs="宋体"/>
          <w:sz w:val="36"/>
          <w:szCs w:val="36"/>
        </w:rPr>
      </w:pPr>
      <w:bookmarkStart w:id="53" w:name="_Toc281845088"/>
      <w:bookmarkEnd w:id="53"/>
      <w:r>
        <w:rPr>
          <w:rFonts w:hint="eastAsia" w:ascii="宋体" w:hAnsi="宋体" w:cs="宋体"/>
          <w:sz w:val="36"/>
          <w:szCs w:val="36"/>
        </w:rPr>
        <w:t>近期完成的类似业绩情况表</w:t>
      </w:r>
    </w:p>
    <w:p>
      <w:pPr>
        <w:spacing w:line="360" w:lineRule="auto"/>
      </w:pPr>
    </w:p>
    <w:tbl>
      <w:tblPr>
        <w:tblStyle w:val="34"/>
        <w:tblW w:w="9330" w:type="dxa"/>
        <w:jc w:val="center"/>
        <w:tblInd w:w="0" w:type="dxa"/>
        <w:tblLayout w:type="fixed"/>
        <w:tblCellMar>
          <w:top w:w="0" w:type="dxa"/>
          <w:left w:w="10" w:type="dxa"/>
          <w:bottom w:w="0" w:type="dxa"/>
          <w:right w:w="10" w:type="dxa"/>
        </w:tblCellMar>
      </w:tblPr>
      <w:tblGrid>
        <w:gridCol w:w="787"/>
        <w:gridCol w:w="1415"/>
        <w:gridCol w:w="1873"/>
        <w:gridCol w:w="1638"/>
        <w:gridCol w:w="3617"/>
      </w:tblGrid>
      <w:tr>
        <w:tblPrEx>
          <w:tblLayout w:type="fixed"/>
          <w:tblCellMar>
            <w:top w:w="0" w:type="dxa"/>
            <w:left w:w="10" w:type="dxa"/>
            <w:bottom w:w="0" w:type="dxa"/>
            <w:right w:w="10" w:type="dxa"/>
          </w:tblCellMar>
        </w:tblPrEx>
        <w:trPr>
          <w:cantSplit/>
          <w:trHeight w:val="521" w:hRule="atLeast"/>
          <w:jc w:val="center"/>
        </w:trPr>
        <w:tc>
          <w:tcPr>
            <w:tcW w:w="7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r>
              <w:rPr>
                <w:rFonts w:hint="eastAsia" w:ascii="宋体" w:hAnsi="宋体"/>
                <w:szCs w:val="21"/>
              </w:rPr>
              <w:t>序号</w:t>
            </w:r>
          </w:p>
        </w:tc>
        <w:tc>
          <w:tcPr>
            <w:tcW w:w="14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r>
              <w:rPr>
                <w:rFonts w:hint="eastAsia" w:ascii="宋体" w:hAnsi="宋体"/>
                <w:szCs w:val="21"/>
              </w:rPr>
              <w:t>项目名称</w:t>
            </w:r>
          </w:p>
        </w:tc>
        <w:tc>
          <w:tcPr>
            <w:tcW w:w="18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r>
              <w:rPr>
                <w:rFonts w:hint="eastAsia" w:ascii="宋体" w:hAnsi="宋体"/>
                <w:szCs w:val="21"/>
              </w:rPr>
              <w:t>项目实施时间</w:t>
            </w:r>
          </w:p>
        </w:tc>
        <w:tc>
          <w:tcPr>
            <w:tcW w:w="16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ind w:right="-139" w:rightChars="-58"/>
              <w:rPr>
                <w:rFonts w:ascii="宋体"/>
                <w:szCs w:val="21"/>
              </w:rPr>
            </w:pPr>
            <w:r>
              <w:rPr>
                <w:rFonts w:hint="eastAsia" w:ascii="宋体" w:hAnsi="宋体"/>
                <w:szCs w:val="21"/>
              </w:rPr>
              <w:t>项目单位名称</w:t>
            </w:r>
          </w:p>
        </w:tc>
        <w:tc>
          <w:tcPr>
            <w:tcW w:w="36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r>
              <w:rPr>
                <w:rFonts w:hint="eastAsia" w:ascii="宋体" w:hAnsi="宋体"/>
                <w:szCs w:val="21"/>
              </w:rPr>
              <w:t>项目合同金额（单位：万元）</w:t>
            </w:r>
          </w:p>
        </w:tc>
      </w:tr>
      <w:tr>
        <w:tblPrEx>
          <w:tblLayout w:type="fixed"/>
          <w:tblCellMar>
            <w:top w:w="0" w:type="dxa"/>
            <w:left w:w="10" w:type="dxa"/>
            <w:bottom w:w="0" w:type="dxa"/>
            <w:right w:w="10" w:type="dxa"/>
          </w:tblCellMar>
        </w:tblPrEx>
        <w:trPr>
          <w:cantSplit/>
          <w:trHeight w:val="455" w:hRule="exact"/>
          <w:jc w:val="center"/>
        </w:trPr>
        <w:tc>
          <w:tcPr>
            <w:tcW w:w="7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4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6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36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cantSplit/>
          <w:trHeight w:val="455" w:hRule="exact"/>
          <w:jc w:val="center"/>
        </w:trPr>
        <w:tc>
          <w:tcPr>
            <w:tcW w:w="7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4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6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36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cantSplit/>
          <w:trHeight w:val="455" w:hRule="exact"/>
          <w:jc w:val="center"/>
        </w:trPr>
        <w:tc>
          <w:tcPr>
            <w:tcW w:w="7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4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6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36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cantSplit/>
          <w:trHeight w:val="455" w:hRule="exact"/>
          <w:jc w:val="center"/>
        </w:trPr>
        <w:tc>
          <w:tcPr>
            <w:tcW w:w="7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4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6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36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cantSplit/>
          <w:trHeight w:val="455" w:hRule="exact"/>
          <w:jc w:val="center"/>
        </w:trPr>
        <w:tc>
          <w:tcPr>
            <w:tcW w:w="7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4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6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36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cantSplit/>
          <w:trHeight w:val="455" w:hRule="exact"/>
          <w:jc w:val="center"/>
        </w:trPr>
        <w:tc>
          <w:tcPr>
            <w:tcW w:w="7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4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6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36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cantSplit/>
          <w:trHeight w:val="455" w:hRule="exact"/>
          <w:jc w:val="center"/>
        </w:trPr>
        <w:tc>
          <w:tcPr>
            <w:tcW w:w="7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4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6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36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cantSplit/>
          <w:trHeight w:val="465" w:hRule="exact"/>
          <w:jc w:val="center"/>
        </w:trPr>
        <w:tc>
          <w:tcPr>
            <w:tcW w:w="7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4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6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36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bl>
    <w:p>
      <w:pPr>
        <w:spacing w:line="360" w:lineRule="auto"/>
        <w:ind w:firstLine="480"/>
        <w:rPr>
          <w:rFonts w:ascii="宋体"/>
        </w:rPr>
      </w:pPr>
      <w:r>
        <w:rPr>
          <w:rFonts w:hint="eastAsia" w:ascii="宋体" w:hAnsi="宋体"/>
        </w:rPr>
        <w:t>注：提供</w:t>
      </w:r>
      <w:r>
        <w:rPr>
          <w:rFonts w:hint="eastAsia" w:ascii="宋体" w:hAnsi="宋体"/>
          <w:bCs/>
        </w:rPr>
        <w:t>近期具</w:t>
      </w:r>
      <w:r>
        <w:rPr>
          <w:rFonts w:hint="eastAsia" w:ascii="宋体" w:hAnsi="宋体"/>
        </w:rPr>
        <w:t>有类似项目实施经验。投标人应将合同复印件附后。</w:t>
      </w:r>
    </w:p>
    <w:p>
      <w:pPr>
        <w:tabs>
          <w:tab w:val="left" w:pos="4881"/>
        </w:tabs>
        <w:spacing w:before="33" w:line="360" w:lineRule="auto"/>
        <w:ind w:left="102" w:right="4125"/>
        <w:rPr>
          <w:rFonts w:cs="宋体"/>
          <w:spacing w:val="-1"/>
          <w:szCs w:val="24"/>
        </w:rPr>
      </w:pPr>
    </w:p>
    <w:p>
      <w:pPr>
        <w:tabs>
          <w:tab w:val="left" w:pos="4881"/>
        </w:tabs>
        <w:spacing w:before="33" w:line="360" w:lineRule="auto"/>
        <w:ind w:left="102" w:right="4125"/>
        <w:rPr>
          <w:rFonts w:cs="宋体"/>
          <w:szCs w:val="24"/>
          <w:u w:val="single"/>
        </w:rPr>
      </w:pPr>
      <w:r>
        <w:rPr>
          <w:rFonts w:hint="eastAsia" w:cs="宋体"/>
          <w:spacing w:val="-1"/>
          <w:szCs w:val="24"/>
        </w:rPr>
        <w:t>单位名称（盖章）</w:t>
      </w:r>
      <w:r>
        <w:rPr>
          <w:rFonts w:cs="宋体"/>
          <w:spacing w:val="-1"/>
          <w:szCs w:val="24"/>
        </w:rPr>
        <w:t>:</w:t>
      </w:r>
    </w:p>
    <w:p>
      <w:pPr>
        <w:tabs>
          <w:tab w:val="left" w:pos="4881"/>
        </w:tabs>
        <w:spacing w:before="33" w:line="360" w:lineRule="auto"/>
        <w:ind w:left="102" w:right="4125"/>
        <w:rPr>
          <w:rFonts w:cs="宋体"/>
          <w:spacing w:val="25"/>
          <w:szCs w:val="24"/>
        </w:rPr>
      </w:pPr>
      <w:r>
        <w:rPr>
          <w:rFonts w:hint="eastAsia" w:cs="宋体"/>
          <w:spacing w:val="-1"/>
          <w:szCs w:val="24"/>
        </w:rPr>
        <w:t>法人代表或授权代表签字</w:t>
      </w:r>
      <w:r>
        <w:rPr>
          <w:rFonts w:cs="宋体"/>
          <w:spacing w:val="-1"/>
          <w:szCs w:val="24"/>
        </w:rPr>
        <w:t>:</w:t>
      </w:r>
      <w:r>
        <w:rPr>
          <w:rFonts w:cs="宋体"/>
          <w:szCs w:val="24"/>
          <w:u w:val="single"/>
        </w:rPr>
        <w:tab/>
      </w:r>
    </w:p>
    <w:p>
      <w:pPr>
        <w:spacing w:line="360" w:lineRule="auto"/>
        <w:ind w:firstLine="117"/>
        <w:rPr>
          <w:rFonts w:ascii="宋体" w:cs="宋体"/>
          <w:b/>
          <w:sz w:val="28"/>
          <w:szCs w:val="28"/>
        </w:rPr>
      </w:pPr>
      <w:r>
        <w:rPr>
          <w:rFonts w:hint="eastAsia" w:ascii="宋体" w:hAnsi="宋体" w:cs="宋体"/>
          <w:spacing w:val="-1"/>
          <w:szCs w:val="24"/>
        </w:rPr>
        <w:t>日期</w:t>
      </w:r>
      <w:r>
        <w:rPr>
          <w:rFonts w:ascii="宋体" w:hAnsi="宋体" w:cs="宋体"/>
          <w:spacing w:val="-1"/>
          <w:szCs w:val="24"/>
        </w:rPr>
        <w:t>:</w:t>
      </w:r>
      <w:r>
        <w:rPr>
          <w:rFonts w:ascii="宋体" w:cs="宋体"/>
          <w:szCs w:val="24"/>
          <w:u w:val="single"/>
        </w:rPr>
        <w:tab/>
      </w:r>
    </w:p>
    <w:p>
      <w:pPr>
        <w:spacing w:line="360" w:lineRule="auto"/>
        <w:rPr>
          <w:rFonts w:ascii="宋体" w:cs="宋体"/>
          <w:b/>
          <w:szCs w:val="24"/>
        </w:rPr>
      </w:pPr>
      <w:r>
        <w:rPr>
          <w:rFonts w:hint="eastAsia" w:ascii="宋体" w:hAnsi="宋体" w:cs="宋体"/>
          <w:b/>
          <w:szCs w:val="24"/>
        </w:rPr>
        <w:t>附：合同复印件。</w:t>
      </w:r>
    </w:p>
    <w:p>
      <w:pPr>
        <w:spacing w:line="360" w:lineRule="auto"/>
        <w:rPr>
          <w:rFonts w:ascii="宋体" w:cs="宋体"/>
          <w:b/>
          <w:sz w:val="28"/>
          <w:szCs w:val="28"/>
        </w:rPr>
      </w:pPr>
    </w:p>
    <w:p>
      <w:pPr>
        <w:spacing w:line="362" w:lineRule="auto"/>
        <w:rPr>
          <w:rFonts w:cs="宋体"/>
          <w:b/>
          <w:sz w:val="32"/>
          <w:szCs w:val="32"/>
        </w:rPr>
      </w:pPr>
    </w:p>
    <w:p>
      <w:pPr>
        <w:spacing w:line="362" w:lineRule="auto"/>
        <w:rPr>
          <w:rFonts w:cs="宋体"/>
          <w:b/>
          <w:sz w:val="32"/>
          <w:szCs w:val="32"/>
        </w:rPr>
      </w:pPr>
    </w:p>
    <w:p>
      <w:pPr>
        <w:spacing w:line="362" w:lineRule="auto"/>
        <w:rPr>
          <w:rFonts w:cs="宋体"/>
          <w:b/>
          <w:sz w:val="32"/>
          <w:szCs w:val="32"/>
        </w:rPr>
      </w:pPr>
    </w:p>
    <w:p>
      <w:pPr>
        <w:spacing w:line="362" w:lineRule="auto"/>
        <w:rPr>
          <w:rFonts w:cs="宋体"/>
          <w:b/>
          <w:sz w:val="32"/>
          <w:szCs w:val="32"/>
        </w:rPr>
      </w:pPr>
    </w:p>
    <w:p>
      <w:pPr>
        <w:spacing w:line="362" w:lineRule="auto"/>
        <w:rPr>
          <w:rFonts w:ascii="宋体" w:cs="宋体"/>
          <w:szCs w:val="24"/>
        </w:rPr>
      </w:pPr>
      <w:r>
        <w:br w:type="page"/>
      </w:r>
      <w:bookmarkStart w:id="54" w:name="_Toc448307981"/>
      <w:bookmarkEnd w:id="54"/>
      <w:bookmarkStart w:id="55" w:name="_Toc431307807"/>
      <w:bookmarkEnd w:id="55"/>
      <w:r>
        <w:rPr>
          <w:rFonts w:hint="eastAsia" w:ascii="宋体" w:hAnsi="宋体" w:cs="宋体"/>
          <w:b/>
          <w:bCs/>
          <w:szCs w:val="24"/>
        </w:rPr>
        <w:t>格式12</w:t>
      </w:r>
    </w:p>
    <w:p>
      <w:pPr>
        <w:spacing w:line="360" w:lineRule="auto"/>
        <w:jc w:val="center"/>
        <w:rPr>
          <w:rFonts w:ascii="宋体"/>
          <w:b/>
          <w:sz w:val="32"/>
          <w:szCs w:val="32"/>
        </w:rPr>
      </w:pPr>
      <w:r>
        <w:rPr>
          <w:rFonts w:hint="eastAsia" w:ascii="宋体" w:hAnsi="宋体"/>
          <w:b/>
          <w:sz w:val="32"/>
          <w:szCs w:val="32"/>
        </w:rPr>
        <w:t>项目实施人员一览表</w:t>
      </w:r>
    </w:p>
    <w:tbl>
      <w:tblPr>
        <w:tblStyle w:val="34"/>
        <w:tblW w:w="9639" w:type="dxa"/>
        <w:tblInd w:w="98" w:type="dxa"/>
        <w:tblLayout w:type="fixed"/>
        <w:tblCellMar>
          <w:top w:w="0" w:type="dxa"/>
          <w:left w:w="10" w:type="dxa"/>
          <w:bottom w:w="0" w:type="dxa"/>
          <w:right w:w="10" w:type="dxa"/>
        </w:tblCellMar>
      </w:tblPr>
      <w:tblGrid>
        <w:gridCol w:w="1134"/>
        <w:gridCol w:w="993"/>
        <w:gridCol w:w="1701"/>
        <w:gridCol w:w="1559"/>
        <w:gridCol w:w="2410"/>
        <w:gridCol w:w="1842"/>
      </w:tblGrid>
      <w:tr>
        <w:tblPrEx>
          <w:tblLayout w:type="fixed"/>
          <w:tblCellMar>
            <w:top w:w="0" w:type="dxa"/>
            <w:left w:w="10" w:type="dxa"/>
            <w:bottom w:w="0" w:type="dxa"/>
            <w:right w:w="10" w:type="dxa"/>
          </w:tblCellMar>
        </w:tblPrEx>
        <w:trPr>
          <w:trHeight w:val="789"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r>
              <w:rPr>
                <w:rFonts w:hint="eastAsia" w:ascii="宋体" w:hAnsi="宋体"/>
                <w:szCs w:val="21"/>
              </w:rPr>
              <w:t>姓名</w:t>
            </w: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r>
              <w:rPr>
                <w:rFonts w:hint="eastAsia" w:ascii="宋体" w:hAnsi="宋体"/>
                <w:szCs w:val="21"/>
              </w:rPr>
              <w:t>职务</w:t>
            </w: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r>
              <w:rPr>
                <w:rFonts w:hint="eastAsia" w:ascii="宋体" w:hAnsi="宋体"/>
                <w:szCs w:val="21"/>
              </w:rPr>
              <w:t>专业技术资格</w:t>
            </w: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r>
              <w:rPr>
                <w:rFonts w:hint="eastAsia" w:ascii="宋体" w:hAnsi="宋体"/>
                <w:szCs w:val="21"/>
              </w:rPr>
              <w:t>证书编号</w:t>
            </w: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r>
              <w:rPr>
                <w:rFonts w:hint="eastAsia" w:ascii="宋体" w:hAnsi="宋体"/>
                <w:szCs w:val="21"/>
              </w:rPr>
              <w:t>参加工作时间</w:t>
            </w: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r>
              <w:rPr>
                <w:rFonts w:hint="eastAsia" w:ascii="宋体"/>
                <w:szCs w:val="21"/>
              </w:rPr>
              <w:t>备注</w:t>
            </w:r>
          </w:p>
        </w:tc>
      </w:tr>
      <w:tr>
        <w:tblPrEx>
          <w:tblLayout w:type="fixed"/>
          <w:tblCellMar>
            <w:top w:w="0" w:type="dxa"/>
            <w:left w:w="10" w:type="dxa"/>
            <w:bottom w:w="0" w:type="dxa"/>
            <w:right w:w="10"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bl>
    <w:p>
      <w:pPr>
        <w:spacing w:before="50" w:line="360" w:lineRule="auto"/>
        <w:rPr>
          <w:rFonts w:ascii="宋体"/>
          <w:szCs w:val="21"/>
        </w:rPr>
      </w:pPr>
      <w:r>
        <w:rPr>
          <w:rFonts w:hint="eastAsia" w:ascii="宋体" w:hAnsi="宋体"/>
          <w:szCs w:val="21"/>
        </w:rPr>
        <w:t>注：在填写时，可根据本表格式自行划表填写。附相关证书复印件。</w:t>
      </w:r>
    </w:p>
    <w:p>
      <w:pPr>
        <w:tabs>
          <w:tab w:val="left" w:pos="4881"/>
        </w:tabs>
        <w:spacing w:before="33" w:line="360" w:lineRule="auto"/>
        <w:ind w:left="102" w:right="4125"/>
        <w:rPr>
          <w:rFonts w:cs="宋体"/>
          <w:spacing w:val="-1"/>
          <w:szCs w:val="24"/>
        </w:rPr>
      </w:pPr>
    </w:p>
    <w:p>
      <w:pPr>
        <w:tabs>
          <w:tab w:val="left" w:pos="4881"/>
        </w:tabs>
        <w:spacing w:before="33" w:line="360" w:lineRule="auto"/>
        <w:ind w:left="102" w:right="4125"/>
        <w:rPr>
          <w:rFonts w:cs="宋体"/>
          <w:szCs w:val="24"/>
          <w:u w:val="single"/>
        </w:rPr>
      </w:pPr>
      <w:r>
        <w:rPr>
          <w:rFonts w:hint="eastAsia" w:cs="宋体"/>
          <w:spacing w:val="-1"/>
          <w:szCs w:val="24"/>
        </w:rPr>
        <w:t>单位名称（盖章）</w:t>
      </w:r>
      <w:r>
        <w:rPr>
          <w:rFonts w:cs="宋体"/>
          <w:spacing w:val="-1"/>
          <w:szCs w:val="24"/>
        </w:rPr>
        <w:t>:</w:t>
      </w:r>
    </w:p>
    <w:p>
      <w:pPr>
        <w:tabs>
          <w:tab w:val="left" w:pos="4881"/>
        </w:tabs>
        <w:spacing w:before="33" w:line="360" w:lineRule="auto"/>
        <w:ind w:left="102" w:right="4125"/>
        <w:rPr>
          <w:rFonts w:cs="宋体"/>
          <w:szCs w:val="24"/>
          <w:u w:val="single"/>
        </w:rPr>
      </w:pPr>
      <w:r>
        <w:rPr>
          <w:rFonts w:hint="eastAsia" w:cs="宋体"/>
          <w:spacing w:val="-1"/>
          <w:szCs w:val="24"/>
        </w:rPr>
        <w:t>法人代表或授权代表签字</w:t>
      </w:r>
      <w:r>
        <w:rPr>
          <w:rFonts w:cs="宋体"/>
          <w:spacing w:val="-1"/>
          <w:szCs w:val="24"/>
        </w:rPr>
        <w:t>:</w:t>
      </w:r>
      <w:r>
        <w:rPr>
          <w:rFonts w:cs="宋体"/>
          <w:szCs w:val="24"/>
          <w:u w:val="single"/>
        </w:rPr>
        <w:tab/>
      </w:r>
    </w:p>
    <w:p>
      <w:pPr>
        <w:tabs>
          <w:tab w:val="left" w:pos="4881"/>
        </w:tabs>
        <w:spacing w:before="33" w:line="360" w:lineRule="auto"/>
        <w:ind w:left="102" w:right="4125"/>
        <w:rPr>
          <w:rFonts w:ascii="宋体" w:cs="宋体"/>
          <w:b/>
          <w:sz w:val="28"/>
          <w:szCs w:val="28"/>
        </w:rPr>
      </w:pPr>
      <w:r>
        <w:rPr>
          <w:rFonts w:hint="eastAsia" w:ascii="宋体" w:hAnsi="宋体" w:cs="宋体"/>
          <w:spacing w:val="-1"/>
          <w:szCs w:val="24"/>
        </w:rPr>
        <w:t>日期</w:t>
      </w:r>
      <w:r>
        <w:rPr>
          <w:rFonts w:ascii="宋体" w:hAnsi="宋体" w:cs="宋体"/>
          <w:spacing w:val="-1"/>
          <w:szCs w:val="24"/>
        </w:rPr>
        <w:t>:</w:t>
      </w:r>
      <w:r>
        <w:rPr>
          <w:rFonts w:ascii="宋体" w:cs="宋体"/>
          <w:szCs w:val="24"/>
          <w:u w:val="single"/>
        </w:rPr>
        <w:tab/>
      </w:r>
    </w:p>
    <w:p>
      <w:pPr>
        <w:pStyle w:val="28"/>
        <w:jc w:val="both"/>
        <w:rPr>
          <w:rFonts w:ascii="宋体" w:cs="宋体"/>
          <w:szCs w:val="28"/>
        </w:rPr>
      </w:pPr>
    </w:p>
    <w:p>
      <w:pPr>
        <w:rPr>
          <w:rFonts w:ascii="宋体" w:cs="宋体"/>
          <w:szCs w:val="24"/>
        </w:rPr>
      </w:pPr>
      <w:r>
        <w:br w:type="page"/>
      </w:r>
      <w:r>
        <w:rPr>
          <w:rFonts w:hint="eastAsia" w:ascii="宋体" w:hAnsi="宋体" w:cs="宋体"/>
          <w:b/>
          <w:bCs/>
          <w:szCs w:val="24"/>
        </w:rPr>
        <w:t>格式</w:t>
      </w:r>
      <w:r>
        <w:rPr>
          <w:rFonts w:ascii="宋体" w:hAnsi="宋体" w:cs="宋体"/>
          <w:b/>
          <w:bCs/>
          <w:szCs w:val="24"/>
        </w:rPr>
        <w:t>1</w:t>
      </w:r>
      <w:bookmarkStart w:id="56" w:name="_Toc431307808"/>
      <w:bookmarkEnd w:id="56"/>
      <w:bookmarkStart w:id="57" w:name="_Toc448307990"/>
      <w:bookmarkEnd w:id="57"/>
      <w:r>
        <w:rPr>
          <w:rFonts w:hint="eastAsia" w:ascii="宋体" w:hAnsi="宋体" w:cs="宋体"/>
          <w:b/>
          <w:bCs/>
          <w:szCs w:val="24"/>
        </w:rPr>
        <w:t>3</w:t>
      </w:r>
    </w:p>
    <w:p>
      <w:pPr>
        <w:pStyle w:val="28"/>
        <w:jc w:val="center"/>
        <w:rPr>
          <w:rFonts w:ascii="宋体" w:cs="宋体"/>
          <w:sz w:val="32"/>
          <w:szCs w:val="32"/>
        </w:rPr>
      </w:pPr>
      <w:r>
        <w:rPr>
          <w:rFonts w:hint="eastAsia" w:ascii="宋体" w:hAnsi="宋体" w:cs="宋体"/>
          <w:sz w:val="32"/>
          <w:szCs w:val="32"/>
        </w:rPr>
        <w:t>无重大违法记录声明</w:t>
      </w:r>
    </w:p>
    <w:p>
      <w:pPr>
        <w:rPr>
          <w:rFonts w:ascii="宋体" w:cs="宋体"/>
        </w:rPr>
      </w:pPr>
    </w:p>
    <w:p>
      <w:pPr>
        <w:rPr>
          <w:rFonts w:ascii="宋体" w:cs="宋体"/>
        </w:rPr>
      </w:pPr>
    </w:p>
    <w:p>
      <w:pPr>
        <w:spacing w:before="120" w:beforeLines="50" w:after="12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120" w:beforeLines="50" w:after="120" w:afterLines="50" w:line="360" w:lineRule="auto"/>
        <w:ind w:firstLine="480" w:firstLineChars="200"/>
        <w:rPr>
          <w:rFonts w:cs="宋体" w:asciiTheme="minorEastAsia" w:hAnsiTheme="minorEastAsia"/>
          <w:szCs w:val="24"/>
          <w:lang w:val="zh-CN"/>
        </w:rPr>
      </w:pPr>
      <w:r>
        <w:rPr>
          <w:rFonts w:hint="eastAsia" w:cs="宋体" w:asciiTheme="minorEastAsia" w:hAnsiTheme="minorEastAsia"/>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20" w:beforeLines="50" w:after="120" w:afterLines="50" w:line="360" w:lineRule="auto"/>
        <w:rPr>
          <w:rFonts w:cs="宋体" w:asciiTheme="minorEastAsia" w:hAnsiTheme="minorEastAsia"/>
          <w:szCs w:val="24"/>
          <w:lang w:val="zh-CN"/>
        </w:rPr>
      </w:pPr>
      <w:r>
        <w:rPr>
          <w:rFonts w:hint="eastAsia" w:cs="宋体" w:asciiTheme="minorEastAsia" w:hAnsiTheme="minorEastAsia"/>
          <w:szCs w:val="24"/>
          <w:lang w:val="zh-CN"/>
        </w:rPr>
        <w:t>特此声明。</w:t>
      </w:r>
    </w:p>
    <w:p>
      <w:pPr>
        <w:spacing w:before="120" w:beforeLines="50" w:after="120" w:afterLines="50" w:line="360" w:lineRule="auto"/>
        <w:ind w:firstLine="480" w:firstLineChars="200"/>
        <w:rPr>
          <w:rFonts w:cs="宋体" w:asciiTheme="minorEastAsia" w:hAnsiTheme="minorEastAsia"/>
          <w:szCs w:val="24"/>
          <w:lang w:val="zh-CN"/>
        </w:rPr>
      </w:pPr>
      <w:r>
        <w:rPr>
          <w:rFonts w:hint="eastAsia" w:cs="宋体" w:asciiTheme="minorEastAsia" w:hAnsiTheme="minorEastAsia"/>
          <w:szCs w:val="24"/>
          <w:lang w:val="zh-CN"/>
        </w:rPr>
        <w:t>本公司对上述声明的真实性负责。如有虚假，将依法承担相应责任。</w:t>
      </w:r>
    </w:p>
    <w:p>
      <w:pPr>
        <w:spacing w:before="120" w:beforeLines="50" w:after="120" w:afterLines="50" w:line="360" w:lineRule="auto"/>
        <w:ind w:firstLine="566" w:firstLineChars="236"/>
        <w:rPr>
          <w:rFonts w:cs="宋体" w:asciiTheme="minorEastAsia" w:hAnsiTheme="minorEastAsia"/>
          <w:szCs w:val="24"/>
          <w:lang w:val="zh-CN"/>
        </w:rPr>
      </w:pPr>
    </w:p>
    <w:p>
      <w:pPr>
        <w:spacing w:before="120" w:beforeLines="50" w:after="120" w:afterLines="50" w:line="360" w:lineRule="auto"/>
        <w:ind w:right="420" w:firstLine="5486" w:firstLineChars="2286"/>
        <w:rPr>
          <w:rFonts w:cs="宋体" w:asciiTheme="minorEastAsia" w:hAnsiTheme="minorEastAsia"/>
          <w:szCs w:val="24"/>
          <w:lang w:val="zh-CN"/>
        </w:rPr>
      </w:pPr>
      <w:r>
        <w:rPr>
          <w:rFonts w:hint="eastAsia" w:cs="宋体" w:asciiTheme="minorEastAsia" w:hAnsiTheme="minorEastAsia"/>
          <w:szCs w:val="24"/>
          <w:lang w:val="zh-CN"/>
        </w:rPr>
        <w:t>单位名称（盖章）：</w:t>
      </w:r>
    </w:p>
    <w:p>
      <w:pPr>
        <w:spacing w:before="120" w:beforeLines="50" w:after="120" w:afterLines="50" w:line="360" w:lineRule="auto"/>
        <w:ind w:right="420" w:firstLine="5486" w:firstLineChars="2286"/>
        <w:rPr>
          <w:rFonts w:cs="宋体" w:asciiTheme="minorEastAsia" w:hAnsiTheme="minorEastAsia"/>
          <w:szCs w:val="24"/>
          <w:lang w:val="zh-CN"/>
        </w:rPr>
      </w:pPr>
      <w:r>
        <w:rPr>
          <w:rFonts w:hint="eastAsia" w:cs="宋体" w:asciiTheme="minorEastAsia" w:hAnsiTheme="minorEastAsia"/>
          <w:szCs w:val="24"/>
          <w:lang w:val="zh-CN"/>
        </w:rPr>
        <w:t>日    期：</w:t>
      </w:r>
    </w:p>
    <w:p>
      <w:pPr>
        <w:spacing w:line="480" w:lineRule="exact"/>
        <w:rPr>
          <w:rFonts w:ascii="宋体"/>
          <w:b/>
          <w:bCs/>
          <w:sz w:val="36"/>
          <w:szCs w:val="36"/>
        </w:rPr>
      </w:pPr>
    </w:p>
    <w:p>
      <w:pPr>
        <w:spacing w:line="480" w:lineRule="exact"/>
        <w:rPr>
          <w:rFonts w:ascii="宋体"/>
          <w:b/>
          <w:bCs/>
          <w:sz w:val="36"/>
          <w:szCs w:val="36"/>
        </w:rPr>
      </w:pPr>
    </w:p>
    <w:p>
      <w:pPr>
        <w:spacing w:line="480" w:lineRule="exact"/>
        <w:rPr>
          <w:rFonts w:ascii="宋体"/>
          <w:b/>
          <w:bCs/>
          <w:sz w:val="36"/>
          <w:szCs w:val="36"/>
        </w:rPr>
      </w:pPr>
    </w:p>
    <w:p>
      <w:pPr>
        <w:spacing w:line="480" w:lineRule="exact"/>
        <w:rPr>
          <w:rFonts w:ascii="宋体"/>
          <w:b/>
          <w:bCs/>
          <w:sz w:val="36"/>
          <w:szCs w:val="36"/>
        </w:rPr>
      </w:pPr>
    </w:p>
    <w:p>
      <w:pPr>
        <w:spacing w:line="480" w:lineRule="exact"/>
        <w:rPr>
          <w:rFonts w:ascii="宋体"/>
          <w:b/>
          <w:bCs/>
          <w:sz w:val="36"/>
          <w:szCs w:val="36"/>
        </w:rPr>
      </w:pPr>
    </w:p>
    <w:p>
      <w:pPr>
        <w:spacing w:line="480" w:lineRule="exact"/>
        <w:rPr>
          <w:rFonts w:ascii="宋体"/>
          <w:b/>
          <w:bCs/>
          <w:sz w:val="36"/>
          <w:szCs w:val="36"/>
        </w:rPr>
      </w:pPr>
    </w:p>
    <w:p>
      <w:pPr>
        <w:spacing w:line="480" w:lineRule="exact"/>
        <w:rPr>
          <w:rFonts w:ascii="宋体"/>
          <w:b/>
          <w:bCs/>
          <w:sz w:val="36"/>
          <w:szCs w:val="36"/>
        </w:rPr>
      </w:pPr>
    </w:p>
    <w:p>
      <w:pPr>
        <w:spacing w:line="480" w:lineRule="exact"/>
        <w:rPr>
          <w:rFonts w:ascii="宋体" w:cs="宋体"/>
          <w:szCs w:val="24"/>
        </w:rPr>
      </w:pPr>
      <w:r>
        <w:br w:type="page"/>
      </w:r>
      <w:r>
        <w:rPr>
          <w:rFonts w:hint="eastAsia" w:ascii="宋体" w:hAnsi="宋体" w:cs="宋体"/>
          <w:b/>
          <w:bCs/>
          <w:szCs w:val="24"/>
        </w:rPr>
        <w:t>格式</w:t>
      </w:r>
      <w:r>
        <w:rPr>
          <w:rFonts w:ascii="宋体" w:hAnsi="宋体" w:cs="宋体"/>
          <w:b/>
          <w:bCs/>
          <w:szCs w:val="24"/>
        </w:rPr>
        <w:t>1</w:t>
      </w:r>
      <w:r>
        <w:rPr>
          <w:rFonts w:hint="eastAsia" w:ascii="宋体" w:hAnsi="宋体" w:cs="宋体"/>
          <w:b/>
          <w:bCs/>
          <w:szCs w:val="24"/>
        </w:rPr>
        <w:t>4</w:t>
      </w:r>
    </w:p>
    <w:p>
      <w:pPr>
        <w:spacing w:line="480" w:lineRule="exact"/>
        <w:rPr>
          <w:rFonts w:ascii="宋体"/>
          <w:b/>
          <w:bCs/>
          <w:sz w:val="36"/>
          <w:szCs w:val="36"/>
        </w:rPr>
      </w:pPr>
    </w:p>
    <w:p>
      <w:pPr>
        <w:pStyle w:val="28"/>
        <w:jc w:val="center"/>
        <w:rPr>
          <w:rFonts w:ascii="宋体" w:hAnsi="宋体" w:cs="宋体"/>
          <w:sz w:val="32"/>
          <w:szCs w:val="32"/>
        </w:rPr>
      </w:pPr>
      <w:r>
        <w:rPr>
          <w:rFonts w:hint="eastAsia" w:ascii="宋体" w:hAnsi="宋体" w:cs="宋体"/>
          <w:sz w:val="32"/>
          <w:szCs w:val="32"/>
        </w:rPr>
        <w:t>财务报告或财务报表、缴纳税收和社会保障资金证明材料</w:t>
      </w:r>
    </w:p>
    <w:p>
      <w:pPr>
        <w:spacing w:before="60" w:line="320" w:lineRule="exact"/>
        <w:rPr>
          <w:rFonts w:ascii="宋体" w:cs="Arial"/>
          <w:b/>
          <w:szCs w:val="24"/>
        </w:rPr>
      </w:pPr>
    </w:p>
    <w:p>
      <w:pPr>
        <w:spacing w:before="60" w:line="320" w:lineRule="exact"/>
        <w:rPr>
          <w:rFonts w:ascii="宋体" w:cs="Arial"/>
          <w:b/>
          <w:szCs w:val="24"/>
        </w:rPr>
      </w:pPr>
    </w:p>
    <w:p>
      <w:pPr>
        <w:spacing w:before="60" w:line="320" w:lineRule="exact"/>
        <w:rPr>
          <w:rFonts w:ascii="宋体" w:cs="Arial"/>
          <w:b/>
          <w:szCs w:val="24"/>
        </w:rPr>
      </w:pPr>
    </w:p>
    <w:p>
      <w:pPr>
        <w:spacing w:before="60" w:line="320" w:lineRule="exact"/>
        <w:rPr>
          <w:rFonts w:ascii="宋体" w:cs="Arial"/>
          <w:b/>
          <w:szCs w:val="24"/>
        </w:rPr>
      </w:pPr>
    </w:p>
    <w:p>
      <w:pPr>
        <w:spacing w:line="480" w:lineRule="exact"/>
        <w:rPr>
          <w:b/>
          <w:szCs w:val="24"/>
        </w:rPr>
      </w:pPr>
      <w:r>
        <w:br w:type="page"/>
      </w:r>
    </w:p>
    <w:p>
      <w:pPr>
        <w:pStyle w:val="28"/>
        <w:jc w:val="both"/>
        <w:rPr>
          <w:rFonts w:ascii="宋体" w:cs="宋体"/>
          <w:sz w:val="24"/>
          <w:szCs w:val="24"/>
        </w:rPr>
      </w:pPr>
      <w:r>
        <w:rPr>
          <w:rFonts w:hint="eastAsia" w:ascii="宋体" w:hAnsi="宋体" w:cs="宋体"/>
          <w:sz w:val="24"/>
          <w:szCs w:val="24"/>
        </w:rPr>
        <w:t>格式</w:t>
      </w:r>
      <w:r>
        <w:rPr>
          <w:rFonts w:ascii="宋体" w:hAnsi="宋体" w:cs="宋体"/>
          <w:sz w:val="24"/>
          <w:szCs w:val="24"/>
        </w:rPr>
        <w:t>1</w:t>
      </w:r>
      <w:r>
        <w:rPr>
          <w:rFonts w:hint="eastAsia" w:ascii="宋体" w:hAnsi="宋体" w:cs="宋体"/>
          <w:sz w:val="24"/>
          <w:szCs w:val="24"/>
        </w:rPr>
        <w:t>5</w:t>
      </w:r>
    </w:p>
    <w:p>
      <w:pPr>
        <w:pStyle w:val="28"/>
        <w:jc w:val="center"/>
        <w:rPr>
          <w:rFonts w:ascii="宋体" w:cs="宋体"/>
          <w:sz w:val="36"/>
          <w:szCs w:val="36"/>
        </w:rPr>
      </w:pPr>
      <w:r>
        <w:rPr>
          <w:rFonts w:hint="eastAsia" w:ascii="宋体" w:hAnsi="宋体" w:cs="宋体"/>
          <w:sz w:val="36"/>
          <w:szCs w:val="36"/>
        </w:rPr>
        <w:t>具有履行合同所必需的设备和专业技术能力承诺书</w:t>
      </w:r>
    </w:p>
    <w:p>
      <w:pPr>
        <w:jc w:val="center"/>
      </w:pPr>
      <w:r>
        <w:rPr>
          <w:rFonts w:hint="eastAsia"/>
        </w:rPr>
        <w:t>内容</w:t>
      </w:r>
      <w:r>
        <w:rPr>
          <w:rFonts w:hint="eastAsia" w:ascii="宋体" w:hAnsi="宋体" w:cs="宋体"/>
          <w:szCs w:val="24"/>
        </w:rPr>
        <w:t>格式</w:t>
      </w:r>
      <w:r>
        <w:rPr>
          <w:rFonts w:hint="eastAsia"/>
        </w:rPr>
        <w:t>自定</w:t>
      </w:r>
    </w:p>
    <w:p>
      <w:pPr>
        <w:ind w:firstLine="480"/>
      </w:pPr>
    </w:p>
    <w:p>
      <w:pPr>
        <w:ind w:firstLine="480"/>
      </w:pPr>
    </w:p>
    <w:p>
      <w:pPr>
        <w:ind w:firstLine="480"/>
      </w:pPr>
    </w:p>
    <w:p>
      <w:pPr>
        <w:tabs>
          <w:tab w:val="left" w:pos="4881"/>
        </w:tabs>
        <w:spacing w:line="360" w:lineRule="auto"/>
        <w:ind w:right="4125" w:firstLine="476"/>
        <w:rPr>
          <w:rFonts w:cs="宋体"/>
          <w:szCs w:val="24"/>
          <w:u w:val="single"/>
        </w:rPr>
      </w:pPr>
      <w:r>
        <w:rPr>
          <w:rFonts w:hint="eastAsia" w:cs="宋体"/>
          <w:spacing w:val="-1"/>
          <w:szCs w:val="24"/>
        </w:rPr>
        <w:t>单位名称（盖章）</w:t>
      </w:r>
      <w:r>
        <w:rPr>
          <w:rFonts w:cs="宋体"/>
          <w:spacing w:val="-1"/>
          <w:szCs w:val="24"/>
        </w:rPr>
        <w:t>:</w:t>
      </w:r>
    </w:p>
    <w:p>
      <w:pPr>
        <w:tabs>
          <w:tab w:val="left" w:pos="4881"/>
        </w:tabs>
        <w:spacing w:line="360" w:lineRule="auto"/>
        <w:ind w:right="4125" w:firstLine="476"/>
        <w:rPr>
          <w:rFonts w:cs="宋体"/>
          <w:spacing w:val="25"/>
          <w:szCs w:val="24"/>
        </w:rPr>
      </w:pPr>
      <w:r>
        <w:rPr>
          <w:rFonts w:hint="eastAsia" w:cs="宋体"/>
          <w:spacing w:val="-1"/>
          <w:szCs w:val="24"/>
        </w:rPr>
        <w:t>法人代表或授权代表签字</w:t>
      </w:r>
      <w:r>
        <w:rPr>
          <w:rFonts w:cs="宋体"/>
          <w:spacing w:val="-1"/>
          <w:szCs w:val="24"/>
        </w:rPr>
        <w:t>:</w:t>
      </w:r>
      <w:r>
        <w:rPr>
          <w:rFonts w:cs="宋体"/>
          <w:szCs w:val="24"/>
          <w:u w:val="single"/>
        </w:rPr>
        <w:tab/>
      </w:r>
    </w:p>
    <w:p>
      <w:pPr>
        <w:tabs>
          <w:tab w:val="left" w:pos="4401"/>
        </w:tabs>
        <w:spacing w:line="360" w:lineRule="auto"/>
        <w:ind w:right="4125" w:firstLine="476"/>
        <w:rPr>
          <w:rFonts w:cs="宋体"/>
          <w:szCs w:val="24"/>
        </w:rPr>
      </w:pPr>
      <w:r>
        <w:rPr>
          <w:rFonts w:hint="eastAsia" w:cs="宋体"/>
          <w:spacing w:val="-1"/>
          <w:szCs w:val="24"/>
        </w:rPr>
        <w:t>日期</w:t>
      </w:r>
      <w:r>
        <w:rPr>
          <w:rFonts w:cs="宋体"/>
          <w:spacing w:val="-1"/>
          <w:szCs w:val="24"/>
        </w:rPr>
        <w:t>:</w:t>
      </w:r>
      <w:r>
        <w:rPr>
          <w:rFonts w:cs="宋体"/>
          <w:szCs w:val="24"/>
          <w:u w:val="single"/>
        </w:rPr>
        <w:tab/>
      </w:r>
    </w:p>
    <w:p>
      <w:pPr>
        <w:ind w:firstLine="480"/>
      </w:pPr>
    </w:p>
    <w:p>
      <w:pPr>
        <w:ind w:firstLine="480"/>
      </w:pPr>
    </w:p>
    <w:p>
      <w:pPr>
        <w:ind w:firstLine="480"/>
      </w:pPr>
    </w:p>
    <w:p>
      <w:pPr>
        <w:ind w:firstLine="480"/>
      </w:pPr>
    </w:p>
    <w:p>
      <w:pPr>
        <w:ind w:firstLine="480"/>
      </w:pPr>
      <w:r>
        <w:br w:type="page"/>
      </w:r>
    </w:p>
    <w:p>
      <w:pPr>
        <w:pStyle w:val="28"/>
        <w:jc w:val="both"/>
        <w:rPr>
          <w:rFonts w:ascii="宋体" w:cs="宋体"/>
          <w:sz w:val="24"/>
          <w:szCs w:val="24"/>
        </w:rPr>
      </w:pPr>
      <w:r>
        <w:rPr>
          <w:rFonts w:hint="eastAsia" w:ascii="宋体" w:hAnsi="宋体" w:cs="宋体"/>
          <w:sz w:val="24"/>
          <w:szCs w:val="24"/>
        </w:rPr>
        <w:t>格式</w:t>
      </w:r>
      <w:r>
        <w:rPr>
          <w:rFonts w:ascii="宋体" w:hAnsi="宋体" w:cs="宋体"/>
          <w:sz w:val="24"/>
          <w:szCs w:val="24"/>
        </w:rPr>
        <w:t>1</w:t>
      </w:r>
      <w:r>
        <w:rPr>
          <w:rFonts w:hint="eastAsia" w:ascii="宋体" w:hAnsi="宋体" w:cs="宋体"/>
          <w:sz w:val="24"/>
          <w:szCs w:val="24"/>
        </w:rPr>
        <w:t>6</w:t>
      </w:r>
    </w:p>
    <w:p>
      <w:pPr>
        <w:pStyle w:val="28"/>
        <w:jc w:val="center"/>
        <w:rPr>
          <w:rFonts w:ascii="宋体" w:cs="宋体"/>
          <w:sz w:val="36"/>
          <w:szCs w:val="36"/>
        </w:rPr>
      </w:pPr>
      <w:r>
        <w:rPr>
          <w:rFonts w:hint="eastAsia" w:ascii="宋体" w:hAnsi="宋体" w:cs="宋体"/>
          <w:sz w:val="36"/>
          <w:szCs w:val="36"/>
        </w:rPr>
        <w:t>供应商拟定的项目实施方案(技术方案)</w:t>
      </w:r>
    </w:p>
    <w:p>
      <w:pPr>
        <w:spacing w:line="362" w:lineRule="auto"/>
        <w:ind w:firstLine="460"/>
        <w:rPr>
          <w:rFonts w:cs="宋体"/>
        </w:rPr>
      </w:pPr>
    </w:p>
    <w:p>
      <w:pPr>
        <w:spacing w:line="360" w:lineRule="auto"/>
        <w:ind w:firstLine="480" w:firstLineChars="200"/>
        <w:rPr>
          <w:rFonts w:ascii="宋体" w:cs="宋体"/>
          <w:szCs w:val="24"/>
        </w:rPr>
      </w:pPr>
      <w:r>
        <w:rPr>
          <w:rFonts w:hint="eastAsia" w:ascii="宋体" w:hAnsi="宋体" w:cs="宋体"/>
          <w:szCs w:val="24"/>
        </w:rPr>
        <w:t>拟定的项目技术实施方案：内容格式供应商根据对采购文件的理解自行编制。要求方案完整详细，逻辑性强，具有真对性。</w:t>
      </w:r>
    </w:p>
    <w:p>
      <w:pPr>
        <w:spacing w:line="360" w:lineRule="auto"/>
        <w:rPr>
          <w:rFonts w:ascii="宋体" w:cs="宋体"/>
          <w:szCs w:val="24"/>
        </w:rPr>
      </w:pPr>
      <w:bookmarkStart w:id="58" w:name="_Toc448307982"/>
      <w:bookmarkEnd w:id="58"/>
      <w:r>
        <w:rPr>
          <w:rFonts w:hint="eastAsia" w:ascii="宋体" w:hAnsi="宋体" w:cs="宋体"/>
          <w:szCs w:val="24"/>
        </w:rPr>
        <w:t>。。。。。。。</w:t>
      </w:r>
    </w:p>
    <w:p>
      <w:pPr>
        <w:tabs>
          <w:tab w:val="left" w:pos="4881"/>
        </w:tabs>
        <w:spacing w:line="360" w:lineRule="auto"/>
        <w:ind w:right="4125"/>
        <w:rPr>
          <w:rFonts w:cs="宋体"/>
          <w:spacing w:val="-1"/>
          <w:szCs w:val="24"/>
        </w:rPr>
      </w:pPr>
    </w:p>
    <w:p>
      <w:pPr>
        <w:tabs>
          <w:tab w:val="left" w:pos="4881"/>
        </w:tabs>
        <w:spacing w:line="360" w:lineRule="auto"/>
        <w:ind w:right="4125" w:firstLine="476"/>
        <w:rPr>
          <w:rFonts w:cs="宋体"/>
          <w:szCs w:val="24"/>
          <w:u w:val="single"/>
        </w:rPr>
      </w:pPr>
      <w:r>
        <w:rPr>
          <w:rFonts w:hint="eastAsia" w:cs="宋体"/>
          <w:spacing w:val="-1"/>
          <w:szCs w:val="24"/>
        </w:rPr>
        <w:t>单位名称（盖章）</w:t>
      </w:r>
      <w:r>
        <w:rPr>
          <w:rFonts w:cs="宋体"/>
          <w:spacing w:val="-1"/>
          <w:szCs w:val="24"/>
        </w:rPr>
        <w:t>:</w:t>
      </w:r>
    </w:p>
    <w:p>
      <w:pPr>
        <w:tabs>
          <w:tab w:val="left" w:pos="4881"/>
        </w:tabs>
        <w:spacing w:line="360" w:lineRule="auto"/>
        <w:ind w:right="4125" w:firstLine="476"/>
        <w:rPr>
          <w:rFonts w:cs="宋体"/>
          <w:spacing w:val="25"/>
          <w:szCs w:val="24"/>
        </w:rPr>
      </w:pPr>
      <w:r>
        <w:rPr>
          <w:rFonts w:hint="eastAsia" w:cs="宋体"/>
          <w:spacing w:val="-1"/>
          <w:szCs w:val="24"/>
        </w:rPr>
        <w:t>法人代表或授权代表签字</w:t>
      </w:r>
      <w:r>
        <w:rPr>
          <w:rFonts w:cs="宋体"/>
          <w:spacing w:val="-1"/>
          <w:szCs w:val="24"/>
        </w:rPr>
        <w:t>:</w:t>
      </w:r>
      <w:r>
        <w:rPr>
          <w:rFonts w:cs="宋体"/>
          <w:szCs w:val="24"/>
          <w:u w:val="single"/>
        </w:rPr>
        <w:tab/>
      </w:r>
    </w:p>
    <w:p>
      <w:pPr>
        <w:tabs>
          <w:tab w:val="left" w:pos="4401"/>
        </w:tabs>
        <w:spacing w:line="360" w:lineRule="auto"/>
        <w:ind w:right="4125" w:firstLine="476"/>
        <w:rPr>
          <w:rFonts w:cs="宋体"/>
          <w:szCs w:val="24"/>
        </w:rPr>
      </w:pPr>
      <w:r>
        <w:rPr>
          <w:rFonts w:hint="eastAsia" w:cs="宋体"/>
          <w:spacing w:val="-1"/>
          <w:szCs w:val="24"/>
        </w:rPr>
        <w:t>日期</w:t>
      </w:r>
      <w:r>
        <w:rPr>
          <w:rFonts w:cs="宋体"/>
          <w:spacing w:val="-1"/>
          <w:szCs w:val="24"/>
        </w:rPr>
        <w:t>:</w:t>
      </w:r>
      <w:r>
        <w:rPr>
          <w:rFonts w:cs="宋体"/>
          <w:szCs w:val="24"/>
          <w:u w:val="single"/>
        </w:rPr>
        <w:tab/>
      </w:r>
    </w:p>
    <w:p>
      <w:pPr>
        <w:spacing w:before="60" w:line="320" w:lineRule="exact"/>
        <w:rPr>
          <w:rFonts w:ascii="宋体" w:cs="Arial"/>
          <w:b/>
          <w:szCs w:val="24"/>
        </w:rPr>
      </w:pPr>
    </w:p>
    <w:p>
      <w:pPr>
        <w:rPr>
          <w:rFonts w:ascii="宋体" w:cs="宋体"/>
          <w:szCs w:val="28"/>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r>
        <w:rPr>
          <w:rFonts w:hint="eastAsia" w:ascii="宋体" w:hAnsi="宋体"/>
          <w:b/>
          <w:szCs w:val="24"/>
        </w:rPr>
        <w:t>另附</w:t>
      </w:r>
      <w:r>
        <w:rPr>
          <w:rFonts w:ascii="宋体" w:hAnsi="宋体"/>
          <w:b/>
          <w:szCs w:val="24"/>
        </w:rPr>
        <w:t>1</w:t>
      </w:r>
    </w:p>
    <w:p>
      <w:pPr>
        <w:spacing w:line="480" w:lineRule="exact"/>
        <w:jc w:val="center"/>
        <w:rPr>
          <w:rFonts w:ascii="宋体"/>
          <w:b/>
          <w:bCs/>
          <w:sz w:val="36"/>
          <w:szCs w:val="36"/>
        </w:rPr>
      </w:pPr>
      <w:r>
        <w:rPr>
          <w:rFonts w:hint="eastAsia" w:ascii="宋体" w:hAnsi="宋体"/>
          <w:b/>
          <w:bCs/>
          <w:sz w:val="36"/>
          <w:szCs w:val="36"/>
        </w:rPr>
        <w:t>供应商证明文件原件明细表</w:t>
      </w:r>
    </w:p>
    <w:p>
      <w:pPr>
        <w:spacing w:line="480" w:lineRule="exact"/>
        <w:ind w:left="1200" w:hanging="1200"/>
      </w:pPr>
    </w:p>
    <w:tbl>
      <w:tblPr>
        <w:tblStyle w:val="34"/>
        <w:tblW w:w="9315" w:type="dxa"/>
        <w:tblInd w:w="106" w:type="dxa"/>
        <w:tblLayout w:type="fixed"/>
        <w:tblCellMar>
          <w:top w:w="0" w:type="dxa"/>
          <w:left w:w="10" w:type="dxa"/>
          <w:bottom w:w="0" w:type="dxa"/>
          <w:right w:w="10" w:type="dxa"/>
        </w:tblCellMar>
      </w:tblPr>
      <w:tblGrid>
        <w:gridCol w:w="710"/>
        <w:gridCol w:w="5500"/>
        <w:gridCol w:w="1517"/>
        <w:gridCol w:w="1588"/>
      </w:tblGrid>
      <w:tr>
        <w:tblPrEx>
          <w:tblLayout w:type="fixed"/>
          <w:tblCellMar>
            <w:top w:w="0" w:type="dxa"/>
            <w:left w:w="10" w:type="dxa"/>
            <w:bottom w:w="0" w:type="dxa"/>
            <w:right w:w="10" w:type="dxa"/>
          </w:tblCellMar>
        </w:tblPrEx>
        <w:trPr>
          <w:trHeight w:val="579" w:hRule="atLeast"/>
        </w:trPr>
        <w:tc>
          <w:tcPr>
            <w:tcW w:w="710" w:type="dxa"/>
            <w:tcBorders>
              <w:top w:val="double" w:color="000000" w:sz="4"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r>
              <w:rPr>
                <w:rFonts w:hint="eastAsia" w:ascii="宋体" w:hAnsi="宋体"/>
                <w:szCs w:val="24"/>
              </w:rPr>
              <w:t>序号</w:t>
            </w:r>
          </w:p>
        </w:tc>
        <w:tc>
          <w:tcPr>
            <w:tcW w:w="5500" w:type="dxa"/>
            <w:tcBorders>
              <w:top w:val="doub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r>
              <w:rPr>
                <w:rFonts w:hint="eastAsia" w:ascii="宋体" w:hAnsi="宋体"/>
                <w:szCs w:val="24"/>
              </w:rPr>
              <w:t>证明文件原件名称</w:t>
            </w:r>
          </w:p>
        </w:tc>
        <w:tc>
          <w:tcPr>
            <w:tcW w:w="1517" w:type="dxa"/>
            <w:tcBorders>
              <w:top w:val="doub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r>
              <w:rPr>
                <w:rFonts w:hint="eastAsia" w:ascii="宋体" w:hAnsi="宋体"/>
                <w:szCs w:val="24"/>
              </w:rPr>
              <w:t>份数</w:t>
            </w:r>
          </w:p>
        </w:tc>
        <w:tc>
          <w:tcPr>
            <w:tcW w:w="1588" w:type="dxa"/>
            <w:tcBorders>
              <w:top w:val="double" w:color="000000" w:sz="4"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rPr>
                <w:rFonts w:ascii="宋体"/>
                <w:szCs w:val="24"/>
              </w:rPr>
            </w:pPr>
            <w:r>
              <w:rPr>
                <w:rFonts w:hint="eastAsia" w:ascii="宋体" w:hAnsi="宋体"/>
                <w:szCs w:val="24"/>
              </w:rPr>
              <w:t>每份页数</w:t>
            </w:r>
          </w:p>
        </w:tc>
      </w:tr>
      <w:tr>
        <w:tblPrEx>
          <w:tblLayout w:type="fixed"/>
          <w:tblCellMar>
            <w:top w:w="0" w:type="dxa"/>
            <w:left w:w="10" w:type="dxa"/>
            <w:bottom w:w="0" w:type="dxa"/>
            <w:right w:w="10" w:type="dxa"/>
          </w:tblCellMar>
        </w:tblPrEx>
        <w:trPr>
          <w:trHeight w:val="579" w:hRule="atLeast"/>
        </w:trPr>
        <w:tc>
          <w:tcPr>
            <w:tcW w:w="71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r>
              <w:rPr>
                <w:rFonts w:ascii="宋体" w:hAnsi="宋体"/>
                <w:szCs w:val="24"/>
              </w:rPr>
              <w:t>1</w:t>
            </w:r>
          </w:p>
        </w:tc>
        <w:tc>
          <w:tcPr>
            <w:tcW w:w="55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1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8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rPr>
                <w:rFonts w:ascii="宋体"/>
                <w:szCs w:val="24"/>
              </w:rPr>
            </w:pPr>
          </w:p>
        </w:tc>
      </w:tr>
      <w:tr>
        <w:tblPrEx>
          <w:tblLayout w:type="fixed"/>
          <w:tblCellMar>
            <w:top w:w="0" w:type="dxa"/>
            <w:left w:w="10" w:type="dxa"/>
            <w:bottom w:w="0" w:type="dxa"/>
            <w:right w:w="10" w:type="dxa"/>
          </w:tblCellMar>
        </w:tblPrEx>
        <w:trPr>
          <w:trHeight w:val="579" w:hRule="atLeast"/>
        </w:trPr>
        <w:tc>
          <w:tcPr>
            <w:tcW w:w="71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r>
              <w:rPr>
                <w:rFonts w:ascii="宋体" w:hAnsi="宋体"/>
                <w:szCs w:val="24"/>
              </w:rPr>
              <w:t>2</w:t>
            </w:r>
          </w:p>
        </w:tc>
        <w:tc>
          <w:tcPr>
            <w:tcW w:w="55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1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8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rPr>
                <w:rFonts w:ascii="宋体"/>
                <w:szCs w:val="24"/>
              </w:rPr>
            </w:pPr>
          </w:p>
        </w:tc>
      </w:tr>
      <w:tr>
        <w:tblPrEx>
          <w:tblLayout w:type="fixed"/>
          <w:tblCellMar>
            <w:top w:w="0" w:type="dxa"/>
            <w:left w:w="10" w:type="dxa"/>
            <w:bottom w:w="0" w:type="dxa"/>
            <w:right w:w="10" w:type="dxa"/>
          </w:tblCellMar>
        </w:tblPrEx>
        <w:trPr>
          <w:trHeight w:val="579" w:hRule="atLeast"/>
        </w:trPr>
        <w:tc>
          <w:tcPr>
            <w:tcW w:w="71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r>
              <w:rPr>
                <w:rFonts w:ascii="宋体" w:hAnsi="宋体"/>
                <w:szCs w:val="24"/>
              </w:rPr>
              <w:t>3</w:t>
            </w:r>
          </w:p>
        </w:tc>
        <w:tc>
          <w:tcPr>
            <w:tcW w:w="55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1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8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rPr>
                <w:rFonts w:ascii="宋体"/>
                <w:szCs w:val="24"/>
              </w:rPr>
            </w:pPr>
          </w:p>
        </w:tc>
      </w:tr>
      <w:tr>
        <w:tblPrEx>
          <w:tblLayout w:type="fixed"/>
          <w:tblCellMar>
            <w:top w:w="0" w:type="dxa"/>
            <w:left w:w="10" w:type="dxa"/>
            <w:bottom w:w="0" w:type="dxa"/>
            <w:right w:w="10" w:type="dxa"/>
          </w:tblCellMar>
        </w:tblPrEx>
        <w:trPr>
          <w:trHeight w:val="579" w:hRule="atLeast"/>
        </w:trPr>
        <w:tc>
          <w:tcPr>
            <w:tcW w:w="71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r>
              <w:rPr>
                <w:rFonts w:ascii="宋体" w:hAnsi="宋体"/>
                <w:szCs w:val="24"/>
              </w:rPr>
              <w:t>4</w:t>
            </w:r>
          </w:p>
        </w:tc>
        <w:tc>
          <w:tcPr>
            <w:tcW w:w="55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1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8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rPr>
                <w:rFonts w:ascii="宋体"/>
                <w:szCs w:val="24"/>
              </w:rPr>
            </w:pPr>
          </w:p>
        </w:tc>
      </w:tr>
      <w:tr>
        <w:tblPrEx>
          <w:tblLayout w:type="fixed"/>
          <w:tblCellMar>
            <w:top w:w="0" w:type="dxa"/>
            <w:left w:w="10" w:type="dxa"/>
            <w:bottom w:w="0" w:type="dxa"/>
            <w:right w:w="10" w:type="dxa"/>
          </w:tblCellMar>
        </w:tblPrEx>
        <w:trPr>
          <w:trHeight w:val="579" w:hRule="atLeast"/>
        </w:trPr>
        <w:tc>
          <w:tcPr>
            <w:tcW w:w="71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r>
              <w:rPr>
                <w:rFonts w:ascii="宋体" w:hAnsi="宋体"/>
                <w:szCs w:val="24"/>
              </w:rPr>
              <w:t>5</w:t>
            </w:r>
          </w:p>
        </w:tc>
        <w:tc>
          <w:tcPr>
            <w:tcW w:w="55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1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8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rPr>
                <w:rFonts w:ascii="宋体"/>
                <w:szCs w:val="24"/>
              </w:rPr>
            </w:pPr>
          </w:p>
        </w:tc>
      </w:tr>
      <w:tr>
        <w:tblPrEx>
          <w:tblLayout w:type="fixed"/>
          <w:tblCellMar>
            <w:top w:w="0" w:type="dxa"/>
            <w:left w:w="10" w:type="dxa"/>
            <w:bottom w:w="0" w:type="dxa"/>
            <w:right w:w="10" w:type="dxa"/>
          </w:tblCellMar>
        </w:tblPrEx>
        <w:trPr>
          <w:trHeight w:val="579" w:hRule="atLeast"/>
        </w:trPr>
        <w:tc>
          <w:tcPr>
            <w:tcW w:w="71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r>
              <w:rPr>
                <w:rFonts w:ascii="宋体" w:hAnsi="宋体"/>
                <w:szCs w:val="24"/>
              </w:rPr>
              <w:t>6</w:t>
            </w:r>
          </w:p>
        </w:tc>
        <w:tc>
          <w:tcPr>
            <w:tcW w:w="55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1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8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rPr>
                <w:rFonts w:ascii="宋体"/>
                <w:szCs w:val="24"/>
              </w:rPr>
            </w:pPr>
          </w:p>
        </w:tc>
      </w:tr>
      <w:tr>
        <w:tblPrEx>
          <w:tblLayout w:type="fixed"/>
          <w:tblCellMar>
            <w:top w:w="0" w:type="dxa"/>
            <w:left w:w="10" w:type="dxa"/>
            <w:bottom w:w="0" w:type="dxa"/>
            <w:right w:w="10" w:type="dxa"/>
          </w:tblCellMar>
        </w:tblPrEx>
        <w:trPr>
          <w:trHeight w:val="579" w:hRule="atLeast"/>
        </w:trPr>
        <w:tc>
          <w:tcPr>
            <w:tcW w:w="71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r>
              <w:rPr>
                <w:rFonts w:ascii="宋体" w:hAnsi="宋体"/>
                <w:szCs w:val="24"/>
              </w:rPr>
              <w:t>7</w:t>
            </w:r>
          </w:p>
        </w:tc>
        <w:tc>
          <w:tcPr>
            <w:tcW w:w="55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1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8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rPr>
                <w:rFonts w:ascii="宋体"/>
                <w:szCs w:val="24"/>
              </w:rPr>
            </w:pPr>
          </w:p>
        </w:tc>
      </w:tr>
      <w:tr>
        <w:tblPrEx>
          <w:tblLayout w:type="fixed"/>
          <w:tblCellMar>
            <w:top w:w="0" w:type="dxa"/>
            <w:left w:w="10" w:type="dxa"/>
            <w:bottom w:w="0" w:type="dxa"/>
            <w:right w:w="10" w:type="dxa"/>
          </w:tblCellMar>
        </w:tblPrEx>
        <w:trPr>
          <w:trHeight w:val="579" w:hRule="atLeast"/>
        </w:trPr>
        <w:tc>
          <w:tcPr>
            <w:tcW w:w="71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r>
              <w:rPr>
                <w:rFonts w:ascii="宋体" w:hAnsi="宋体"/>
                <w:szCs w:val="24"/>
              </w:rPr>
              <w:t>8</w:t>
            </w:r>
          </w:p>
        </w:tc>
        <w:tc>
          <w:tcPr>
            <w:tcW w:w="55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1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8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rPr>
                <w:rFonts w:ascii="宋体"/>
                <w:szCs w:val="24"/>
              </w:rPr>
            </w:pPr>
          </w:p>
        </w:tc>
      </w:tr>
      <w:tr>
        <w:tblPrEx>
          <w:tblLayout w:type="fixed"/>
          <w:tblCellMar>
            <w:top w:w="0" w:type="dxa"/>
            <w:left w:w="10" w:type="dxa"/>
            <w:bottom w:w="0" w:type="dxa"/>
            <w:right w:w="10" w:type="dxa"/>
          </w:tblCellMar>
        </w:tblPrEx>
        <w:trPr>
          <w:trHeight w:val="579" w:hRule="atLeast"/>
        </w:trPr>
        <w:tc>
          <w:tcPr>
            <w:tcW w:w="71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r>
              <w:rPr>
                <w:rFonts w:ascii="宋体" w:hAnsi="宋体"/>
                <w:szCs w:val="24"/>
              </w:rPr>
              <w:t>9</w:t>
            </w:r>
          </w:p>
        </w:tc>
        <w:tc>
          <w:tcPr>
            <w:tcW w:w="55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1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8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rPr>
                <w:rFonts w:ascii="宋体"/>
                <w:szCs w:val="24"/>
              </w:rPr>
            </w:pPr>
          </w:p>
        </w:tc>
      </w:tr>
      <w:tr>
        <w:tblPrEx>
          <w:tblLayout w:type="fixed"/>
          <w:tblCellMar>
            <w:top w:w="0" w:type="dxa"/>
            <w:left w:w="10" w:type="dxa"/>
            <w:bottom w:w="0" w:type="dxa"/>
            <w:right w:w="10" w:type="dxa"/>
          </w:tblCellMar>
        </w:tblPrEx>
        <w:trPr>
          <w:trHeight w:val="579" w:hRule="atLeast"/>
        </w:trPr>
        <w:tc>
          <w:tcPr>
            <w:tcW w:w="71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r>
              <w:rPr>
                <w:rFonts w:ascii="宋体" w:hAnsi="宋体"/>
                <w:szCs w:val="24"/>
              </w:rPr>
              <w:t>10</w:t>
            </w:r>
          </w:p>
        </w:tc>
        <w:tc>
          <w:tcPr>
            <w:tcW w:w="55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1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8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rPr>
                <w:rFonts w:ascii="宋体"/>
                <w:szCs w:val="24"/>
              </w:rPr>
            </w:pPr>
          </w:p>
        </w:tc>
      </w:tr>
      <w:tr>
        <w:tblPrEx>
          <w:tblLayout w:type="fixed"/>
          <w:tblCellMar>
            <w:top w:w="0" w:type="dxa"/>
            <w:left w:w="10" w:type="dxa"/>
            <w:bottom w:w="0" w:type="dxa"/>
            <w:right w:w="10" w:type="dxa"/>
          </w:tblCellMar>
        </w:tblPrEx>
        <w:trPr>
          <w:trHeight w:val="579" w:hRule="atLeast"/>
        </w:trPr>
        <w:tc>
          <w:tcPr>
            <w:tcW w:w="71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r>
              <w:rPr>
                <w:rFonts w:ascii="宋体" w:hAnsi="宋体"/>
                <w:szCs w:val="24"/>
              </w:rPr>
              <w:t>11</w:t>
            </w:r>
          </w:p>
        </w:tc>
        <w:tc>
          <w:tcPr>
            <w:tcW w:w="55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1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8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rPr>
                <w:rFonts w:ascii="宋体"/>
                <w:szCs w:val="24"/>
              </w:rPr>
            </w:pPr>
          </w:p>
        </w:tc>
      </w:tr>
      <w:tr>
        <w:tblPrEx>
          <w:tblLayout w:type="fixed"/>
          <w:tblCellMar>
            <w:top w:w="0" w:type="dxa"/>
            <w:left w:w="10" w:type="dxa"/>
            <w:bottom w:w="0" w:type="dxa"/>
            <w:right w:w="10" w:type="dxa"/>
          </w:tblCellMar>
        </w:tblPrEx>
        <w:trPr>
          <w:trHeight w:val="579" w:hRule="atLeast"/>
        </w:trPr>
        <w:tc>
          <w:tcPr>
            <w:tcW w:w="710" w:type="dxa"/>
            <w:tcBorders>
              <w:top w:val="single" w:color="000000" w:sz="6" w:space="0"/>
              <w:left w:val="double" w:color="000000" w:sz="4" w:space="0"/>
              <w:bottom w:val="double" w:color="000000" w:sz="4" w:space="0"/>
              <w:right w:val="single" w:color="000000" w:sz="6" w:space="0"/>
            </w:tcBorders>
            <w:tcMar>
              <w:top w:w="0" w:type="dxa"/>
              <w:left w:w="108" w:type="dxa"/>
              <w:bottom w:w="0" w:type="dxa"/>
              <w:right w:w="108" w:type="dxa"/>
            </w:tcMar>
            <w:vAlign w:val="center"/>
          </w:tcPr>
          <w:p>
            <w:pPr>
              <w:rPr>
                <w:rFonts w:ascii="宋体"/>
                <w:szCs w:val="24"/>
              </w:rPr>
            </w:pPr>
            <w:r>
              <w:rPr>
                <w:rFonts w:hint="eastAsia" w:ascii="宋体" w:hAnsi="宋体"/>
                <w:szCs w:val="24"/>
              </w:rPr>
              <w:t>…</w:t>
            </w:r>
          </w:p>
        </w:tc>
        <w:tc>
          <w:tcPr>
            <w:tcW w:w="5500" w:type="dxa"/>
            <w:tcBorders>
              <w:top w:val="single" w:color="000000" w:sz="6" w:space="0"/>
              <w:left w:val="single" w:color="000000" w:sz="6" w:space="0"/>
              <w:bottom w:val="double" w:color="000000" w:sz="4" w:space="0"/>
              <w:right w:val="single" w:color="000000" w:sz="6" w:space="0"/>
            </w:tcBorders>
            <w:tcMar>
              <w:top w:w="0" w:type="dxa"/>
              <w:left w:w="108" w:type="dxa"/>
              <w:bottom w:w="0" w:type="dxa"/>
              <w:right w:w="108" w:type="dxa"/>
            </w:tcMar>
            <w:vAlign w:val="center"/>
          </w:tcPr>
          <w:p>
            <w:pPr>
              <w:rPr>
                <w:rFonts w:ascii="宋体"/>
                <w:szCs w:val="24"/>
              </w:rPr>
            </w:pPr>
          </w:p>
        </w:tc>
        <w:tc>
          <w:tcPr>
            <w:tcW w:w="1517" w:type="dxa"/>
            <w:tcBorders>
              <w:top w:val="single" w:color="000000" w:sz="6" w:space="0"/>
              <w:left w:val="single" w:color="000000" w:sz="6" w:space="0"/>
              <w:bottom w:val="double" w:color="000000" w:sz="4" w:space="0"/>
              <w:right w:val="single" w:color="000000" w:sz="6" w:space="0"/>
            </w:tcBorders>
            <w:tcMar>
              <w:top w:w="0" w:type="dxa"/>
              <w:left w:w="108" w:type="dxa"/>
              <w:bottom w:w="0" w:type="dxa"/>
              <w:right w:w="108" w:type="dxa"/>
            </w:tcMar>
            <w:vAlign w:val="center"/>
          </w:tcPr>
          <w:p>
            <w:pPr>
              <w:rPr>
                <w:rFonts w:ascii="宋体"/>
                <w:szCs w:val="24"/>
              </w:rPr>
            </w:pPr>
          </w:p>
        </w:tc>
        <w:tc>
          <w:tcPr>
            <w:tcW w:w="1588" w:type="dxa"/>
            <w:tcBorders>
              <w:top w:val="single" w:color="000000" w:sz="6" w:space="0"/>
              <w:left w:val="single" w:color="000000" w:sz="6" w:space="0"/>
              <w:bottom w:val="double" w:color="000000" w:sz="4" w:space="0"/>
              <w:right w:val="double" w:color="000000" w:sz="4" w:space="0"/>
            </w:tcBorders>
            <w:tcMar>
              <w:top w:w="0" w:type="dxa"/>
              <w:left w:w="108" w:type="dxa"/>
              <w:bottom w:w="0" w:type="dxa"/>
              <w:right w:w="108" w:type="dxa"/>
            </w:tcMar>
            <w:vAlign w:val="center"/>
          </w:tcPr>
          <w:p>
            <w:pPr>
              <w:rPr>
                <w:rFonts w:ascii="宋体"/>
                <w:szCs w:val="24"/>
              </w:rPr>
            </w:pPr>
          </w:p>
        </w:tc>
      </w:tr>
    </w:tbl>
    <w:p>
      <w:pPr>
        <w:spacing w:line="320" w:lineRule="exact"/>
        <w:rPr>
          <w:rFonts w:ascii="宋体" w:cs="Arial"/>
          <w:szCs w:val="24"/>
        </w:rPr>
      </w:pPr>
    </w:p>
    <w:p>
      <w:pPr>
        <w:spacing w:line="320" w:lineRule="exact"/>
        <w:rPr>
          <w:rFonts w:ascii="宋体" w:cs="Arial"/>
          <w:szCs w:val="24"/>
        </w:rPr>
      </w:pPr>
    </w:p>
    <w:p>
      <w:pPr>
        <w:spacing w:line="320" w:lineRule="exact"/>
        <w:ind w:firstLine="600"/>
        <w:rPr>
          <w:rFonts w:ascii="宋体" w:cs="Arial"/>
          <w:szCs w:val="24"/>
          <w:u w:val="single"/>
        </w:rPr>
      </w:pPr>
      <w:r>
        <w:rPr>
          <w:rFonts w:hint="eastAsia" w:ascii="宋体" w:hAnsi="宋体" w:cs="Arial"/>
          <w:szCs w:val="24"/>
        </w:rPr>
        <w:t>单位名称（并加盖公章）：</w:t>
      </w:r>
    </w:p>
    <w:p>
      <w:pPr>
        <w:pStyle w:val="54"/>
        <w:spacing w:line="320" w:lineRule="exact"/>
        <w:ind w:firstLine="660"/>
        <w:jc w:val="both"/>
        <w:rPr>
          <w:rFonts w:ascii="Arial" w:hAnsi="Arial" w:cs="Arial"/>
        </w:rPr>
      </w:pPr>
      <w:r>
        <w:rPr>
          <w:rFonts w:hint="eastAsia"/>
        </w:rPr>
        <w:t>签署日期：年月日</w:t>
      </w:r>
    </w:p>
    <w:p>
      <w:pPr>
        <w:spacing w:line="480" w:lineRule="exact"/>
        <w:ind w:firstLine="472"/>
        <w:rPr>
          <w:rFonts w:ascii="宋体"/>
          <w:b/>
          <w:szCs w:val="24"/>
        </w:rPr>
      </w:pPr>
      <w:r>
        <w:rPr>
          <w:rFonts w:hint="eastAsia"/>
          <w:b/>
          <w:szCs w:val="24"/>
        </w:rPr>
        <w:t>使用说明：请将此表仅粘贴于证明文件原件包装外。</w:t>
      </w:r>
      <w:r>
        <w:br w:type="page"/>
      </w:r>
      <w:r>
        <w:rPr>
          <w:rFonts w:hint="eastAsia" w:ascii="宋体" w:hAnsi="宋体"/>
          <w:b/>
          <w:szCs w:val="24"/>
        </w:rPr>
        <w:t>另附</w:t>
      </w:r>
      <w:r>
        <w:rPr>
          <w:rFonts w:ascii="宋体" w:hAnsi="宋体"/>
          <w:b/>
          <w:szCs w:val="24"/>
        </w:rPr>
        <w:t>2</w:t>
      </w:r>
    </w:p>
    <w:p>
      <w:pPr>
        <w:spacing w:line="480" w:lineRule="exact"/>
        <w:jc w:val="center"/>
        <w:rPr>
          <w:rFonts w:ascii="宋体" w:hAnsi="宋体"/>
          <w:b/>
          <w:bCs/>
          <w:sz w:val="36"/>
          <w:szCs w:val="36"/>
        </w:rPr>
      </w:pPr>
      <w:r>
        <w:rPr>
          <w:rFonts w:hint="eastAsia" w:ascii="宋体" w:hAnsi="宋体"/>
          <w:b/>
          <w:bCs/>
          <w:sz w:val="36"/>
          <w:szCs w:val="36"/>
        </w:rPr>
        <w:t>供应商最后报价表</w:t>
      </w:r>
    </w:p>
    <w:p>
      <w:pPr>
        <w:pStyle w:val="2"/>
        <w:ind w:firstLine="240"/>
        <w:jc w:val="right"/>
      </w:pPr>
      <w:r>
        <w:rPr>
          <w:rFonts w:cs="Arial"/>
          <w:color w:val="000000"/>
          <w:szCs w:val="24"/>
        </w:rPr>
        <w:t>单</w:t>
      </w:r>
      <w:r>
        <w:rPr>
          <w:rFonts w:hint="eastAsia" w:cs="Arial"/>
          <w:color w:val="000000"/>
          <w:szCs w:val="24"/>
        </w:rPr>
        <w:t>位：元（人民</w:t>
      </w:r>
      <w:r>
        <w:rPr>
          <w:rFonts w:cs="Arial"/>
          <w:color w:val="000000"/>
          <w:szCs w:val="24"/>
        </w:rPr>
        <w:t>币</w:t>
      </w:r>
      <w:r>
        <w:rPr>
          <w:rFonts w:hint="eastAsia" w:cs="Arial"/>
          <w:color w:val="000000"/>
          <w:szCs w:val="24"/>
        </w:rPr>
        <w:t>）</w:t>
      </w:r>
    </w:p>
    <w:tbl>
      <w:tblPr>
        <w:tblStyle w:val="34"/>
        <w:tblpPr w:leftFromText="180" w:rightFromText="180" w:vertAnchor="text" w:horzAnchor="margin" w:tblpX="160" w:tblpY="149"/>
        <w:tblW w:w="92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520"/>
        <w:gridCol w:w="1575"/>
        <w:gridCol w:w="2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2518"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宋体" w:hAnsi="宋体"/>
                <w:bCs/>
                <w:color w:val="000000"/>
                <w:szCs w:val="24"/>
              </w:rPr>
            </w:pPr>
            <w:r>
              <w:rPr>
                <w:rFonts w:hint="eastAsia" w:ascii="宋体" w:hAnsi="宋体"/>
                <w:bCs/>
                <w:color w:val="000000"/>
                <w:szCs w:val="24"/>
              </w:rPr>
              <w:t>项目名称</w:t>
            </w:r>
          </w:p>
        </w:tc>
        <w:tc>
          <w:tcPr>
            <w:tcW w:w="2520" w:type="dxa"/>
            <w:tcBorders>
              <w:top w:val="single" w:color="auto" w:sz="4" w:space="0"/>
              <w:left w:val="single" w:color="auto" w:sz="4" w:space="0"/>
              <w:right w:val="single" w:color="auto" w:sz="4" w:space="0"/>
            </w:tcBorders>
            <w:vAlign w:val="center"/>
          </w:tcPr>
          <w:p>
            <w:pPr>
              <w:autoSpaceDE w:val="0"/>
              <w:autoSpaceDN w:val="0"/>
              <w:adjustRightInd w:val="0"/>
              <w:rPr>
                <w:rFonts w:ascii="宋体" w:hAnsi="宋体"/>
                <w:bCs/>
                <w:color w:val="000000"/>
                <w:szCs w:val="24"/>
              </w:rPr>
            </w:pPr>
          </w:p>
        </w:tc>
        <w:tc>
          <w:tcPr>
            <w:tcW w:w="1575" w:type="dxa"/>
            <w:tcBorders>
              <w:top w:val="single" w:color="auto" w:sz="4" w:space="0"/>
              <w:left w:val="single" w:color="auto" w:sz="4" w:space="0"/>
              <w:right w:val="single" w:color="auto" w:sz="4" w:space="0"/>
            </w:tcBorders>
            <w:vAlign w:val="center"/>
          </w:tcPr>
          <w:p>
            <w:pPr>
              <w:autoSpaceDE w:val="0"/>
              <w:autoSpaceDN w:val="0"/>
              <w:adjustRightInd w:val="0"/>
              <w:rPr>
                <w:rFonts w:ascii="宋体" w:hAnsi="宋体"/>
                <w:bCs/>
                <w:color w:val="000000"/>
                <w:szCs w:val="24"/>
              </w:rPr>
            </w:pPr>
            <w:r>
              <w:rPr>
                <w:rFonts w:hint="eastAsia" w:ascii="宋体" w:hAnsi="宋体"/>
                <w:bCs/>
                <w:color w:val="000000"/>
                <w:szCs w:val="24"/>
              </w:rPr>
              <w:t>项目编号</w:t>
            </w:r>
          </w:p>
        </w:tc>
        <w:tc>
          <w:tcPr>
            <w:tcW w:w="2657" w:type="dxa"/>
            <w:tcBorders>
              <w:top w:val="single" w:color="auto" w:sz="4" w:space="0"/>
              <w:left w:val="single" w:color="auto" w:sz="4" w:space="0"/>
              <w:right w:val="single" w:color="auto" w:sz="4" w:space="0"/>
            </w:tcBorders>
            <w:vAlign w:val="center"/>
          </w:tcPr>
          <w:p>
            <w:pPr>
              <w:autoSpaceDE w:val="0"/>
              <w:autoSpaceDN w:val="0"/>
              <w:adjustRightInd w:val="0"/>
              <w:rPr>
                <w:rFonts w:ascii="宋体" w:hAnsi="宋体"/>
                <w:bCs/>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7" w:hRule="atLeast"/>
        </w:trPr>
        <w:tc>
          <w:tcPr>
            <w:tcW w:w="2518" w:type="dxa"/>
            <w:tcBorders>
              <w:left w:val="single" w:color="auto" w:sz="4" w:space="0"/>
              <w:right w:val="single" w:color="auto" w:sz="4" w:space="0"/>
            </w:tcBorders>
            <w:vAlign w:val="center"/>
          </w:tcPr>
          <w:p>
            <w:pPr>
              <w:autoSpaceDE w:val="0"/>
              <w:autoSpaceDN w:val="0"/>
              <w:adjustRightInd w:val="0"/>
              <w:jc w:val="center"/>
              <w:rPr>
                <w:szCs w:val="24"/>
              </w:rPr>
            </w:pPr>
            <w:r>
              <w:rPr>
                <w:rFonts w:hint="eastAsia" w:ascii="宋体" w:hAnsi="宋体" w:cs="宋体"/>
                <w:b/>
                <w:szCs w:val="21"/>
              </w:rPr>
              <w:t>报价</w:t>
            </w:r>
          </w:p>
        </w:tc>
        <w:tc>
          <w:tcPr>
            <w:tcW w:w="6752" w:type="dxa"/>
            <w:gridSpan w:val="3"/>
            <w:tcBorders>
              <w:left w:val="single" w:color="auto" w:sz="4" w:space="0"/>
              <w:right w:val="single" w:color="auto" w:sz="4" w:space="0"/>
            </w:tcBorders>
            <w:vAlign w:val="center"/>
          </w:tcPr>
          <w:p>
            <w:pPr>
              <w:pStyle w:val="2"/>
              <w:ind w:firstLine="0"/>
              <w:rPr>
                <w:szCs w:val="21"/>
              </w:rPr>
            </w:pPr>
            <w:r>
              <w:rPr>
                <w:szCs w:val="21"/>
              </w:rPr>
              <w:t>大写：</w:t>
            </w:r>
            <w:r>
              <w:rPr>
                <w:szCs w:val="21"/>
                <w:u w:val="single"/>
              </w:rPr>
              <w:t xml:space="preserve">           </w:t>
            </w:r>
            <w:r>
              <w:rPr>
                <w:rFonts w:hint="eastAsia"/>
                <w:szCs w:val="21"/>
                <w:u w:val="single"/>
              </w:rPr>
              <w:t xml:space="preserve">            </w:t>
            </w:r>
            <w:r>
              <w:rPr>
                <w:szCs w:val="21"/>
                <w:u w:val="single"/>
              </w:rPr>
              <w:t xml:space="preserve">          </w:t>
            </w:r>
            <w:r>
              <w:rPr>
                <w:szCs w:val="21"/>
              </w:rPr>
              <w:t xml:space="preserve"> </w:t>
            </w:r>
          </w:p>
          <w:p>
            <w:pPr>
              <w:pStyle w:val="2"/>
              <w:ind w:firstLine="0"/>
              <w:rPr>
                <w:szCs w:val="21"/>
              </w:rPr>
            </w:pPr>
          </w:p>
          <w:p>
            <w:pPr>
              <w:pStyle w:val="2"/>
              <w:ind w:firstLine="0"/>
              <w:rPr>
                <w:szCs w:val="21"/>
              </w:rPr>
            </w:pPr>
            <w:r>
              <w:rPr>
                <w:szCs w:val="21"/>
              </w:rPr>
              <w:t>小写：</w:t>
            </w:r>
            <w:r>
              <w:rPr>
                <w:szCs w:val="21"/>
                <w:u w:val="single"/>
              </w:rPr>
              <w:t xml:space="preserve">  </w:t>
            </w:r>
            <w:r>
              <w:rPr>
                <w:rFonts w:hint="eastAsia"/>
                <w:szCs w:val="21"/>
                <w:u w:val="single"/>
              </w:rPr>
              <w:t xml:space="preserve">                        </w:t>
            </w:r>
            <w:r>
              <w:rPr>
                <w:szCs w:val="21"/>
                <w:u w:val="single"/>
              </w:rPr>
              <w:t xml:space="preserve">         </w:t>
            </w:r>
            <w:r>
              <w:rPr>
                <w:szCs w:val="24"/>
                <w:u w:val="single"/>
              </w:rPr>
              <w:t xml:space="preserve"> </w:t>
            </w:r>
            <w:r>
              <w:rPr>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9270" w:type="dxa"/>
            <w:gridSpan w:val="4"/>
            <w:tcBorders>
              <w:left w:val="single" w:color="auto" w:sz="4" w:space="0"/>
              <w:right w:val="single" w:color="auto" w:sz="4" w:space="0"/>
            </w:tcBorders>
            <w:vAlign w:val="center"/>
          </w:tcPr>
          <w:p>
            <w:pPr>
              <w:pStyle w:val="2"/>
              <w:ind w:firstLine="240"/>
              <w:rPr>
                <w:szCs w:val="24"/>
              </w:rPr>
            </w:pPr>
          </w:p>
          <w:p>
            <w:pPr>
              <w:pStyle w:val="2"/>
              <w:ind w:firstLine="240"/>
              <w:rPr>
                <w:szCs w:val="24"/>
              </w:rPr>
            </w:pPr>
            <w:r>
              <w:rPr>
                <w:rFonts w:hint="eastAsia"/>
                <w:szCs w:val="24"/>
              </w:rPr>
              <w:t>交货期：</w:t>
            </w:r>
          </w:p>
          <w:p>
            <w:pPr>
              <w:pStyle w:val="2"/>
              <w:ind w:firstLine="240"/>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trPr>
        <w:tc>
          <w:tcPr>
            <w:tcW w:w="9270" w:type="dxa"/>
            <w:gridSpan w:val="4"/>
            <w:tcBorders>
              <w:left w:val="single" w:color="auto" w:sz="4" w:space="0"/>
              <w:right w:val="single" w:color="auto" w:sz="4" w:space="0"/>
            </w:tcBorders>
            <w:vAlign w:val="center"/>
          </w:tcPr>
          <w:p>
            <w:pPr>
              <w:pStyle w:val="2"/>
              <w:ind w:firstLine="240"/>
              <w:rPr>
                <w:szCs w:val="24"/>
              </w:rPr>
            </w:pPr>
            <w:r>
              <w:rPr>
                <w:rFonts w:hint="eastAsia"/>
                <w:szCs w:val="24"/>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8" w:hRule="atLeast"/>
        </w:trPr>
        <w:tc>
          <w:tcPr>
            <w:tcW w:w="9270" w:type="dxa"/>
            <w:gridSpan w:val="4"/>
            <w:tcBorders>
              <w:left w:val="single" w:color="auto" w:sz="4" w:space="0"/>
              <w:right w:val="single" w:color="auto" w:sz="4" w:space="0"/>
            </w:tcBorders>
            <w:vAlign w:val="center"/>
          </w:tcPr>
          <w:p>
            <w:pPr>
              <w:pStyle w:val="2"/>
              <w:ind w:firstLine="240"/>
              <w:rPr>
                <w:szCs w:val="24"/>
              </w:rPr>
            </w:pPr>
            <w:r>
              <w:rPr>
                <w:rFonts w:hint="eastAsia"/>
                <w:szCs w:val="24"/>
              </w:rPr>
              <w:t>其它优惠补充：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trPr>
        <w:tc>
          <w:tcPr>
            <w:tcW w:w="9270" w:type="dxa"/>
            <w:gridSpan w:val="4"/>
            <w:tcBorders>
              <w:left w:val="single" w:color="auto" w:sz="4" w:space="0"/>
              <w:bottom w:val="single" w:color="auto" w:sz="4" w:space="0"/>
              <w:right w:val="single" w:color="auto" w:sz="4" w:space="0"/>
            </w:tcBorders>
            <w:vAlign w:val="center"/>
          </w:tcPr>
          <w:p>
            <w:pPr>
              <w:pStyle w:val="2"/>
              <w:ind w:firstLine="240"/>
              <w:rPr>
                <w:szCs w:val="24"/>
              </w:rPr>
            </w:pPr>
            <w:r>
              <w:rPr>
                <w:rFonts w:hint="eastAsia"/>
                <w:szCs w:val="24"/>
              </w:rPr>
              <w:t>报价供应商：</w:t>
            </w:r>
          </w:p>
          <w:p>
            <w:pPr>
              <w:pStyle w:val="2"/>
              <w:ind w:firstLine="240"/>
              <w:rPr>
                <w:szCs w:val="24"/>
              </w:rPr>
            </w:pPr>
          </w:p>
          <w:p>
            <w:pPr>
              <w:pStyle w:val="2"/>
              <w:ind w:firstLine="240"/>
              <w:rPr>
                <w:bCs/>
                <w:color w:val="000000"/>
                <w:szCs w:val="24"/>
              </w:rPr>
            </w:pPr>
            <w:r>
              <w:rPr>
                <w:rFonts w:hint="eastAsia"/>
                <w:bCs/>
                <w:color w:val="000000"/>
                <w:szCs w:val="24"/>
              </w:rPr>
              <w:t>被授权人或法人代表（签字）</w:t>
            </w:r>
          </w:p>
          <w:p>
            <w:pPr>
              <w:pStyle w:val="2"/>
              <w:ind w:firstLine="240"/>
              <w:rPr>
                <w:bCs/>
                <w:color w:val="000000"/>
                <w:szCs w:val="24"/>
              </w:rPr>
            </w:pPr>
            <w:r>
              <w:rPr>
                <w:rFonts w:hint="eastAsia"/>
                <w:bCs/>
                <w:color w:val="000000"/>
                <w:szCs w:val="24"/>
              </w:rPr>
              <w:t xml:space="preserve">                                                                                        时间：    年   月   日</w:t>
            </w:r>
          </w:p>
        </w:tc>
      </w:tr>
    </w:tbl>
    <w:p>
      <w:pPr>
        <w:pStyle w:val="14"/>
        <w:adjustRightInd w:val="0"/>
        <w:snapToGrid w:val="0"/>
        <w:spacing w:after="120" w:afterLines="50" w:line="320" w:lineRule="exact"/>
        <w:jc w:val="left"/>
        <w:rPr>
          <w:snapToGrid w:val="0"/>
          <w:kern w:val="0"/>
          <w:szCs w:val="24"/>
        </w:rPr>
      </w:pPr>
      <w:r>
        <w:rPr>
          <w:rFonts w:hint="eastAsia"/>
          <w:snapToGrid w:val="0"/>
          <w:kern w:val="0"/>
          <w:szCs w:val="24"/>
        </w:rPr>
        <w:t>注：</w:t>
      </w:r>
    </w:p>
    <w:p>
      <w:pPr>
        <w:pStyle w:val="14"/>
        <w:numPr>
          <w:ilvl w:val="0"/>
          <w:numId w:val="7"/>
        </w:numPr>
        <w:adjustRightInd w:val="0"/>
        <w:snapToGrid w:val="0"/>
        <w:spacing w:after="120" w:afterLines="50" w:line="320" w:lineRule="exact"/>
        <w:jc w:val="left"/>
        <w:rPr>
          <w:snapToGrid w:val="0"/>
          <w:kern w:val="0"/>
          <w:szCs w:val="24"/>
        </w:rPr>
      </w:pPr>
      <w:r>
        <w:rPr>
          <w:rFonts w:hint="eastAsia"/>
          <w:snapToGrid w:val="0"/>
          <w:kern w:val="0"/>
          <w:szCs w:val="24"/>
        </w:rPr>
        <w:t>本表格为供应商最后报价使用，供应商在参加谈判时自备本表格。</w:t>
      </w:r>
    </w:p>
    <w:p>
      <w:pPr>
        <w:pStyle w:val="14"/>
        <w:adjustRightInd w:val="0"/>
        <w:snapToGrid w:val="0"/>
        <w:spacing w:after="120" w:afterLines="50" w:line="320" w:lineRule="exact"/>
        <w:jc w:val="left"/>
        <w:rPr>
          <w:b/>
          <w:kern w:val="12"/>
          <w:szCs w:val="24"/>
        </w:rPr>
      </w:pPr>
      <w:r>
        <w:rPr>
          <w:rFonts w:hint="eastAsia"/>
          <w:snapToGrid w:val="0"/>
          <w:kern w:val="0"/>
          <w:szCs w:val="24"/>
        </w:rPr>
        <w:t>2.分</w:t>
      </w:r>
      <w:r>
        <w:rPr>
          <w:snapToGrid w:val="0"/>
          <w:kern w:val="0"/>
          <w:szCs w:val="24"/>
        </w:rPr>
        <w:t>项报价不需要再报</w:t>
      </w:r>
      <w:r>
        <w:rPr>
          <w:rFonts w:hint="eastAsia"/>
          <w:snapToGrid w:val="0"/>
          <w:kern w:val="0"/>
          <w:szCs w:val="24"/>
        </w:rPr>
        <w:t>,</w:t>
      </w:r>
      <w:r>
        <w:rPr>
          <w:snapToGrid w:val="0"/>
          <w:kern w:val="0"/>
          <w:szCs w:val="24"/>
        </w:rPr>
        <w:t>成交后按照初次</w:t>
      </w:r>
      <w:r>
        <w:rPr>
          <w:rFonts w:hint="eastAsia"/>
          <w:snapToGrid w:val="0"/>
          <w:kern w:val="0"/>
          <w:szCs w:val="24"/>
        </w:rPr>
        <w:t>总</w:t>
      </w:r>
      <w:r>
        <w:rPr>
          <w:snapToGrid w:val="0"/>
          <w:kern w:val="0"/>
          <w:szCs w:val="24"/>
        </w:rPr>
        <w:t>报价和</w:t>
      </w:r>
      <w:r>
        <w:rPr>
          <w:rFonts w:hint="eastAsia"/>
          <w:snapToGrid w:val="0"/>
          <w:kern w:val="0"/>
          <w:szCs w:val="24"/>
        </w:rPr>
        <w:t>成交总</w:t>
      </w:r>
      <w:r>
        <w:rPr>
          <w:snapToGrid w:val="0"/>
          <w:kern w:val="0"/>
          <w:szCs w:val="24"/>
        </w:rPr>
        <w:t>报价</w:t>
      </w:r>
      <w:r>
        <w:rPr>
          <w:rFonts w:hint="eastAsia"/>
          <w:snapToGrid w:val="0"/>
          <w:kern w:val="0"/>
          <w:szCs w:val="24"/>
        </w:rPr>
        <w:t>比例计算。</w:t>
      </w:r>
    </w:p>
    <w:p>
      <w:pPr>
        <w:pStyle w:val="14"/>
        <w:adjustRightInd w:val="0"/>
        <w:snapToGrid w:val="0"/>
        <w:spacing w:after="120" w:afterLines="50" w:line="320" w:lineRule="exact"/>
        <w:ind w:firstLine="0"/>
        <w:jc w:val="left"/>
        <w:rPr>
          <w:snapToGrid w:val="0"/>
          <w:kern w:val="0"/>
          <w:szCs w:val="24"/>
        </w:rPr>
      </w:pPr>
    </w:p>
    <w:p>
      <w:pPr>
        <w:pStyle w:val="14"/>
        <w:adjustRightInd w:val="0"/>
        <w:snapToGrid w:val="0"/>
        <w:spacing w:after="120" w:afterLines="50" w:line="320" w:lineRule="exact"/>
        <w:jc w:val="left"/>
        <w:rPr>
          <w:snapToGrid w:val="0"/>
          <w:kern w:val="0"/>
          <w:szCs w:val="24"/>
        </w:rPr>
      </w:pPr>
    </w:p>
    <w:p>
      <w:pPr>
        <w:spacing w:line="320" w:lineRule="exact"/>
        <w:rPr>
          <w:rFonts w:ascii="宋体" w:hAnsi="宋体"/>
          <w:szCs w:val="24"/>
        </w:rPr>
      </w:pPr>
    </w:p>
    <w:p>
      <w:pPr>
        <w:spacing w:line="320" w:lineRule="exact"/>
        <w:rPr>
          <w:rFonts w:ascii="宋体" w:hAnsi="宋体"/>
          <w:szCs w:val="24"/>
        </w:rPr>
      </w:pPr>
    </w:p>
    <w:p>
      <w:pPr>
        <w:spacing w:line="320" w:lineRule="exact"/>
        <w:rPr>
          <w:szCs w:val="24"/>
        </w:rPr>
      </w:pPr>
    </w:p>
    <w:sectPr>
      <w:footerReference r:id="rId3" w:type="default"/>
      <w:endnotePr>
        <w:numFmt w:val="decimal"/>
      </w:endnotePr>
      <w:pgSz w:w="11906" w:h="16838"/>
      <w:pgMar w:top="1440" w:right="1080" w:bottom="1440" w:left="1080" w:header="720"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fldChar w:fldCharType="begin"/>
    </w:r>
    <w:r>
      <w:instrText xml:space="preserve"> PAGE \* Arabic </w:instrText>
    </w:r>
    <w:r>
      <w:fldChar w:fldCharType="separate"/>
    </w:r>
    <w:r>
      <w:t>1</w:t>
    </w:r>
    <w:r>
      <w:fldChar w:fldCharType="end"/>
    </w: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9F598"/>
    <w:multiLevelType w:val="singleLevel"/>
    <w:tmpl w:val="26E9F598"/>
    <w:lvl w:ilvl="0" w:tentative="0">
      <w:start w:val="6"/>
      <w:numFmt w:val="chineseCounting"/>
      <w:suff w:val="space"/>
      <w:lvlText w:val="第%1章"/>
      <w:lvlJc w:val="left"/>
      <w:rPr>
        <w:rFonts w:hint="eastAsia"/>
      </w:rPr>
    </w:lvl>
  </w:abstractNum>
  <w:abstractNum w:abstractNumId="1">
    <w:nsid w:val="2B6634BE"/>
    <w:multiLevelType w:val="singleLevel"/>
    <w:tmpl w:val="2B6634BE"/>
    <w:lvl w:ilvl="0" w:tentative="0">
      <w:start w:val="1"/>
      <w:numFmt w:val="decimal"/>
      <w:suff w:val="nothing"/>
      <w:lvlText w:val="（%1）"/>
      <w:lvlJc w:val="left"/>
      <w:rPr>
        <w:rFonts w:cs="Times New Roman"/>
      </w:rPr>
    </w:lvl>
  </w:abstractNum>
  <w:abstractNum w:abstractNumId="2">
    <w:nsid w:val="36BB973D"/>
    <w:multiLevelType w:val="singleLevel"/>
    <w:tmpl w:val="36BB973D"/>
    <w:lvl w:ilvl="0" w:tentative="0">
      <w:start w:val="1"/>
      <w:numFmt w:val="decimal"/>
      <w:lvlText w:val="%1."/>
      <w:lvlJc w:val="left"/>
      <w:pPr>
        <w:tabs>
          <w:tab w:val="left" w:pos="312"/>
        </w:tabs>
      </w:pPr>
    </w:lvl>
  </w:abstractNum>
  <w:abstractNum w:abstractNumId="3">
    <w:nsid w:val="4F1654FD"/>
    <w:multiLevelType w:val="singleLevel"/>
    <w:tmpl w:val="4F1654FD"/>
    <w:lvl w:ilvl="0" w:tentative="0">
      <w:start w:val="6"/>
      <w:numFmt w:val="decimal"/>
      <w:suff w:val="nothing"/>
      <w:lvlText w:val="%1."/>
      <w:lvlJc w:val="left"/>
      <w:rPr>
        <w:rFonts w:cs="Times New Roman"/>
      </w:rPr>
    </w:lvl>
  </w:abstractNum>
  <w:abstractNum w:abstractNumId="4">
    <w:nsid w:val="59DB3F6B"/>
    <w:multiLevelType w:val="singleLevel"/>
    <w:tmpl w:val="59DB3F6B"/>
    <w:lvl w:ilvl="0" w:tentative="0">
      <w:start w:val="1"/>
      <w:numFmt w:val="decimal"/>
      <w:suff w:val="space"/>
      <w:lvlText w:val="%1."/>
      <w:lvlJc w:val="left"/>
    </w:lvl>
  </w:abstractNum>
  <w:abstractNum w:abstractNumId="5">
    <w:nsid w:val="6FD804D2"/>
    <w:multiLevelType w:val="multilevel"/>
    <w:tmpl w:val="6FD804D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1A776EA"/>
    <w:multiLevelType w:val="singleLevel"/>
    <w:tmpl w:val="71A776EA"/>
    <w:lvl w:ilvl="0" w:tentative="0">
      <w:start w:val="1"/>
      <w:numFmt w:val="decimal"/>
      <w:suff w:val="nothing"/>
      <w:lvlText w:val="（%1）"/>
      <w:lvlJc w:val="left"/>
      <w:rPr>
        <w:rFonts w:cs="Times New Roman"/>
      </w:rPr>
    </w:lvl>
  </w:abstractNum>
  <w:num w:numId="1">
    <w:abstractNumId w:val="0"/>
  </w:num>
  <w:num w:numId="2">
    <w:abstractNumId w:val="3"/>
  </w:num>
  <w:num w:numId="3">
    <w:abstractNumId w:val="6"/>
  </w:num>
  <w:num w:numId="4">
    <w:abstractNumId w:val="1"/>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20"/>
  <w:drawingGridVerticalSpacing w:val="163"/>
  <w:characterSpacingControl w:val="doNotCompress"/>
  <w:noLineBreaksAfter w:lang="zh-CN" w:val="$([{£¥·‘“〈《「『【〔〖〝﹙﹛﹝＄（．［｛￡￥"/>
  <w:noLineBreaksBefore w:lang="zh-CN" w:val="!%),.:;&gt;?]}¢¨°·ˇˉ―‖’”…‰′″›℃∶、。〃〉》」』】〕〗〞︶︺︾﹀﹄﹚﹜﹞！＂％＇），．：；？］｀｜｝～￠"/>
  <w:endnotePr>
    <w:numFmt w:val="decimal"/>
  </w:endnotePr>
  <w:compat>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DDD"/>
    <w:rsid w:val="00002A68"/>
    <w:rsid w:val="00005726"/>
    <w:rsid w:val="000333ED"/>
    <w:rsid w:val="00033FCE"/>
    <w:rsid w:val="00035921"/>
    <w:rsid w:val="00050DDD"/>
    <w:rsid w:val="00084C88"/>
    <w:rsid w:val="00092B78"/>
    <w:rsid w:val="00093037"/>
    <w:rsid w:val="00094CB8"/>
    <w:rsid w:val="000B5E4E"/>
    <w:rsid w:val="000D1833"/>
    <w:rsid w:val="000D1F58"/>
    <w:rsid w:val="000D3946"/>
    <w:rsid w:val="000E6806"/>
    <w:rsid w:val="001006B6"/>
    <w:rsid w:val="00117A7E"/>
    <w:rsid w:val="00143F7F"/>
    <w:rsid w:val="00156DD2"/>
    <w:rsid w:val="00171E12"/>
    <w:rsid w:val="00184864"/>
    <w:rsid w:val="001B7928"/>
    <w:rsid w:val="001C35FC"/>
    <w:rsid w:val="001C7DB3"/>
    <w:rsid w:val="001E1099"/>
    <w:rsid w:val="001E723A"/>
    <w:rsid w:val="001F4AFE"/>
    <w:rsid w:val="002115D1"/>
    <w:rsid w:val="0021797C"/>
    <w:rsid w:val="00233FF4"/>
    <w:rsid w:val="00234360"/>
    <w:rsid w:val="00245ABD"/>
    <w:rsid w:val="00250E60"/>
    <w:rsid w:val="002700B1"/>
    <w:rsid w:val="00283069"/>
    <w:rsid w:val="00284056"/>
    <w:rsid w:val="00291471"/>
    <w:rsid w:val="0029150D"/>
    <w:rsid w:val="0029249C"/>
    <w:rsid w:val="002C7FEA"/>
    <w:rsid w:val="002E128D"/>
    <w:rsid w:val="00300066"/>
    <w:rsid w:val="0031132A"/>
    <w:rsid w:val="00340C43"/>
    <w:rsid w:val="00344F85"/>
    <w:rsid w:val="00347E4C"/>
    <w:rsid w:val="0036171B"/>
    <w:rsid w:val="00361F86"/>
    <w:rsid w:val="00366E56"/>
    <w:rsid w:val="00375062"/>
    <w:rsid w:val="00376E86"/>
    <w:rsid w:val="003832BB"/>
    <w:rsid w:val="003841AC"/>
    <w:rsid w:val="0039145E"/>
    <w:rsid w:val="00393CE7"/>
    <w:rsid w:val="003A62C0"/>
    <w:rsid w:val="003B0A8A"/>
    <w:rsid w:val="003B4D4C"/>
    <w:rsid w:val="003B6B82"/>
    <w:rsid w:val="003B7538"/>
    <w:rsid w:val="003C18AE"/>
    <w:rsid w:val="003C304B"/>
    <w:rsid w:val="003D1FA0"/>
    <w:rsid w:val="003D40A8"/>
    <w:rsid w:val="00417678"/>
    <w:rsid w:val="00417845"/>
    <w:rsid w:val="00423421"/>
    <w:rsid w:val="00447D0C"/>
    <w:rsid w:val="00447DD3"/>
    <w:rsid w:val="004721AA"/>
    <w:rsid w:val="004D0095"/>
    <w:rsid w:val="004E1569"/>
    <w:rsid w:val="004E364D"/>
    <w:rsid w:val="004F3054"/>
    <w:rsid w:val="00552405"/>
    <w:rsid w:val="00561C0C"/>
    <w:rsid w:val="00562B8B"/>
    <w:rsid w:val="005968EE"/>
    <w:rsid w:val="005A22BC"/>
    <w:rsid w:val="005B2381"/>
    <w:rsid w:val="005B7792"/>
    <w:rsid w:val="005C7E50"/>
    <w:rsid w:val="005F149F"/>
    <w:rsid w:val="00611390"/>
    <w:rsid w:val="00613500"/>
    <w:rsid w:val="00624793"/>
    <w:rsid w:val="00641B82"/>
    <w:rsid w:val="00642283"/>
    <w:rsid w:val="0064277F"/>
    <w:rsid w:val="00657E86"/>
    <w:rsid w:val="00662267"/>
    <w:rsid w:val="0066727F"/>
    <w:rsid w:val="00674ACF"/>
    <w:rsid w:val="00682C41"/>
    <w:rsid w:val="00690D46"/>
    <w:rsid w:val="006B68F1"/>
    <w:rsid w:val="006C3912"/>
    <w:rsid w:val="006D13B9"/>
    <w:rsid w:val="006D7410"/>
    <w:rsid w:val="006E3E67"/>
    <w:rsid w:val="006E6735"/>
    <w:rsid w:val="006F2996"/>
    <w:rsid w:val="006F33AB"/>
    <w:rsid w:val="006F61E9"/>
    <w:rsid w:val="006F733B"/>
    <w:rsid w:val="00722E7F"/>
    <w:rsid w:val="0072689F"/>
    <w:rsid w:val="00740715"/>
    <w:rsid w:val="00750D53"/>
    <w:rsid w:val="007B27CD"/>
    <w:rsid w:val="007D1987"/>
    <w:rsid w:val="007D31BD"/>
    <w:rsid w:val="007D582C"/>
    <w:rsid w:val="00801253"/>
    <w:rsid w:val="00802215"/>
    <w:rsid w:val="00821345"/>
    <w:rsid w:val="008214C2"/>
    <w:rsid w:val="008415C6"/>
    <w:rsid w:val="00865B26"/>
    <w:rsid w:val="008663F2"/>
    <w:rsid w:val="008748BE"/>
    <w:rsid w:val="00881342"/>
    <w:rsid w:val="00881833"/>
    <w:rsid w:val="00895C48"/>
    <w:rsid w:val="008A470B"/>
    <w:rsid w:val="008B3853"/>
    <w:rsid w:val="008C0FD6"/>
    <w:rsid w:val="008D154F"/>
    <w:rsid w:val="008E5576"/>
    <w:rsid w:val="00912F23"/>
    <w:rsid w:val="00914AA7"/>
    <w:rsid w:val="00920D5F"/>
    <w:rsid w:val="0094553E"/>
    <w:rsid w:val="00945D8F"/>
    <w:rsid w:val="009517C3"/>
    <w:rsid w:val="00981D39"/>
    <w:rsid w:val="0098360C"/>
    <w:rsid w:val="00983EE3"/>
    <w:rsid w:val="009D3F53"/>
    <w:rsid w:val="009D4D88"/>
    <w:rsid w:val="009E1E7D"/>
    <w:rsid w:val="009E3EBB"/>
    <w:rsid w:val="009F0FE3"/>
    <w:rsid w:val="009F4FAB"/>
    <w:rsid w:val="00A00AC5"/>
    <w:rsid w:val="00A05E28"/>
    <w:rsid w:val="00A0688E"/>
    <w:rsid w:val="00A17ACB"/>
    <w:rsid w:val="00A20AA4"/>
    <w:rsid w:val="00A27276"/>
    <w:rsid w:val="00A80DAA"/>
    <w:rsid w:val="00A82B00"/>
    <w:rsid w:val="00AB05DB"/>
    <w:rsid w:val="00AB466E"/>
    <w:rsid w:val="00AC39B3"/>
    <w:rsid w:val="00AD2CB0"/>
    <w:rsid w:val="00AF7369"/>
    <w:rsid w:val="00B05C14"/>
    <w:rsid w:val="00B10CB9"/>
    <w:rsid w:val="00B234A2"/>
    <w:rsid w:val="00B2751A"/>
    <w:rsid w:val="00B30490"/>
    <w:rsid w:val="00B555C3"/>
    <w:rsid w:val="00B57F40"/>
    <w:rsid w:val="00B6172C"/>
    <w:rsid w:val="00B80D22"/>
    <w:rsid w:val="00B8442E"/>
    <w:rsid w:val="00BA5C8F"/>
    <w:rsid w:val="00BA772B"/>
    <w:rsid w:val="00BB27CC"/>
    <w:rsid w:val="00BD2383"/>
    <w:rsid w:val="00BE2EA6"/>
    <w:rsid w:val="00BF0995"/>
    <w:rsid w:val="00C05BE2"/>
    <w:rsid w:val="00C269FB"/>
    <w:rsid w:val="00C65BD6"/>
    <w:rsid w:val="00CB3A28"/>
    <w:rsid w:val="00CD6FDF"/>
    <w:rsid w:val="00CF2689"/>
    <w:rsid w:val="00CF4015"/>
    <w:rsid w:val="00D26A75"/>
    <w:rsid w:val="00D54D1A"/>
    <w:rsid w:val="00D6696B"/>
    <w:rsid w:val="00D70783"/>
    <w:rsid w:val="00D847B3"/>
    <w:rsid w:val="00DA2EBF"/>
    <w:rsid w:val="00DA56E4"/>
    <w:rsid w:val="00DE0481"/>
    <w:rsid w:val="00DE6FBD"/>
    <w:rsid w:val="00E07350"/>
    <w:rsid w:val="00E2059F"/>
    <w:rsid w:val="00E2091B"/>
    <w:rsid w:val="00E23563"/>
    <w:rsid w:val="00E51DBE"/>
    <w:rsid w:val="00E52C8D"/>
    <w:rsid w:val="00E802AA"/>
    <w:rsid w:val="00E8096C"/>
    <w:rsid w:val="00E845AD"/>
    <w:rsid w:val="00E961CF"/>
    <w:rsid w:val="00EB0258"/>
    <w:rsid w:val="00ED0E91"/>
    <w:rsid w:val="00F30B67"/>
    <w:rsid w:val="00F3558B"/>
    <w:rsid w:val="00F36428"/>
    <w:rsid w:val="00F61FA7"/>
    <w:rsid w:val="00F9317E"/>
    <w:rsid w:val="00FA210A"/>
    <w:rsid w:val="00FC7614"/>
    <w:rsid w:val="00FE43F5"/>
    <w:rsid w:val="00FE5723"/>
    <w:rsid w:val="00FF2A82"/>
    <w:rsid w:val="01A1779F"/>
    <w:rsid w:val="020A0E29"/>
    <w:rsid w:val="029D653E"/>
    <w:rsid w:val="050448CA"/>
    <w:rsid w:val="052A5F51"/>
    <w:rsid w:val="05883C9D"/>
    <w:rsid w:val="08146925"/>
    <w:rsid w:val="0A370247"/>
    <w:rsid w:val="0DA300A3"/>
    <w:rsid w:val="0EC609A0"/>
    <w:rsid w:val="127229E8"/>
    <w:rsid w:val="1493351D"/>
    <w:rsid w:val="168F661E"/>
    <w:rsid w:val="18D5368D"/>
    <w:rsid w:val="19F009EC"/>
    <w:rsid w:val="1AB02AEE"/>
    <w:rsid w:val="1BD715C3"/>
    <w:rsid w:val="1C265BE4"/>
    <w:rsid w:val="1FA3776C"/>
    <w:rsid w:val="23CC64FC"/>
    <w:rsid w:val="25090D68"/>
    <w:rsid w:val="26070036"/>
    <w:rsid w:val="264C5779"/>
    <w:rsid w:val="27B61C46"/>
    <w:rsid w:val="298F42FD"/>
    <w:rsid w:val="29C80A1F"/>
    <w:rsid w:val="2A7C6B0D"/>
    <w:rsid w:val="2B28210F"/>
    <w:rsid w:val="2B58072B"/>
    <w:rsid w:val="2CA27E1E"/>
    <w:rsid w:val="2D036241"/>
    <w:rsid w:val="2F2B4A80"/>
    <w:rsid w:val="30250EBD"/>
    <w:rsid w:val="30AB03E7"/>
    <w:rsid w:val="317C7618"/>
    <w:rsid w:val="32CA482D"/>
    <w:rsid w:val="33A27B33"/>
    <w:rsid w:val="37A51FB4"/>
    <w:rsid w:val="38077E7F"/>
    <w:rsid w:val="392115EE"/>
    <w:rsid w:val="3AA47A2A"/>
    <w:rsid w:val="3B7D75DC"/>
    <w:rsid w:val="3C254983"/>
    <w:rsid w:val="3F59244A"/>
    <w:rsid w:val="3F716F2D"/>
    <w:rsid w:val="40CC54B5"/>
    <w:rsid w:val="417D39F5"/>
    <w:rsid w:val="44916D42"/>
    <w:rsid w:val="46FD0BF6"/>
    <w:rsid w:val="4B5D264A"/>
    <w:rsid w:val="507739D9"/>
    <w:rsid w:val="52335162"/>
    <w:rsid w:val="560431F7"/>
    <w:rsid w:val="5A584865"/>
    <w:rsid w:val="5D7375B2"/>
    <w:rsid w:val="5EB21E09"/>
    <w:rsid w:val="6077656D"/>
    <w:rsid w:val="62440CD6"/>
    <w:rsid w:val="68721BD6"/>
    <w:rsid w:val="6A144651"/>
    <w:rsid w:val="6CD94B57"/>
    <w:rsid w:val="6EE9246C"/>
    <w:rsid w:val="706E6052"/>
    <w:rsid w:val="73AB75FF"/>
    <w:rsid w:val="73D30883"/>
    <w:rsid w:val="77164693"/>
    <w:rsid w:val="78A0133E"/>
    <w:rsid w:val="7AB30C49"/>
    <w:rsid w:val="7B1E612D"/>
    <w:rsid w:val="7B5F5918"/>
    <w:rsid w:val="7F44177C"/>
    <w:rsid w:val="7FC83EE6"/>
    <w:rsid w:val="7FCD12E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qFormat="1"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qFormat="1" w:unhideWhenUsed="0"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1"/>
      <w:sz w:val="24"/>
      <w:szCs w:val="22"/>
      <w:lang w:val="en-US" w:eastAsia="zh-CN" w:bidi="ar-SA"/>
    </w:rPr>
  </w:style>
  <w:style w:type="paragraph" w:styleId="4">
    <w:name w:val="heading 1"/>
    <w:basedOn w:val="1"/>
    <w:next w:val="1"/>
    <w:link w:val="35"/>
    <w:qFormat/>
    <w:uiPriority w:val="99"/>
    <w:pPr>
      <w:keepNext/>
      <w:keepLines/>
      <w:spacing w:before="340" w:after="330" w:line="578" w:lineRule="auto"/>
      <w:jc w:val="center"/>
      <w:outlineLvl w:val="0"/>
    </w:pPr>
    <w:rPr>
      <w:b/>
      <w:bCs/>
      <w:sz w:val="72"/>
      <w:szCs w:val="44"/>
    </w:rPr>
  </w:style>
  <w:style w:type="paragraph" w:styleId="5">
    <w:name w:val="heading 2"/>
    <w:basedOn w:val="1"/>
    <w:next w:val="1"/>
    <w:link w:val="36"/>
    <w:qFormat/>
    <w:uiPriority w:val="99"/>
    <w:pPr>
      <w:keepNext/>
      <w:keepLines/>
      <w:spacing w:before="20" w:after="20" w:line="415" w:lineRule="auto"/>
      <w:jc w:val="center"/>
      <w:outlineLvl w:val="1"/>
    </w:pPr>
    <w:rPr>
      <w:rFonts w:ascii="Cambria" w:hAnsi="Cambria"/>
      <w:b/>
      <w:bCs/>
      <w:sz w:val="30"/>
      <w:szCs w:val="32"/>
    </w:rPr>
  </w:style>
  <w:style w:type="paragraph" w:styleId="6">
    <w:name w:val="heading 3"/>
    <w:basedOn w:val="1"/>
    <w:next w:val="1"/>
    <w:link w:val="37"/>
    <w:qFormat/>
    <w:uiPriority w:val="99"/>
    <w:pPr>
      <w:keepNext/>
      <w:keepLines/>
      <w:spacing w:line="415" w:lineRule="auto"/>
      <w:jc w:val="left"/>
      <w:outlineLvl w:val="2"/>
    </w:pPr>
    <w:rPr>
      <w:b/>
      <w:bCs/>
      <w:sz w:val="28"/>
      <w:szCs w:val="32"/>
    </w:rPr>
  </w:style>
  <w:style w:type="character" w:default="1" w:styleId="31">
    <w:name w:val="Default Paragraph Font"/>
    <w:semiHidden/>
    <w:unhideWhenUsed/>
    <w:qFormat/>
    <w:uiPriority w:val="1"/>
  </w:style>
  <w:style w:type="table" w:default="1" w:styleId="3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41"/>
    <w:qFormat/>
    <w:uiPriority w:val="99"/>
    <w:pPr>
      <w:spacing w:line="360" w:lineRule="auto"/>
      <w:ind w:left="0" w:firstLine="200"/>
      <w:jc w:val="both"/>
    </w:pPr>
    <w:rPr>
      <w:rFonts w:ascii="Calibri" w:hAnsi="Calibri" w:cs="黑体"/>
      <w:sz w:val="24"/>
      <w:szCs w:val="22"/>
    </w:rPr>
  </w:style>
  <w:style w:type="paragraph" w:styleId="3">
    <w:name w:val="Body Text"/>
    <w:basedOn w:val="1"/>
    <w:link w:val="40"/>
    <w:qFormat/>
    <w:uiPriority w:val="99"/>
    <w:pPr>
      <w:ind w:left="730"/>
      <w:jc w:val="left"/>
    </w:pPr>
    <w:rPr>
      <w:rFonts w:ascii="宋体" w:hAnsi="宋体" w:cs="Times New Roman"/>
      <w:sz w:val="23"/>
      <w:szCs w:val="23"/>
    </w:rPr>
  </w:style>
  <w:style w:type="paragraph" w:styleId="7">
    <w:name w:val="annotation subject"/>
    <w:basedOn w:val="8"/>
    <w:next w:val="8"/>
    <w:link w:val="59"/>
    <w:qFormat/>
    <w:uiPriority w:val="99"/>
    <w:rPr>
      <w:b/>
      <w:bCs/>
      <w:sz w:val="24"/>
      <w:szCs w:val="22"/>
    </w:rPr>
  </w:style>
  <w:style w:type="paragraph" w:styleId="8">
    <w:name w:val="annotation text"/>
    <w:basedOn w:val="1"/>
    <w:link w:val="58"/>
    <w:qFormat/>
    <w:uiPriority w:val="99"/>
    <w:rPr>
      <w:sz w:val="20"/>
      <w:szCs w:val="20"/>
    </w:rPr>
  </w:style>
  <w:style w:type="paragraph" w:styleId="9">
    <w:name w:val="toc 7"/>
    <w:basedOn w:val="1"/>
    <w:next w:val="1"/>
    <w:qFormat/>
    <w:uiPriority w:val="99"/>
    <w:pPr>
      <w:ind w:left="1050"/>
      <w:jc w:val="left"/>
    </w:pPr>
    <w:rPr>
      <w:rFonts w:cs="Calibri"/>
      <w:sz w:val="20"/>
      <w:szCs w:val="20"/>
    </w:rPr>
  </w:style>
  <w:style w:type="paragraph" w:styleId="10">
    <w:name w:val="Normal Indent"/>
    <w:basedOn w:val="1"/>
    <w:qFormat/>
    <w:uiPriority w:val="99"/>
    <w:pPr>
      <w:spacing w:line="360" w:lineRule="atLeast"/>
      <w:ind w:firstLine="420"/>
      <w:jc w:val="left"/>
    </w:pPr>
    <w:rPr>
      <w:rFonts w:ascii="Times New Roman" w:hAnsi="Times New Roman"/>
      <w:szCs w:val="20"/>
    </w:rPr>
  </w:style>
  <w:style w:type="paragraph" w:styleId="11">
    <w:name w:val="caption"/>
    <w:basedOn w:val="1"/>
    <w:next w:val="1"/>
    <w:qFormat/>
    <w:locked/>
    <w:uiPriority w:val="0"/>
    <w:rPr>
      <w:rFonts w:ascii="Arial" w:hAnsi="Arial" w:eastAsia="黑体" w:cs="Arial"/>
      <w:sz w:val="20"/>
      <w:szCs w:val="20"/>
    </w:rPr>
  </w:style>
  <w:style w:type="paragraph" w:styleId="12">
    <w:name w:val="Document Map"/>
    <w:basedOn w:val="1"/>
    <w:link w:val="42"/>
    <w:qFormat/>
    <w:uiPriority w:val="99"/>
    <w:pPr>
      <w:pBdr>
        <w:top w:val="none" w:color="000000" w:sz="0" w:space="3"/>
        <w:left w:val="none" w:color="000000" w:sz="0" w:space="3"/>
        <w:bottom w:val="none" w:color="000000" w:sz="0" w:space="3"/>
        <w:right w:val="none" w:color="000000" w:sz="0" w:space="3"/>
        <w:between w:val="none" w:color="000000" w:sz="0" w:space="0"/>
      </w:pBdr>
      <w:shd w:val="clear" w:color="000000" w:fill="000080"/>
    </w:pPr>
  </w:style>
  <w:style w:type="paragraph" w:styleId="13">
    <w:name w:val="Body Text 3"/>
    <w:basedOn w:val="1"/>
    <w:link w:val="89"/>
    <w:semiHidden/>
    <w:unhideWhenUsed/>
    <w:qFormat/>
    <w:uiPriority w:val="99"/>
    <w:pPr>
      <w:spacing w:after="120"/>
    </w:pPr>
    <w:rPr>
      <w:kern w:val="2"/>
      <w:sz w:val="16"/>
      <w:szCs w:val="16"/>
    </w:rPr>
  </w:style>
  <w:style w:type="paragraph" w:styleId="14">
    <w:name w:val="Body Text Indent"/>
    <w:basedOn w:val="1"/>
    <w:link w:val="43"/>
    <w:qFormat/>
    <w:uiPriority w:val="99"/>
    <w:pPr>
      <w:spacing w:line="360" w:lineRule="auto"/>
      <w:ind w:firstLine="480"/>
    </w:pPr>
    <w:rPr>
      <w:rFonts w:ascii="宋体" w:hAnsi="宋体"/>
      <w:szCs w:val="20"/>
    </w:rPr>
  </w:style>
  <w:style w:type="paragraph" w:styleId="15">
    <w:name w:val="toc 5"/>
    <w:basedOn w:val="1"/>
    <w:next w:val="1"/>
    <w:qFormat/>
    <w:uiPriority w:val="99"/>
    <w:pPr>
      <w:ind w:left="630"/>
      <w:jc w:val="left"/>
    </w:pPr>
    <w:rPr>
      <w:rFonts w:cs="Calibri"/>
      <w:sz w:val="20"/>
      <w:szCs w:val="20"/>
    </w:rPr>
  </w:style>
  <w:style w:type="paragraph" w:styleId="16">
    <w:name w:val="toc 3"/>
    <w:basedOn w:val="1"/>
    <w:next w:val="1"/>
    <w:qFormat/>
    <w:uiPriority w:val="99"/>
    <w:pPr>
      <w:ind w:left="210"/>
      <w:jc w:val="left"/>
    </w:pPr>
    <w:rPr>
      <w:rFonts w:cs="Calibri"/>
      <w:sz w:val="20"/>
      <w:szCs w:val="20"/>
    </w:rPr>
  </w:style>
  <w:style w:type="paragraph" w:styleId="17">
    <w:name w:val="Plain Text"/>
    <w:basedOn w:val="1"/>
    <w:link w:val="44"/>
    <w:qFormat/>
    <w:uiPriority w:val="99"/>
    <w:rPr>
      <w:rFonts w:ascii="宋体" w:hAnsi="宋体" w:cs="Times New Roman"/>
      <w:sz w:val="20"/>
      <w:szCs w:val="21"/>
    </w:rPr>
  </w:style>
  <w:style w:type="paragraph" w:styleId="18">
    <w:name w:val="toc 8"/>
    <w:basedOn w:val="1"/>
    <w:next w:val="1"/>
    <w:qFormat/>
    <w:uiPriority w:val="99"/>
    <w:pPr>
      <w:ind w:left="1260"/>
      <w:jc w:val="left"/>
    </w:pPr>
    <w:rPr>
      <w:rFonts w:cs="Calibri"/>
      <w:sz w:val="20"/>
      <w:szCs w:val="20"/>
    </w:rPr>
  </w:style>
  <w:style w:type="paragraph" w:styleId="19">
    <w:name w:val="Date"/>
    <w:basedOn w:val="1"/>
    <w:next w:val="1"/>
    <w:link w:val="45"/>
    <w:qFormat/>
    <w:uiPriority w:val="99"/>
    <w:rPr>
      <w:szCs w:val="20"/>
    </w:rPr>
  </w:style>
  <w:style w:type="paragraph" w:styleId="20">
    <w:name w:val="Body Text Indent 2"/>
    <w:basedOn w:val="1"/>
    <w:link w:val="46"/>
    <w:qFormat/>
    <w:uiPriority w:val="99"/>
    <w:pPr>
      <w:spacing w:after="120" w:line="480" w:lineRule="auto"/>
      <w:ind w:left="420"/>
    </w:pPr>
  </w:style>
  <w:style w:type="paragraph" w:styleId="21">
    <w:name w:val="Balloon Text"/>
    <w:basedOn w:val="1"/>
    <w:link w:val="47"/>
    <w:qFormat/>
    <w:uiPriority w:val="99"/>
    <w:rPr>
      <w:sz w:val="18"/>
      <w:szCs w:val="18"/>
    </w:rPr>
  </w:style>
  <w:style w:type="paragraph" w:styleId="22">
    <w:name w:val="footer"/>
    <w:basedOn w:val="1"/>
    <w:link w:val="48"/>
    <w:qFormat/>
    <w:uiPriority w:val="99"/>
    <w:pPr>
      <w:jc w:val="left"/>
    </w:pPr>
    <w:rPr>
      <w:sz w:val="18"/>
      <w:szCs w:val="18"/>
    </w:rPr>
  </w:style>
  <w:style w:type="paragraph" w:styleId="23">
    <w:name w:val="header"/>
    <w:basedOn w:val="1"/>
    <w:link w:val="49"/>
    <w:qFormat/>
    <w:uiPriority w:val="99"/>
    <w:pPr>
      <w:pBdr>
        <w:top w:val="none" w:color="000000" w:sz="0" w:space="3"/>
        <w:left w:val="none" w:color="000000" w:sz="0" w:space="3"/>
        <w:bottom w:val="single" w:color="000000" w:sz="6" w:space="1"/>
        <w:right w:val="none" w:color="000000" w:sz="0" w:space="3"/>
        <w:between w:val="none" w:color="000000" w:sz="0" w:space="0"/>
      </w:pBdr>
      <w:shd w:val="solid" w:color="000000" w:fill="FFFFFF"/>
      <w:jc w:val="center"/>
    </w:pPr>
    <w:rPr>
      <w:sz w:val="18"/>
      <w:szCs w:val="18"/>
    </w:rPr>
  </w:style>
  <w:style w:type="paragraph" w:styleId="24">
    <w:name w:val="toc 1"/>
    <w:basedOn w:val="1"/>
    <w:next w:val="1"/>
    <w:qFormat/>
    <w:uiPriority w:val="99"/>
    <w:pPr>
      <w:spacing w:before="360"/>
      <w:jc w:val="left"/>
    </w:pPr>
    <w:rPr>
      <w:rFonts w:ascii="Cambria" w:hAnsi="Cambria"/>
      <w:b/>
      <w:bCs/>
      <w:caps/>
      <w:szCs w:val="24"/>
    </w:rPr>
  </w:style>
  <w:style w:type="paragraph" w:styleId="25">
    <w:name w:val="toc 4"/>
    <w:basedOn w:val="1"/>
    <w:next w:val="1"/>
    <w:qFormat/>
    <w:uiPriority w:val="99"/>
    <w:pPr>
      <w:ind w:left="420"/>
      <w:jc w:val="left"/>
    </w:pPr>
    <w:rPr>
      <w:rFonts w:cs="Calibri"/>
      <w:sz w:val="20"/>
      <w:szCs w:val="20"/>
    </w:rPr>
  </w:style>
  <w:style w:type="paragraph" w:styleId="26">
    <w:name w:val="List"/>
    <w:basedOn w:val="1"/>
    <w:qFormat/>
    <w:uiPriority w:val="99"/>
    <w:pPr>
      <w:ind w:left="200" w:hanging="200"/>
    </w:pPr>
    <w:rPr>
      <w:rFonts w:cs="Times New Roman"/>
      <w:sz w:val="21"/>
      <w:szCs w:val="24"/>
    </w:rPr>
  </w:style>
  <w:style w:type="paragraph" w:styleId="27">
    <w:name w:val="toc 6"/>
    <w:basedOn w:val="1"/>
    <w:next w:val="1"/>
    <w:qFormat/>
    <w:uiPriority w:val="99"/>
    <w:pPr>
      <w:ind w:left="840"/>
      <w:jc w:val="left"/>
    </w:pPr>
    <w:rPr>
      <w:rFonts w:cs="Calibri"/>
      <w:sz w:val="20"/>
      <w:szCs w:val="20"/>
    </w:rPr>
  </w:style>
  <w:style w:type="paragraph" w:styleId="28">
    <w:name w:val="toc 2"/>
    <w:basedOn w:val="1"/>
    <w:next w:val="1"/>
    <w:qFormat/>
    <w:uiPriority w:val="99"/>
    <w:pPr>
      <w:spacing w:before="240"/>
      <w:jc w:val="left"/>
    </w:pPr>
    <w:rPr>
      <w:rFonts w:cs="Calibri"/>
      <w:b/>
      <w:bCs/>
      <w:sz w:val="20"/>
      <w:szCs w:val="20"/>
    </w:rPr>
  </w:style>
  <w:style w:type="paragraph" w:styleId="29">
    <w:name w:val="toc 9"/>
    <w:basedOn w:val="1"/>
    <w:next w:val="1"/>
    <w:qFormat/>
    <w:uiPriority w:val="99"/>
    <w:pPr>
      <w:ind w:left="1470"/>
      <w:jc w:val="left"/>
    </w:pPr>
    <w:rPr>
      <w:rFonts w:cs="Calibri"/>
      <w:sz w:val="20"/>
      <w:szCs w:val="20"/>
    </w:rPr>
  </w:style>
  <w:style w:type="paragraph" w:styleId="30">
    <w:name w:val="Normal (Web)"/>
    <w:basedOn w:val="1"/>
    <w:qFormat/>
    <w:uiPriority w:val="0"/>
    <w:pPr>
      <w:spacing w:beforeAutospacing="1" w:afterAutospacing="1"/>
      <w:jc w:val="left"/>
    </w:pPr>
    <w:rPr>
      <w:rFonts w:cs="Times New Roman"/>
    </w:rPr>
  </w:style>
  <w:style w:type="character" w:styleId="32">
    <w:name w:val="Hyperlink"/>
    <w:basedOn w:val="31"/>
    <w:qFormat/>
    <w:uiPriority w:val="99"/>
    <w:rPr>
      <w:rFonts w:cs="Times New Roman"/>
      <w:color w:val="0000FF"/>
      <w:kern w:val="0"/>
      <w:sz w:val="20"/>
      <w:u w:val="single"/>
    </w:rPr>
  </w:style>
  <w:style w:type="character" w:styleId="33">
    <w:name w:val="annotation reference"/>
    <w:basedOn w:val="31"/>
    <w:semiHidden/>
    <w:qFormat/>
    <w:uiPriority w:val="99"/>
    <w:rPr>
      <w:rFonts w:cs="Times New Roman"/>
      <w:sz w:val="21"/>
      <w:szCs w:val="21"/>
    </w:rPr>
  </w:style>
  <w:style w:type="character" w:customStyle="1" w:styleId="35">
    <w:name w:val="标题 1 Char2"/>
    <w:basedOn w:val="31"/>
    <w:link w:val="4"/>
    <w:qFormat/>
    <w:locked/>
    <w:uiPriority w:val="99"/>
    <w:rPr>
      <w:rFonts w:cs="Times New Roman"/>
      <w:b/>
      <w:bCs/>
      <w:kern w:val="44"/>
      <w:sz w:val="44"/>
      <w:szCs w:val="44"/>
    </w:rPr>
  </w:style>
  <w:style w:type="character" w:customStyle="1" w:styleId="36">
    <w:name w:val="标题 2 Char2"/>
    <w:basedOn w:val="31"/>
    <w:link w:val="5"/>
    <w:semiHidden/>
    <w:qFormat/>
    <w:locked/>
    <w:uiPriority w:val="99"/>
    <w:rPr>
      <w:rFonts w:ascii="Cambria" w:hAnsi="Cambria" w:eastAsia="宋体" w:cs="Times New Roman"/>
      <w:b/>
      <w:bCs/>
      <w:kern w:val="1"/>
      <w:sz w:val="32"/>
      <w:szCs w:val="32"/>
    </w:rPr>
  </w:style>
  <w:style w:type="character" w:customStyle="1" w:styleId="37">
    <w:name w:val="标题 3 Char2"/>
    <w:basedOn w:val="31"/>
    <w:link w:val="6"/>
    <w:semiHidden/>
    <w:qFormat/>
    <w:locked/>
    <w:uiPriority w:val="99"/>
    <w:rPr>
      <w:rFonts w:cs="Times New Roman"/>
      <w:b/>
      <w:bCs/>
      <w:kern w:val="1"/>
      <w:sz w:val="32"/>
      <w:szCs w:val="32"/>
    </w:rPr>
  </w:style>
  <w:style w:type="paragraph" w:customStyle="1" w:styleId="38">
    <w:name w:val="Comment Text1"/>
    <w:qFormat/>
    <w:uiPriority w:val="99"/>
    <w:pPr>
      <w:widowControl w:val="0"/>
    </w:pPr>
    <w:rPr>
      <w:rFonts w:ascii="Calibri" w:hAnsi="Calibri" w:eastAsia="宋体" w:cs="黑体"/>
      <w:kern w:val="1"/>
      <w:sz w:val="24"/>
      <w:szCs w:val="22"/>
      <w:lang w:val="en-US" w:eastAsia="zh-CN" w:bidi="ar-SA"/>
    </w:rPr>
  </w:style>
  <w:style w:type="paragraph" w:customStyle="1" w:styleId="39">
    <w:name w:val="Comment Subject1"/>
    <w:basedOn w:val="38"/>
    <w:next w:val="38"/>
    <w:qFormat/>
    <w:uiPriority w:val="99"/>
    <w:rPr>
      <w:b/>
      <w:bCs/>
    </w:rPr>
  </w:style>
  <w:style w:type="character" w:customStyle="1" w:styleId="40">
    <w:name w:val="正文文本 Char2"/>
    <w:basedOn w:val="31"/>
    <w:link w:val="3"/>
    <w:semiHidden/>
    <w:qFormat/>
    <w:locked/>
    <w:uiPriority w:val="99"/>
    <w:rPr>
      <w:rFonts w:cs="Times New Roman"/>
      <w:kern w:val="1"/>
      <w:sz w:val="24"/>
    </w:rPr>
  </w:style>
  <w:style w:type="character" w:customStyle="1" w:styleId="41">
    <w:name w:val="正文首行缩进 Char1"/>
    <w:basedOn w:val="40"/>
    <w:link w:val="2"/>
    <w:semiHidden/>
    <w:qFormat/>
    <w:locked/>
    <w:uiPriority w:val="99"/>
    <w:rPr>
      <w:rFonts w:cs="Times New Roman"/>
      <w:kern w:val="1"/>
      <w:sz w:val="24"/>
    </w:rPr>
  </w:style>
  <w:style w:type="character" w:customStyle="1" w:styleId="42">
    <w:name w:val="文档结构图 Char1"/>
    <w:basedOn w:val="31"/>
    <w:link w:val="12"/>
    <w:semiHidden/>
    <w:qFormat/>
    <w:locked/>
    <w:uiPriority w:val="99"/>
    <w:rPr>
      <w:rFonts w:ascii="Times New Roman" w:hAnsi="Times New Roman" w:cs="Times New Roman"/>
      <w:kern w:val="1"/>
      <w:sz w:val="2"/>
    </w:rPr>
  </w:style>
  <w:style w:type="character" w:customStyle="1" w:styleId="43">
    <w:name w:val="正文文本缩进 Char1"/>
    <w:basedOn w:val="31"/>
    <w:link w:val="14"/>
    <w:semiHidden/>
    <w:qFormat/>
    <w:locked/>
    <w:uiPriority w:val="99"/>
    <w:rPr>
      <w:rFonts w:cs="Times New Roman"/>
      <w:kern w:val="1"/>
      <w:sz w:val="24"/>
    </w:rPr>
  </w:style>
  <w:style w:type="character" w:customStyle="1" w:styleId="44">
    <w:name w:val="纯文本 Char2"/>
    <w:basedOn w:val="31"/>
    <w:link w:val="17"/>
    <w:semiHidden/>
    <w:qFormat/>
    <w:locked/>
    <w:uiPriority w:val="99"/>
    <w:rPr>
      <w:rFonts w:ascii="宋体" w:hAnsi="Courier New" w:cs="Courier New"/>
      <w:kern w:val="1"/>
      <w:sz w:val="21"/>
      <w:szCs w:val="21"/>
    </w:rPr>
  </w:style>
  <w:style w:type="character" w:customStyle="1" w:styleId="45">
    <w:name w:val="日期 Char1"/>
    <w:basedOn w:val="31"/>
    <w:link w:val="19"/>
    <w:semiHidden/>
    <w:qFormat/>
    <w:locked/>
    <w:uiPriority w:val="99"/>
    <w:rPr>
      <w:rFonts w:cs="Times New Roman"/>
      <w:kern w:val="1"/>
      <w:sz w:val="24"/>
    </w:rPr>
  </w:style>
  <w:style w:type="character" w:customStyle="1" w:styleId="46">
    <w:name w:val="正文文本缩进 2 Char2"/>
    <w:basedOn w:val="31"/>
    <w:link w:val="20"/>
    <w:semiHidden/>
    <w:qFormat/>
    <w:locked/>
    <w:uiPriority w:val="99"/>
    <w:rPr>
      <w:rFonts w:cs="Times New Roman"/>
      <w:kern w:val="1"/>
      <w:sz w:val="24"/>
    </w:rPr>
  </w:style>
  <w:style w:type="character" w:customStyle="1" w:styleId="47">
    <w:name w:val="批注框文本 Char2"/>
    <w:basedOn w:val="31"/>
    <w:link w:val="21"/>
    <w:semiHidden/>
    <w:qFormat/>
    <w:locked/>
    <w:uiPriority w:val="99"/>
    <w:rPr>
      <w:rFonts w:cs="Times New Roman"/>
      <w:kern w:val="1"/>
      <w:sz w:val="2"/>
    </w:rPr>
  </w:style>
  <w:style w:type="character" w:customStyle="1" w:styleId="48">
    <w:name w:val="页脚 Char2"/>
    <w:basedOn w:val="31"/>
    <w:link w:val="22"/>
    <w:semiHidden/>
    <w:qFormat/>
    <w:locked/>
    <w:uiPriority w:val="99"/>
    <w:rPr>
      <w:rFonts w:cs="Times New Roman"/>
      <w:kern w:val="1"/>
      <w:sz w:val="18"/>
      <w:szCs w:val="18"/>
    </w:rPr>
  </w:style>
  <w:style w:type="character" w:customStyle="1" w:styleId="49">
    <w:name w:val="页眉 Char2"/>
    <w:basedOn w:val="31"/>
    <w:link w:val="23"/>
    <w:semiHidden/>
    <w:qFormat/>
    <w:locked/>
    <w:uiPriority w:val="99"/>
    <w:rPr>
      <w:rFonts w:cs="Times New Roman"/>
      <w:kern w:val="1"/>
      <w:sz w:val="18"/>
      <w:szCs w:val="18"/>
    </w:rPr>
  </w:style>
  <w:style w:type="paragraph" w:customStyle="1" w:styleId="50">
    <w:name w:val="TOC 标题1"/>
    <w:basedOn w:val="24"/>
    <w:qFormat/>
    <w:uiPriority w:val="99"/>
    <w:pPr>
      <w:widowControl/>
      <w:spacing w:before="480" w:line="276" w:lineRule="auto"/>
    </w:pPr>
    <w:rPr>
      <w:color w:val="365F90"/>
      <w:sz w:val="28"/>
      <w:szCs w:val="28"/>
    </w:rPr>
  </w:style>
  <w:style w:type="paragraph" w:customStyle="1" w:styleId="51">
    <w:name w:val="列出段落1"/>
    <w:qFormat/>
    <w:uiPriority w:val="99"/>
    <w:pPr>
      <w:widowControl w:val="0"/>
      <w:ind w:firstLine="420"/>
      <w:jc w:val="both"/>
    </w:pPr>
    <w:rPr>
      <w:rFonts w:ascii="Calibri" w:hAnsi="Calibri" w:eastAsia="宋体" w:cs="黑体"/>
      <w:kern w:val="1"/>
      <w:sz w:val="24"/>
      <w:szCs w:val="22"/>
      <w:lang w:val="en-US" w:eastAsia="zh-CN" w:bidi="ar-SA"/>
    </w:rPr>
  </w:style>
  <w:style w:type="paragraph" w:customStyle="1" w:styleId="52">
    <w:name w:val="无间隔1"/>
    <w:qFormat/>
    <w:uiPriority w:val="99"/>
    <w:pPr>
      <w:widowControl w:val="0"/>
      <w:jc w:val="both"/>
    </w:pPr>
    <w:rPr>
      <w:rFonts w:ascii="Calibri" w:hAnsi="Calibri" w:eastAsia="宋体" w:cs="黑体"/>
      <w:kern w:val="1"/>
      <w:sz w:val="21"/>
      <w:szCs w:val="22"/>
      <w:lang w:val="en-US" w:eastAsia="zh-CN" w:bidi="ar-SA"/>
    </w:rPr>
  </w:style>
  <w:style w:type="paragraph" w:customStyle="1" w:styleId="53">
    <w:name w:val="正文 + 宋体"/>
    <w:qFormat/>
    <w:uiPriority w:val="99"/>
    <w:pPr>
      <w:ind w:left="360" w:hanging="360"/>
    </w:pPr>
    <w:rPr>
      <w:rFonts w:ascii="宋体" w:hAnsi="宋体" w:eastAsia="宋体" w:cs="宋体"/>
      <w:b/>
      <w:bCs/>
      <w:kern w:val="1"/>
      <w:sz w:val="18"/>
      <w:szCs w:val="18"/>
      <w:lang w:val="en-US" w:eastAsia="zh-CN" w:bidi="ar-SA"/>
    </w:rPr>
  </w:style>
  <w:style w:type="paragraph" w:customStyle="1" w:styleId="54">
    <w:name w:val="正文缩进1"/>
    <w:qFormat/>
    <w:uiPriority w:val="99"/>
    <w:pPr>
      <w:widowControl w:val="0"/>
      <w:spacing w:line="360" w:lineRule="atLeast"/>
      <w:ind w:firstLine="420"/>
    </w:pPr>
    <w:rPr>
      <w:rFonts w:ascii="Times New Roman" w:hAnsi="Times New Roman" w:eastAsia="宋体" w:cs="Times New Roman"/>
      <w:kern w:val="1"/>
      <w:sz w:val="24"/>
      <w:lang w:val="en-US" w:eastAsia="zh-CN" w:bidi="ar-SA"/>
    </w:rPr>
  </w:style>
  <w:style w:type="paragraph" w:customStyle="1" w:styleId="55">
    <w:name w:val="样式 首行缩进:  2 字符"/>
    <w:qFormat/>
    <w:uiPriority w:val="99"/>
    <w:pPr>
      <w:widowControl w:val="0"/>
      <w:spacing w:line="400" w:lineRule="exact"/>
      <w:ind w:firstLine="200"/>
      <w:jc w:val="both"/>
    </w:pPr>
    <w:rPr>
      <w:rFonts w:ascii="Times New Roman" w:hAnsi="Times New Roman" w:eastAsia="宋体" w:cs="Times New Roman"/>
      <w:kern w:val="1"/>
      <w:sz w:val="24"/>
      <w:szCs w:val="22"/>
      <w:lang w:val="en-US" w:eastAsia="zh-CN" w:bidi="ar-SA"/>
    </w:rPr>
  </w:style>
  <w:style w:type="paragraph" w:customStyle="1" w:styleId="56">
    <w:name w:val="Default"/>
    <w:qFormat/>
    <w:uiPriority w:val="99"/>
    <w:pPr>
      <w:widowControl w:val="0"/>
    </w:pPr>
    <w:rPr>
      <w:rFonts w:ascii="宋体" w:hAnsi="宋体" w:eastAsia="宋体" w:cs="宋体"/>
      <w:kern w:val="1"/>
      <w:sz w:val="24"/>
      <w:szCs w:val="24"/>
      <w:lang w:val="en-US" w:eastAsia="zh-CN" w:bidi="ar-SA"/>
    </w:rPr>
  </w:style>
  <w:style w:type="paragraph" w:styleId="57">
    <w:name w:val="List Paragraph"/>
    <w:basedOn w:val="1"/>
    <w:qFormat/>
    <w:uiPriority w:val="99"/>
    <w:pPr>
      <w:ind w:firstLine="420"/>
    </w:pPr>
  </w:style>
  <w:style w:type="character" w:customStyle="1" w:styleId="58">
    <w:name w:val="批注文字 Char1"/>
    <w:basedOn w:val="31"/>
    <w:link w:val="8"/>
    <w:semiHidden/>
    <w:qFormat/>
    <w:locked/>
    <w:uiPriority w:val="99"/>
    <w:rPr>
      <w:rFonts w:cs="Times New Roman"/>
      <w:kern w:val="1"/>
      <w:sz w:val="24"/>
    </w:rPr>
  </w:style>
  <w:style w:type="character" w:customStyle="1" w:styleId="59">
    <w:name w:val="批注主题 Char1"/>
    <w:basedOn w:val="58"/>
    <w:link w:val="7"/>
    <w:semiHidden/>
    <w:qFormat/>
    <w:locked/>
    <w:uiPriority w:val="99"/>
    <w:rPr>
      <w:rFonts w:cs="Times New Roman"/>
      <w:b/>
      <w:bCs/>
      <w:kern w:val="1"/>
      <w:sz w:val="24"/>
    </w:rPr>
  </w:style>
  <w:style w:type="character" w:customStyle="1" w:styleId="60">
    <w:name w:val="Comment Reference1"/>
    <w:qFormat/>
    <w:uiPriority w:val="99"/>
    <w:rPr>
      <w:sz w:val="21"/>
    </w:rPr>
  </w:style>
  <w:style w:type="character" w:customStyle="1" w:styleId="61">
    <w:name w:val="标题 1 Char1"/>
    <w:qFormat/>
    <w:uiPriority w:val="99"/>
    <w:rPr>
      <w:b/>
      <w:sz w:val="44"/>
    </w:rPr>
  </w:style>
  <w:style w:type="character" w:customStyle="1" w:styleId="62">
    <w:name w:val="标题 2 Char1"/>
    <w:qFormat/>
    <w:uiPriority w:val="99"/>
    <w:rPr>
      <w:rFonts w:ascii="Cambria" w:hAnsi="Cambria"/>
      <w:b/>
      <w:sz w:val="32"/>
    </w:rPr>
  </w:style>
  <w:style w:type="character" w:customStyle="1" w:styleId="63">
    <w:name w:val="标题 3 Char1"/>
    <w:qFormat/>
    <w:uiPriority w:val="99"/>
    <w:rPr>
      <w:b/>
      <w:sz w:val="32"/>
    </w:rPr>
  </w:style>
  <w:style w:type="character" w:customStyle="1" w:styleId="64">
    <w:name w:val="正文文本 Char1"/>
    <w:qFormat/>
    <w:uiPriority w:val="99"/>
    <w:rPr>
      <w:sz w:val="20"/>
    </w:rPr>
  </w:style>
  <w:style w:type="character" w:customStyle="1" w:styleId="65">
    <w:name w:val="正文首行缩进 Char"/>
    <w:basedOn w:val="64"/>
    <w:qFormat/>
    <w:uiPriority w:val="99"/>
    <w:rPr>
      <w:rFonts w:cs="Times New Roman"/>
      <w:kern w:val="1"/>
      <w:sz w:val="20"/>
      <w:szCs w:val="20"/>
    </w:rPr>
  </w:style>
  <w:style w:type="character" w:customStyle="1" w:styleId="66">
    <w:name w:val="文档结构图 Char"/>
    <w:qFormat/>
    <w:uiPriority w:val="99"/>
    <w:rPr>
      <w:rFonts w:ascii="Times New Roman" w:hAnsi="Times New Roman"/>
      <w:kern w:val="0"/>
      <w:sz w:val="21"/>
    </w:rPr>
  </w:style>
  <w:style w:type="character" w:customStyle="1" w:styleId="67">
    <w:name w:val="正文文本缩进 Char"/>
    <w:qFormat/>
    <w:uiPriority w:val="99"/>
    <w:rPr>
      <w:sz w:val="20"/>
    </w:rPr>
  </w:style>
  <w:style w:type="character" w:customStyle="1" w:styleId="68">
    <w:name w:val="纯文本 Char1"/>
    <w:qFormat/>
    <w:uiPriority w:val="99"/>
    <w:rPr>
      <w:rFonts w:ascii="宋体" w:hAnsi="宋体" w:eastAsia="宋体"/>
      <w:kern w:val="0"/>
      <w:sz w:val="21"/>
    </w:rPr>
  </w:style>
  <w:style w:type="character" w:customStyle="1" w:styleId="69">
    <w:name w:val="日期 Char"/>
    <w:qFormat/>
    <w:uiPriority w:val="99"/>
    <w:rPr>
      <w:sz w:val="20"/>
    </w:rPr>
  </w:style>
  <w:style w:type="character" w:customStyle="1" w:styleId="70">
    <w:name w:val="正文文本缩进 2 Char1"/>
    <w:qFormat/>
    <w:uiPriority w:val="99"/>
    <w:rPr>
      <w:sz w:val="20"/>
    </w:rPr>
  </w:style>
  <w:style w:type="character" w:customStyle="1" w:styleId="71">
    <w:name w:val="批注框文本 Char1"/>
    <w:qFormat/>
    <w:uiPriority w:val="99"/>
    <w:rPr>
      <w:kern w:val="0"/>
      <w:sz w:val="21"/>
    </w:rPr>
  </w:style>
  <w:style w:type="character" w:customStyle="1" w:styleId="72">
    <w:name w:val="页脚 Char1"/>
    <w:qFormat/>
    <w:uiPriority w:val="99"/>
    <w:rPr>
      <w:sz w:val="18"/>
    </w:rPr>
  </w:style>
  <w:style w:type="character" w:customStyle="1" w:styleId="73">
    <w:name w:val="页眉 Char1"/>
    <w:qFormat/>
    <w:uiPriority w:val="99"/>
    <w:rPr>
      <w:sz w:val="18"/>
    </w:rPr>
  </w:style>
  <w:style w:type="character" w:customStyle="1" w:styleId="74">
    <w:name w:val="标题 1 Char"/>
    <w:qFormat/>
    <w:uiPriority w:val="99"/>
    <w:rPr>
      <w:rFonts w:eastAsia="微软雅黑"/>
      <w:b/>
      <w:kern w:val="0"/>
      <w:sz w:val="20"/>
    </w:rPr>
  </w:style>
  <w:style w:type="character" w:customStyle="1" w:styleId="75">
    <w:name w:val="批注框文本 Char"/>
    <w:qFormat/>
    <w:uiPriority w:val="99"/>
    <w:rPr>
      <w:rFonts w:eastAsia="微软雅黑"/>
      <w:kern w:val="0"/>
      <w:sz w:val="20"/>
    </w:rPr>
  </w:style>
  <w:style w:type="character" w:customStyle="1" w:styleId="76">
    <w:name w:val="页眉 Char"/>
    <w:qFormat/>
    <w:uiPriority w:val="99"/>
    <w:rPr>
      <w:rFonts w:eastAsia="微软雅黑"/>
      <w:kern w:val="0"/>
      <w:sz w:val="20"/>
    </w:rPr>
  </w:style>
  <w:style w:type="character" w:customStyle="1" w:styleId="77">
    <w:name w:val="页脚 Char"/>
    <w:qFormat/>
    <w:uiPriority w:val="99"/>
    <w:rPr>
      <w:rFonts w:eastAsia="微软雅黑"/>
      <w:kern w:val="0"/>
      <w:sz w:val="20"/>
    </w:rPr>
  </w:style>
  <w:style w:type="character" w:customStyle="1" w:styleId="78">
    <w:name w:val="标题 2 Char"/>
    <w:qFormat/>
    <w:uiPriority w:val="99"/>
    <w:rPr>
      <w:rFonts w:ascii="Cambria" w:hAnsi="Cambria" w:eastAsia="微软雅黑"/>
      <w:b/>
      <w:kern w:val="0"/>
      <w:sz w:val="20"/>
    </w:rPr>
  </w:style>
  <w:style w:type="character" w:customStyle="1" w:styleId="79">
    <w:name w:val="正文文本 Char Char"/>
    <w:qFormat/>
    <w:uiPriority w:val="99"/>
    <w:rPr>
      <w:rFonts w:ascii="宋体" w:eastAsia="宋体"/>
      <w:kern w:val="0"/>
      <w:sz w:val="20"/>
    </w:rPr>
  </w:style>
  <w:style w:type="character" w:customStyle="1" w:styleId="80">
    <w:name w:val="正文文本 Char"/>
    <w:qFormat/>
    <w:uiPriority w:val="99"/>
    <w:rPr>
      <w:rFonts w:eastAsia="微软雅黑"/>
      <w:kern w:val="0"/>
      <w:sz w:val="20"/>
    </w:rPr>
  </w:style>
  <w:style w:type="character" w:customStyle="1" w:styleId="81">
    <w:name w:val="标题 3 Char"/>
    <w:qFormat/>
    <w:uiPriority w:val="99"/>
    <w:rPr>
      <w:rFonts w:eastAsia="微软雅黑"/>
      <w:b/>
      <w:kern w:val="0"/>
      <w:sz w:val="20"/>
    </w:rPr>
  </w:style>
  <w:style w:type="character" w:customStyle="1" w:styleId="82">
    <w:name w:val="正文文本缩进 2 Char"/>
    <w:qFormat/>
    <w:uiPriority w:val="99"/>
    <w:rPr>
      <w:rFonts w:eastAsia="微软雅黑"/>
      <w:kern w:val="0"/>
      <w:sz w:val="20"/>
    </w:rPr>
  </w:style>
  <w:style w:type="character" w:customStyle="1" w:styleId="83">
    <w:name w:val="纯文本 Char"/>
    <w:qFormat/>
    <w:uiPriority w:val="99"/>
    <w:rPr>
      <w:rFonts w:ascii="宋体" w:eastAsia="宋体"/>
      <w:kern w:val="0"/>
      <w:sz w:val="20"/>
    </w:rPr>
  </w:style>
  <w:style w:type="character" w:styleId="84">
    <w:name w:val="Placeholder Text"/>
    <w:basedOn w:val="31"/>
    <w:qFormat/>
    <w:uiPriority w:val="99"/>
    <w:rPr>
      <w:rFonts w:cs="Times New Roman"/>
      <w:color w:val="808080"/>
    </w:rPr>
  </w:style>
  <w:style w:type="character" w:customStyle="1" w:styleId="85">
    <w:name w:val="批注文字 Char"/>
    <w:qFormat/>
    <w:uiPriority w:val="99"/>
    <w:rPr>
      <w:kern w:val="1"/>
      <w:sz w:val="22"/>
    </w:rPr>
  </w:style>
  <w:style w:type="character" w:customStyle="1" w:styleId="86">
    <w:name w:val="批注主题 Char"/>
    <w:basedOn w:val="85"/>
    <w:qFormat/>
    <w:uiPriority w:val="99"/>
    <w:rPr>
      <w:rFonts w:cs="Times New Roman"/>
      <w:b/>
      <w:bCs/>
      <w:kern w:val="1"/>
      <w:sz w:val="22"/>
      <w:szCs w:val="22"/>
    </w:rPr>
  </w:style>
  <w:style w:type="paragraph" w:customStyle="1" w:styleId="87">
    <w:name w:val="p0"/>
    <w:basedOn w:val="1"/>
    <w:qFormat/>
    <w:uiPriority w:val="0"/>
    <w:pPr>
      <w:widowControl/>
      <w:spacing w:before="100" w:beforeAutospacing="1" w:after="100" w:afterAutospacing="1"/>
    </w:pPr>
    <w:rPr>
      <w:rFonts w:ascii="宋体" w:hAnsi="宋体" w:cs="宋体"/>
      <w:kern w:val="0"/>
      <w:szCs w:val="24"/>
    </w:rPr>
  </w:style>
  <w:style w:type="paragraph" w:customStyle="1" w:styleId="88">
    <w:name w:val="Table Paragraph"/>
    <w:basedOn w:val="1"/>
    <w:qFormat/>
    <w:uiPriority w:val="1"/>
    <w:pPr>
      <w:jc w:val="left"/>
    </w:pPr>
    <w:rPr>
      <w:rFonts w:eastAsia="Calibri" w:cs="Times New Roman"/>
      <w:kern w:val="0"/>
      <w:sz w:val="22"/>
      <w:lang w:eastAsia="en-US"/>
    </w:rPr>
  </w:style>
  <w:style w:type="character" w:customStyle="1" w:styleId="89">
    <w:name w:val="正文文本 3 Char"/>
    <w:basedOn w:val="31"/>
    <w:link w:val="13"/>
    <w:semiHidden/>
    <w:qFormat/>
    <w:uiPriority w:val="99"/>
    <w:rPr>
      <w:sz w:val="16"/>
      <w:szCs w:val="16"/>
    </w:rPr>
  </w:style>
  <w:style w:type="paragraph" w:customStyle="1" w:styleId="90">
    <w:name w:val="列表段落"/>
    <w:basedOn w:val="1"/>
    <w:qFormat/>
    <w:uiPriority w:val="0"/>
    <w:pPr>
      <w:ind w:firstLine="420" w:firstLineChars="200"/>
    </w:pPr>
    <w:rPr>
      <w:sz w:val="21"/>
    </w:rPr>
  </w:style>
  <w:style w:type="paragraph" w:customStyle="1" w:styleId="91">
    <w:name w:val="正文文本缩进1"/>
    <w:basedOn w:val="1"/>
    <w:qFormat/>
    <w:uiPriority w:val="0"/>
    <w:pPr>
      <w:spacing w:line="360" w:lineRule="auto"/>
      <w:ind w:firstLine="480" w:firstLineChars="200"/>
    </w:pPr>
    <w:rPr>
      <w:rFonts w:ascii="宋体"/>
    </w:rPr>
  </w:style>
  <w:style w:type="paragraph" w:customStyle="1" w:styleId="92">
    <w:name w:val="日期1"/>
    <w:basedOn w:val="1"/>
    <w:next w:val="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55</Pages>
  <Words>4764</Words>
  <Characters>27159</Characters>
  <Lines>226</Lines>
  <Paragraphs>63</Paragraphs>
  <TotalTime>5</TotalTime>
  <ScaleCrop>false</ScaleCrop>
  <LinksUpToDate>false</LinksUpToDate>
  <CharactersWithSpaces>31860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2018-05-12T02:05:00Z</dcterms:created>
  <dc:creator>Administrator</dc:creator>
  <cp:lastModifiedBy>1370416991</cp:lastModifiedBy>
  <cp:lastPrinted>2019-01-03T04:07:00Z</cp:lastPrinted>
  <dcterms:modified xsi:type="dcterms:W3CDTF">2019-01-09T06:57:05Z</dcterms:modified>
  <dc:title>长葛市政府采购项目</dc:title>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