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ascii="黑体" w:hAnsi="黑体" w:eastAsia="黑体" w:cs="黑体"/>
          <w:b/>
          <w:bCs/>
          <w:sz w:val="36"/>
          <w:szCs w:val="36"/>
        </w:rPr>
      </w:pPr>
    </w:p>
    <w:p>
      <w:pPr>
        <w:adjustRightInd w:val="0"/>
        <w:snapToGrid w:val="0"/>
        <w:jc w:val="center"/>
        <w:rPr>
          <w:rFonts w:hint="eastAsia" w:ascii="楷体" w:hAnsi="楷体" w:eastAsia="楷体" w:cs="楷体"/>
          <w:b/>
          <w:bCs/>
          <w:sz w:val="48"/>
          <w:szCs w:val="48"/>
        </w:rPr>
      </w:pPr>
      <w:r>
        <w:rPr>
          <w:rFonts w:hint="eastAsia" w:ascii="楷体" w:hAnsi="楷体" w:eastAsia="楷体" w:cs="楷体"/>
          <w:b/>
          <w:bCs/>
          <w:sz w:val="48"/>
          <w:szCs w:val="48"/>
        </w:rPr>
        <w:t>许昌市财信担保有限公司担保业务综合管理系统采购项目</w:t>
      </w:r>
    </w:p>
    <w:p>
      <w:pPr>
        <w:adjustRightInd w:val="0"/>
        <w:snapToGrid w:val="0"/>
        <w:jc w:val="center"/>
        <w:rPr>
          <w:rFonts w:ascii="隶书" w:hAnsi="宋体" w:eastAsia="隶书"/>
          <w:b/>
          <w:bCs/>
          <w:sz w:val="72"/>
          <w:szCs w:val="72"/>
        </w:rPr>
      </w:pPr>
    </w:p>
    <w:p>
      <w:pPr>
        <w:pStyle w:val="14"/>
        <w:ind w:firstLine="240"/>
      </w:pPr>
    </w:p>
    <w:p>
      <w:pPr>
        <w:adjustRightInd w:val="0"/>
        <w:snapToGrid w:val="0"/>
        <w:jc w:val="center"/>
        <w:rPr>
          <w:rFonts w:ascii="楷体" w:hAnsi="楷体" w:eastAsia="楷体" w:cs="楷体"/>
          <w:b/>
          <w:sz w:val="96"/>
          <w:szCs w:val="96"/>
        </w:rPr>
      </w:pPr>
    </w:p>
    <w:p>
      <w:pPr>
        <w:adjustRightInd w:val="0"/>
        <w:snapToGrid w:val="0"/>
        <w:jc w:val="center"/>
        <w:rPr>
          <w:rFonts w:ascii="楷体" w:hAnsi="楷体" w:eastAsia="楷体" w:cs="楷体"/>
          <w:b/>
          <w:bCs/>
          <w:sz w:val="72"/>
          <w:szCs w:val="96"/>
        </w:rPr>
      </w:pPr>
      <w:r>
        <w:rPr>
          <w:rFonts w:hint="eastAsia" w:ascii="楷体" w:hAnsi="楷体" w:eastAsia="楷体" w:cs="楷体"/>
          <w:b/>
          <w:sz w:val="72"/>
          <w:szCs w:val="96"/>
        </w:rPr>
        <w:t>竞争性</w:t>
      </w:r>
      <w:r>
        <w:rPr>
          <w:rFonts w:hint="eastAsia" w:ascii="楷体" w:hAnsi="楷体" w:eastAsia="楷体" w:cs="楷体"/>
          <w:b/>
          <w:bCs/>
          <w:sz w:val="72"/>
          <w:szCs w:val="96"/>
        </w:rPr>
        <w:t>谈判文件</w:t>
      </w:r>
    </w:p>
    <w:p>
      <w:pPr>
        <w:adjustRightInd w:val="0"/>
        <w:snapToGrid w:val="0"/>
        <w:spacing w:line="300" w:lineRule="auto"/>
        <w:jc w:val="center"/>
        <w:rPr>
          <w:rFonts w:ascii="隶书" w:eastAsia="隶书"/>
          <w:b/>
          <w:bCs/>
          <w:sz w:val="28"/>
        </w:rPr>
      </w:pPr>
    </w:p>
    <w:p>
      <w:pPr>
        <w:adjustRightInd w:val="0"/>
        <w:snapToGrid w:val="0"/>
        <w:spacing w:line="300" w:lineRule="auto"/>
        <w:jc w:val="center"/>
        <w:rPr>
          <w:rFonts w:ascii="隶书" w:eastAsia="隶书"/>
          <w:b/>
          <w:bCs/>
          <w:sz w:val="28"/>
        </w:rPr>
      </w:pPr>
    </w:p>
    <w:p>
      <w:pPr>
        <w:adjustRightInd w:val="0"/>
        <w:snapToGrid w:val="0"/>
        <w:spacing w:line="300" w:lineRule="auto"/>
        <w:jc w:val="center"/>
        <w:rPr>
          <w:rFonts w:ascii="隶书" w:eastAsia="隶书"/>
          <w:b/>
          <w:bCs/>
          <w:sz w:val="28"/>
        </w:rPr>
      </w:pPr>
    </w:p>
    <w:p>
      <w:pPr>
        <w:adjustRightInd w:val="0"/>
        <w:snapToGrid w:val="0"/>
        <w:spacing w:line="300" w:lineRule="auto"/>
        <w:rPr>
          <w:rFonts w:ascii="隶书" w:eastAsia="隶书"/>
          <w:b/>
          <w:bCs/>
          <w:sz w:val="28"/>
        </w:rPr>
      </w:pPr>
    </w:p>
    <w:p>
      <w:pPr>
        <w:adjustRightInd w:val="0"/>
        <w:snapToGrid w:val="0"/>
        <w:spacing w:line="360" w:lineRule="auto"/>
        <w:rPr>
          <w:rFonts w:asciiTheme="minorEastAsia" w:hAnsiTheme="minorEastAsia" w:eastAsiaTheme="minorEastAsia" w:cstheme="minorEastAsia"/>
          <w:b/>
          <w:bCs/>
          <w:sz w:val="28"/>
          <w:szCs w:val="28"/>
        </w:rPr>
      </w:pPr>
      <w:r>
        <w:rPr>
          <w:rFonts w:hint="eastAsia" w:ascii="隶书" w:hAnsi="宋体" w:eastAsia="隶书"/>
          <w:b/>
          <w:bCs/>
          <w:sz w:val="36"/>
          <w:szCs w:val="36"/>
        </w:rPr>
        <w:t xml:space="preserve">     </w:t>
      </w:r>
      <w:r>
        <w:rPr>
          <w:rFonts w:hint="eastAsia" w:asciiTheme="minorEastAsia" w:hAnsiTheme="minorEastAsia" w:eastAsiaTheme="minorEastAsia" w:cstheme="minorEastAsia"/>
          <w:b/>
          <w:bCs/>
          <w:sz w:val="28"/>
          <w:szCs w:val="28"/>
        </w:rPr>
        <w:t xml:space="preserve">       </w:t>
      </w:r>
    </w:p>
    <w:p>
      <w:pPr>
        <w:adjustRightInd w:val="0"/>
        <w:snapToGrid w:val="0"/>
        <w:spacing w:line="360" w:lineRule="auto"/>
        <w:ind w:firstLine="1124" w:firstLineChars="4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人：许昌市财信担保有限公司</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代理机构：</w:t>
      </w:r>
      <w:r>
        <w:rPr>
          <w:rFonts w:hint="eastAsia" w:asciiTheme="minorEastAsia" w:hAnsiTheme="minorEastAsia" w:eastAsiaTheme="minorEastAsia" w:cstheme="minorEastAsia"/>
          <w:b/>
          <w:bCs/>
          <w:sz w:val="28"/>
          <w:szCs w:val="28"/>
          <w:lang w:eastAsia="zh-CN"/>
        </w:rPr>
        <w:t>河南招标采购服务有限公司</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项目名称：许昌市财信担保有限公司担保业务综合管理系统采购项目</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项目编号：</w:t>
      </w:r>
      <w:r>
        <w:rPr>
          <w:rFonts w:hint="eastAsia" w:asciiTheme="minorEastAsia" w:hAnsiTheme="minorEastAsia" w:eastAsiaTheme="minorEastAsia" w:cstheme="minorEastAsia"/>
          <w:b/>
          <w:bCs/>
          <w:sz w:val="28"/>
          <w:szCs w:val="28"/>
          <w:lang w:eastAsia="zh-CN"/>
        </w:rPr>
        <w:t>JZFCG-T201803</w:t>
      </w:r>
      <w:r>
        <w:rPr>
          <w:rFonts w:hint="eastAsia" w:asciiTheme="minorEastAsia" w:hAnsiTheme="minorEastAsia" w:eastAsiaTheme="minorEastAsia" w:cstheme="minorEastAsia"/>
          <w:b/>
          <w:bCs/>
          <w:sz w:val="28"/>
          <w:szCs w:val="28"/>
          <w:lang w:val="en-US" w:eastAsia="zh-CN"/>
        </w:rPr>
        <w:t>3</w:t>
      </w:r>
      <w:r>
        <w:rPr>
          <w:rFonts w:hint="eastAsia" w:asciiTheme="minorEastAsia" w:hAnsiTheme="minorEastAsia" w:eastAsiaTheme="minorEastAsia" w:cstheme="minorEastAsia"/>
          <w:b/>
          <w:bCs/>
          <w:sz w:val="28"/>
          <w:szCs w:val="28"/>
        </w:rPr>
        <w:t>号</w:t>
      </w:r>
    </w:p>
    <w:p>
      <w:pPr>
        <w:adjustRightInd w:val="0"/>
        <w:snapToGrid w:val="0"/>
        <w:spacing w:line="360" w:lineRule="auto"/>
        <w:rPr>
          <w:rFonts w:ascii="华文中宋" w:hAnsi="华文中宋" w:eastAsia="华文中宋"/>
          <w:b/>
          <w:kern w:val="36"/>
          <w:sz w:val="44"/>
          <w:szCs w:val="44"/>
        </w:rPr>
      </w:pPr>
      <w:r>
        <w:rPr>
          <w:rFonts w:hint="eastAsia" w:asciiTheme="minorEastAsia" w:hAnsiTheme="minorEastAsia" w:eastAsiaTheme="minorEastAsia" w:cstheme="minorEastAsia"/>
          <w:b/>
          <w:bCs/>
          <w:sz w:val="28"/>
          <w:szCs w:val="28"/>
        </w:rPr>
        <w:t xml:space="preserve">        时    间：二〇一八年十二月</w:t>
      </w:r>
    </w:p>
    <w:p>
      <w:pPr>
        <w:widowControl/>
        <w:spacing w:line="480" w:lineRule="exact"/>
        <w:jc w:val="center"/>
        <w:rPr>
          <w:rFonts w:ascii="华文中宋" w:hAnsi="华文中宋" w:eastAsia="华文中宋"/>
          <w:b/>
          <w:kern w:val="36"/>
          <w:sz w:val="44"/>
          <w:szCs w:val="44"/>
        </w:rPr>
      </w:pPr>
    </w:p>
    <w:p>
      <w:pPr>
        <w:pStyle w:val="2"/>
        <w:rPr>
          <w:rFonts w:ascii="华文中宋" w:hAnsi="华文中宋" w:eastAsia="华文中宋"/>
          <w:b/>
          <w:kern w:val="36"/>
          <w:sz w:val="44"/>
          <w:szCs w:val="44"/>
        </w:rPr>
      </w:pPr>
    </w:p>
    <w:p>
      <w:pPr>
        <w:pStyle w:val="2"/>
        <w:rPr>
          <w:rFonts w:ascii="华文中宋" w:hAnsi="华文中宋" w:eastAsia="华文中宋"/>
          <w:b/>
          <w:kern w:val="36"/>
          <w:sz w:val="44"/>
          <w:szCs w:val="44"/>
        </w:rPr>
      </w:pPr>
    </w:p>
    <w:p>
      <w:pPr>
        <w:pStyle w:val="2"/>
        <w:rPr>
          <w:rFonts w:ascii="华文中宋" w:hAnsi="华文中宋" w:eastAsia="华文中宋"/>
          <w:b/>
          <w:kern w:val="36"/>
          <w:sz w:val="44"/>
          <w:szCs w:val="44"/>
        </w:rPr>
      </w:pPr>
      <w:bookmarkStart w:id="36" w:name="_GoBack"/>
      <w:bookmarkEnd w:id="36"/>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w:t>
      </w:r>
      <w:r>
        <w:rPr>
          <w:rFonts w:ascii="黑体" w:hAnsi="黑体" w:eastAsia="黑体"/>
          <w:b/>
          <w:kern w:val="36"/>
          <w:sz w:val="36"/>
          <w:szCs w:val="36"/>
        </w:rPr>
        <w:t xml:space="preserve"> </w:t>
      </w:r>
      <w:r>
        <w:rPr>
          <w:rFonts w:hint="eastAsia" w:ascii="黑体" w:hAnsi="黑体" w:eastAsia="黑体"/>
          <w:b/>
          <w:kern w:val="36"/>
          <w:sz w:val="36"/>
          <w:szCs w:val="36"/>
        </w:rPr>
        <w:t>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采购合同专用条款</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第七章</w:t>
      </w:r>
      <w:r>
        <w:rPr>
          <w:rFonts w:ascii="黑体" w:hAnsi="黑体" w:eastAsia="黑体"/>
          <w:b/>
          <w:kern w:val="36"/>
          <w:sz w:val="36"/>
          <w:szCs w:val="36"/>
        </w:rPr>
        <w:t xml:space="preserve">  </w:t>
      </w:r>
      <w:r>
        <w:rPr>
          <w:rFonts w:hint="eastAsia" w:ascii="黑体" w:hAnsi="黑体" w:eastAsia="黑体"/>
          <w:b/>
          <w:kern w:val="36"/>
          <w:sz w:val="36"/>
          <w:szCs w:val="36"/>
        </w:rPr>
        <w:t>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r>
        <w:rPr>
          <w:rFonts w:hint="eastAsia" w:ascii="黑体" w:hAnsi="黑体" w:eastAsia="黑体"/>
          <w:b/>
          <w:kern w:val="36"/>
          <w:sz w:val="36"/>
          <w:szCs w:val="36"/>
        </w:rPr>
        <w:t xml:space="preserve">       </w:t>
      </w: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hint="eastAsia" w:asciiTheme="minorEastAsia" w:hAnsiTheme="minorEastAsia" w:eastAsiaTheme="minorEastAsia"/>
          <w:b/>
          <w:sz w:val="32"/>
          <w:szCs w:val="32"/>
        </w:rPr>
      </w:pPr>
      <w:r>
        <w:rPr>
          <w:rFonts w:hint="eastAsia" w:ascii="宋体" w:hAnsi="宋体"/>
          <w:b/>
          <w:kern w:val="36"/>
          <w:sz w:val="24"/>
          <w:szCs w:val="24"/>
        </w:rPr>
        <w:br w:type="page"/>
      </w:r>
      <w:r>
        <w:rPr>
          <w:rFonts w:hint="eastAsia" w:asciiTheme="minorEastAsia" w:hAnsiTheme="minorEastAsia" w:eastAsiaTheme="minorEastAsia"/>
          <w:b/>
          <w:sz w:val="32"/>
          <w:szCs w:val="32"/>
        </w:rPr>
        <w:t>第</w:t>
      </w:r>
      <w:r>
        <w:rPr>
          <w:rFonts w:asciiTheme="minorEastAsia" w:hAnsiTheme="minorEastAsia" w:eastAsiaTheme="minorEastAsia"/>
          <w:b/>
          <w:sz w:val="32"/>
          <w:szCs w:val="32"/>
        </w:rPr>
        <w:t>一章</w:t>
      </w:r>
      <w:r>
        <w:rPr>
          <w:rFonts w:hint="eastAsia" w:asciiTheme="minorEastAsia" w:hAnsiTheme="minorEastAsia" w:eastAsiaTheme="minorEastAsia"/>
          <w:b/>
          <w:sz w:val="32"/>
          <w:szCs w:val="32"/>
        </w:rPr>
        <w:t xml:space="preserve"> 竞争性谈判邀请函</w:t>
      </w:r>
    </w:p>
    <w:p>
      <w:pPr>
        <w:widowControl/>
        <w:wordWrap w:val="0"/>
        <w:spacing w:line="360" w:lineRule="auto"/>
        <w:ind w:firstLine="813" w:firstLineChars="225"/>
        <w:jc w:val="center"/>
        <w:rPr>
          <w:rFonts w:hint="eastAsia" w:ascii="宋体" w:hAnsi="宋体" w:eastAsia="宋体" w:cs="宋体"/>
          <w:b/>
          <w:bCs/>
          <w:sz w:val="36"/>
          <w:szCs w:val="36"/>
          <w:shd w:val="clear" w:color="auto" w:fill="FFFFFF"/>
        </w:rPr>
      </w:pPr>
      <w:r>
        <w:rPr>
          <w:rFonts w:hint="eastAsia" w:ascii="宋体" w:hAnsi="宋体" w:eastAsia="宋体" w:cs="宋体"/>
          <w:b/>
          <w:bCs/>
          <w:sz w:val="36"/>
          <w:szCs w:val="36"/>
          <w:shd w:val="clear" w:color="auto" w:fill="FFFFFF"/>
          <w:lang w:eastAsia="zh-CN"/>
        </w:rPr>
        <w:t>JZFCG-T201803</w:t>
      </w:r>
      <w:r>
        <w:rPr>
          <w:rFonts w:hint="eastAsia" w:ascii="宋体" w:hAnsi="宋体" w:cs="宋体"/>
          <w:b/>
          <w:bCs/>
          <w:sz w:val="36"/>
          <w:szCs w:val="36"/>
          <w:shd w:val="clear" w:color="auto" w:fill="FFFFFF"/>
          <w:lang w:val="en-US" w:eastAsia="zh-CN"/>
        </w:rPr>
        <w:t>3</w:t>
      </w:r>
      <w:r>
        <w:rPr>
          <w:rFonts w:hint="eastAsia" w:ascii="宋体" w:hAnsi="宋体" w:eastAsia="宋体" w:cs="宋体"/>
          <w:b/>
          <w:bCs/>
          <w:sz w:val="36"/>
          <w:szCs w:val="36"/>
          <w:shd w:val="clear" w:color="auto" w:fill="FFFFFF"/>
        </w:rPr>
        <w:t>号许昌市财信担保有限公司担保业务综合管理系统采购项目</w:t>
      </w:r>
    </w:p>
    <w:p>
      <w:pPr>
        <w:spacing w:line="360" w:lineRule="auto"/>
        <w:ind w:firstLine="480" w:firstLineChars="200"/>
        <w:jc w:val="left"/>
        <w:rPr>
          <w:rFonts w:ascii="宋体" w:hAnsi="宋体" w:cs="宋体"/>
          <w:kern w:val="0"/>
          <w:sz w:val="24"/>
        </w:rPr>
      </w:pPr>
      <w:r>
        <w:rPr>
          <w:rFonts w:hint="eastAsia" w:cs="仿宋_GB2312" w:asciiTheme="minorEastAsia" w:hAnsiTheme="minorEastAsia"/>
          <w:color w:val="000000"/>
          <w:sz w:val="24"/>
          <w:szCs w:val="24"/>
          <w:shd w:val="clear" w:color="auto" w:fill="FFFFFF"/>
          <w:lang w:val="zh-CN"/>
        </w:rPr>
        <w:t>受许昌市财信担保有限公司的委托，河南招标采购服务有限公司就</w:t>
      </w:r>
      <w:bookmarkStart w:id="0" w:name="_Hlk516997862"/>
      <w:r>
        <w:rPr>
          <w:rFonts w:hint="eastAsia" w:cs="仿宋_GB2312" w:asciiTheme="minorEastAsia" w:hAnsiTheme="minorEastAsia"/>
          <w:color w:val="000000"/>
          <w:sz w:val="24"/>
          <w:szCs w:val="24"/>
          <w:shd w:val="clear" w:color="auto" w:fill="FFFFFF"/>
          <w:lang w:val="zh-CN"/>
        </w:rPr>
        <w:t>许昌市财信担保有限公司担保业务综合管理系统采购项目</w:t>
      </w:r>
      <w:bookmarkEnd w:id="0"/>
      <w:r>
        <w:rPr>
          <w:rFonts w:hint="eastAsia" w:cs="仿宋_GB2312" w:asciiTheme="minorEastAsia" w:hAnsiTheme="minorEastAsia"/>
          <w:color w:val="000000"/>
          <w:sz w:val="24"/>
          <w:szCs w:val="24"/>
          <w:shd w:val="clear" w:color="auto" w:fill="FFFFFF"/>
          <w:lang w:val="zh-CN"/>
        </w:rPr>
        <w:t>进行竞争性谈判，</w:t>
      </w:r>
      <w:r>
        <w:rPr>
          <w:rFonts w:hint="eastAsia" w:ascii="宋体" w:hAnsi="宋体" w:cs="宋体"/>
          <w:kern w:val="0"/>
          <w:sz w:val="24"/>
        </w:rPr>
        <w:t>欢迎合格的供应商参加谈判</w:t>
      </w:r>
      <w:r>
        <w:rPr>
          <w:rFonts w:hint="eastAsia" w:cs="仿宋_GB2312" w:asciiTheme="minorEastAsia" w:hAnsiTheme="minorEastAsia"/>
          <w:color w:val="000000"/>
          <w:sz w:val="24"/>
          <w:szCs w:val="24"/>
          <w:shd w:val="clear" w:color="auto" w:fill="FFFFFF"/>
          <w:lang w:val="zh-CN"/>
        </w:rPr>
        <w:t>。</w:t>
      </w:r>
    </w:p>
    <w:p>
      <w:pPr>
        <w:pStyle w:val="30"/>
        <w:shd w:val="clear" w:color="auto" w:fill="FFFFFF"/>
        <w:spacing w:before="0" w:beforeAutospacing="0" w:after="0" w:afterAutospacing="0" w:line="360" w:lineRule="auto"/>
        <w:ind w:firstLine="556"/>
      </w:pPr>
      <w:r>
        <w:rPr>
          <w:rFonts w:hint="eastAsia"/>
          <w:shd w:val="clear" w:color="auto" w:fill="FFFFFF"/>
        </w:rPr>
        <w:t>一、项目基本情况</w:t>
      </w:r>
    </w:p>
    <w:p>
      <w:pPr>
        <w:pStyle w:val="30"/>
        <w:shd w:val="clear" w:color="auto" w:fill="FFFFFF"/>
        <w:spacing w:before="0" w:beforeAutospacing="0" w:after="0" w:afterAutospacing="0" w:line="360" w:lineRule="auto"/>
        <w:ind w:firstLine="556"/>
        <w:rPr>
          <w:rFonts w:hint="eastAsia"/>
          <w:shd w:val="clear" w:color="auto" w:fill="FFFFFF"/>
        </w:rPr>
      </w:pPr>
      <w:r>
        <w:rPr>
          <w:rFonts w:hint="eastAsia"/>
          <w:shd w:val="clear" w:color="auto" w:fill="FFFFFF"/>
        </w:rPr>
        <w:t>（一）项目名称：许昌市财信担保有限公司担保业务综合管理系统采购项目</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w:t>
      </w:r>
      <w:r>
        <w:rPr>
          <w:rFonts w:hint="eastAsia"/>
          <w:shd w:val="clear" w:color="auto" w:fill="FFFFFF"/>
          <w:lang w:eastAsia="zh-CN"/>
        </w:rPr>
        <w:t>JZFCG-T201803</w:t>
      </w:r>
      <w:r>
        <w:rPr>
          <w:rFonts w:hint="eastAsia"/>
          <w:shd w:val="clear" w:color="auto" w:fill="FFFFFF"/>
          <w:lang w:val="en-US" w:eastAsia="zh-CN"/>
        </w:rPr>
        <w:t>3</w:t>
      </w:r>
      <w:r>
        <w:rPr>
          <w:rFonts w:hint="eastAsia"/>
          <w:shd w:val="clear" w:color="auto" w:fill="FFFFFF"/>
        </w:rPr>
        <w:t>号</w:t>
      </w:r>
    </w:p>
    <w:p>
      <w:pPr>
        <w:pStyle w:val="30"/>
        <w:shd w:val="clear" w:color="auto" w:fill="FFFFFF"/>
        <w:spacing w:before="0" w:beforeAutospacing="0" w:after="0" w:afterAutospacing="0" w:line="360" w:lineRule="auto"/>
        <w:ind w:firstLine="556"/>
        <w:rPr>
          <w:rFonts w:hint="eastAsia" w:cs="仿宋_GB2312" w:asciiTheme="minorEastAsia" w:hAnsiTheme="minorEastAsia" w:eastAsiaTheme="minorEastAsia"/>
          <w:shd w:val="clear" w:color="auto" w:fill="FFFFFF"/>
        </w:rPr>
      </w:pPr>
      <w:r>
        <w:rPr>
          <w:rFonts w:hint="eastAsia"/>
          <w:shd w:val="clear" w:color="auto" w:fill="FFFFFF"/>
        </w:rPr>
        <w:t>（三）项目需求：</w:t>
      </w:r>
      <w:r>
        <w:rPr>
          <w:rFonts w:hint="eastAsia" w:cs="仿宋_GB2312" w:asciiTheme="minorEastAsia" w:hAnsiTheme="minorEastAsia" w:eastAsiaTheme="minorEastAsia"/>
          <w:shd w:val="clear" w:color="auto" w:fill="FFFFFF"/>
        </w:rPr>
        <w:t>担保业务综合管理系统相关系统功能模块（详见招标文件）。</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（四）预算金额：</w:t>
      </w:r>
      <w:r>
        <w:rPr>
          <w:rFonts w:hint="eastAsia"/>
          <w:shd w:val="clear" w:color="auto" w:fill="FFFFFF"/>
          <w:lang w:val="en-US" w:eastAsia="zh-CN"/>
        </w:rPr>
        <w:t>23万</w:t>
      </w:r>
      <w:r>
        <w:rPr>
          <w:rFonts w:hint="eastAsia"/>
          <w:shd w:val="clear" w:color="auto" w:fill="FFFFFF"/>
        </w:rPr>
        <w:t>元；最高限价：</w:t>
      </w:r>
      <w:r>
        <w:rPr>
          <w:rFonts w:hint="eastAsia"/>
          <w:shd w:val="clear" w:color="auto" w:fill="FFFFFF"/>
          <w:lang w:val="en-US" w:eastAsia="zh-CN"/>
        </w:rPr>
        <w:t>23万</w:t>
      </w:r>
      <w:r>
        <w:rPr>
          <w:rFonts w:hint="eastAsia"/>
          <w:shd w:val="clear" w:color="auto" w:fill="FFFFFF"/>
        </w:rPr>
        <w:t>元。</w:t>
      </w:r>
    </w:p>
    <w:p>
      <w:pPr>
        <w:pStyle w:val="23"/>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（五）交付时间：</w:t>
      </w:r>
      <w:r>
        <w:rPr>
          <w:rFonts w:hint="eastAsia" w:ascii="宋体" w:hAnsi="宋体" w:cs="宋体"/>
          <w:kern w:val="0"/>
          <w:sz w:val="24"/>
          <w:szCs w:val="24"/>
          <w:shd w:val="clear" w:color="auto" w:fill="FFFFFF"/>
          <w:lang w:eastAsia="zh-CN"/>
        </w:rPr>
        <w:t>合同签订后</w:t>
      </w:r>
      <w:r>
        <w:rPr>
          <w:rFonts w:hint="eastAsia" w:ascii="宋体" w:hAnsi="宋体" w:cs="宋体"/>
          <w:kern w:val="0"/>
          <w:sz w:val="24"/>
          <w:szCs w:val="24"/>
          <w:shd w:val="clear" w:color="auto" w:fill="FFFFFF"/>
          <w:lang w:val="en-US" w:eastAsia="zh-CN"/>
        </w:rPr>
        <w:t>30天</w:t>
      </w:r>
      <w:r>
        <w:rPr>
          <w:rFonts w:hint="eastAsia" w:ascii="宋体" w:hAnsi="宋体" w:cs="宋体"/>
          <w:kern w:val="0"/>
          <w:sz w:val="24"/>
          <w:szCs w:val="24"/>
          <w:shd w:val="clear" w:color="auto" w:fill="FFFFFF"/>
        </w:rPr>
        <w:t>。</w:t>
      </w:r>
    </w:p>
    <w:p>
      <w:pPr>
        <w:pStyle w:val="23"/>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（六）质量标准：合格（符合国家现行的验收规范和标准）。</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（七）交付地点：</w:t>
      </w:r>
      <w:r>
        <w:rPr>
          <w:rFonts w:hint="eastAsia" w:cs="仿宋_GB2312" w:asciiTheme="minorEastAsia" w:hAnsiTheme="minorEastAsia" w:eastAsiaTheme="minorEastAsia"/>
          <w:color w:val="000000"/>
          <w:shd w:val="clear" w:color="auto" w:fill="FFFFFF"/>
        </w:rPr>
        <w:t>许昌市财信担保有限公司</w:t>
      </w:r>
      <w:r>
        <w:rPr>
          <w:rFonts w:hint="eastAsia"/>
          <w:shd w:val="clear" w:color="auto" w:fill="FFFFFF"/>
        </w:rPr>
        <w:t>。</w:t>
      </w:r>
    </w:p>
    <w:p>
      <w:pPr>
        <w:pStyle w:val="30"/>
        <w:shd w:val="clear" w:color="auto" w:fill="FFFFFF"/>
        <w:spacing w:before="0" w:beforeAutospacing="0" w:after="0" w:afterAutospacing="0" w:line="360" w:lineRule="auto"/>
        <w:ind w:firstLine="562"/>
      </w:pPr>
      <w:r>
        <w:rPr>
          <w:rFonts w:hint="eastAsia"/>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pPr>
      <w:r>
        <w:rPr>
          <w:rFonts w:hint="eastAsia"/>
          <w:shd w:val="clear" w:color="auto" w:fill="FFFFFF"/>
        </w:rPr>
        <w:t>三、供应商资格要求</w:t>
      </w:r>
    </w:p>
    <w:p>
      <w:pPr>
        <w:pStyle w:val="30"/>
        <w:shd w:val="clear" w:color="auto" w:fill="FFFFFF"/>
        <w:spacing w:before="0" w:beforeAutospacing="0" w:after="0" w:afterAutospacing="0" w:line="360" w:lineRule="auto"/>
        <w:ind w:firstLine="562"/>
        <w:rPr>
          <w:shd w:val="clear" w:color="auto" w:fill="FFFFFF"/>
        </w:rPr>
      </w:pPr>
      <w:r>
        <w:rPr>
          <w:rFonts w:hint="eastAsia"/>
          <w:shd w:val="clear" w:color="auto" w:fill="FFFFFF"/>
        </w:rPr>
        <w:t>（一）</w:t>
      </w:r>
      <w:r>
        <w:rPr>
          <w:rFonts w:hint="eastAsia"/>
          <w:bCs/>
          <w:szCs w:val="21"/>
        </w:rPr>
        <w:t>具</w:t>
      </w:r>
      <w:r>
        <w:rPr>
          <w:bCs/>
          <w:szCs w:val="21"/>
        </w:rPr>
        <w:t>备</w:t>
      </w:r>
      <w:r>
        <w:rPr>
          <w:rFonts w:hint="eastAsia"/>
          <w:shd w:val="clear" w:color="auto" w:fill="FFFFFF"/>
        </w:rPr>
        <w:t>《</w:t>
      </w:r>
      <w:r>
        <w:rPr>
          <w:rFonts w:hint="eastAsia"/>
        </w:rPr>
        <w:t>中华人民共和国政府采购法</w:t>
      </w:r>
      <w:r>
        <w:rPr>
          <w:rFonts w:hint="eastAsia"/>
          <w:shd w:val="clear" w:color="auto" w:fill="FFFFFF"/>
        </w:rPr>
        <w:t>》第二十二条规定条件并提供相关材料。</w:t>
      </w:r>
    </w:p>
    <w:p>
      <w:pPr>
        <w:pStyle w:val="30"/>
        <w:shd w:val="clear" w:color="auto" w:fill="FFFFFF"/>
        <w:spacing w:before="0" w:beforeAutospacing="0" w:after="0" w:afterAutospacing="0" w:line="360" w:lineRule="auto"/>
        <w:ind w:firstLine="562"/>
        <w:rPr>
          <w:rFonts w:hint="eastAsia"/>
          <w:lang w:val="zh-CN" w:eastAsia="zh-CN"/>
        </w:rPr>
      </w:pPr>
      <w:r>
        <w:rPr>
          <w:rFonts w:hint="eastAsia"/>
          <w:lang w:val="zh-CN"/>
        </w:rPr>
        <w:t>（二）</w:t>
      </w:r>
      <w:r>
        <w:rPr>
          <w:rFonts w:hint="eastAsia"/>
          <w:lang w:val="zh-CN" w:eastAsia="zh-CN"/>
        </w:rPr>
        <w:t>具备独立法人资格，具有满足相应产品的供货能力以及符合采购产品要求的相应技术人员确保售后服务，并且在资金上有一定的保障能力；</w:t>
      </w:r>
    </w:p>
    <w:p>
      <w:pPr>
        <w:pStyle w:val="30"/>
        <w:shd w:val="clear" w:color="auto" w:fill="FFFFFF"/>
        <w:spacing w:before="0" w:beforeAutospacing="0" w:after="0" w:afterAutospacing="0" w:line="360" w:lineRule="auto"/>
        <w:ind w:firstLine="562"/>
        <w:rPr>
          <w:rFonts w:hint="eastAsia"/>
          <w:lang w:val="zh-CN" w:eastAsia="zh-CN"/>
        </w:rPr>
      </w:pPr>
      <w:r>
        <w:rPr>
          <w:rFonts w:hint="eastAsia"/>
          <w:lang w:val="zh-CN" w:eastAsia="zh-CN"/>
        </w:rPr>
        <w:t>（三）具备软件著作权登记证明或专利证明。</w:t>
      </w:r>
    </w:p>
    <w:p>
      <w:pPr>
        <w:pStyle w:val="30"/>
        <w:shd w:val="clear" w:color="auto" w:fill="FFFFFF"/>
        <w:spacing w:before="0" w:beforeAutospacing="0" w:after="0" w:afterAutospacing="0" w:line="360" w:lineRule="auto"/>
        <w:ind w:firstLine="562"/>
        <w:rPr>
          <w:rFonts w:hint="eastAsia"/>
          <w:lang w:val="zh-CN" w:eastAsia="zh-CN"/>
        </w:rPr>
      </w:pPr>
      <w:r>
        <w:rPr>
          <w:rFonts w:hint="eastAsia"/>
          <w:lang w:val="zh-CN" w:eastAsia="zh-CN"/>
        </w:rPr>
        <w:t>（四）需提供2014年至今该类相关专业项目的成功案例（须提供合同和验收证明复印件）。</w:t>
      </w:r>
    </w:p>
    <w:p>
      <w:pPr>
        <w:pStyle w:val="30"/>
        <w:shd w:val="clear" w:color="auto" w:fill="FFFFFF"/>
        <w:spacing w:before="0" w:beforeAutospacing="0" w:after="0" w:afterAutospacing="0" w:line="360" w:lineRule="auto"/>
        <w:ind w:firstLine="562"/>
        <w:rPr>
          <w:rFonts w:hint="eastAsia"/>
          <w:lang w:val="zh-CN"/>
        </w:rPr>
      </w:pPr>
      <w:r>
        <w:rPr>
          <w:rFonts w:hint="eastAsia"/>
          <w:lang w:val="zh-CN"/>
        </w:rPr>
        <w:t xml:space="preserve"> (</w:t>
      </w:r>
      <w:r>
        <w:rPr>
          <w:rFonts w:hint="eastAsia"/>
          <w:lang w:val="zh-CN" w:eastAsia="zh-CN"/>
        </w:rPr>
        <w:t>五</w:t>
      </w:r>
      <w:r>
        <w:rPr>
          <w:rFonts w:hint="eastAsia"/>
          <w:lang w:val="zh-CN"/>
        </w:rPr>
        <w:t>) 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30"/>
        <w:shd w:val="clear" w:color="auto" w:fill="FFFFFF"/>
        <w:spacing w:before="0" w:beforeAutospacing="0" w:after="0" w:afterAutospacing="0" w:line="360" w:lineRule="auto"/>
        <w:ind w:firstLine="562"/>
      </w:pPr>
      <w:r>
        <w:rPr>
          <w:rFonts w:hint="eastAsia"/>
        </w:rPr>
        <w:t>（</w:t>
      </w:r>
      <w:r>
        <w:rPr>
          <w:rFonts w:hint="eastAsia"/>
          <w:lang w:eastAsia="zh-CN"/>
        </w:rPr>
        <w:t>六</w:t>
      </w:r>
      <w:r>
        <w:rPr>
          <w:rFonts w:hint="eastAsia"/>
        </w:rPr>
        <w:t>）本项目不接受联合体参加谈判。</w:t>
      </w:r>
    </w:p>
    <w:p>
      <w:pPr>
        <w:pStyle w:val="30"/>
        <w:shd w:val="clear" w:color="auto" w:fill="FFFFFF"/>
        <w:spacing w:before="0" w:beforeAutospacing="0" w:after="0" w:afterAutospacing="0" w:line="360" w:lineRule="auto"/>
        <w:ind w:firstLine="556"/>
      </w:pPr>
      <w:r>
        <w:rPr>
          <w:rFonts w:hint="eastAsia"/>
          <w:shd w:val="clear" w:color="auto" w:fill="FFFFFF"/>
        </w:rPr>
        <w:t>四、获取谈判文件的时间、地点、方式</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widowControl/>
        <w:wordWrap w:val="0"/>
        <w:spacing w:line="360" w:lineRule="auto"/>
        <w:ind w:firstLine="540" w:firstLineChars="225"/>
        <w:jc w:val="left"/>
        <w:rPr>
          <w:rFonts w:ascii="宋体" w:hAnsi="宋体" w:cs="宋体"/>
          <w:sz w:val="24"/>
          <w:shd w:val="clear" w:color="auto" w:fill="FFFFFF"/>
        </w:rPr>
      </w:pPr>
      <w:r>
        <w:rPr>
          <w:rFonts w:hint="eastAsia" w:ascii="宋体" w:hAnsi="宋体" w:cs="宋体"/>
          <w:kern w:val="0"/>
          <w:sz w:val="24"/>
        </w:rPr>
        <w:t>（三）谈判文件售价：人民币300元，供应商在递交谈判响应文件时向代理公司交纳谈判文件费用，售后不退。</w:t>
      </w:r>
    </w:p>
    <w:p>
      <w:pPr>
        <w:pStyle w:val="30"/>
        <w:shd w:val="clear" w:color="auto" w:fill="FFFFFF"/>
        <w:spacing w:before="0" w:beforeAutospacing="0" w:after="0" w:afterAutospacing="0" w:line="360" w:lineRule="auto"/>
        <w:ind w:firstLine="480" w:firstLineChars="200"/>
      </w:pPr>
      <w:r>
        <w:rPr>
          <w:rFonts w:hint="eastAsia"/>
          <w:shd w:val="clear" w:color="auto" w:fill="FFFFFF"/>
        </w:rPr>
        <w:t>五、谈判文件接收截止时间、谈判时间及地点</w:t>
      </w:r>
    </w:p>
    <w:p>
      <w:pPr>
        <w:pStyle w:val="30"/>
        <w:shd w:val="clear" w:color="auto" w:fill="FFFFFF"/>
        <w:spacing w:before="0" w:beforeAutospacing="0" w:after="0" w:afterAutospacing="0" w:line="360" w:lineRule="auto"/>
        <w:ind w:firstLine="562"/>
      </w:pPr>
      <w:r>
        <w:rPr>
          <w:rFonts w:hint="eastAsia"/>
          <w:shd w:val="clear" w:color="auto" w:fill="FFFFFF"/>
        </w:rPr>
        <w:t>（一）谈判文件接收截止及谈判时间：201</w:t>
      </w:r>
      <w:r>
        <w:rPr>
          <w:rFonts w:hint="eastAsia"/>
          <w:shd w:val="clear" w:color="auto" w:fill="FFFFFF"/>
          <w:lang w:val="en-US" w:eastAsia="zh-CN"/>
        </w:rPr>
        <w:t>9</w:t>
      </w:r>
      <w:r>
        <w:rPr>
          <w:rFonts w:hint="eastAsia"/>
          <w:shd w:val="clear" w:color="auto" w:fill="FFFFFF"/>
        </w:rPr>
        <w:t>年</w:t>
      </w:r>
      <w:r>
        <w:rPr>
          <w:rFonts w:hint="eastAsia"/>
          <w:u w:val="single"/>
          <w:shd w:val="clear" w:color="auto" w:fill="FFFFFF"/>
        </w:rPr>
        <w:t xml:space="preserve"> </w:t>
      </w:r>
      <w:r>
        <w:rPr>
          <w:rFonts w:hint="eastAsia"/>
          <w:u w:val="single"/>
          <w:shd w:val="clear" w:color="auto" w:fill="FFFFFF"/>
          <w:lang w:val="en-US" w:eastAsia="zh-CN"/>
        </w:rPr>
        <w:t>1</w:t>
      </w:r>
      <w:r>
        <w:rPr>
          <w:rFonts w:hint="eastAsia"/>
          <w:u w:val="single"/>
          <w:shd w:val="clear" w:color="auto" w:fill="FFFFFF"/>
        </w:rPr>
        <w:t xml:space="preserve"> </w:t>
      </w:r>
      <w:r>
        <w:rPr>
          <w:rFonts w:hint="eastAsia"/>
          <w:shd w:val="clear" w:color="auto" w:fill="FFFFFF"/>
        </w:rPr>
        <w:t>月</w:t>
      </w:r>
      <w:r>
        <w:rPr>
          <w:rFonts w:hint="eastAsia"/>
          <w:u w:val="single"/>
          <w:shd w:val="clear" w:color="auto" w:fill="FFFFFF"/>
          <w:lang w:val="en-US" w:eastAsia="zh-CN"/>
        </w:rPr>
        <w:t xml:space="preserve"> 10 </w:t>
      </w:r>
      <w:r>
        <w:rPr>
          <w:rFonts w:hint="eastAsia"/>
          <w:shd w:val="clear" w:color="auto" w:fill="FFFFFF"/>
        </w:rPr>
        <w:t>日</w:t>
      </w:r>
      <w:r>
        <w:rPr>
          <w:rFonts w:hint="eastAsia"/>
          <w:u w:val="single"/>
          <w:shd w:val="clear" w:color="auto" w:fill="FFFFFF"/>
        </w:rPr>
        <w:t xml:space="preserve"> </w:t>
      </w:r>
      <w:r>
        <w:rPr>
          <w:rFonts w:hint="eastAsia"/>
          <w:u w:val="single"/>
          <w:shd w:val="clear" w:color="auto" w:fill="FFFFFF"/>
          <w:lang w:val="en-US" w:eastAsia="zh-CN"/>
        </w:rPr>
        <w:t xml:space="preserve"> 9</w:t>
      </w:r>
      <w:r>
        <w:rPr>
          <w:rFonts w:hint="eastAsia"/>
          <w:u w:val="single"/>
          <w:shd w:val="clear" w:color="auto" w:fill="FFFFFF"/>
        </w:rPr>
        <w:t xml:space="preserve"> </w:t>
      </w:r>
      <w:r>
        <w:rPr>
          <w:rFonts w:hint="eastAsia"/>
          <w:shd w:val="clear" w:color="auto" w:fill="FFFFFF"/>
        </w:rPr>
        <w:t>时</w:t>
      </w:r>
      <w:r>
        <w:rPr>
          <w:rFonts w:hint="eastAsia"/>
          <w:u w:val="single"/>
          <w:shd w:val="clear" w:color="auto" w:fill="FFFFFF"/>
        </w:rPr>
        <w:t xml:space="preserve">  30  </w:t>
      </w:r>
      <w:r>
        <w:rPr>
          <w:rFonts w:hint="eastAsia"/>
          <w:shd w:val="clear" w:color="auto" w:fill="FFFFFF"/>
        </w:rPr>
        <w:t>分（北京时间），逾期送达或不符合规定的响应文件不予接受。</w:t>
      </w:r>
    </w:p>
    <w:p>
      <w:pPr>
        <w:pStyle w:val="30"/>
        <w:shd w:val="clear" w:color="auto" w:fill="FFFFFF"/>
        <w:spacing w:before="0" w:beforeAutospacing="0" w:after="0" w:afterAutospacing="0" w:line="360" w:lineRule="auto"/>
        <w:ind w:firstLine="562"/>
      </w:pPr>
      <w:r>
        <w:rPr>
          <w:rFonts w:hint="eastAsia"/>
          <w:shd w:val="clear" w:color="auto" w:fill="FFFFFF"/>
        </w:rPr>
        <w:t>（二）谈判地点：</w:t>
      </w:r>
      <w:r>
        <w:rPr>
          <w:rFonts w:hint="eastAsia"/>
        </w:rPr>
        <w:t>许昌公共资源交易中心开标</w:t>
      </w:r>
      <w:r>
        <w:rPr>
          <w:rFonts w:hint="eastAsia"/>
          <w:u w:val="single"/>
          <w:lang w:val="en-US" w:eastAsia="zh-CN"/>
        </w:rPr>
        <w:t xml:space="preserve"> </w:t>
      </w:r>
      <w:r>
        <w:rPr>
          <w:rFonts w:hint="eastAsia"/>
          <w:u w:val="single"/>
          <w:lang w:eastAsia="zh-CN"/>
        </w:rPr>
        <w:t>五</w:t>
      </w:r>
      <w:r>
        <w:rPr>
          <w:rFonts w:hint="eastAsia"/>
          <w:u w:val="single"/>
          <w:lang w:val="en-US" w:eastAsia="zh-CN"/>
        </w:rPr>
        <w:t xml:space="preserve"> </w:t>
      </w:r>
      <w:r>
        <w:rPr>
          <w:rFonts w:hint="eastAsia"/>
          <w:u w:val="single"/>
        </w:rPr>
        <w:t>室</w:t>
      </w:r>
      <w:r>
        <w:rPr>
          <w:rFonts w:hint="eastAsia"/>
        </w:rPr>
        <w:t>（许昌市龙兴路与竹林路交汇处公共资源交易大厦三楼）</w:t>
      </w:r>
      <w:r>
        <w:rPr>
          <w:rFonts w:hint="eastAsia"/>
          <w:shd w:val="clear" w:color="auto" w:fill="FFFFFF"/>
        </w:rPr>
        <w:t>。</w:t>
      </w:r>
    </w:p>
    <w:p>
      <w:pPr>
        <w:pStyle w:val="30"/>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六、本次谈判公告同时在《中国政府采购网》、《河南省政府采购网》《许昌市政府采购网》和《全国公共资源交易平台（河南省·许昌市）》发布。</w:t>
      </w:r>
    </w:p>
    <w:p>
      <w:pPr>
        <w:pStyle w:val="30"/>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七、公告期限：自本公告发布之日起3个工作日。</w:t>
      </w:r>
    </w:p>
    <w:p>
      <w:pPr>
        <w:pStyle w:val="30"/>
        <w:shd w:val="clear" w:color="auto" w:fill="FFFFFF"/>
        <w:spacing w:before="0" w:beforeAutospacing="0" w:after="0" w:afterAutospacing="0" w:line="360" w:lineRule="auto"/>
        <w:ind w:firstLine="480" w:firstLineChars="200"/>
        <w:jc w:val="left"/>
      </w:pPr>
      <w:r>
        <w:rPr>
          <w:rFonts w:hint="eastAsia"/>
          <w:shd w:val="clear" w:color="auto" w:fill="FFFFFF"/>
        </w:rPr>
        <w:t>八、联系方式</w:t>
      </w:r>
    </w:p>
    <w:p>
      <w:pPr>
        <w:pStyle w:val="30"/>
        <w:shd w:val="clear" w:color="auto" w:fill="FFFFFF"/>
        <w:spacing w:before="0" w:beforeAutospacing="0" w:after="0" w:afterAutospacing="0" w:line="360" w:lineRule="auto"/>
        <w:ind w:firstLine="480" w:firstLineChars="200"/>
        <w:jc w:val="left"/>
        <w:rPr>
          <w:rFonts w:hint="eastAsia"/>
          <w:shd w:val="clear" w:color="auto" w:fill="FFFFFF"/>
        </w:rPr>
      </w:pPr>
      <w:r>
        <w:rPr>
          <w:rFonts w:hint="eastAsia"/>
          <w:shd w:val="clear" w:color="auto" w:fill="FFFFFF"/>
        </w:rPr>
        <w:t>采购人：许昌市财信担保有限公司</w:t>
      </w:r>
    </w:p>
    <w:p>
      <w:pPr>
        <w:pStyle w:val="30"/>
        <w:shd w:val="clear" w:color="auto" w:fill="FFFFFF"/>
        <w:spacing w:before="0" w:beforeAutospacing="0" w:after="0" w:afterAutospacing="0" w:line="360" w:lineRule="auto"/>
        <w:ind w:firstLine="480" w:firstLineChars="200"/>
        <w:jc w:val="left"/>
        <w:rPr>
          <w:rFonts w:hint="eastAsia"/>
          <w:shd w:val="clear" w:color="auto" w:fill="FFFFFF"/>
          <w:lang w:val="en-US" w:eastAsia="zh-CN"/>
        </w:rPr>
      </w:pPr>
      <w:r>
        <w:rPr>
          <w:rFonts w:hint="eastAsia"/>
          <w:shd w:val="clear" w:color="auto" w:fill="FFFFFF"/>
        </w:rPr>
        <w:t>地 址： 许昌</w:t>
      </w:r>
      <w:r>
        <w:rPr>
          <w:rFonts w:hint="eastAsia"/>
          <w:shd w:val="clear" w:color="auto" w:fill="FFFFFF"/>
          <w:lang w:eastAsia="zh-CN"/>
        </w:rPr>
        <w:t>魏都区龙兴路投资大厦</w:t>
      </w:r>
      <w:r>
        <w:rPr>
          <w:rFonts w:hint="eastAsia"/>
          <w:shd w:val="clear" w:color="auto" w:fill="FFFFFF"/>
          <w:lang w:val="en-US" w:eastAsia="zh-CN"/>
        </w:rPr>
        <w:t>17楼</w:t>
      </w:r>
    </w:p>
    <w:p>
      <w:pPr>
        <w:pStyle w:val="30"/>
        <w:shd w:val="clear" w:color="auto" w:fill="FFFFFF"/>
        <w:spacing w:before="0" w:beforeAutospacing="0" w:after="0" w:afterAutospacing="0" w:line="360" w:lineRule="auto"/>
        <w:ind w:firstLine="480" w:firstLineChars="200"/>
        <w:jc w:val="left"/>
        <w:rPr>
          <w:rFonts w:hint="eastAsia"/>
          <w:shd w:val="clear" w:color="auto" w:fill="FFFFFF"/>
        </w:rPr>
      </w:pPr>
      <w:r>
        <w:rPr>
          <w:rFonts w:hint="eastAsia"/>
          <w:shd w:val="clear" w:color="auto" w:fill="FFFFFF"/>
        </w:rPr>
        <w:t>联系人：齐孟阳      联系电话：15939978256</w:t>
      </w:r>
    </w:p>
    <w:p>
      <w:pPr>
        <w:pStyle w:val="30"/>
        <w:shd w:val="clear" w:color="auto" w:fill="FFFFFF"/>
        <w:spacing w:before="0" w:beforeAutospacing="0" w:after="0" w:afterAutospacing="0" w:line="360" w:lineRule="auto"/>
        <w:ind w:firstLine="480" w:firstLineChars="200"/>
        <w:jc w:val="left"/>
        <w:rPr>
          <w:rFonts w:hint="eastAsia"/>
          <w:shd w:val="clear" w:color="auto" w:fill="FFFFFF"/>
          <w:lang w:eastAsia="zh-CN"/>
        </w:rPr>
      </w:pPr>
      <w:r>
        <w:rPr>
          <w:rFonts w:hint="eastAsia"/>
          <w:shd w:val="clear" w:color="auto" w:fill="FFFFFF"/>
        </w:rPr>
        <w:t>代理机构：</w:t>
      </w:r>
      <w:r>
        <w:rPr>
          <w:rFonts w:hint="eastAsia"/>
          <w:shd w:val="clear" w:color="auto" w:fill="FFFFFF"/>
          <w:lang w:eastAsia="zh-CN"/>
        </w:rPr>
        <w:t>河南招标采购服务有限公司</w:t>
      </w:r>
    </w:p>
    <w:p>
      <w:pPr>
        <w:pStyle w:val="30"/>
        <w:shd w:val="clear" w:color="auto" w:fill="FFFFFF"/>
        <w:spacing w:before="0" w:beforeAutospacing="0" w:after="0" w:afterAutospacing="0" w:line="360" w:lineRule="auto"/>
        <w:ind w:firstLine="480" w:firstLineChars="200"/>
        <w:jc w:val="left"/>
        <w:rPr>
          <w:rFonts w:hint="eastAsia"/>
          <w:shd w:val="clear" w:color="auto" w:fill="FFFFFF"/>
        </w:rPr>
      </w:pPr>
      <w:r>
        <w:rPr>
          <w:rFonts w:hint="eastAsia"/>
          <w:shd w:val="clear" w:color="auto" w:fill="FFFFFF"/>
        </w:rPr>
        <w:t>地 址：许昌市芙蓉大道芙蓉电子商务中心1号楼21楼</w:t>
      </w:r>
    </w:p>
    <w:p>
      <w:pPr>
        <w:pStyle w:val="30"/>
        <w:shd w:val="clear" w:color="auto" w:fill="FFFFFF"/>
        <w:spacing w:before="0" w:beforeAutospacing="0" w:after="0" w:afterAutospacing="0" w:line="360" w:lineRule="auto"/>
        <w:ind w:firstLine="480" w:firstLineChars="200"/>
        <w:jc w:val="left"/>
        <w:rPr>
          <w:rFonts w:hint="eastAsia"/>
          <w:shd w:val="clear" w:color="auto" w:fill="FFFFFF"/>
        </w:rPr>
      </w:pPr>
      <w:r>
        <w:rPr>
          <w:rFonts w:hint="eastAsia"/>
          <w:shd w:val="clear" w:color="auto" w:fill="FFFFFF"/>
        </w:rPr>
        <w:t>联 系 人：</w:t>
      </w:r>
      <w:r>
        <w:rPr>
          <w:rFonts w:hint="eastAsia"/>
          <w:shd w:val="clear" w:color="auto" w:fill="FFFFFF"/>
          <w:lang w:eastAsia="zh-CN"/>
        </w:rPr>
        <w:t>刘女士</w:t>
      </w:r>
      <w:r>
        <w:rPr>
          <w:rFonts w:hint="eastAsia"/>
          <w:shd w:val="clear" w:color="auto" w:fill="FFFFFF"/>
        </w:rPr>
        <w:t xml:space="preserve">    联系电话：0374-2219766</w:t>
      </w:r>
    </w:p>
    <w:p>
      <w:pPr>
        <w:pStyle w:val="30"/>
        <w:shd w:val="clear" w:color="auto" w:fill="FFFFFF"/>
        <w:spacing w:before="0" w:beforeAutospacing="0" w:after="0" w:afterAutospacing="0" w:line="360" w:lineRule="auto"/>
        <w:ind w:firstLine="480" w:firstLineChars="200"/>
        <w:jc w:val="right"/>
        <w:rPr>
          <w:shd w:val="clear" w:color="auto" w:fill="FFFFFF"/>
        </w:rPr>
      </w:pPr>
      <w:r>
        <w:rPr>
          <w:rFonts w:hint="eastAsia"/>
          <w:shd w:val="clear" w:color="auto" w:fill="FFFFFF"/>
        </w:rPr>
        <w:t xml:space="preserve">                          </w:t>
      </w:r>
    </w:p>
    <w:p>
      <w:pPr>
        <w:pStyle w:val="30"/>
        <w:shd w:val="clear" w:color="auto" w:fill="FFFFFF"/>
        <w:spacing w:before="0" w:beforeAutospacing="0" w:after="0" w:afterAutospacing="0" w:line="360" w:lineRule="auto"/>
        <w:ind w:firstLine="480" w:firstLineChars="200"/>
        <w:jc w:val="right"/>
        <w:rPr>
          <w:shd w:val="clear" w:color="auto" w:fill="FFFFFF"/>
        </w:rPr>
      </w:pPr>
      <w:r>
        <w:rPr>
          <w:rFonts w:hint="eastAsia"/>
          <w:shd w:val="clear" w:color="auto" w:fill="FFFFFF"/>
        </w:rPr>
        <w:t xml:space="preserve"> </w:t>
      </w:r>
      <w:r>
        <w:rPr>
          <w:rFonts w:hint="eastAsia" w:cs="仿宋_GB2312" w:asciiTheme="minorEastAsia" w:hAnsiTheme="minorEastAsia"/>
          <w:sz w:val="24"/>
          <w:szCs w:val="24"/>
        </w:rPr>
        <w:t xml:space="preserve">许昌市财信担保有限公司 </w:t>
      </w:r>
    </w:p>
    <w:p>
      <w:pPr>
        <w:pStyle w:val="30"/>
        <w:shd w:val="clear" w:color="auto" w:fill="FFFFFF"/>
        <w:wordWrap w:val="0"/>
        <w:spacing w:before="0" w:beforeAutospacing="0" w:after="0" w:afterAutospacing="0" w:line="360" w:lineRule="auto"/>
        <w:ind w:firstLine="480" w:firstLineChars="200"/>
        <w:jc w:val="center"/>
        <w:rPr>
          <w:rFonts w:asciiTheme="majorEastAsia" w:hAnsiTheme="majorEastAsia" w:eastAsiaTheme="majorEastAsia"/>
          <w:b/>
          <w:sz w:val="32"/>
          <w:szCs w:val="32"/>
        </w:rPr>
      </w:pPr>
      <w:r>
        <w:rPr>
          <w:rFonts w:hint="eastAsia"/>
          <w:shd w:val="clear" w:color="auto" w:fill="FFFFFF"/>
          <w:lang w:val="en-US" w:eastAsia="zh-CN"/>
        </w:rPr>
        <w:t xml:space="preserve">                                                    2018</w:t>
      </w:r>
      <w:r>
        <w:rPr>
          <w:rFonts w:hint="eastAsia"/>
          <w:shd w:val="clear" w:color="auto" w:fill="FFFFFF"/>
        </w:rPr>
        <w:t>年</w:t>
      </w:r>
      <w:r>
        <w:rPr>
          <w:rFonts w:hint="eastAsia"/>
          <w:shd w:val="clear" w:color="auto" w:fill="FFFFFF"/>
          <w:lang w:val="en-US" w:eastAsia="zh-CN"/>
        </w:rPr>
        <w:t>12月</w:t>
      </w:r>
      <w:r>
        <w:rPr>
          <w:rFonts w:ascii="华文中宋" w:hAnsi="华文中宋" w:eastAsia="华文中宋"/>
          <w:b/>
          <w:sz w:val="32"/>
          <w:szCs w:val="32"/>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8"/>
        <w:tblW w:w="96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71"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0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061" w:type="dxa"/>
            <w:vAlign w:val="center"/>
          </w:tcPr>
          <w:p>
            <w:pPr>
              <w:spacing w:line="300" w:lineRule="auto"/>
              <w:rPr>
                <w:rFonts w:hint="eastAsia" w:ascii="宋体" w:hAnsi="宋体" w:eastAsia="宋体" w:cs="宋体"/>
                <w:bCs/>
                <w:szCs w:val="21"/>
                <w:lang w:eastAsia="zh-CN"/>
              </w:rPr>
            </w:pPr>
            <w:r>
              <w:rPr>
                <w:rFonts w:hint="eastAsia" w:ascii="宋体" w:hAnsi="宋体" w:eastAsia="宋体" w:cs="宋体"/>
                <w:bCs/>
                <w:szCs w:val="21"/>
                <w:lang w:eastAsia="zh-CN"/>
              </w:rPr>
              <w:t>许昌市财信担保有限公司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061" w:type="dxa"/>
            <w:vAlign w:val="center"/>
          </w:tcPr>
          <w:p>
            <w:pPr>
              <w:spacing w:line="300" w:lineRule="auto"/>
              <w:rPr>
                <w:rFonts w:hint="eastAsia" w:ascii="宋体" w:hAnsi="宋体" w:eastAsia="宋体" w:cs="宋体"/>
                <w:bCs/>
                <w:szCs w:val="21"/>
                <w:lang w:eastAsia="zh-CN"/>
              </w:rPr>
            </w:pPr>
            <w:r>
              <w:rPr>
                <w:rFonts w:hint="eastAsia" w:ascii="宋体" w:hAnsi="宋体" w:eastAsia="宋体" w:cs="宋体"/>
                <w:bCs/>
                <w:szCs w:val="21"/>
                <w:lang w:eastAsia="zh-CN"/>
              </w:rPr>
              <w:t>许昌市财信担保有限公司担保业务综合管理系统采购项目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061" w:type="dxa"/>
            <w:vAlign w:val="center"/>
          </w:tcPr>
          <w:p>
            <w:pPr>
              <w:spacing w:line="300" w:lineRule="auto"/>
              <w:rPr>
                <w:rFonts w:ascii="宋体" w:hAnsi="宋体" w:cs="宋体"/>
                <w:bCs/>
                <w:szCs w:val="21"/>
              </w:rPr>
            </w:pPr>
            <w:r>
              <w:rPr>
                <w:rFonts w:hint="eastAsia" w:ascii="宋体" w:hAnsi="宋体" w:cs="宋体"/>
                <w:bCs/>
                <w:szCs w:val="21"/>
                <w:lang w:eastAsia="zh-CN"/>
              </w:rPr>
              <w:t>JZFCG-T201803</w:t>
            </w:r>
            <w:r>
              <w:rPr>
                <w:rFonts w:hint="eastAsia" w:ascii="宋体" w:hAnsi="宋体" w:cs="宋体"/>
                <w:bCs/>
                <w:szCs w:val="21"/>
                <w:lang w:val="en-US" w:eastAsia="zh-CN"/>
              </w:rPr>
              <w:t>3</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代理机构</w:t>
            </w:r>
          </w:p>
        </w:tc>
        <w:tc>
          <w:tcPr>
            <w:tcW w:w="8061" w:type="dxa"/>
            <w:vAlign w:val="center"/>
          </w:tcPr>
          <w:p>
            <w:pPr>
              <w:spacing w:line="300" w:lineRule="auto"/>
              <w:rPr>
                <w:rFonts w:hint="eastAsia" w:ascii="宋体" w:hAnsi="宋体" w:eastAsia="宋体" w:cs="宋体"/>
                <w:bCs/>
                <w:szCs w:val="21"/>
                <w:lang w:eastAsia="zh-CN"/>
              </w:rPr>
            </w:pPr>
            <w:r>
              <w:rPr>
                <w:rFonts w:hint="eastAsia" w:ascii="宋体" w:hAnsi="宋体" w:eastAsia="宋体" w:cs="宋体"/>
                <w:bCs/>
                <w:szCs w:val="21"/>
                <w:lang w:eastAsia="zh-CN"/>
              </w:rPr>
              <w:t>河南招标采购服务有限公司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061"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061"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1.具备《中华人民共和国政府采购法》第二十二条规定的条件及其他特殊条件。符合谈判文件第一章竞争性谈判邀请函中供应商资格要求。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5" w:leftChars="-9" w:hanging="14" w:hangingChars="7"/>
              <w:rPr>
                <w:rFonts w:hint="eastAsia" w:ascii="宋体" w:hAnsi="宋体" w:cs="宋体"/>
                <w:bCs/>
                <w:szCs w:val="21"/>
              </w:rPr>
            </w:pPr>
            <w:r>
              <w:rPr>
                <w:rFonts w:hint="eastAsia" w:ascii="宋体" w:hAnsi="宋体" w:cs="宋体"/>
                <w:bCs/>
                <w:szCs w:val="21"/>
              </w:rPr>
              <w:t>2.</w:t>
            </w:r>
            <w:r>
              <w:rPr>
                <w:rFonts w:hint="eastAsia" w:hAnsi="宋体" w:cs="宋体"/>
                <w:color w:val="000000"/>
                <w:sz w:val="24"/>
                <w:szCs w:val="24"/>
              </w:rPr>
              <w:t xml:space="preserve"> </w:t>
            </w:r>
            <w:r>
              <w:rPr>
                <w:rFonts w:hint="eastAsia" w:cs="宋体" w:asciiTheme="minorEastAsia" w:hAnsiTheme="minorEastAsia"/>
                <w:kern w:val="0"/>
                <w:lang w:val="zh-CN" w:eastAsia="zh-CN"/>
              </w:rPr>
              <w:t>具备独立法人资格，具有满足相应产品的供货能力以及符合采购产品要求的相应技术人员确保售后服务，并且在资金上有一定的保障能力</w:t>
            </w:r>
            <w:r>
              <w:rPr>
                <w:rFonts w:hint="eastAsia" w:hAnsi="宋体" w:cs="宋体"/>
                <w:color w:val="000000"/>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5" w:leftChars="-9" w:hanging="14" w:hangingChars="7"/>
              <w:rPr>
                <w:rFonts w:hint="eastAsia" w:ascii="宋体" w:hAnsi="宋体" w:eastAsia="宋体" w:cs="宋体"/>
                <w:bCs/>
                <w:szCs w:val="21"/>
                <w:lang w:val="en-US" w:eastAsia="zh-CN"/>
              </w:rPr>
            </w:pPr>
            <w:r>
              <w:rPr>
                <w:rFonts w:hint="eastAsia" w:ascii="宋体" w:hAnsi="宋体" w:cs="宋体"/>
                <w:bCs/>
                <w:szCs w:val="21"/>
                <w:lang w:val="en-US" w:eastAsia="zh-CN"/>
              </w:rPr>
              <w:t>3.</w:t>
            </w:r>
            <w:r>
              <w:rPr>
                <w:rFonts w:hint="eastAsia" w:cs="宋体" w:asciiTheme="minorEastAsia" w:hAnsiTheme="minorEastAsia"/>
                <w:kern w:val="0"/>
                <w:lang w:val="zh-CN" w:eastAsia="zh-CN"/>
              </w:rPr>
              <w:t>具备软件著作权登记证明或专利证明。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5" w:leftChars="-9" w:hanging="14" w:hangingChars="7"/>
              <w:rPr>
                <w:rFonts w:hint="eastAsia" w:ascii="宋体" w:hAnsi="宋体" w:eastAsia="宋体" w:cs="宋体"/>
                <w:bCs/>
                <w:szCs w:val="21"/>
                <w:lang w:val="en-US" w:eastAsia="zh-CN"/>
              </w:rPr>
            </w:pPr>
            <w:r>
              <w:rPr>
                <w:rFonts w:hint="eastAsia" w:ascii="宋体" w:hAnsi="宋体" w:cs="宋体"/>
                <w:bCs/>
                <w:szCs w:val="21"/>
                <w:lang w:val="en-US" w:eastAsia="zh-CN"/>
              </w:rPr>
              <w:t>4.</w:t>
            </w:r>
            <w:r>
              <w:rPr>
                <w:rFonts w:hint="eastAsia" w:cs="宋体" w:asciiTheme="minorEastAsia" w:hAnsiTheme="minorEastAsia"/>
                <w:kern w:val="0"/>
                <w:lang w:val="zh-CN" w:eastAsia="zh-CN"/>
              </w:rPr>
              <w:t>需提供2014年至今该类相关专业项目的成功案例（须提供合同和验收证明复印件）。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061" w:type="dxa"/>
            <w:vAlign w:val="center"/>
          </w:tcPr>
          <w:p>
            <w:pPr>
              <w:spacing w:line="300" w:lineRule="auto"/>
              <w:rPr>
                <w:rFonts w:ascii="宋体" w:hAnsi="宋体" w:cs="宋体"/>
                <w:bCs/>
                <w:szCs w:val="21"/>
              </w:rPr>
            </w:pPr>
            <w:r>
              <w:rPr>
                <w:rFonts w:hint="eastAsia" w:ascii="宋体" w:hAnsi="宋体" w:cs="宋体"/>
                <w:bCs/>
                <w:szCs w:val="21"/>
              </w:rPr>
              <w:t>1.</w:t>
            </w:r>
            <w:r>
              <w:rPr>
                <w:rFonts w:hint="eastAsia" w:ascii="宋体" w:hAnsi="宋体" w:cs="宋体"/>
                <w:bCs/>
                <w:szCs w:val="21"/>
                <w:lang w:eastAsia="zh-CN"/>
              </w:rPr>
              <w:t>自筹</w:t>
            </w:r>
            <w:r>
              <w:rPr>
                <w:rFonts w:hint="eastAsia" w:ascii="宋体" w:hAnsi="宋体" w:cs="宋体"/>
                <w:bCs/>
                <w:szCs w:val="21"/>
              </w:rPr>
              <w:t>资金。</w:t>
            </w:r>
          </w:p>
          <w:p>
            <w:pPr>
              <w:spacing w:line="300" w:lineRule="auto"/>
              <w:rPr>
                <w:rFonts w:ascii="宋体" w:hAnsi="宋体" w:cs="宋体"/>
                <w:szCs w:val="21"/>
              </w:rPr>
            </w:pPr>
            <w:r>
              <w:rPr>
                <w:rFonts w:hint="eastAsia" w:ascii="宋体" w:hAnsi="宋体" w:cs="宋体"/>
                <w:bCs/>
                <w:szCs w:val="21"/>
              </w:rPr>
              <w:t>2.预算金额：</w:t>
            </w:r>
            <w:r>
              <w:rPr>
                <w:rFonts w:hint="eastAsia" w:ascii="宋体" w:hAnsi="宋体" w:cs="宋体"/>
                <w:bCs/>
                <w:szCs w:val="21"/>
                <w:lang w:val="en-US" w:eastAsia="zh-CN"/>
              </w:rPr>
              <w:t>23万</w:t>
            </w:r>
            <w:r>
              <w:rPr>
                <w:rFonts w:hint="eastAsia" w:ascii="宋体" w:hAnsi="宋体" w:cs="宋体"/>
                <w:bCs/>
                <w:szCs w:val="21"/>
              </w:rPr>
              <w:t>元；最高限价：</w:t>
            </w:r>
            <w:r>
              <w:rPr>
                <w:rFonts w:hint="eastAsia" w:ascii="宋体" w:hAnsi="宋体" w:cs="宋体"/>
                <w:bCs/>
                <w:szCs w:val="21"/>
                <w:lang w:val="en-US" w:eastAsia="zh-CN"/>
              </w:rPr>
              <w:t>23万</w:t>
            </w:r>
            <w:r>
              <w:rPr>
                <w:rFonts w:hint="eastAsia" w:ascii="宋体" w:hAnsi="宋体" w:cs="宋体"/>
                <w:bCs/>
                <w:szCs w:val="21"/>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lang w:eastAsia="zh-CN"/>
              </w:rPr>
              <w:t>交付</w:t>
            </w:r>
            <w:r>
              <w:rPr>
                <w:rFonts w:hint="eastAsia" w:ascii="宋体" w:hAnsi="宋体"/>
                <w:bCs/>
                <w:szCs w:val="21"/>
              </w:rPr>
              <w:t>地点</w:t>
            </w:r>
          </w:p>
        </w:tc>
        <w:tc>
          <w:tcPr>
            <w:tcW w:w="8061" w:type="dxa"/>
            <w:vAlign w:val="center"/>
          </w:tcPr>
          <w:p>
            <w:pPr>
              <w:spacing w:line="300" w:lineRule="auto"/>
              <w:rPr>
                <w:rFonts w:ascii="宋体" w:hAnsi="宋体" w:cs="宋体"/>
                <w:szCs w:val="21"/>
              </w:rPr>
            </w:pPr>
            <w:r>
              <w:rPr>
                <w:rFonts w:hint="eastAsia" w:ascii="宋体" w:hAnsi="宋体" w:cs="宋体"/>
                <w:szCs w:val="21"/>
                <w:lang w:eastAsia="zh-CN"/>
              </w:rPr>
              <w:t>许昌市财信担保有限公司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采购范围</w:t>
            </w:r>
          </w:p>
        </w:tc>
        <w:tc>
          <w:tcPr>
            <w:tcW w:w="8061" w:type="dxa"/>
            <w:vAlign w:val="center"/>
          </w:tcPr>
          <w:p>
            <w:pPr>
              <w:spacing w:line="300" w:lineRule="auto"/>
              <w:rPr>
                <w:rFonts w:ascii="宋体" w:hAnsi="宋体" w:cs="宋体"/>
                <w:szCs w:val="21"/>
              </w:rPr>
            </w:pPr>
            <w:r>
              <w:rPr>
                <w:rFonts w:hint="eastAsia"/>
                <w:shd w:val="clear" w:color="auto" w:fill="FFFFFF"/>
              </w:rPr>
              <w:t>担保业务综合管理系统相关系统功能模块（详见招标文件）。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宋体" w:hAnsi="宋体" w:eastAsia="宋体"/>
                <w:bCs/>
                <w:szCs w:val="21"/>
                <w:lang w:eastAsia="zh-CN"/>
              </w:rPr>
            </w:pPr>
            <w:r>
              <w:rPr>
                <w:rFonts w:hint="eastAsia" w:ascii="宋体" w:hAnsi="宋体"/>
                <w:bCs/>
                <w:szCs w:val="21"/>
                <w:lang w:eastAsia="zh-CN"/>
              </w:rPr>
              <w:t>交付时间</w:t>
            </w:r>
          </w:p>
        </w:tc>
        <w:tc>
          <w:tcPr>
            <w:tcW w:w="8061" w:type="dxa"/>
            <w:vAlign w:val="center"/>
          </w:tcPr>
          <w:p>
            <w:pPr>
              <w:spacing w:line="300" w:lineRule="auto"/>
              <w:rPr>
                <w:rFonts w:ascii="宋体" w:hAnsi="宋体" w:cs="宋体"/>
                <w:szCs w:val="21"/>
              </w:rPr>
            </w:pPr>
            <w:r>
              <w:rPr>
                <w:rFonts w:hint="eastAsia" w:ascii="宋体" w:hAnsi="宋体" w:cs="宋体"/>
                <w:kern w:val="0"/>
                <w:szCs w:val="21"/>
                <w:shd w:val="clear" w:color="auto" w:fill="FFFFFF"/>
              </w:rPr>
              <w:t>合同签订后</w:t>
            </w:r>
            <w:r>
              <w:rPr>
                <w:rFonts w:hint="eastAsia" w:ascii="宋体" w:hAnsi="宋体" w:cs="宋体"/>
                <w:kern w:val="0"/>
                <w:szCs w:val="21"/>
                <w:shd w:val="clear" w:color="auto" w:fill="FFFFFF"/>
                <w:lang w:val="en-US" w:eastAsia="zh-CN"/>
              </w:rPr>
              <w:t>3</w:t>
            </w:r>
            <w:r>
              <w:rPr>
                <w:rFonts w:hint="eastAsia" w:ascii="宋体" w:hAnsi="宋体" w:cs="宋体"/>
                <w:kern w:val="0"/>
                <w:szCs w:val="21"/>
                <w:shd w:val="clear" w:color="auto" w:fill="FFFFFF"/>
              </w:rPr>
              <w:t>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061" w:type="dxa"/>
            <w:vAlign w:val="center"/>
          </w:tcPr>
          <w:p>
            <w:pPr>
              <w:spacing w:line="300" w:lineRule="auto"/>
              <w:rPr>
                <w:rFonts w:ascii="宋体" w:hAnsi="宋体" w:cs="宋体"/>
                <w:szCs w:val="21"/>
              </w:rPr>
            </w:pPr>
            <w:r>
              <w:rPr>
                <w:rFonts w:hint="eastAsia" w:ascii="宋体" w:hAnsi="宋体" w:cs="宋体"/>
                <w:szCs w:val="21"/>
              </w:rPr>
              <w:t>合格（符合国家现行的规范和质量标准）。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061"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p>
            <w:pPr>
              <w:spacing w:line="300" w:lineRule="auto"/>
              <w:rPr>
                <w:rFonts w:ascii="宋体" w:hAnsi="宋体" w:cs="宋体"/>
                <w:bCs/>
                <w:szCs w:val="21"/>
              </w:rPr>
            </w:pPr>
            <w:r>
              <w:rPr>
                <w:rFonts w:hint="eastAsia" w:ascii="宋体" w:hAnsi="宋体" w:cs="宋体"/>
                <w:bCs/>
                <w:szCs w:val="21"/>
              </w:rPr>
              <w:t>（三）谈判文件售价：人民币300元，供应商在递交谈判响应文件时向代理公司交纳谈判文件费用。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061" w:type="dxa"/>
            <w:vAlign w:val="center"/>
          </w:tcPr>
          <w:p>
            <w:pPr>
              <w:spacing w:line="300" w:lineRule="auto"/>
              <w:rPr>
                <w:rFonts w:ascii="宋体" w:hAnsi="宋体"/>
                <w:bCs/>
                <w:szCs w:val="21"/>
              </w:rPr>
            </w:pPr>
            <w:r>
              <w:rPr>
                <w:rFonts w:hint="eastAsia" w:ascii="宋体" w:hAnsi="宋体"/>
                <w:bCs/>
                <w:szCs w:val="21"/>
                <w:lang w:eastAsia="zh-CN"/>
              </w:rPr>
              <w:t>不组织</w:t>
            </w:r>
            <w:r>
              <w:rPr>
                <w:rFonts w:hint="eastAsia" w:ascii="宋体" w:hAnsi="宋体"/>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061" w:type="dxa"/>
            <w:vAlign w:val="center"/>
          </w:tcPr>
          <w:p>
            <w:pPr>
              <w:spacing w:line="300" w:lineRule="auto"/>
              <w:rPr>
                <w:rFonts w:ascii="宋体" w:hAnsi="宋体"/>
                <w:bCs/>
                <w:szCs w:val="21"/>
              </w:rPr>
            </w:pPr>
            <w:r>
              <w:rPr>
                <w:rFonts w:hint="eastAsia" w:ascii="宋体" w:hAnsi="宋体"/>
                <w:bCs/>
                <w:szCs w:val="21"/>
              </w:rPr>
              <w:t>1.正本份数：壹份；副本份数：叁份。按具体要求密封、签署、盖章。</w:t>
            </w:r>
          </w:p>
          <w:p>
            <w:pPr>
              <w:spacing w:line="300" w:lineRule="auto"/>
              <w:rPr>
                <w:rFonts w:ascii="宋体" w:hAnsi="宋体"/>
                <w:bCs/>
                <w:szCs w:val="21"/>
              </w:rPr>
            </w:pPr>
            <w:r>
              <w:rPr>
                <w:rFonts w:hint="eastAsia" w:ascii="宋体" w:hAnsi="宋体"/>
                <w:bCs/>
                <w:szCs w:val="21"/>
              </w:rPr>
              <w:t>2.纸质版谈判响应文件需按谈判文件的格式，在规定签字的地方签字，在规定盖章的地方盖章（单位公章）。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061" w:type="dxa"/>
            <w:vAlign w:val="center"/>
          </w:tcPr>
          <w:p>
            <w:pPr>
              <w:spacing w:line="300" w:lineRule="auto"/>
              <w:rPr>
                <w:rFonts w:ascii="宋体" w:hAnsi="宋体"/>
                <w:bCs/>
                <w:szCs w:val="21"/>
              </w:rPr>
            </w:pPr>
            <w:r>
              <w:rPr>
                <w:rFonts w:hint="eastAsia" w:ascii="宋体" w:hAnsi="宋体"/>
                <w:bCs/>
                <w:szCs w:val="21"/>
              </w:rPr>
              <w:t>许昌市公共资源交易中心开标</w:t>
            </w:r>
            <w:r>
              <w:rPr>
                <w:rFonts w:hint="eastAsia" w:ascii="宋体" w:hAnsi="宋体"/>
                <w:bCs/>
                <w:szCs w:val="21"/>
                <w:u w:val="single"/>
              </w:rPr>
              <w:t xml:space="preserve"> </w:t>
            </w:r>
            <w:r>
              <w:rPr>
                <w:rFonts w:hint="eastAsia" w:ascii="宋体" w:hAnsi="宋体"/>
                <w:bCs/>
                <w:szCs w:val="21"/>
                <w:u w:val="single"/>
                <w:lang w:val="en-US" w:eastAsia="zh-CN"/>
              </w:rPr>
              <w:t>五</w:t>
            </w:r>
            <w:r>
              <w:rPr>
                <w:rFonts w:hint="eastAsia" w:ascii="宋体" w:hAnsi="宋体"/>
                <w:bCs/>
                <w:szCs w:val="21"/>
                <w:u w:val="single"/>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061" w:type="dxa"/>
            <w:vAlign w:val="center"/>
          </w:tcPr>
          <w:p>
            <w:pPr>
              <w:spacing w:line="300" w:lineRule="auto"/>
              <w:rPr>
                <w:rFonts w:ascii="宋体" w:hAnsi="宋体"/>
                <w:bCs/>
                <w:szCs w:val="21"/>
              </w:rPr>
            </w:pPr>
            <w:r>
              <w:rPr>
                <w:rFonts w:hint="eastAsia" w:ascii="宋体" w:hAnsi="宋体"/>
                <w:bCs/>
                <w:szCs w:val="21"/>
              </w:rPr>
              <w:t>谈判文件接收截止时间及谈判时间：201</w:t>
            </w:r>
            <w:r>
              <w:rPr>
                <w:rFonts w:hint="eastAsia" w:ascii="宋体" w:hAnsi="宋体"/>
                <w:bCs/>
                <w:szCs w:val="21"/>
                <w:lang w:val="en-US" w:eastAsia="zh-CN"/>
              </w:rPr>
              <w:t>9</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 xml:space="preserve">10 </w:t>
            </w:r>
            <w:r>
              <w:rPr>
                <w:rFonts w:hint="eastAsia" w:ascii="宋体" w:hAnsi="宋体"/>
                <w:bCs/>
                <w:szCs w:val="21"/>
              </w:rPr>
              <w:t>日 9 时 30 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061"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谈判保</w:t>
            </w:r>
            <w:r>
              <w:rPr>
                <w:rFonts w:ascii="宋体" w:hAnsi="宋体"/>
                <w:bCs/>
                <w:szCs w:val="21"/>
              </w:rPr>
              <w:t>证金</w:t>
            </w:r>
          </w:p>
        </w:tc>
        <w:tc>
          <w:tcPr>
            <w:tcW w:w="8061" w:type="dxa"/>
            <w:vAlign w:val="center"/>
          </w:tcPr>
          <w:p>
            <w:pPr>
              <w:spacing w:line="300" w:lineRule="auto"/>
              <w:rPr>
                <w:rFonts w:ascii="宋体" w:hAnsi="宋体" w:cs="宋体"/>
                <w:szCs w:val="21"/>
              </w:rPr>
            </w:pPr>
            <w:r>
              <w:rPr>
                <w:rFonts w:hint="eastAsia" w:ascii="宋体" w:hAnsi="宋体" w:cs="宋体"/>
                <w:szCs w:val="21"/>
              </w:rPr>
              <w:t>1.</w:t>
            </w:r>
            <w:r>
              <w:rPr>
                <w:rFonts w:hint="eastAsia" w:ascii="宋体" w:hAnsi="宋体"/>
                <w:bCs/>
                <w:szCs w:val="21"/>
              </w:rPr>
              <w:t>谈判</w:t>
            </w:r>
            <w:r>
              <w:rPr>
                <w:rFonts w:hint="eastAsia" w:ascii="宋体" w:hAnsi="宋体" w:cs="宋体"/>
                <w:szCs w:val="21"/>
              </w:rPr>
              <w:t>保证金为谈判文件的组成部分之一。</w:t>
            </w:r>
          </w:p>
          <w:p>
            <w:pPr>
              <w:spacing w:line="300" w:lineRule="auto"/>
              <w:rPr>
                <w:rFonts w:ascii="宋体" w:hAnsi="宋体" w:cs="宋体"/>
                <w:szCs w:val="21"/>
              </w:rPr>
            </w:pPr>
            <w:r>
              <w:rPr>
                <w:rFonts w:hint="eastAsia" w:ascii="宋体" w:hAnsi="宋体" w:cs="宋体"/>
                <w:szCs w:val="21"/>
              </w:rPr>
              <w:t>2.供应商应提交谈判保证金：</w:t>
            </w:r>
            <w:r>
              <w:rPr>
                <w:rFonts w:hint="eastAsia" w:ascii="宋体" w:hAnsi="宋体" w:cs="宋体"/>
                <w:szCs w:val="21"/>
                <w:u w:val="single"/>
              </w:rPr>
              <w:t>人民币肆仟</w:t>
            </w:r>
            <w:r>
              <w:rPr>
                <w:rFonts w:hint="eastAsia" w:ascii="宋体" w:hAnsi="宋体" w:cs="宋体"/>
                <w:szCs w:val="21"/>
                <w:u w:val="single"/>
                <w:lang w:eastAsia="zh-CN"/>
              </w:rPr>
              <w:t>陆百</w:t>
            </w:r>
            <w:r>
              <w:rPr>
                <w:rFonts w:hint="eastAsia" w:ascii="宋体" w:hAnsi="宋体" w:cs="宋体"/>
                <w:szCs w:val="21"/>
                <w:u w:val="single"/>
              </w:rPr>
              <w:t>元整（¥4</w:t>
            </w:r>
            <w:r>
              <w:rPr>
                <w:rFonts w:hint="eastAsia" w:ascii="宋体" w:hAnsi="宋体" w:cs="宋体"/>
                <w:szCs w:val="21"/>
                <w:u w:val="single"/>
                <w:lang w:val="en-US" w:eastAsia="zh-CN"/>
              </w:rPr>
              <w:t>6</w:t>
            </w:r>
            <w:r>
              <w:rPr>
                <w:rFonts w:hint="eastAsia" w:ascii="宋体" w:hAnsi="宋体" w:cs="宋体"/>
                <w:szCs w:val="21"/>
                <w:u w:val="single"/>
              </w:rPr>
              <w:t>00.00元）。</w:t>
            </w:r>
          </w:p>
          <w:p>
            <w:pPr>
              <w:spacing w:line="300" w:lineRule="auto"/>
              <w:rPr>
                <w:rFonts w:ascii="宋体" w:hAnsi="宋体" w:cs="宋体"/>
                <w:szCs w:val="21"/>
              </w:rPr>
            </w:pPr>
            <w:r>
              <w:rPr>
                <w:rFonts w:hint="eastAsia" w:ascii="宋体" w:hAnsi="宋体" w:cs="宋体"/>
                <w:szCs w:val="21"/>
              </w:rPr>
              <w:t>3.</w:t>
            </w:r>
            <w:r>
              <w:rPr>
                <w:rFonts w:hint="eastAsia" w:ascii="宋体" w:hAnsi="宋体"/>
                <w:bCs/>
                <w:szCs w:val="21"/>
              </w:rPr>
              <w:t>谈判</w:t>
            </w:r>
            <w:r>
              <w:rPr>
                <w:rFonts w:hint="eastAsia" w:ascii="宋体" w:hAnsi="宋体" w:cs="宋体"/>
                <w:szCs w:val="21"/>
              </w:rPr>
              <w:t>保证金用于保护本次采购人免受供应商的行为而引起的风险。</w:t>
            </w:r>
          </w:p>
          <w:p>
            <w:pPr>
              <w:spacing w:line="300" w:lineRule="auto"/>
              <w:rPr>
                <w:rFonts w:ascii="宋体" w:hAnsi="宋体" w:cs="宋体"/>
                <w:szCs w:val="21"/>
              </w:rPr>
            </w:pPr>
            <w:r>
              <w:rPr>
                <w:rFonts w:hint="eastAsia" w:ascii="宋体" w:hAnsi="宋体" w:cs="宋体"/>
                <w:szCs w:val="21"/>
              </w:rPr>
              <w:t>4.提交</w:t>
            </w:r>
            <w:r>
              <w:rPr>
                <w:rFonts w:hint="eastAsia" w:ascii="宋体" w:hAnsi="宋体"/>
                <w:bCs/>
                <w:szCs w:val="21"/>
              </w:rPr>
              <w:t>谈判</w:t>
            </w:r>
            <w:r>
              <w:rPr>
                <w:rFonts w:hint="eastAsia" w:ascii="宋体" w:hAnsi="宋体" w:cs="宋体"/>
                <w:szCs w:val="21"/>
              </w:rPr>
              <w:t>保证金：</w:t>
            </w:r>
          </w:p>
          <w:p>
            <w:pPr>
              <w:spacing w:line="300" w:lineRule="auto"/>
              <w:rPr>
                <w:rFonts w:ascii="宋体" w:hAnsi="宋体" w:cs="宋体"/>
                <w:szCs w:val="21"/>
              </w:rPr>
            </w:pPr>
            <w:r>
              <w:rPr>
                <w:rFonts w:hint="eastAsia" w:ascii="宋体" w:hAnsi="宋体" w:cs="宋体"/>
                <w:szCs w:val="21"/>
              </w:rPr>
              <w:t>4.1</w:t>
            </w:r>
            <w:r>
              <w:rPr>
                <w:rFonts w:hint="eastAsia" w:ascii="宋体" w:hAnsi="宋体"/>
                <w:bCs/>
                <w:szCs w:val="21"/>
              </w:rPr>
              <w:t>谈判</w:t>
            </w:r>
            <w:r>
              <w:rPr>
                <w:rFonts w:hint="eastAsia" w:ascii="宋体" w:hAnsi="宋体" w:cs="宋体"/>
                <w:szCs w:val="21"/>
              </w:rPr>
              <w:t>保证金缴纳方式：</w:t>
            </w:r>
          </w:p>
          <w:p>
            <w:pPr>
              <w:spacing w:line="300" w:lineRule="auto"/>
              <w:ind w:firstLine="420" w:firstLineChars="200"/>
              <w:rPr>
                <w:rFonts w:ascii="宋体" w:hAnsi="宋体" w:cs="宋体"/>
                <w:szCs w:val="21"/>
              </w:rPr>
            </w:pPr>
            <w:r>
              <w:rPr>
                <w:rFonts w:hint="eastAsia" w:ascii="宋体" w:hAnsi="宋体" w:cs="宋体"/>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pPr>
              <w:spacing w:line="300" w:lineRule="auto"/>
              <w:ind w:firstLine="420" w:firstLineChars="200"/>
              <w:rPr>
                <w:rFonts w:ascii="宋体" w:hAnsi="宋体" w:cs="宋体"/>
                <w:szCs w:val="21"/>
              </w:rPr>
            </w:pPr>
            <w:r>
              <w:rPr>
                <w:rFonts w:hint="eastAsia" w:ascii="宋体" w:hAnsi="宋体" w:cs="宋体"/>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pPr>
              <w:spacing w:line="300" w:lineRule="auto"/>
              <w:rPr>
                <w:rFonts w:ascii="宋体" w:hAnsi="宋体" w:cs="宋体"/>
                <w:szCs w:val="21"/>
              </w:rPr>
            </w:pPr>
            <w:r>
              <w:rPr>
                <w:rFonts w:hint="eastAsia" w:ascii="宋体" w:hAnsi="宋体" w:cs="宋体"/>
                <w:szCs w:val="21"/>
              </w:rPr>
              <w:t>供应商可根据提示情况决定是否重新缴纳。</w:t>
            </w:r>
          </w:p>
          <w:p>
            <w:pPr>
              <w:spacing w:line="300" w:lineRule="auto"/>
              <w:rPr>
                <w:rFonts w:ascii="宋体" w:hAnsi="宋体" w:cs="宋体"/>
                <w:szCs w:val="21"/>
              </w:rPr>
            </w:pPr>
            <w:r>
              <w:rPr>
                <w:rFonts w:hint="eastAsia" w:ascii="宋体" w:hAnsi="宋体" w:cs="宋体"/>
                <w:szCs w:val="21"/>
              </w:rPr>
              <w:t>保证金缴纳绑定问题咨询电话：0374-2961598。</w:t>
            </w:r>
          </w:p>
          <w:p>
            <w:pPr>
              <w:spacing w:line="300" w:lineRule="auto"/>
              <w:rPr>
                <w:rFonts w:ascii="宋体" w:hAnsi="宋体" w:cs="宋体"/>
                <w:szCs w:val="21"/>
              </w:rPr>
            </w:pPr>
            <w:r>
              <w:rPr>
                <w:rFonts w:hint="eastAsia" w:ascii="宋体" w:hAnsi="宋体" w:cs="宋体"/>
                <w:szCs w:val="21"/>
              </w:rPr>
              <w:t>4.2供应商的谈判保证金须从其公司注册银行账户转出并不接受现金方式缴纳，否则由供应商自行负责。</w:t>
            </w:r>
          </w:p>
          <w:p>
            <w:pPr>
              <w:spacing w:line="300" w:lineRule="auto"/>
              <w:rPr>
                <w:rFonts w:ascii="宋体" w:hAnsi="宋体" w:cs="宋体"/>
                <w:szCs w:val="21"/>
              </w:rPr>
            </w:pPr>
            <w:r>
              <w:rPr>
                <w:rFonts w:hint="eastAsia" w:ascii="宋体" w:hAnsi="宋体" w:cs="宋体"/>
                <w:szCs w:val="21"/>
              </w:rPr>
              <w:t>4.3要一次足额缴纳并成功绑定谈判保证金，每个供应商每个项目每个标段只有唯一缴纳账号。</w:t>
            </w:r>
          </w:p>
          <w:p>
            <w:pPr>
              <w:spacing w:line="300" w:lineRule="auto"/>
              <w:rPr>
                <w:rFonts w:ascii="宋体" w:hAnsi="宋体" w:cs="宋体"/>
                <w:szCs w:val="21"/>
              </w:rPr>
            </w:pPr>
            <w:r>
              <w:rPr>
                <w:rFonts w:hint="eastAsia" w:ascii="宋体" w:hAnsi="宋体" w:cs="宋体"/>
                <w:szCs w:val="21"/>
              </w:rPr>
              <w:t>4.4汇款凭证无须备注项目编号和项目名称。</w:t>
            </w:r>
          </w:p>
          <w:p>
            <w:pPr>
              <w:spacing w:line="300" w:lineRule="auto"/>
              <w:rPr>
                <w:rFonts w:ascii="宋体" w:hAnsi="宋体" w:cs="宋体"/>
                <w:szCs w:val="21"/>
              </w:rPr>
            </w:pPr>
            <w:r>
              <w:rPr>
                <w:rFonts w:hint="eastAsia" w:ascii="宋体" w:hAnsi="宋体" w:cs="宋体"/>
                <w:szCs w:val="21"/>
              </w:rPr>
              <w:t>4.5 提交保证金截止时间与开标时间一致，并以到账时间为准（供应商应承担节假日、异地、跨行等带来的银行系统不能支付的风险）。</w:t>
            </w:r>
          </w:p>
          <w:p>
            <w:pPr>
              <w:spacing w:line="300" w:lineRule="auto"/>
              <w:rPr>
                <w:rFonts w:ascii="宋体" w:hAnsi="宋体" w:cs="宋体"/>
                <w:szCs w:val="21"/>
              </w:rPr>
            </w:pPr>
            <w:r>
              <w:rPr>
                <w:rFonts w:hint="eastAsia" w:ascii="宋体" w:hAnsi="宋体" w:cs="宋体"/>
                <w:szCs w:val="21"/>
              </w:rPr>
              <w:t>4.6供应商所提交的谈判保证金仅限当次投标（谈判）项目（标段）有效，不得重复替代使用。一个招标（采购）项目有多个标段或者有多个项目同时招标（采购）的，供应商必须按项目、标段分别提交谈判保证金。</w:t>
            </w:r>
          </w:p>
          <w:p>
            <w:pPr>
              <w:spacing w:line="300" w:lineRule="auto"/>
              <w:rPr>
                <w:rFonts w:ascii="宋体" w:hAnsi="宋体" w:cs="宋体"/>
                <w:szCs w:val="21"/>
              </w:rPr>
            </w:pPr>
            <w:r>
              <w:rPr>
                <w:rFonts w:hint="eastAsia" w:ascii="宋体" w:hAnsi="宋体" w:cs="宋体"/>
                <w:szCs w:val="21"/>
              </w:rPr>
              <w:t>4.7中心不开具保证金收款收据。</w:t>
            </w:r>
          </w:p>
          <w:p>
            <w:pPr>
              <w:spacing w:line="300" w:lineRule="auto"/>
              <w:rPr>
                <w:rFonts w:ascii="宋体" w:hAnsi="宋体" w:cs="宋体"/>
                <w:szCs w:val="21"/>
              </w:rPr>
            </w:pPr>
            <w:r>
              <w:rPr>
                <w:rFonts w:hint="eastAsia" w:ascii="宋体" w:hAnsi="宋体" w:cs="宋体"/>
                <w:szCs w:val="21"/>
              </w:rPr>
              <w:t>5.退还谈判保证金时，区别成交与否，按不同时序由银行按来款途径原账户。</w:t>
            </w:r>
          </w:p>
          <w:p>
            <w:pPr>
              <w:spacing w:line="300" w:lineRule="auto"/>
              <w:rPr>
                <w:rFonts w:ascii="宋体" w:hAnsi="宋体" w:cs="宋体"/>
                <w:szCs w:val="21"/>
              </w:rPr>
            </w:pPr>
            <w:r>
              <w:rPr>
                <w:rFonts w:hint="eastAsia" w:ascii="宋体" w:hAnsi="宋体" w:cs="宋体"/>
                <w:szCs w:val="21"/>
              </w:rPr>
              <w:t>5.1 未中标的供应商的谈判保证金，在中标通知书发出后5个工作日内退还谈判保证金及银行同期活期存款利息。</w:t>
            </w:r>
          </w:p>
          <w:p>
            <w:pPr>
              <w:spacing w:line="300" w:lineRule="auto"/>
              <w:rPr>
                <w:rFonts w:ascii="宋体" w:hAnsi="宋体" w:cs="宋体"/>
                <w:szCs w:val="21"/>
              </w:rPr>
            </w:pPr>
            <w:r>
              <w:rPr>
                <w:rFonts w:hint="eastAsia" w:ascii="宋体" w:hAnsi="宋体" w:cs="宋体"/>
                <w:szCs w:val="21"/>
              </w:rPr>
              <w:t>5.2中标的供应商的谈判保证金，在签订合同之日起5个工作日内退还谈判保证金及银行同期活期存款利息。</w:t>
            </w:r>
          </w:p>
          <w:p>
            <w:pPr>
              <w:spacing w:line="300" w:lineRule="auto"/>
              <w:ind w:firstLine="210" w:firstLineChars="100"/>
              <w:rPr>
                <w:rFonts w:ascii="宋体" w:hAnsi="宋体" w:cs="宋体"/>
                <w:szCs w:val="21"/>
              </w:rPr>
            </w:pPr>
            <w:r>
              <w:rPr>
                <w:rFonts w:hint="eastAsia" w:ascii="宋体" w:hAnsi="宋体" w:cs="宋体"/>
                <w:szCs w:val="21"/>
              </w:rPr>
              <w:t>以上事项，请供应商仔细研读，未按规定操作引起的无效投标（谈判），由供应商自行负责。</w:t>
            </w:r>
          </w:p>
          <w:p>
            <w:pPr>
              <w:spacing w:line="300" w:lineRule="auto"/>
              <w:rPr>
                <w:rFonts w:ascii="宋体" w:hAnsi="宋体" w:cs="宋体"/>
                <w:szCs w:val="21"/>
              </w:rPr>
            </w:pPr>
            <w:r>
              <w:rPr>
                <w:rFonts w:hint="eastAsia" w:ascii="宋体" w:hAnsi="宋体" w:cs="宋体"/>
                <w:szCs w:val="21"/>
              </w:rPr>
              <w:t>6.特殊情况处理</w:t>
            </w:r>
          </w:p>
          <w:p>
            <w:pPr>
              <w:spacing w:line="300" w:lineRule="auto"/>
              <w:rPr>
                <w:rFonts w:ascii="宋体" w:hAnsi="宋体" w:cs="宋体"/>
                <w:szCs w:val="21"/>
              </w:rPr>
            </w:pPr>
            <w:r>
              <w:rPr>
                <w:rFonts w:hint="eastAsia" w:ascii="宋体" w:hAnsi="宋体" w:cs="宋体"/>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pPr>
              <w:spacing w:line="300" w:lineRule="auto"/>
              <w:rPr>
                <w:rFonts w:ascii="宋体" w:hAnsi="宋体" w:cs="宋体"/>
                <w:szCs w:val="21"/>
              </w:rPr>
            </w:pPr>
            <w:r>
              <w:rPr>
                <w:rFonts w:hint="eastAsia" w:ascii="宋体" w:hAnsi="宋体" w:cs="宋体"/>
                <w:szCs w:val="21"/>
              </w:rPr>
              <w:t>6.2因供应商自身原因无法及时退还谈判保证金、滞留三年以上的，谈判保证金上缴财政。</w:t>
            </w:r>
          </w:p>
          <w:p>
            <w:pPr>
              <w:spacing w:line="300" w:lineRule="auto"/>
              <w:rPr>
                <w:rFonts w:ascii="宋体" w:hAnsi="宋体" w:cs="宋体"/>
                <w:szCs w:val="21"/>
              </w:rPr>
            </w:pPr>
            <w:r>
              <w:rPr>
                <w:rFonts w:hint="eastAsia" w:ascii="宋体" w:hAnsi="宋体" w:cs="宋体"/>
                <w:szCs w:val="21"/>
              </w:rPr>
              <w:t>7.发生以下情况谈判保证金不予退还：</w:t>
            </w:r>
          </w:p>
          <w:p>
            <w:pPr>
              <w:spacing w:line="300" w:lineRule="auto"/>
              <w:rPr>
                <w:rFonts w:ascii="宋体" w:hAnsi="宋体" w:cs="宋体"/>
                <w:szCs w:val="21"/>
              </w:rPr>
            </w:pPr>
            <w:r>
              <w:rPr>
                <w:rFonts w:hint="eastAsia" w:ascii="宋体" w:hAnsi="宋体" w:cs="宋体"/>
                <w:szCs w:val="21"/>
              </w:rPr>
              <w:t>7.1供应商在提交谈判响应文件截止时间后撤销谈判响应文件的；</w:t>
            </w:r>
          </w:p>
          <w:p>
            <w:pPr>
              <w:spacing w:line="300" w:lineRule="auto"/>
              <w:rPr>
                <w:rFonts w:ascii="宋体" w:hAnsi="宋体" w:cs="宋体"/>
                <w:szCs w:val="21"/>
              </w:rPr>
            </w:pPr>
            <w:r>
              <w:rPr>
                <w:rFonts w:hint="eastAsia" w:ascii="宋体" w:hAnsi="宋体" w:cs="宋体"/>
                <w:szCs w:val="21"/>
              </w:rPr>
              <w:t>7.2 供应商在谈判响应文件中提供虚假材料的；</w:t>
            </w:r>
          </w:p>
          <w:p>
            <w:pPr>
              <w:spacing w:line="300" w:lineRule="auto"/>
              <w:rPr>
                <w:rFonts w:ascii="宋体" w:hAnsi="宋体" w:cs="宋体"/>
                <w:szCs w:val="21"/>
              </w:rPr>
            </w:pPr>
            <w:r>
              <w:rPr>
                <w:rFonts w:hint="eastAsia" w:ascii="宋体" w:hAnsi="宋体" w:cs="宋体"/>
                <w:szCs w:val="21"/>
              </w:rPr>
              <w:t>7.3 除因不可抗力或谈判响应文件认可的情形以外，成交供应商不与采购人签订合同的；</w:t>
            </w:r>
          </w:p>
          <w:p>
            <w:pPr>
              <w:spacing w:line="300" w:lineRule="auto"/>
              <w:rPr>
                <w:rFonts w:ascii="宋体" w:hAnsi="宋体" w:cs="宋体"/>
                <w:szCs w:val="21"/>
              </w:rPr>
            </w:pPr>
            <w:r>
              <w:rPr>
                <w:rFonts w:hint="eastAsia" w:ascii="宋体" w:hAnsi="宋体" w:cs="宋体"/>
                <w:szCs w:val="21"/>
              </w:rPr>
              <w:t>7.4 供应商与采购人、其他供应商或者采购代理机构恶意串通的；</w:t>
            </w:r>
          </w:p>
          <w:p>
            <w:pPr>
              <w:spacing w:line="300" w:lineRule="auto"/>
              <w:rPr>
                <w:rFonts w:ascii="宋体" w:hAnsi="宋体" w:cs="宋体"/>
                <w:szCs w:val="21"/>
              </w:rPr>
            </w:pPr>
            <w:r>
              <w:rPr>
                <w:rFonts w:hint="eastAsia" w:ascii="宋体" w:hAnsi="宋体" w:cs="宋体"/>
                <w:szCs w:val="21"/>
              </w:rPr>
              <w:t>7.5 法律法规及谈判文件规定的其他情形。</w:t>
            </w:r>
          </w:p>
          <w:p>
            <w:pPr>
              <w:spacing w:line="300" w:lineRule="auto"/>
              <w:rPr>
                <w:rFonts w:ascii="宋体" w:hAnsi="宋体" w:cs="宋体"/>
                <w:szCs w:val="21"/>
              </w:rPr>
            </w:pPr>
            <w:r>
              <w:rPr>
                <w:rFonts w:hint="eastAsia" w:ascii="宋体" w:hAnsi="宋体" w:cs="宋体"/>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061" w:type="dxa"/>
            <w:vAlign w:val="center"/>
          </w:tcPr>
          <w:p>
            <w:pPr>
              <w:spacing w:line="300" w:lineRule="auto"/>
              <w:ind w:right="-88" w:rightChars="-42"/>
              <w:rPr>
                <w:rFonts w:ascii="宋体" w:hAnsi="宋体" w:cs="宋体"/>
                <w:bCs/>
                <w:szCs w:val="21"/>
              </w:rPr>
            </w:pPr>
            <w:r>
              <w:rPr>
                <w:rFonts w:hint="eastAsia" w:ascii="宋体" w:hAnsi="宋体"/>
                <w:szCs w:val="21"/>
                <w:lang w:eastAsia="zh-CN"/>
              </w:rPr>
              <w:t>无要求</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061" w:type="dxa"/>
            <w:vAlign w:val="center"/>
          </w:tcPr>
          <w:p>
            <w:pPr>
              <w:spacing w:line="300" w:lineRule="auto"/>
              <w:rPr>
                <w:rFonts w:ascii="宋体" w:hAnsi="宋体" w:cs="Arial"/>
                <w:bCs/>
                <w:szCs w:val="21"/>
              </w:rPr>
            </w:pPr>
            <w:r>
              <w:rPr>
                <w:rFonts w:hint="eastAsia" w:ascii="宋体" w:hAnsi="宋体" w:cs="Arial"/>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3.不接受进口产品投标（谈判）。</w:t>
            </w:r>
          </w:p>
          <w:p>
            <w:pPr>
              <w:spacing w:line="300" w:lineRule="auto"/>
              <w:rPr>
                <w:rFonts w:ascii="宋体" w:hAnsi="宋体" w:cs="Arial"/>
                <w:bCs/>
                <w:szCs w:val="21"/>
              </w:rPr>
            </w:pPr>
            <w:r>
              <w:rPr>
                <w:rFonts w:hint="eastAsia" w:ascii="宋体" w:hAnsi="宋体" w:cs="Arial"/>
                <w:bCs/>
                <w:szCs w:val="21"/>
              </w:rPr>
              <w:t>4.本谈判</w:t>
            </w:r>
            <w:r>
              <w:rPr>
                <w:rFonts w:ascii="宋体" w:hAnsi="宋体" w:cs="Arial"/>
                <w:bCs/>
                <w:szCs w:val="21"/>
              </w:rPr>
              <w:t>文件的解释权归采购人及所委托的代理机构</w:t>
            </w:r>
            <w:r>
              <w:rPr>
                <w:rFonts w:hint="eastAsia" w:ascii="宋体" w:hAnsi="宋体" w:cs="Arial"/>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rPr>
              <w:t>代理服务收费</w:t>
            </w:r>
          </w:p>
        </w:tc>
        <w:tc>
          <w:tcPr>
            <w:tcW w:w="8061" w:type="dxa"/>
            <w:vAlign w:val="center"/>
          </w:tcPr>
          <w:p>
            <w:pPr>
              <w:spacing w:line="300" w:lineRule="auto"/>
              <w:rPr>
                <w:rFonts w:hint="eastAsia" w:ascii="宋体" w:hAnsi="宋体" w:eastAsia="宋体" w:cs="Arial"/>
                <w:bCs/>
                <w:szCs w:val="21"/>
                <w:lang w:eastAsia="zh-CN"/>
              </w:rPr>
            </w:pPr>
            <w:r>
              <w:rPr>
                <w:rFonts w:hint="eastAsia" w:ascii="宋体"/>
              </w:rPr>
              <w:t>由成交供应商向代理公司支付，代理服务收费标准</w:t>
            </w:r>
            <w:r>
              <w:rPr>
                <w:rFonts w:hint="eastAsia" w:ascii="宋体"/>
                <w:lang w:eastAsia="zh-CN"/>
              </w:rPr>
              <w:t>为定额收费。</w:t>
            </w:r>
          </w:p>
        </w:tc>
      </w:tr>
    </w:tbl>
    <w:p>
      <w:pPr>
        <w:pStyle w:val="14"/>
        <w:ind w:firstLine="0" w:firstLineChars="0"/>
        <w:rPr>
          <w:rFonts w:ascii="华文中宋" w:hAnsi="华文中宋" w:eastAsia="华文中宋"/>
          <w:b/>
          <w:sz w:val="32"/>
          <w:szCs w:val="32"/>
        </w:rPr>
      </w:pPr>
    </w:p>
    <w:p>
      <w:pPr>
        <w:pStyle w:val="14"/>
        <w:ind w:firstLine="0" w:firstLineChars="0"/>
        <w:rPr>
          <w:rFonts w:ascii="华文中宋" w:hAnsi="华文中宋" w:eastAsia="华文中宋"/>
          <w:b/>
          <w:sz w:val="32"/>
          <w:szCs w:val="32"/>
        </w:rPr>
      </w:pPr>
    </w:p>
    <w:p>
      <w:pPr>
        <w:spacing w:afterLines="100"/>
        <w:jc w:val="center"/>
        <w:rPr>
          <w:rFonts w:ascii="华文中宋" w:hAnsi="华文中宋" w:eastAsia="华文中宋"/>
          <w:b/>
          <w:sz w:val="32"/>
          <w:szCs w:val="32"/>
        </w:rPr>
      </w:pPr>
    </w:p>
    <w:p>
      <w:pPr>
        <w:spacing w:afterLines="100"/>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8"/>
        <w:tblW w:w="9742"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746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项目</w:t>
            </w:r>
          </w:p>
        </w:tc>
        <w:tc>
          <w:tcPr>
            <w:tcW w:w="7464"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谈判文件</w:t>
            </w:r>
          </w:p>
        </w:tc>
        <w:tc>
          <w:tcPr>
            <w:tcW w:w="7464"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pPr>
            <w:r>
              <w:rPr>
                <w:rFonts w:hint="eastAsia" w:ascii="宋体" w:hAnsi="宋体" w:cs="Arial"/>
                <w:b/>
                <w:szCs w:val="21"/>
              </w:rPr>
              <w:t>资格性审查材料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bookmarkStart w:id="1" w:name="定位_【循环符合性证明材料】_20122314636"/>
            <w:bookmarkEnd w:id="1"/>
            <w:bookmarkStart w:id="2" w:name="定位_【循环符合性证明材料】_201244141212"/>
            <w:bookmarkEnd w:id="2"/>
            <w:bookmarkStart w:id="3" w:name="定位_【循环符合性证明材料】_20122614258"/>
            <w:bookmarkEnd w:id="3"/>
            <w:r>
              <w:rPr>
                <w:rFonts w:hint="eastAsia" w:ascii="宋体" w:hAnsi="宋体" w:cs="Arial"/>
                <w:szCs w:val="21"/>
              </w:rPr>
              <w:t>1.投标函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2.法人或者其他组织的营业执照等证明文件，自然人的身份证明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3.财务状况报告相关材料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r>
              <w:rPr>
                <w:rFonts w:hint="eastAsia"/>
              </w:rPr>
              <w:t>4</w:t>
            </w:r>
            <w:r>
              <w:rPr>
                <w:rFonts w:hint="eastAsia" w:ascii="宋体" w:hAnsi="宋体" w:cs="Arial"/>
                <w:szCs w:val="21"/>
              </w:rPr>
              <w:t>.依法缴纳税收相关材料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5.依法缴纳社会保障资金的证明材料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6.履行合同所必须的设备和专业技术能力的证明材料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7.</w:t>
            </w:r>
            <w:r>
              <w:rPr>
                <w:rFonts w:hint="eastAsia"/>
              </w:rPr>
              <w:t xml:space="preserve"> 参加政府采购活动前3年内在经营活动中没有重大违法记录的声明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8. 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宋体" w:hAnsi="宋体" w:cs="Arial"/>
                <w:szCs w:val="21"/>
                <w:lang w:val="zh-CN"/>
              </w:rPr>
              <w:t>国家企业信用公示系统</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（www.gsxt.gov.cn）严重违法失信企业名单（黑名单）的投标人。(本项目投标截止时间前三年内供应商信用记录情况)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9.</w:t>
            </w:r>
            <w:r>
              <w:rPr>
                <w:rFonts w:hint="eastAsia" w:ascii="宋体" w:hAnsi="宋体" w:cs="Arial"/>
                <w:szCs w:val="21"/>
                <w:lang w:val="zh-CN"/>
              </w:rPr>
              <w:t>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10.谈判</w:t>
            </w:r>
            <w:r>
              <w:rPr>
                <w:rFonts w:ascii="宋体" w:hAnsi="宋体" w:cs="Arial"/>
                <w:szCs w:val="21"/>
              </w:rPr>
              <w:t>保证</w:t>
            </w:r>
            <w:r>
              <w:rPr>
                <w:rFonts w:hint="eastAsia" w:ascii="宋体" w:hAnsi="宋体" w:cs="Arial"/>
                <w:szCs w:val="21"/>
              </w:rPr>
              <w:t>金</w:t>
            </w:r>
            <w:r>
              <w:rPr>
                <w:rFonts w:ascii="宋体" w:hAnsi="宋体" w:cs="Arial"/>
                <w:szCs w:val="21"/>
              </w:rPr>
              <w:t>交纳</w:t>
            </w:r>
            <w:r>
              <w:rPr>
                <w:rFonts w:hint="eastAsia" w:ascii="宋体" w:hAnsi="宋体" w:cs="Arial"/>
                <w:szCs w:val="21"/>
              </w:rPr>
              <w:t>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11. 法定代表人身份证明或提供法定代表人授权委托书及被授权人身份证明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Arial"/>
                <w:szCs w:val="21"/>
                <w:lang w:val="en-US" w:eastAsia="zh-CN"/>
              </w:rPr>
            </w:pPr>
            <w:r>
              <w:rPr>
                <w:rFonts w:hint="eastAsia" w:ascii="宋体" w:hAnsi="宋体" w:cs="Arial"/>
                <w:szCs w:val="21"/>
                <w:lang w:val="en-US" w:eastAsia="zh-CN"/>
              </w:rPr>
              <w:t>12.</w:t>
            </w:r>
            <w:r>
              <w:rPr>
                <w:rFonts w:hint="eastAsia" w:cs="宋体" w:asciiTheme="minorEastAsia" w:hAnsiTheme="minorEastAsia"/>
                <w:kern w:val="0"/>
                <w:lang w:val="zh-CN" w:eastAsia="zh-CN"/>
              </w:rPr>
              <w:t>具备独立法人资格，具有满足相应产品的供货能力以及符合采购产品要求的相应技术人员确保售后服务，并且在资金上有一定的保障能力；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Arial"/>
                <w:szCs w:val="21"/>
                <w:lang w:val="en-US" w:eastAsia="zh-CN"/>
              </w:rPr>
            </w:pPr>
            <w:r>
              <w:rPr>
                <w:rFonts w:hint="eastAsia" w:ascii="宋体" w:hAnsi="宋体" w:cs="Arial"/>
                <w:szCs w:val="21"/>
                <w:lang w:val="en-US" w:eastAsia="zh-CN"/>
              </w:rPr>
              <w:t>13.</w:t>
            </w:r>
            <w:r>
              <w:rPr>
                <w:rFonts w:hint="eastAsia" w:cs="宋体" w:asciiTheme="minorEastAsia" w:hAnsiTheme="minorEastAsia"/>
                <w:kern w:val="0"/>
                <w:lang w:val="zh-CN" w:eastAsia="zh-CN"/>
              </w:rPr>
              <w:t>具备软件著作权登记证明或专利证明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numPr>
                <w:ilvl w:val="0"/>
                <w:numId w:val="4"/>
              </w:numPr>
              <w:rPr>
                <w:rFonts w:hint="eastAsia"/>
                <w:lang w:val="en-US" w:eastAsia="zh-CN"/>
              </w:rPr>
            </w:pPr>
            <w:r>
              <w:rPr>
                <w:rFonts w:hint="eastAsia"/>
                <w:lang w:val="zh-CN" w:eastAsia="zh-CN"/>
              </w:rPr>
              <w:t>需提供2014年至今该类相关专业项目的成功案例（须提供合同和验收证明复印件）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符合性审查材料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4" w:name="定位_【循环资格性证明材料】_20122314645"/>
            <w:bookmarkEnd w:id="4"/>
            <w:bookmarkStart w:id="5" w:name="定位_【循环资格性证明材料】_2012261436"/>
            <w:bookmarkEnd w:id="5"/>
            <w:bookmarkStart w:id="6" w:name="定位_【循环资格性证明材料】_201244141223"/>
            <w:bookmarkEnd w:id="6"/>
            <w:r>
              <w:rPr>
                <w:rFonts w:hint="eastAsia" w:ascii="宋体" w:hAnsi="宋体" w:cs="Arial"/>
                <w:szCs w:val="21"/>
              </w:rPr>
              <w:t>1</w:t>
            </w:r>
            <w:r>
              <w:rPr>
                <w:rFonts w:hint="eastAsia" w:ascii="宋体" w:hAnsi="宋体" w:cs="宋体"/>
                <w:bCs/>
                <w:kern w:val="0"/>
                <w:szCs w:val="21"/>
              </w:rPr>
              <w:t>.</w:t>
            </w:r>
            <w:r>
              <w:rPr>
                <w:rFonts w:hint="eastAsia" w:ascii="宋体" w:hAnsi="宋体" w:cs="Lucida Sans Unicode"/>
                <w:szCs w:val="21"/>
              </w:rPr>
              <w:t>谈判响应</w:t>
            </w:r>
            <w:r>
              <w:rPr>
                <w:rFonts w:hint="eastAsia" w:ascii="宋体" w:hAnsi="宋体" w:cs="宋体"/>
                <w:kern w:val="0"/>
                <w:szCs w:val="21"/>
              </w:rPr>
              <w:t xml:space="preserve">函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w:t>
            </w:r>
            <w:r>
              <w:rPr>
                <w:rFonts w:hint="eastAsia" w:ascii="宋体" w:hAnsi="宋体" w:cs="宋体"/>
                <w:bCs/>
                <w:kern w:val="0"/>
                <w:szCs w:val="21"/>
              </w:rPr>
              <w:t>.</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w:t>
            </w:r>
            <w:r>
              <w:rPr>
                <w:rFonts w:hint="eastAsia" w:ascii="宋体" w:hAnsi="宋体" w:cs="宋体"/>
                <w:bCs/>
                <w:kern w:val="0"/>
                <w:szCs w:val="21"/>
              </w:rPr>
              <w:t>.</w:t>
            </w:r>
            <w:r>
              <w:rPr>
                <w:rFonts w:hint="eastAsia" w:ascii="宋体" w:hAnsi="宋体" w:cs="Arial"/>
                <w:szCs w:val="21"/>
              </w:rPr>
              <w:t>报价明细表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其他材料</w:t>
            </w:r>
          </w:p>
        </w:tc>
        <w:tc>
          <w:tcPr>
            <w:tcW w:w="7464" w:type="dxa"/>
            <w:tcBorders>
              <w:top w:val="single" w:color="auto" w:sz="4" w:space="0"/>
              <w:left w:val="single" w:color="auto" w:sz="4" w:space="0"/>
              <w:bottom w:val="doub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谈判供应商认为需要提供的其他相关数据或材料</w:t>
            </w:r>
          </w:p>
        </w:tc>
      </w:tr>
    </w:tbl>
    <w:p>
      <w:pPr>
        <w:ind w:firstLine="569" w:firstLineChars="236"/>
        <w:rPr>
          <w:rFonts w:ascii="宋体" w:hAnsi="宋体"/>
          <w:b/>
          <w:kern w:val="0"/>
          <w:sz w:val="24"/>
          <w:szCs w:val="24"/>
        </w:rPr>
      </w:pPr>
    </w:p>
    <w:p>
      <w:pPr>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hint="eastAsia" w:ascii="宋体" w:hAnsi="宋体"/>
          <w:b/>
          <w:bCs/>
          <w:kern w:val="0"/>
          <w:sz w:val="24"/>
          <w:szCs w:val="24"/>
        </w:rPr>
      </w:pPr>
      <w:r>
        <w:rPr>
          <w:rFonts w:hint="eastAsia" w:ascii="宋体" w:hAnsi="宋体" w:cs="Arial"/>
          <w:sz w:val="24"/>
        </w:rPr>
        <w:t>4.谈判响应文件依据谈判文件的要求提供的各类证明文件，须在谈判响应文件中提供加盖公章的复印件，否则拒绝其参加谈判。</w:t>
      </w:r>
      <w:bookmarkStart w:id="7" w:name="定位_【采购人代理协议类型】_201042105219"/>
      <w:bookmarkEnd w:id="7"/>
    </w:p>
    <w:p>
      <w:pPr>
        <w:spacing w:line="400" w:lineRule="exact"/>
        <w:ind w:firstLine="542" w:firstLineChars="225"/>
        <w:rPr>
          <w:rFonts w:ascii="宋体" w:hAnsi="宋体"/>
          <w:kern w:val="0"/>
          <w:sz w:val="24"/>
          <w:szCs w:val="24"/>
        </w:rPr>
      </w:pPr>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w:t>
      </w:r>
    </w:p>
    <w:p>
      <w:pPr>
        <w:spacing w:line="400" w:lineRule="exact"/>
        <w:ind w:firstLine="540" w:firstLineChars="225"/>
        <w:rPr>
          <w:rFonts w:ascii="宋体" w:hAnsi="宋体"/>
          <w:kern w:val="0"/>
          <w:sz w:val="24"/>
          <w:szCs w:val="24"/>
        </w:rPr>
      </w:pPr>
      <w:r>
        <w:rPr>
          <w:rFonts w:hint="eastAsia" w:ascii="宋体" w:hAnsi="宋体"/>
          <w:kern w:val="0"/>
          <w:sz w:val="24"/>
          <w:szCs w:val="24"/>
        </w:rPr>
        <w:t>3．谈判响应文件附有不能接受的条件的；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4．谈判响应文件中未提供法人授权书或被授权人委托书的或身份证复印件的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6．出现影响采购公正的违法、违规行为的。</w:t>
      </w:r>
    </w:p>
    <w:p>
      <w:pPr>
        <w:spacing w:afterLines="100"/>
        <w:jc w:val="center"/>
        <w:rPr>
          <w:rFonts w:asciiTheme="majorEastAsia" w:hAnsiTheme="majorEastAsia" w:eastAsiaTheme="majorEastAsia"/>
          <w:b/>
          <w:sz w:val="24"/>
        </w:rPr>
      </w:pPr>
      <w:r>
        <w:rPr>
          <w:rFonts w:hint="eastAsia" w:ascii="宋体" w:hAnsi="宋体"/>
          <w:kern w:val="0"/>
          <w:sz w:val="24"/>
          <w:szCs w:val="24"/>
        </w:rPr>
        <w:br w:type="page"/>
      </w:r>
      <w:r>
        <w:rPr>
          <w:rFonts w:hint="eastAsia" w:asciiTheme="majorEastAsia" w:hAnsiTheme="majorEastAsia" w:eastAsiaTheme="majorEastAsia"/>
          <w:b/>
          <w:sz w:val="32"/>
          <w:szCs w:val="32"/>
        </w:rPr>
        <w:t>第四章  采购项目需求及相关要求</w:t>
      </w:r>
    </w:p>
    <w:p>
      <w:pPr>
        <w:rPr>
          <w:rFonts w:ascii="宋体" w:hAnsi="宋体"/>
          <w:b/>
          <w:sz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w:t>
      </w:r>
      <w:r>
        <w:rPr>
          <w:rFonts w:hint="eastAsia" w:cs="黑体" w:asciiTheme="minorEastAsia" w:hAnsiTheme="minorEastAsia"/>
          <w:b/>
          <w:bCs/>
          <w:sz w:val="24"/>
          <w:szCs w:val="24"/>
          <w:shd w:val="clear" w:color="auto" w:fill="FFFFFF"/>
        </w:rPr>
        <w:t>本项目需实现的功能</w:t>
      </w:r>
      <w:r>
        <w:rPr>
          <w:rFonts w:hint="eastAsia" w:cs="黑体" w:asciiTheme="minorEastAsia" w:hAnsiTheme="minorEastAsia"/>
          <w:b/>
          <w:bCs/>
          <w:sz w:val="24"/>
          <w:szCs w:val="24"/>
          <w:shd w:val="clear" w:color="auto" w:fill="FFFFFF"/>
          <w:lang w:eastAsia="zh-CN"/>
        </w:rPr>
        <w:t>或目标</w:t>
      </w:r>
    </w:p>
    <w:p>
      <w:pPr>
        <w:spacing w:line="360" w:lineRule="auto"/>
        <w:ind w:firstLine="480" w:firstLineChars="200"/>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rPr>
        <w:t>担保业务综合管理系统应包含工作台、客户管理、合作机构管理、业务管理、评审管理、抵质押管理、费用管理、统计分析等担保业务基本流程所包含的功能。</w:t>
      </w:r>
    </w:p>
    <w:p>
      <w:pPr>
        <w:spacing w:line="360" w:lineRule="auto"/>
        <w:ind w:firstLine="480" w:firstLineChars="200"/>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lang w:val="en-US" w:eastAsia="zh-CN"/>
        </w:rPr>
        <w:t>1</w:t>
      </w: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rPr>
        <w:t>系统中各类角色应设置不同的操作页面，保障数据的安全性。</w:t>
      </w:r>
    </w:p>
    <w:p>
      <w:pPr>
        <w:spacing w:line="360" w:lineRule="auto"/>
        <w:ind w:firstLine="480" w:firstLineChars="200"/>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lang w:val="en-US" w:eastAsia="zh-CN"/>
        </w:rPr>
        <w:t>2</w:t>
      </w: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rPr>
        <w:t>能灵活地定义参数和处理规则，可方便地采用符合自己业务特点的方案。</w:t>
      </w:r>
    </w:p>
    <w:p>
      <w:pPr>
        <w:spacing w:line="360" w:lineRule="auto"/>
        <w:ind w:firstLine="480" w:firstLineChars="200"/>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lang w:val="en-US" w:eastAsia="zh-CN"/>
        </w:rPr>
        <w:t>3</w:t>
      </w: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rPr>
        <w:t>界面设计人性化，具备导航辅助及个性化设计，每个界面能获得方便的界面帮助。</w:t>
      </w:r>
    </w:p>
    <w:p>
      <w:pPr>
        <w:spacing w:line="360" w:lineRule="auto"/>
        <w:ind w:firstLine="480" w:firstLineChars="200"/>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lang w:val="en-US" w:eastAsia="zh-CN"/>
        </w:rPr>
        <w:t>4</w:t>
      </w: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rPr>
        <w:t>对历史信息进行记录、保留，并可追溯和新旧数据对比，并保证冗余数据的一致性。</w:t>
      </w:r>
    </w:p>
    <w:p>
      <w:pPr>
        <w:spacing w:line="360" w:lineRule="auto"/>
        <w:ind w:firstLine="480" w:firstLineChars="200"/>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lang w:val="en-US" w:eastAsia="zh-CN"/>
        </w:rPr>
        <w:t>5</w:t>
      </w: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rPr>
        <w:t>对各种业务权限实现多维设置，灵活管理。</w:t>
      </w:r>
    </w:p>
    <w:p>
      <w:pPr>
        <w:spacing w:line="360" w:lineRule="auto"/>
        <w:ind w:firstLine="480" w:firstLineChars="200"/>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lang w:val="en-US" w:eastAsia="zh-CN"/>
        </w:rPr>
        <w:t>6</w:t>
      </w: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rPr>
        <w:t>灵活设定如提醒条件、提醒时间、提醒形式等提醒功能。</w:t>
      </w:r>
    </w:p>
    <w:p>
      <w:pPr>
        <w:spacing w:line="360" w:lineRule="auto"/>
        <w:ind w:firstLine="480" w:firstLineChars="200"/>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lang w:val="en-US" w:eastAsia="zh-CN"/>
        </w:rPr>
        <w:t>7</w:t>
      </w: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rPr>
        <w:t>支持信息变化自动通知功能。</w:t>
      </w:r>
    </w:p>
    <w:p>
      <w:pPr>
        <w:spacing w:line="360" w:lineRule="auto"/>
        <w:ind w:firstLine="480" w:firstLineChars="200"/>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lang w:val="en-US" w:eastAsia="zh-CN"/>
        </w:rPr>
        <w:t>8</w:t>
      </w: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rPr>
        <w:t>支持信息完整性检查功能。</w:t>
      </w:r>
    </w:p>
    <w:p>
      <w:pPr>
        <w:spacing w:line="360" w:lineRule="auto"/>
        <w:ind w:firstLine="480" w:firstLineChars="200"/>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lang w:val="en-US" w:eastAsia="zh-CN"/>
        </w:rPr>
        <w:t>9</w:t>
      </w: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rPr>
        <w:t>具有查询统计功能，对信息查询结果，可以自定义显示列、全文检索、降序排列展示等。</w:t>
      </w:r>
    </w:p>
    <w:p>
      <w:pPr>
        <w:spacing w:line="360" w:lineRule="auto"/>
        <w:ind w:firstLine="480" w:firstLineChars="200"/>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lang w:val="en-US" w:eastAsia="zh-CN"/>
        </w:rPr>
        <w:t>10</w:t>
      </w: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rPr>
        <w:t>对于所有查询统计的结果和各类报表，均支持保存结果，均支持导出常用格式电子文档。</w:t>
      </w:r>
    </w:p>
    <w:p>
      <w:pPr>
        <w:spacing w:line="360" w:lineRule="auto"/>
        <w:ind w:firstLine="480" w:firstLineChars="200"/>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lang w:val="en-US" w:eastAsia="zh-CN"/>
        </w:rPr>
        <w:t>11</w:t>
      </w: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rPr>
        <w:t>支持灵活定制业务工作流程，支持附件上传，支持流程监控。</w:t>
      </w:r>
    </w:p>
    <w:p>
      <w:pPr>
        <w:snapToGrid w:val="0"/>
        <w:spacing w:line="360" w:lineRule="auto"/>
        <w:ind w:firstLine="480" w:firstLineChars="200"/>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lang w:val="en-US" w:eastAsia="zh-CN"/>
        </w:rPr>
        <w:t>12</w:t>
      </w:r>
      <w:r>
        <w:rPr>
          <w:rFonts w:hint="eastAsia" w:cs="微软雅黑" w:asciiTheme="minorEastAsia" w:hAnsiTheme="minorEastAsia"/>
          <w:b w:val="0"/>
          <w:bCs/>
          <w:sz w:val="24"/>
          <w:szCs w:val="24"/>
          <w:lang w:eastAsia="zh-CN"/>
        </w:rPr>
        <w:t>）</w:t>
      </w:r>
      <w:r>
        <w:rPr>
          <w:rFonts w:hint="eastAsia" w:cs="微软雅黑" w:asciiTheme="minorEastAsia" w:hAnsiTheme="minorEastAsia"/>
          <w:b w:val="0"/>
          <w:bCs/>
          <w:sz w:val="24"/>
          <w:szCs w:val="24"/>
        </w:rPr>
        <w:t>常用表单支持模板化配置。</w:t>
      </w:r>
    </w:p>
    <w:p>
      <w:pPr>
        <w:spacing w:line="360" w:lineRule="auto"/>
        <w:ind w:firstLine="482" w:firstLineChars="200"/>
        <w:contextualSpacing/>
        <w:rPr>
          <w:rFonts w:hint="eastAsia" w:cs="微软雅黑" w:asciiTheme="minorEastAsia" w:hAnsiTheme="minorEastAsia"/>
          <w:b/>
          <w:bCs w:val="0"/>
          <w:sz w:val="24"/>
          <w:szCs w:val="24"/>
          <w:lang w:eastAsia="zh-CN"/>
        </w:rPr>
      </w:pPr>
      <w:r>
        <w:rPr>
          <w:rFonts w:hint="eastAsia" w:ascii="宋体" w:hAnsi="宋体" w:cs="宋体"/>
          <w:b/>
          <w:bCs/>
          <w:sz w:val="24"/>
          <w:szCs w:val="24"/>
        </w:rPr>
        <w:t>二、</w:t>
      </w:r>
      <w:r>
        <w:rPr>
          <w:rFonts w:hint="eastAsia" w:cs="微软雅黑" w:asciiTheme="minorEastAsia" w:hAnsiTheme="minorEastAsia"/>
          <w:b/>
          <w:bCs w:val="0"/>
          <w:sz w:val="24"/>
          <w:szCs w:val="24"/>
          <w:lang w:eastAsia="zh-CN"/>
        </w:rPr>
        <w:t>采购标的的总体技术参数要求</w:t>
      </w:r>
    </w:p>
    <w:p>
      <w:pPr>
        <w:spacing w:line="360" w:lineRule="auto"/>
        <w:ind w:firstLine="480" w:firstLineChars="200"/>
        <w:contextualSpacing/>
        <w:rPr>
          <w:rFonts w:hint="eastAsia" w:cs="微软雅黑" w:asciiTheme="minorEastAsia" w:hAnsiTheme="minorEastAsia"/>
          <w:b w:val="0"/>
          <w:bCs/>
          <w:sz w:val="24"/>
          <w:szCs w:val="24"/>
          <w:lang w:eastAsia="zh-CN"/>
        </w:rPr>
      </w:pPr>
      <w:bookmarkStart w:id="8" w:name="_Toc451151812"/>
      <w:bookmarkStart w:id="9" w:name="_Toc449095184"/>
      <w:r>
        <w:rPr>
          <w:rFonts w:hint="eastAsia" w:cs="微软雅黑" w:asciiTheme="minorEastAsia" w:hAnsiTheme="minorEastAsia"/>
          <w:b w:val="0"/>
          <w:bCs/>
          <w:sz w:val="24"/>
          <w:szCs w:val="24"/>
          <w:lang w:val="en-US" w:eastAsia="zh-CN"/>
        </w:rPr>
        <w:t>1、</w:t>
      </w:r>
      <w:r>
        <w:rPr>
          <w:rFonts w:hint="eastAsia" w:cs="微软雅黑" w:asciiTheme="minorEastAsia" w:hAnsiTheme="minorEastAsia"/>
          <w:b w:val="0"/>
          <w:bCs/>
          <w:sz w:val="24"/>
          <w:szCs w:val="24"/>
          <w:lang w:eastAsia="zh-CN"/>
        </w:rPr>
        <w:t>系统整体架构</w:t>
      </w:r>
      <w:bookmarkEnd w:id="8"/>
      <w:bookmarkEnd w:id="9"/>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1.1 系统部署</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系统采用B/S结构，客户端无需安装，直接用Windows内置的Internet Explorer浏览器完成所有操作。</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1.2运行环境</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开发语言：Java。采用的JDK版本要求不低于Oracle官方网站发布的最新版的上一个正式版本。</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服务器：支持Windows Server、Linux和Unix。兼容的版本要求不低于操作系统厂商官方网站发布的最新正式版本。</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数据库：支持MS SQL Server、Oracle和MySql。兼容的版本要求不低数据库厂商官方网站发布的最新版正式版本。支持双机热备和分布式集群部署。</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应用服务器：支持Tomcat、WebLogic和WebSphere。兼容的版本要求不低于应用服务器厂商官方网站发布的最新正式版本。支持双机热备和分布式集群部署。</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浏览器：支持Windows内置的Internet Explorer。兼容的版本要求不低于Microsoft官方网站发布的最新正式版本。</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2、先进性要求：</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采用面向服务的SOA服务架构，页面支持响应式布局，在PC端、pad端和手机移动端都能做到页面自适应，PC端至少支持IE内核及8.0以上版本、Chrome和fireFox等三种以上浏览器。★</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支持 office接口、文档在线阅读与编辑。</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支持负载均衡、 容错处理、支持集群部署。</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采用主流的成熟的对象和关系数据库映射技术（O/R Mapping），支持各种主流关系型数据库和国产数据库，数据库禁止使用数据库专用特性语言，能够支持在数据库之间快速的切换，并按不同主题域建立数据仓库，在管理的过程中能不断沉淀自服务数据，体现历史数据的参数价值和参考价值。</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采用稳定的开源工作流引擎，能按约定规则对流程进行灵活的流转、撤销、退回、挂起、恢复、终止等。</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要求支持消息集成、待办任务集成、工作流集成等。</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提供成熟的二次开发平台和完善的测试、发布、升级工具。</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采用模块化的设计思路，能满足随着组织机构、业务发展、管理模式等需求的不断变化而适时升级。</w:t>
      </w:r>
    </w:p>
    <w:p>
      <w:pPr>
        <w:spacing w:line="360" w:lineRule="auto"/>
        <w:contextualSpacing/>
        <w:rPr>
          <w:rFonts w:hint="eastAsia" w:cs="微软雅黑" w:asciiTheme="minorEastAsia" w:hAnsiTheme="minorEastAsia"/>
          <w:b w:val="0"/>
          <w:bCs/>
          <w:sz w:val="24"/>
          <w:szCs w:val="24"/>
          <w:lang w:eastAsia="zh-CN"/>
        </w:rPr>
      </w:pPr>
      <w:bookmarkStart w:id="10" w:name="_Toc478117954"/>
      <w:r>
        <w:rPr>
          <w:rFonts w:hint="eastAsia" w:cs="微软雅黑" w:asciiTheme="minorEastAsia" w:hAnsiTheme="minorEastAsia"/>
          <w:b w:val="0"/>
          <w:bCs/>
          <w:sz w:val="24"/>
          <w:szCs w:val="24"/>
          <w:lang w:val="en-US" w:eastAsia="zh-CN"/>
        </w:rPr>
        <w:t>3、</w:t>
      </w:r>
      <w:r>
        <w:rPr>
          <w:rFonts w:hint="eastAsia" w:cs="微软雅黑" w:asciiTheme="minorEastAsia" w:hAnsiTheme="minorEastAsia"/>
          <w:b w:val="0"/>
          <w:bCs/>
          <w:sz w:val="24"/>
          <w:szCs w:val="24"/>
          <w:lang w:eastAsia="zh-CN"/>
        </w:rPr>
        <w:t>安全性和稳定性</w:t>
      </w:r>
      <w:bookmarkEnd w:id="10"/>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val="en-US" w:eastAsia="zh-CN"/>
        </w:rPr>
        <w:t>3.1</w:t>
      </w:r>
      <w:r>
        <w:rPr>
          <w:rFonts w:hint="eastAsia" w:cs="微软雅黑" w:asciiTheme="minorEastAsia" w:hAnsiTheme="minorEastAsia"/>
          <w:b w:val="0"/>
          <w:bCs/>
          <w:sz w:val="24"/>
          <w:szCs w:val="24"/>
          <w:lang w:eastAsia="zh-CN"/>
        </w:rPr>
        <w:t>数据的安全性</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为确保关键信息和应用的安全，应该建立一套严格安全的访问机制，并对用户名及密码的进行加密存储，确保信息的安全性。</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val="en-US" w:eastAsia="zh-CN"/>
        </w:rPr>
        <w:t>3.2</w:t>
      </w:r>
      <w:r>
        <w:rPr>
          <w:rFonts w:hint="eastAsia" w:cs="微软雅黑" w:asciiTheme="minorEastAsia" w:hAnsiTheme="minorEastAsia"/>
          <w:b w:val="0"/>
          <w:bCs/>
          <w:sz w:val="24"/>
          <w:szCs w:val="24"/>
          <w:lang w:eastAsia="zh-CN"/>
        </w:rPr>
        <w:t>数据的稳定性</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确定使系统正常运作所需的任何日常或预防性的维护措施，描述这些功能所需的系统储备容量的特性和范围；系统应能自动地或人工地进行每天的数据备份、支持主机备份、支持全部和增量数据备份，且系统应具有远程备份的实现方案；系统应具备健全的容灾机制，提供容灾设计方案及故障恢复能力方面的数据指标；充分考虑大交易量、大批量文件时的处理，保证在日间大并发量的情况下，系统仍能保证高效、稳定的运行。</w:t>
      </w:r>
    </w:p>
    <w:p>
      <w:pPr>
        <w:spacing w:line="360" w:lineRule="auto"/>
        <w:ind w:firstLine="480" w:firstLineChars="200"/>
        <w:contextualSpacing/>
        <w:rPr>
          <w:rFonts w:hint="eastAsia" w:cs="微软雅黑" w:asciiTheme="minorEastAsia" w:hAnsiTheme="minorEastAsia"/>
          <w:b w:val="0"/>
          <w:bCs/>
          <w:sz w:val="24"/>
          <w:szCs w:val="24"/>
          <w:lang w:eastAsia="zh-CN"/>
        </w:rPr>
      </w:pPr>
      <w:bookmarkStart w:id="11" w:name="_Toc478117955"/>
      <w:r>
        <w:rPr>
          <w:rFonts w:hint="eastAsia" w:cs="微软雅黑" w:asciiTheme="minorEastAsia" w:hAnsiTheme="minorEastAsia"/>
          <w:b w:val="0"/>
          <w:bCs/>
          <w:sz w:val="24"/>
          <w:szCs w:val="24"/>
          <w:lang w:val="en-US" w:eastAsia="zh-CN"/>
        </w:rPr>
        <w:t>4、</w:t>
      </w:r>
      <w:r>
        <w:rPr>
          <w:rFonts w:hint="eastAsia" w:cs="微软雅黑" w:asciiTheme="minorEastAsia" w:hAnsiTheme="minorEastAsia"/>
          <w:b w:val="0"/>
          <w:bCs/>
          <w:sz w:val="24"/>
          <w:szCs w:val="24"/>
          <w:lang w:eastAsia="zh-CN"/>
        </w:rPr>
        <w:t>先进性和适用性</w:t>
      </w:r>
      <w:bookmarkEnd w:id="11"/>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为了保证开发出来的系统能够在较长的一段时间之内仍能够在技术层次上不致落伍，系统建设的先进性要从技术路线、体系结构、技术规范、产品等方面得到保证。</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在考虑先进性的同时，必须兼顾适用性，不能选择只有先进技术，但没有实用价值的产品。适用性要从界面友好程度、系统的稳定性和效率、企业软硬件平台的实际情况以及未来发展方向等方面给予考虑。工程竣工后，根据用户实际要求作适当改进。</w:t>
      </w:r>
    </w:p>
    <w:p>
      <w:pPr>
        <w:spacing w:line="360" w:lineRule="auto"/>
        <w:ind w:firstLine="480" w:firstLineChars="200"/>
        <w:contextualSpacing/>
        <w:rPr>
          <w:rFonts w:hint="eastAsia" w:cs="微软雅黑" w:asciiTheme="minorEastAsia" w:hAnsiTheme="minorEastAsia"/>
          <w:b w:val="0"/>
          <w:bCs/>
          <w:sz w:val="24"/>
          <w:szCs w:val="24"/>
          <w:lang w:eastAsia="zh-CN"/>
        </w:rPr>
      </w:pPr>
      <w:bookmarkStart w:id="12" w:name="_Toc478117956"/>
      <w:r>
        <w:rPr>
          <w:rFonts w:hint="eastAsia" w:cs="微软雅黑" w:asciiTheme="minorEastAsia" w:hAnsiTheme="minorEastAsia"/>
          <w:b w:val="0"/>
          <w:bCs/>
          <w:sz w:val="24"/>
          <w:szCs w:val="24"/>
          <w:lang w:val="en-US" w:eastAsia="zh-CN"/>
        </w:rPr>
        <w:t>5、</w:t>
      </w:r>
      <w:r>
        <w:rPr>
          <w:rFonts w:hint="eastAsia" w:cs="微软雅黑" w:asciiTheme="minorEastAsia" w:hAnsiTheme="minorEastAsia"/>
          <w:b w:val="0"/>
          <w:bCs/>
          <w:sz w:val="24"/>
          <w:szCs w:val="24"/>
          <w:lang w:eastAsia="zh-CN"/>
        </w:rPr>
        <w:t>易用性和可管理性</w:t>
      </w:r>
      <w:bookmarkEnd w:id="12"/>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为保证企业内具有不同的计算机应用水平的所有员工均能够对本系统快速地掌握并进行方便地使用，要求系统具备良好的易用性和人机交互界面。</w:t>
      </w:r>
    </w:p>
    <w:p>
      <w:pPr>
        <w:spacing w:line="360" w:lineRule="auto"/>
        <w:ind w:firstLine="480" w:firstLineChars="200"/>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同时，考虑到系统的维护是一项非常重要而繁重的工作，系统在设计时必须考虑可管理性，努力降低使用中的维护成本。</w:t>
      </w:r>
    </w:p>
    <w:p>
      <w:pPr>
        <w:spacing w:line="360" w:lineRule="auto"/>
        <w:ind w:firstLine="480" w:firstLineChars="200"/>
        <w:contextualSpacing/>
        <w:rPr>
          <w:rFonts w:hint="eastAsia" w:cs="微软雅黑" w:asciiTheme="minorEastAsia" w:hAnsiTheme="minorEastAsia"/>
          <w:b w:val="0"/>
          <w:bCs/>
          <w:sz w:val="24"/>
          <w:szCs w:val="24"/>
          <w:lang w:eastAsia="zh-CN"/>
        </w:rPr>
      </w:pPr>
      <w:bookmarkStart w:id="13" w:name="_Toc478117957"/>
      <w:r>
        <w:rPr>
          <w:rFonts w:hint="eastAsia" w:cs="微软雅黑" w:asciiTheme="minorEastAsia" w:hAnsiTheme="minorEastAsia"/>
          <w:b w:val="0"/>
          <w:bCs/>
          <w:sz w:val="24"/>
          <w:szCs w:val="24"/>
          <w:lang w:val="en-US" w:eastAsia="zh-CN"/>
        </w:rPr>
        <w:t>6、</w:t>
      </w:r>
      <w:r>
        <w:rPr>
          <w:rFonts w:hint="eastAsia" w:cs="微软雅黑" w:asciiTheme="minorEastAsia" w:hAnsiTheme="minorEastAsia"/>
          <w:b w:val="0"/>
          <w:bCs/>
          <w:sz w:val="24"/>
          <w:szCs w:val="24"/>
          <w:lang w:eastAsia="zh-CN"/>
        </w:rPr>
        <w:t>可扩展性</w:t>
      </w:r>
      <w:bookmarkEnd w:id="13"/>
    </w:p>
    <w:p>
      <w:pPr>
        <w:spacing w:line="360" w:lineRule="auto"/>
        <w:ind w:firstLine="480" w:firstLineChars="200"/>
        <w:contextualSpacing/>
        <w:rPr>
          <w:rFonts w:hint="eastAsia" w:cs="微软雅黑" w:asciiTheme="minorEastAsia" w:hAnsiTheme="minorEastAsia"/>
          <w:b/>
          <w:bCs w:val="0"/>
          <w:sz w:val="24"/>
          <w:szCs w:val="24"/>
          <w:lang w:eastAsia="zh-CN"/>
        </w:rPr>
      </w:pPr>
      <w:r>
        <w:rPr>
          <w:rFonts w:hint="eastAsia" w:cs="微软雅黑" w:asciiTheme="minorEastAsia" w:hAnsiTheme="minorEastAsia"/>
          <w:b w:val="0"/>
          <w:bCs/>
          <w:sz w:val="24"/>
          <w:szCs w:val="24"/>
          <w:lang w:eastAsia="zh-CN"/>
        </w:rPr>
        <w:t>考虑到和其他信息系统的连接，系统应具有良好的外接接口，将来随着单位业务的不断扩充，整个系统中应能够方便地添加新的业务模块也是可扩充性的一个重要特征。系统要适应公司发展过程中因业务创新、管理创新等带来的组织机构变化、管理模式变化和工作模式变化。</w:t>
      </w:r>
    </w:p>
    <w:p>
      <w:pPr>
        <w:spacing w:line="360" w:lineRule="auto"/>
        <w:ind w:firstLine="482" w:firstLineChars="200"/>
        <w:contextualSpacing/>
        <w:rPr>
          <w:rFonts w:hint="eastAsia" w:ascii="宋体" w:hAnsi="宋体" w:cs="宋体"/>
          <w:b/>
          <w:bCs/>
          <w:sz w:val="24"/>
          <w:szCs w:val="24"/>
        </w:rPr>
      </w:pPr>
      <w:r>
        <w:rPr>
          <w:rFonts w:hint="eastAsia" w:cs="微软雅黑" w:asciiTheme="minorEastAsia" w:hAnsiTheme="minorEastAsia"/>
          <w:b/>
          <w:sz w:val="24"/>
          <w:szCs w:val="24"/>
        </w:rPr>
        <w:t>所列</w:t>
      </w:r>
      <w:r>
        <w:rPr>
          <w:rFonts w:hint="eastAsia" w:cs="微软雅黑" w:asciiTheme="minorEastAsia" w:hAnsiTheme="minorEastAsia"/>
          <w:b/>
          <w:sz w:val="24"/>
          <w:szCs w:val="24"/>
          <w:lang w:eastAsia="zh-CN"/>
        </w:rPr>
        <w:t>功能技术需求</w:t>
      </w:r>
      <w:r>
        <w:rPr>
          <w:rFonts w:hint="eastAsia" w:cs="微软雅黑" w:asciiTheme="minorEastAsia" w:hAnsiTheme="minorEastAsia"/>
          <w:b/>
          <w:sz w:val="24"/>
          <w:szCs w:val="24"/>
        </w:rPr>
        <w:t>为最低要求，不允许负偏离，否则将承担其投标被视为非实质性响应投标的风险。</w:t>
      </w: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lang w:eastAsia="zh-CN"/>
        </w:rPr>
        <w:t>三、</w:t>
      </w:r>
      <w:r>
        <w:rPr>
          <w:rFonts w:hint="eastAsia" w:ascii="宋体" w:hAnsi="宋体" w:cs="宋体"/>
          <w:b/>
          <w:bCs/>
          <w:sz w:val="24"/>
          <w:szCs w:val="24"/>
        </w:rPr>
        <w:t>其他要求</w:t>
      </w:r>
    </w:p>
    <w:p>
      <w:pPr>
        <w:spacing w:line="360" w:lineRule="auto"/>
        <w:ind w:firstLine="480" w:firstLineChars="200"/>
        <w:rPr>
          <w:rFonts w:ascii="宋体" w:hAnsi="宋体" w:cs="宋体"/>
          <w:sz w:val="24"/>
          <w:szCs w:val="24"/>
        </w:rPr>
      </w:pPr>
      <w:r>
        <w:rPr>
          <w:rFonts w:hint="eastAsia" w:ascii="宋体" w:hAnsi="宋体" w:cs="宋体"/>
          <w:sz w:val="24"/>
          <w:szCs w:val="24"/>
        </w:rPr>
        <w:t>1、本谈判文件所列的要求为最低要求，对谈判文件中没有列出的而对本项目必不可少的其他要求，谈判供应商必须给予实现。</w:t>
      </w:r>
    </w:p>
    <w:p>
      <w:pPr>
        <w:widowControl/>
        <w:spacing w:line="360" w:lineRule="auto"/>
        <w:ind w:firstLine="420" w:firstLineChars="200"/>
        <w:rPr>
          <w:rFonts w:hint="eastAsia" w:ascii="宋体" w:hAnsi="宋体" w:cs="宋体"/>
          <w:b/>
          <w:bCs/>
          <w:sz w:val="24"/>
          <w:szCs w:val="24"/>
          <w:lang w:val="zh-CN"/>
        </w:rPr>
      </w:pPr>
      <w:r>
        <w:rPr>
          <w:rFonts w:hint="eastAsia" w:ascii="宋体" w:hAnsi="宋体" w:cs="宋体"/>
          <w:szCs w:val="24"/>
        </w:rPr>
        <w:t>2、</w:t>
      </w:r>
      <w:r>
        <w:rPr>
          <w:rFonts w:hint="eastAsia" w:ascii="宋体" w:hAnsi="宋体" w:cs="宋体"/>
          <w:sz w:val="24"/>
          <w:szCs w:val="24"/>
          <w:lang w:val="zh-CN"/>
        </w:rPr>
        <w:t>供应商应就该项目完整报价，</w:t>
      </w:r>
      <w:r>
        <w:rPr>
          <w:rFonts w:hint="eastAsia" w:ascii="宋体" w:hAnsi="宋体" w:cs="宋体"/>
          <w:b/>
          <w:bCs/>
          <w:sz w:val="24"/>
          <w:szCs w:val="24"/>
          <w:lang w:val="zh-CN"/>
        </w:rPr>
        <w:t>否则为无效报价。</w:t>
      </w:r>
    </w:p>
    <w:p>
      <w:pPr>
        <w:widowControl/>
        <w:spacing w:line="360" w:lineRule="auto"/>
        <w:ind w:firstLine="420" w:firstLineChars="200"/>
        <w:rPr>
          <w:rFonts w:hint="eastAsia" w:ascii="宋体" w:hAnsi="宋体" w:cs="宋体"/>
          <w:b/>
          <w:bCs/>
          <w:sz w:val="24"/>
          <w:szCs w:val="24"/>
          <w:lang w:val="zh-CN"/>
        </w:rPr>
      </w:pPr>
      <w:r>
        <w:rPr>
          <w:rFonts w:hint="eastAsia"/>
          <w:lang w:val="en-US" w:eastAsia="zh-CN"/>
        </w:rPr>
        <w:t>3</w:t>
      </w:r>
      <w:r>
        <w:rPr>
          <w:rFonts w:hint="eastAsia"/>
          <w:lang w:val="zh-CN"/>
        </w:rPr>
        <w:t>、</w:t>
      </w:r>
      <w:r>
        <w:rPr>
          <w:rFonts w:hint="eastAsia" w:ascii="宋体" w:hAnsi="宋体" w:cs="宋体"/>
          <w:b/>
          <w:bCs/>
          <w:sz w:val="24"/>
          <w:szCs w:val="24"/>
          <w:lang w:val="zh-CN"/>
        </w:rPr>
        <w:t>验收标准：</w:t>
      </w:r>
      <w:r>
        <w:rPr>
          <w:rFonts w:hint="eastAsia" w:ascii="宋体" w:hAnsi="宋体" w:cs="宋体"/>
          <w:b w:val="0"/>
          <w:bCs w:val="0"/>
          <w:sz w:val="24"/>
          <w:szCs w:val="24"/>
          <w:lang w:val="zh-CN"/>
        </w:rPr>
        <w:t>由采购人成立验收小组,</w:t>
      </w:r>
      <w:r>
        <w:rPr>
          <w:rFonts w:hint="eastAsia" w:ascii="宋体" w:hAnsi="宋体" w:cs="宋体"/>
          <w:b w:val="0"/>
          <w:bCs w:val="0"/>
          <w:sz w:val="24"/>
          <w:szCs w:val="24"/>
          <w:lang w:val="zh-CN" w:eastAsia="zh-CN"/>
        </w:rPr>
        <w:t>根据用户改进要求，完成之后再</w:t>
      </w:r>
      <w:r>
        <w:rPr>
          <w:rFonts w:hint="eastAsia" w:ascii="宋体" w:hAnsi="宋体" w:cs="宋体"/>
          <w:b w:val="0"/>
          <w:bCs w:val="0"/>
          <w:sz w:val="24"/>
          <w:szCs w:val="24"/>
          <w:lang w:val="zh-CN"/>
        </w:rPr>
        <w:t>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b/>
          <w:bCs/>
          <w:sz w:val="24"/>
          <w:szCs w:val="24"/>
          <w:lang w:val="zh-CN"/>
        </w:rPr>
        <w:t>付款方式</w:t>
      </w:r>
      <w:r>
        <w:rPr>
          <w:rFonts w:hint="eastAsia" w:ascii="宋体" w:hAnsi="宋体" w:cs="宋体"/>
          <w:sz w:val="24"/>
          <w:szCs w:val="24"/>
        </w:rPr>
        <w:t>（</w:t>
      </w:r>
      <w:r>
        <w:rPr>
          <w:rFonts w:hint="eastAsia" w:ascii="宋体" w:hAnsi="宋体" w:cs="宋体"/>
          <w:sz w:val="24"/>
          <w:szCs w:val="24"/>
          <w:lang w:val="zh-CN"/>
        </w:rPr>
        <w:t>不响应者为无效响应）</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1、支付方式：银行转账</w:t>
      </w:r>
    </w:p>
    <w:p>
      <w:pPr>
        <w:widowControl/>
        <w:ind w:firstLine="480" w:firstLineChars="200"/>
        <w:jc w:val="left"/>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2、 支付时间及条件：</w:t>
      </w:r>
    </w:p>
    <w:p>
      <w:pPr>
        <w:widowControl/>
        <w:ind w:firstLine="480" w:firstLineChars="200"/>
        <w:jc w:val="left"/>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（1）甲方于合同生效后三个工作日内，向乙方支付合同总额的60％；</w:t>
      </w:r>
    </w:p>
    <w:p>
      <w:pPr>
        <w:widowControl/>
        <w:ind w:firstLine="480" w:firstLineChars="200"/>
        <w:jc w:val="left"/>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（2）系统安装、培训完成后三个工作日内，甲方向乙方支付合同总额的20%；</w:t>
      </w:r>
    </w:p>
    <w:p>
      <w:pPr>
        <w:spacing w:line="360" w:lineRule="auto"/>
        <w:ind w:firstLine="480" w:firstLineChars="200"/>
        <w:jc w:val="both"/>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（3）产品验收完成之日起三个工作日内，甲方向乙方支付合同总额的20%。</w:t>
      </w:r>
    </w:p>
    <w:p>
      <w:pPr>
        <w:widowControl/>
        <w:shd w:val="clear" w:color="auto" w:fill="FFFFFF"/>
        <w:spacing w:line="360" w:lineRule="auto"/>
        <w:ind w:firstLine="601"/>
        <w:jc w:val="left"/>
        <w:rPr>
          <w:rFonts w:hint="eastAsia" w:cs="宋体" w:asciiTheme="minorEastAsia" w:hAnsiTheme="minorEastAsia" w:eastAsiaTheme="minorEastAsia"/>
          <w:kern w:val="0"/>
          <w:sz w:val="24"/>
          <w:szCs w:val="24"/>
          <w:lang w:val="en-US" w:eastAsia="zh-CN"/>
        </w:rPr>
      </w:pPr>
    </w:p>
    <w:p>
      <w:pPr>
        <w:spacing w:line="360" w:lineRule="auto"/>
        <w:ind w:firstLine="643" w:firstLineChars="200"/>
        <w:jc w:val="center"/>
        <w:rPr>
          <w:rFonts w:ascii="宋体" w:hAnsi="宋体"/>
          <w:b/>
          <w:kern w:val="0"/>
          <w:sz w:val="24"/>
          <w:szCs w:val="24"/>
        </w:rPr>
      </w:pPr>
      <w:r>
        <w:rPr>
          <w:rFonts w:ascii="华文中宋" w:hAnsi="华文中宋" w:eastAsia="华文中宋"/>
          <w:b/>
          <w:sz w:val="32"/>
          <w:szCs w:val="32"/>
        </w:rPr>
        <w:br w:type="page"/>
      </w: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一、评审方法</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1、进行资格审查</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资格审查内容详见第三章资格审查的要求。</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pacing w:line="400" w:lineRule="exact"/>
        <w:ind w:firstLine="540" w:firstLineChars="225"/>
        <w:rPr>
          <w:rFonts w:ascii="宋体" w:hAnsi="宋体" w:cs="宋体"/>
          <w:kern w:val="0"/>
          <w:sz w:val="24"/>
          <w:szCs w:val="24"/>
        </w:rPr>
      </w:pPr>
      <w:r>
        <w:rPr>
          <w:rFonts w:hint="eastAsia" w:ascii="宋体" w:hAnsi="宋体" w:cs="宋体"/>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pPr>
        <w:pStyle w:val="14"/>
        <w:spacing w:after="0" w:line="400" w:lineRule="atLeast"/>
        <w:ind w:firstLineChars="175"/>
        <w:rPr>
          <w:rFonts w:ascii="宋体" w:hAnsi="宋体" w:cs="宋体"/>
          <w:szCs w:val="24"/>
        </w:rPr>
      </w:pPr>
      <w:r>
        <w:rPr>
          <w:rFonts w:hint="eastAsia" w:ascii="宋体" w:hAnsi="宋体" w:cs="宋体"/>
          <w:szCs w:val="24"/>
        </w:rPr>
        <w:t>符合性审查内容详见第三章符合性审查的要求。</w:t>
      </w:r>
    </w:p>
    <w:p>
      <w:pPr>
        <w:pStyle w:val="14"/>
        <w:numPr>
          <w:ilvl w:val="0"/>
          <w:numId w:val="5"/>
        </w:numPr>
        <w:spacing w:after="0" w:line="400" w:lineRule="atLeast"/>
        <w:ind w:firstLineChars="175"/>
        <w:rPr>
          <w:rFonts w:ascii="宋体" w:hAnsi="宋体" w:cs="宋体"/>
          <w:szCs w:val="24"/>
        </w:rPr>
      </w:pPr>
      <w:r>
        <w:rPr>
          <w:rFonts w:hint="eastAsia" w:ascii="宋体" w:hAnsi="宋体" w:cs="宋体"/>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pPr>
        <w:pStyle w:val="14"/>
        <w:numPr>
          <w:ilvl w:val="0"/>
          <w:numId w:val="5"/>
        </w:numPr>
        <w:spacing w:after="0" w:line="400" w:lineRule="atLeast"/>
        <w:ind w:firstLineChars="175"/>
        <w:rPr>
          <w:rFonts w:ascii="宋体" w:hAnsi="宋体" w:cs="宋体"/>
          <w:szCs w:val="24"/>
        </w:rPr>
      </w:pPr>
      <w:r>
        <w:rPr>
          <w:rFonts w:hint="eastAsia" w:ascii="宋体" w:hAnsi="宋体" w:cs="宋体"/>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pPr>
        <w:pStyle w:val="14"/>
        <w:numPr>
          <w:ilvl w:val="0"/>
          <w:numId w:val="5"/>
        </w:numPr>
        <w:spacing w:after="0" w:line="400" w:lineRule="atLeast"/>
        <w:ind w:firstLineChars="175"/>
        <w:rPr>
          <w:rFonts w:ascii="宋体" w:hAnsi="宋体" w:cs="宋体"/>
          <w:szCs w:val="24"/>
        </w:rPr>
      </w:pPr>
      <w:r>
        <w:rPr>
          <w:rFonts w:hint="eastAsia" w:ascii="宋体" w:hAnsi="宋体" w:cs="宋体"/>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pPr>
        <w:pStyle w:val="14"/>
        <w:numPr>
          <w:ilvl w:val="0"/>
          <w:numId w:val="5"/>
        </w:numPr>
        <w:spacing w:after="0" w:line="400" w:lineRule="atLeast"/>
        <w:ind w:firstLineChars="175"/>
        <w:rPr>
          <w:rFonts w:ascii="宋体" w:hAnsi="宋体" w:cs="宋体"/>
          <w:szCs w:val="24"/>
        </w:rPr>
      </w:pPr>
      <w:r>
        <w:rPr>
          <w:rFonts w:hint="eastAsia" w:ascii="宋体" w:hAnsi="宋体" w:cs="宋体"/>
          <w:szCs w:val="24"/>
        </w:rPr>
        <w:t>谈判小组应当从质量和服务均能满足采购文件实质性响应要求的供应商中，按照最后报价由低到高的顺序提出3名以上成交候选人,并编写评审报告。</w:t>
      </w: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二、确定成交供应商的原则</w:t>
      </w:r>
    </w:p>
    <w:p>
      <w:pPr>
        <w:spacing w:line="400" w:lineRule="exact"/>
        <w:ind w:firstLine="540" w:firstLineChars="225"/>
        <w:rPr>
          <w:rFonts w:ascii="宋体" w:hAnsi="宋体" w:cs="宋体"/>
          <w:kern w:val="0"/>
          <w:sz w:val="24"/>
          <w:szCs w:val="24"/>
        </w:rPr>
      </w:pPr>
      <w:r>
        <w:rPr>
          <w:rFonts w:hint="eastAsia" w:ascii="宋体" w:hAnsi="宋体" w:cs="宋体"/>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rFonts w:ascii="宋体" w:hAnsi="宋体" w:cs="宋体"/>
          <w:b/>
          <w:bCs/>
          <w:sz w:val="24"/>
          <w:szCs w:val="24"/>
        </w:rPr>
      </w:pPr>
      <w:r>
        <w:rPr>
          <w:rFonts w:hint="eastAsia" w:ascii="宋体" w:hAnsi="宋体" w:cs="宋体"/>
          <w:kern w:val="0"/>
          <w:sz w:val="24"/>
          <w:szCs w:val="24"/>
        </w:rPr>
        <w:t>2．</w:t>
      </w:r>
      <w:r>
        <w:rPr>
          <w:rFonts w:hint="eastAsia" w:ascii="宋体" w:hAnsi="宋体" w:cs="宋体"/>
          <w:sz w:val="24"/>
          <w:szCs w:val="24"/>
        </w:rPr>
        <w:t>最终报价相同的，按技术指标优劣顺序排列。</w:t>
      </w:r>
      <w:r>
        <w:rPr>
          <w:rFonts w:hint="eastAsia" w:ascii="宋体" w:hAnsi="宋体" w:cs="宋体"/>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pPr>
        <w:spacing w:line="400" w:lineRule="exact"/>
        <w:ind w:firstLine="480" w:firstLineChars="200"/>
        <w:rPr>
          <w:rFonts w:ascii="宋体" w:hAnsi="宋体" w:cs="宋体"/>
          <w:sz w:val="24"/>
          <w:szCs w:val="24"/>
        </w:rPr>
      </w:pPr>
      <w:r>
        <w:rPr>
          <w:rFonts w:hint="eastAsia" w:ascii="宋体" w:hAnsi="宋体" w:cs="宋体"/>
          <w:sz w:val="24"/>
          <w:szCs w:val="24"/>
        </w:rPr>
        <w:t>3．评审中遇到的其他问题，由谈判小组集体研究决定。</w:t>
      </w:r>
    </w:p>
    <w:p>
      <w:pPr>
        <w:spacing w:line="400" w:lineRule="exact"/>
        <w:ind w:firstLine="480" w:firstLineChars="200"/>
        <w:rPr>
          <w:rFonts w:ascii="宋体" w:hAnsi="宋体"/>
          <w:b/>
          <w:sz w:val="24"/>
          <w:szCs w:val="24"/>
        </w:rPr>
      </w:pPr>
      <w:r>
        <w:rPr>
          <w:rFonts w:hint="eastAsia" w:ascii="宋体" w:hAnsi="宋体" w:cs="宋体"/>
          <w:sz w:val="24"/>
          <w:szCs w:val="24"/>
        </w:rPr>
        <w:t>三、</w:t>
      </w:r>
      <w:r>
        <w:rPr>
          <w:rFonts w:hint="eastAsia" w:ascii="宋体" w:hAnsi="宋体"/>
          <w:b/>
          <w:sz w:val="24"/>
          <w:szCs w:val="24"/>
        </w:rPr>
        <w:t>政府采购政策功能要求</w:t>
      </w:r>
    </w:p>
    <w:p>
      <w:pPr>
        <w:spacing w:line="400" w:lineRule="exact"/>
        <w:ind w:firstLine="480" w:firstLineChars="200"/>
        <w:rPr>
          <w:rFonts w:ascii="宋体" w:hAnsi="宋体" w:cs="宋体"/>
          <w:sz w:val="24"/>
          <w:szCs w:val="24"/>
        </w:rPr>
      </w:pPr>
      <w:r>
        <w:rPr>
          <w:rFonts w:hint="eastAsia" w:ascii="宋体" w:hAnsi="宋体" w:cs="宋体"/>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pPr>
        <w:spacing w:line="400" w:lineRule="exact"/>
        <w:ind w:firstLine="480" w:firstLineChars="200"/>
        <w:rPr>
          <w:rFonts w:ascii="宋体" w:hAnsi="宋体" w:cs="宋体"/>
          <w:sz w:val="24"/>
          <w:szCs w:val="24"/>
        </w:rPr>
      </w:pPr>
      <w:r>
        <w:rPr>
          <w:rFonts w:hint="eastAsia" w:ascii="宋体" w:hAnsi="宋体" w:cs="宋体"/>
          <w:sz w:val="24"/>
          <w:szCs w:val="24"/>
        </w:rPr>
        <w:t>监狱企业（提供监狱企业证明文件复印件）、残疾人福利性单位视同小型、微型企业，所生产的产品参加投标</w:t>
      </w:r>
      <w:r>
        <w:rPr>
          <w:rFonts w:hint="eastAsia" w:ascii="宋体" w:hAnsi="宋体" w:cs="宋体"/>
          <w:szCs w:val="21"/>
        </w:rPr>
        <w:t>（谈判）</w:t>
      </w:r>
      <w:r>
        <w:rPr>
          <w:rFonts w:hint="eastAsia" w:ascii="宋体" w:hAnsi="宋体" w:cs="宋体"/>
          <w:sz w:val="24"/>
          <w:szCs w:val="24"/>
        </w:rPr>
        <w:t>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hint="eastAsia" w:ascii="宋体" w:hAnsi="宋体" w:cs="宋体"/>
          <w:szCs w:val="21"/>
        </w:rPr>
        <w:t>（谈判）</w:t>
      </w:r>
      <w:r>
        <w:rPr>
          <w:rFonts w:hint="eastAsia" w:ascii="宋体" w:hAnsi="宋体" w:cs="宋体"/>
          <w:sz w:val="24"/>
          <w:szCs w:val="24"/>
        </w:rPr>
        <w:t>活动中，投标</w:t>
      </w:r>
      <w:r>
        <w:rPr>
          <w:rFonts w:hint="eastAsia" w:ascii="宋体" w:hAnsi="宋体" w:cs="宋体"/>
          <w:szCs w:val="21"/>
        </w:rPr>
        <w:t>（谈判）</w:t>
      </w:r>
      <w:r>
        <w:rPr>
          <w:rFonts w:hint="eastAsia" w:ascii="宋体" w:hAnsi="宋体" w:cs="宋体"/>
          <w:sz w:val="24"/>
          <w:szCs w:val="24"/>
        </w:rPr>
        <w:t>货物中如有涉及到上述九类产品时”，则所投涉及到上述货物的产品必须选择公布（最新）一期节能清单中的节能产品货物参与投标</w:t>
      </w:r>
      <w:r>
        <w:rPr>
          <w:rFonts w:hint="eastAsia" w:ascii="宋体" w:hAnsi="宋体" w:cs="宋体"/>
          <w:szCs w:val="21"/>
        </w:rPr>
        <w:t>（谈判）</w:t>
      </w:r>
      <w:r>
        <w:rPr>
          <w:rFonts w:hint="eastAsia" w:ascii="宋体" w:hAnsi="宋体" w:cs="宋体"/>
          <w:sz w:val="24"/>
          <w:szCs w:val="24"/>
        </w:rPr>
        <w:t>，并提供含有节能产品政府采购清单本单页的复印件加盖供应商单位公章。</w:t>
      </w:r>
    </w:p>
    <w:p>
      <w:pPr>
        <w:spacing w:line="400" w:lineRule="exact"/>
        <w:ind w:firstLine="480" w:firstLineChars="200"/>
        <w:rPr>
          <w:rFonts w:ascii="宋体" w:hAnsi="宋体" w:cs="宋体"/>
          <w:sz w:val="24"/>
          <w:szCs w:val="24"/>
        </w:rPr>
      </w:pPr>
      <w:r>
        <w:rPr>
          <w:rFonts w:hint="eastAsia" w:ascii="宋体" w:hAnsi="宋体" w:cs="宋体"/>
          <w:sz w:val="24"/>
          <w:szCs w:val="24"/>
        </w:rPr>
        <w:t>注：最新一期节能清单可从以下网站查询中华人民共和国财政部网站（http://www.mof.gov.cn）或中国政府采购网（http://www.ccgp.gov.cn/）或国家发展改革委网站（http://hzs.ndrc.gov.cn/）</w:t>
      </w:r>
    </w:p>
    <w:p>
      <w:pPr>
        <w:spacing w:line="400" w:lineRule="exact"/>
        <w:ind w:firstLine="480" w:firstLineChars="200"/>
        <w:rPr>
          <w:rFonts w:ascii="宋体" w:hAnsi="宋体" w:cs="宋体"/>
          <w:sz w:val="24"/>
          <w:szCs w:val="24"/>
        </w:rPr>
      </w:pPr>
      <w:r>
        <w:rPr>
          <w:rFonts w:hint="eastAsia" w:ascii="宋体" w:hAnsi="宋体" w:cs="宋体"/>
          <w:sz w:val="24"/>
          <w:szCs w:val="24"/>
        </w:rPr>
        <w:t>政府采购属于节能清单中产品时，在技术、服务等指标同等条件下，应当优先采购节能清单所列的节能产品。</w:t>
      </w:r>
    </w:p>
    <w:p>
      <w:pPr>
        <w:spacing w:line="400" w:lineRule="exact"/>
        <w:ind w:firstLine="480" w:firstLineChars="200"/>
        <w:rPr>
          <w:rFonts w:ascii="宋体" w:hAnsi="宋体" w:cs="宋体"/>
          <w:sz w:val="24"/>
          <w:szCs w:val="24"/>
        </w:rPr>
      </w:pPr>
      <w:r>
        <w:rPr>
          <w:rFonts w:hint="eastAsia" w:ascii="宋体" w:hAnsi="宋体" w:cs="宋体"/>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pPr>
        <w:spacing w:line="400" w:lineRule="exact"/>
        <w:ind w:firstLine="480" w:firstLineChars="200"/>
        <w:rPr>
          <w:rFonts w:ascii="宋体" w:hAnsi="宋体" w:cs="宋体"/>
          <w:sz w:val="24"/>
          <w:szCs w:val="24"/>
        </w:rPr>
      </w:pPr>
      <w:r>
        <w:rPr>
          <w:rFonts w:hint="eastAsia" w:ascii="宋体" w:hAnsi="宋体" w:cs="宋体"/>
          <w:sz w:val="24"/>
          <w:szCs w:val="24"/>
        </w:rPr>
        <w:t>注：最新一期环境标志产品清单可从中国政府采购网（http//www.ccgp.gov.cn/)、国家环保总局网（http//www.sepa.gov.cn/)下载。</w:t>
      </w:r>
    </w:p>
    <w:p>
      <w:pPr>
        <w:spacing w:line="400" w:lineRule="exact"/>
        <w:ind w:firstLine="480" w:firstLineChars="200"/>
        <w:rPr>
          <w:rFonts w:ascii="宋体" w:hAnsi="宋体" w:cs="宋体"/>
          <w:sz w:val="24"/>
          <w:szCs w:val="24"/>
        </w:rPr>
      </w:pPr>
      <w:r>
        <w:rPr>
          <w:rFonts w:hint="eastAsia" w:ascii="宋体" w:hAnsi="宋体" w:cs="宋体"/>
          <w:sz w:val="24"/>
          <w:szCs w:val="24"/>
        </w:rPr>
        <w:t>4.所投产品已列入国家强制性产品认证的产品，必须提供通过国家3C认证的有关证明材料。（谈判文件没有要求提供的产品，评审时不作强制审查）</w:t>
      </w:r>
    </w:p>
    <w:p>
      <w:pPr>
        <w:spacing w:line="400" w:lineRule="exact"/>
        <w:ind w:firstLine="480" w:firstLineChars="200"/>
        <w:rPr>
          <w:rFonts w:ascii="宋体" w:hAnsi="宋体" w:cs="宋体"/>
          <w:sz w:val="24"/>
          <w:szCs w:val="24"/>
        </w:rPr>
      </w:pPr>
      <w:r>
        <w:rPr>
          <w:rFonts w:hint="eastAsia" w:ascii="宋体" w:hAnsi="宋体" w:cs="宋体"/>
          <w:sz w:val="24"/>
          <w:szCs w:val="24"/>
        </w:rPr>
        <w:t>5.本采购项目应当执行《河南省财政厅、河南省工业和信息化厅关于政府采购促进小微型企业发展实施意见》豫财购[2013]14号文件规定的各项功能政策。</w:t>
      </w:r>
    </w:p>
    <w:p>
      <w:pPr>
        <w:spacing w:line="400" w:lineRule="exact"/>
        <w:ind w:firstLine="480" w:firstLineChars="200"/>
        <w:rPr>
          <w:rFonts w:ascii="宋体" w:hAnsi="宋体" w:cs="宋体"/>
          <w:sz w:val="24"/>
          <w:szCs w:val="24"/>
        </w:rPr>
      </w:pPr>
      <w:r>
        <w:rPr>
          <w:rFonts w:hint="eastAsia" w:ascii="宋体" w:hAnsi="宋体" w:cs="宋体"/>
          <w:sz w:val="24"/>
          <w:szCs w:val="24"/>
        </w:rPr>
        <w:t>6.本采购项目应当执行《三部门联合发布关于促进残疾人就业政府采购政策的通知》(财库〔2017141号)文件规定的各项功能政策。</w:t>
      </w:r>
    </w:p>
    <w:p>
      <w:pPr>
        <w:spacing w:line="480" w:lineRule="exact"/>
        <w:jc w:val="center"/>
        <w:rPr>
          <w:rFonts w:ascii="宋体" w:hAnsi="宋体"/>
          <w:b/>
          <w:bCs/>
          <w:sz w:val="36"/>
          <w:szCs w:val="36"/>
        </w:rPr>
      </w:pPr>
    </w:p>
    <w:p>
      <w:pPr>
        <w:pStyle w:val="14"/>
        <w:ind w:left="0" w:leftChars="0" w:firstLine="0" w:firstLineChars="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第六章  采购合同专用条款</w:t>
      </w:r>
    </w:p>
    <w:p>
      <w:pPr>
        <w:pStyle w:val="14"/>
        <w:ind w:firstLine="240"/>
        <w:rPr>
          <w:rFonts w:asciiTheme="majorEastAsia" w:hAnsiTheme="majorEastAsia" w:eastAsiaTheme="majorEastAsia"/>
        </w:rPr>
      </w:pPr>
    </w:p>
    <w:tbl>
      <w:tblPr>
        <w:tblStyle w:val="38"/>
        <w:tblW w:w="9742"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0"/>
        <w:gridCol w:w="79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4" w:hRule="atLeast"/>
          <w:jc w:val="right"/>
        </w:trPr>
        <w:tc>
          <w:tcPr>
            <w:tcW w:w="1830"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项目</w:t>
            </w:r>
          </w:p>
        </w:tc>
        <w:tc>
          <w:tcPr>
            <w:tcW w:w="7912"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jc w:val="right"/>
        </w:trPr>
        <w:tc>
          <w:tcPr>
            <w:tcW w:w="1830" w:type="dxa"/>
            <w:tcBorders>
              <w:top w:val="single" w:color="auto" w:sz="6"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保修期限</w:t>
            </w:r>
          </w:p>
        </w:tc>
        <w:tc>
          <w:tcPr>
            <w:tcW w:w="7912" w:type="dxa"/>
            <w:tcBorders>
              <w:top w:val="single" w:color="auto" w:sz="6" w:space="0"/>
              <w:left w:val="single" w:color="auto" w:sz="6" w:space="0"/>
              <w:bottom w:val="single" w:color="auto" w:sz="6" w:space="0"/>
              <w:right w:val="double" w:color="auto" w:sz="4" w:space="0"/>
            </w:tcBorders>
            <w:vAlign w:val="center"/>
          </w:tcPr>
          <w:p>
            <w:pPr>
              <w:widowControl/>
              <w:shd w:val="clear" w:color="auto" w:fill="FFFFFF"/>
              <w:spacing w:line="360" w:lineRule="auto"/>
              <w:jc w:val="left"/>
              <w:rPr>
                <w:rFonts w:ascii="宋体" w:hAnsi="宋体" w:cs="宋体"/>
                <w:sz w:val="24"/>
                <w:szCs w:val="24"/>
              </w:rPr>
            </w:pPr>
            <w:r>
              <w:rPr>
                <w:rFonts w:hint="eastAsia" w:ascii="宋体" w:hAnsi="宋体" w:cs="Arial"/>
                <w:sz w:val="24"/>
              </w:rPr>
              <w:t xml:space="preserve"> </w:t>
            </w:r>
            <w:r>
              <w:rPr>
                <w:rFonts w:hint="eastAsia" w:ascii="宋体" w:hAnsi="宋体"/>
                <w:sz w:val="24"/>
              </w:rPr>
              <w:t>1、本项目的保修期限</w:t>
            </w:r>
            <w:r>
              <w:rPr>
                <w:rFonts w:cs="宋体" w:asciiTheme="minorEastAsia" w:hAnsiTheme="minorEastAsia"/>
                <w:kern w:val="0"/>
                <w:sz w:val="24"/>
                <w:szCs w:val="24"/>
              </w:rPr>
              <w:t>为</w:t>
            </w:r>
            <w:r>
              <w:rPr>
                <w:rFonts w:hint="eastAsia" w:cs="宋体" w:asciiTheme="minorEastAsia" w:hAnsiTheme="minorEastAsia"/>
                <w:kern w:val="0"/>
                <w:sz w:val="24"/>
                <w:szCs w:val="24"/>
              </w:rPr>
              <w:t>验收合格后一年</w:t>
            </w:r>
            <w:r>
              <w:rPr>
                <w:rFonts w:cs="宋体" w:asciiTheme="minorEastAsia" w:hAnsiTheme="minorEastAsia"/>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05" w:hRule="atLeast"/>
          <w:jc w:val="right"/>
        </w:trPr>
        <w:tc>
          <w:tcPr>
            <w:tcW w:w="1830"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验收</w:t>
            </w:r>
          </w:p>
        </w:tc>
        <w:tc>
          <w:tcPr>
            <w:tcW w:w="7912"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ascii="宋体" w:hAnsi="宋体" w:cs="宋体"/>
                <w:sz w:val="24"/>
                <w:szCs w:val="24"/>
              </w:rPr>
            </w:pPr>
            <w:r>
              <w:rPr>
                <w:rFonts w:hint="eastAsia" w:ascii="宋体" w:hAnsi="宋体" w:cs="Arial"/>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right"/>
        </w:trPr>
        <w:tc>
          <w:tcPr>
            <w:tcW w:w="1830"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kern w:val="0"/>
                <w:sz w:val="24"/>
                <w:szCs w:val="24"/>
              </w:rPr>
            </w:pPr>
            <w:r>
              <w:rPr>
                <w:rFonts w:hint="eastAsia" w:ascii="宋体" w:hAnsi="宋体" w:cs="宋体"/>
                <w:b/>
                <w:kern w:val="0"/>
                <w:sz w:val="24"/>
                <w:szCs w:val="24"/>
              </w:rPr>
              <w:t>付</w:t>
            </w:r>
            <w:r>
              <w:rPr>
                <w:rFonts w:ascii="宋体" w:hAnsi="宋体" w:cs="宋体"/>
                <w:b/>
                <w:kern w:val="0"/>
                <w:sz w:val="24"/>
                <w:szCs w:val="24"/>
              </w:rPr>
              <w:t>款</w:t>
            </w:r>
            <w:r>
              <w:rPr>
                <w:rFonts w:hint="eastAsia" w:ascii="宋体" w:hAnsi="宋体" w:cs="宋体"/>
                <w:b/>
                <w:kern w:val="0"/>
                <w:sz w:val="24"/>
                <w:szCs w:val="24"/>
              </w:rPr>
              <w:t>方式</w:t>
            </w:r>
          </w:p>
        </w:tc>
        <w:tc>
          <w:tcPr>
            <w:tcW w:w="7912"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left"/>
              <w:rPr>
                <w:rFonts w:ascii="宋体" w:hAnsi="宋体" w:cs="Arial"/>
                <w:sz w:val="24"/>
              </w:rPr>
            </w:pPr>
            <w:r>
              <w:rPr>
                <w:rFonts w:hint="eastAsia" w:ascii="宋体" w:hAnsi="宋体" w:cs="Arial"/>
                <w:sz w:val="24"/>
              </w:rPr>
              <w:t>付款方式（不响应者为无效响应）</w:t>
            </w:r>
          </w:p>
          <w:p>
            <w:pPr>
              <w:widowControl/>
              <w:jc w:val="left"/>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（1）甲方于合同生效后三个工作日内，向乙方支付合同总额的60％；</w:t>
            </w:r>
          </w:p>
          <w:p>
            <w:pPr>
              <w:widowControl/>
              <w:jc w:val="left"/>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（2）系统安装、培训完成后三个工作日内，甲方向乙方支付合同总额的20%；</w:t>
            </w:r>
          </w:p>
          <w:p>
            <w:pPr>
              <w:autoSpaceDE w:val="0"/>
              <w:autoSpaceDN w:val="0"/>
              <w:adjustRightInd w:val="0"/>
              <w:jc w:val="left"/>
              <w:rPr>
                <w:rFonts w:ascii="宋体" w:hAnsi="宋体" w:cs="宋体"/>
                <w:sz w:val="24"/>
                <w:szCs w:val="24"/>
              </w:rPr>
            </w:pPr>
            <w:r>
              <w:rPr>
                <w:rFonts w:hint="eastAsia" w:cs="宋体" w:asciiTheme="minorEastAsia" w:hAnsiTheme="minorEastAsia"/>
                <w:kern w:val="0"/>
                <w:sz w:val="24"/>
                <w:szCs w:val="24"/>
                <w:lang w:val="zh-CN"/>
              </w:rPr>
              <w:t>（3）产品验收完成之日起三个工作日内，甲方向乙方支付合同总额的20%。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jc w:val="right"/>
        </w:trPr>
        <w:tc>
          <w:tcPr>
            <w:tcW w:w="1830"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其他</w:t>
            </w:r>
          </w:p>
        </w:tc>
        <w:tc>
          <w:tcPr>
            <w:tcW w:w="7912" w:type="dxa"/>
            <w:tcBorders>
              <w:top w:val="single" w:color="auto" w:sz="6" w:space="0"/>
              <w:left w:val="single" w:color="auto" w:sz="6" w:space="0"/>
              <w:bottom w:val="double" w:color="auto" w:sz="4" w:space="0"/>
              <w:right w:val="double" w:color="auto" w:sz="4" w:space="0"/>
            </w:tcBorders>
            <w:vAlign w:val="center"/>
          </w:tcPr>
          <w:p>
            <w:pPr>
              <w:widowControl/>
              <w:jc w:val="left"/>
              <w:rPr>
                <w:rFonts w:hint="eastAsia" w:ascii="宋体" w:hAnsi="宋体" w:cs="宋体"/>
                <w:sz w:val="24"/>
                <w:szCs w:val="24"/>
              </w:rPr>
            </w:pPr>
            <w:r>
              <w:rPr>
                <w:rFonts w:hint="eastAsia" w:ascii="宋体" w:hAnsi="宋体" w:cs="宋体"/>
                <w:sz w:val="24"/>
                <w:szCs w:val="24"/>
                <w:lang w:val="en-US" w:eastAsia="zh-CN"/>
              </w:rPr>
              <w:t>1、服务要求：</w:t>
            </w:r>
            <w:r>
              <w:rPr>
                <w:rFonts w:hint="eastAsia" w:ascii="宋体" w:hAnsi="宋体" w:cs="宋体"/>
                <w:sz w:val="24"/>
                <w:szCs w:val="24"/>
              </w:rPr>
              <w:t>负责系统的安装与调试并根据公司要求进行开发、实施；负责软件使用培训；其产品的有关技术、专利、检验、商务等均要符合我国有关法律、法规；应有能力承担因所供服务而引起的全部法律责任；如发生软件系统故障，维护响应时间为两小时内即时远程支持，供应商必须提供多种联系方式，确保即时联系；供应商需提供定期巡检维护工作和持续性的资讯服务。</w:t>
            </w:r>
          </w:p>
          <w:p>
            <w:pPr>
              <w:widowControl/>
              <w:jc w:val="left"/>
              <w:rPr>
                <w:rFonts w:ascii="宋体" w:hAnsi="宋体" w:cs="宋体"/>
                <w:sz w:val="24"/>
                <w:szCs w:val="24"/>
              </w:rPr>
            </w:pPr>
            <w:r>
              <w:rPr>
                <w:rFonts w:hint="eastAsia" w:ascii="宋体" w:hAnsi="宋体" w:cs="宋体"/>
                <w:sz w:val="24"/>
                <w:szCs w:val="24"/>
                <w:lang w:val="en-US" w:eastAsia="zh-CN"/>
              </w:rPr>
              <w:t>2、投标报价为总包价，包含担保软件的采购价格、员工培训费、质保期的售后服务、技术人员工资、差旅费、税金等保障系统正常运营的所有费用。</w:t>
            </w:r>
          </w:p>
        </w:tc>
      </w:tr>
    </w:tbl>
    <w:p>
      <w:pPr>
        <w:spacing w:after="50" w:line="320" w:lineRule="exact"/>
        <w:jc w:val="center"/>
        <w:rPr>
          <w:rFonts w:asciiTheme="majorEastAsia" w:hAnsiTheme="majorEastAsia" w:eastAsiaTheme="majorEastAsia"/>
          <w:b/>
          <w:sz w:val="32"/>
          <w:szCs w:val="32"/>
        </w:rPr>
      </w:pPr>
      <w:r>
        <w:rPr>
          <w:rFonts w:hint="eastAsia" w:ascii="宋体" w:hAnsi="宋体"/>
          <w:b/>
          <w:sz w:val="24"/>
          <w:szCs w:val="24"/>
        </w:rPr>
        <w:br w:type="page"/>
      </w:r>
      <w:r>
        <w:rPr>
          <w:rFonts w:hint="eastAsia" w:asciiTheme="majorEastAsia" w:hAnsiTheme="majorEastAsia" w:eastAsiaTheme="majorEastAsia"/>
          <w:b/>
          <w:sz w:val="32"/>
          <w:szCs w:val="32"/>
        </w:rPr>
        <w:t>第七</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本须知适用于采购文件中所述装修改造及相关服务的谈判。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“采购代理机构”是指受采购单位的委托具体组织采购活动采购代理公司。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采购人或者采购代理机构在授予采购合同时有权根据采购单位的实际情况，规定的货物数量和服务予以变更，但不得对单价或其他的条款和条件做任何改变。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tabs>
          <w:tab w:val="left" w:pos="3300"/>
          <w:tab w:val="center" w:pos="4776"/>
        </w:tabs>
        <w:spacing w:line="400" w:lineRule="exact"/>
        <w:ind w:firstLine="482" w:firstLineChars="200"/>
        <w:outlineLvl w:val="0"/>
        <w:rPr>
          <w:rFonts w:ascii="宋体" w:hAnsi="宋体" w:cs="宋体"/>
          <w:b/>
          <w:sz w:val="24"/>
          <w:szCs w:val="24"/>
        </w:rPr>
      </w:pPr>
      <w:r>
        <w:rPr>
          <w:rFonts w:hint="eastAsia" w:ascii="宋体" w:hAnsi="宋体" w:cs="宋体"/>
          <w:b/>
          <w:sz w:val="24"/>
          <w:szCs w:val="24"/>
        </w:rPr>
        <w:t>8.代理服务费</w:t>
      </w:r>
    </w:p>
    <w:p>
      <w:pPr>
        <w:spacing w:line="440" w:lineRule="exact"/>
        <w:ind w:firstLine="480" w:firstLineChars="200"/>
        <w:rPr>
          <w:rFonts w:ascii="宋体" w:hAnsi="宋体" w:cs="宋体"/>
          <w:sz w:val="24"/>
          <w:szCs w:val="24"/>
        </w:rPr>
      </w:pPr>
      <w:r>
        <w:rPr>
          <w:rFonts w:hint="eastAsia" w:ascii="宋体" w:hAnsi="宋体" w:cs="宋体"/>
          <w:sz w:val="24"/>
          <w:szCs w:val="24"/>
        </w:rPr>
        <w:t>成交供应商应在领取成交通知书的同时，向代理机构支付代理服务费，代理服务收费标准按成交金额1.5%收取。</w:t>
      </w:r>
    </w:p>
    <w:p>
      <w:pPr>
        <w:spacing w:line="440" w:lineRule="exact"/>
        <w:ind w:firstLine="480" w:firstLineChars="200"/>
        <w:rPr>
          <w:rFonts w:ascii="宋体" w:hAnsi="宋体" w:cs="宋体"/>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cs="宋体"/>
          <w:b/>
          <w:sz w:val="24"/>
          <w:szCs w:val="24"/>
        </w:rPr>
        <w:br w:type="page"/>
      </w: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代理机构不接受可选择的谈判报价。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00" w:lineRule="exact"/>
        <w:ind w:firstLine="472" w:firstLineChars="196"/>
        <w:rPr>
          <w:rFonts w:ascii="宋体" w:hAnsi="宋体"/>
          <w:sz w:val="24"/>
          <w:szCs w:val="24"/>
        </w:rPr>
      </w:pPr>
      <w:r>
        <w:rPr>
          <w:rFonts w:hint="eastAsia" w:ascii="宋体" w:hAnsi="宋体"/>
          <w:b/>
          <w:sz w:val="24"/>
          <w:szCs w:val="24"/>
        </w:rPr>
        <w:t>16.谈判保证金</w:t>
      </w:r>
    </w:p>
    <w:p>
      <w:pPr>
        <w:spacing w:line="440" w:lineRule="exact"/>
        <w:ind w:firstLine="480" w:firstLineChars="200"/>
        <w:rPr>
          <w:sz w:val="24"/>
          <w:szCs w:val="24"/>
        </w:rPr>
      </w:pPr>
      <w:r>
        <w:rPr>
          <w:rFonts w:hint="eastAsia"/>
          <w:sz w:val="24"/>
          <w:szCs w:val="24"/>
        </w:rPr>
        <w:t>16.1供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pPr>
        <w:spacing w:line="440" w:lineRule="exact"/>
        <w:ind w:firstLine="480" w:firstLineChars="200"/>
        <w:rPr>
          <w:sz w:val="24"/>
          <w:szCs w:val="24"/>
        </w:rPr>
      </w:pPr>
      <w:bookmarkStart w:id="14" w:name="_14._投标文件的有效期"/>
      <w:bookmarkEnd w:id="14"/>
      <w:bookmarkStart w:id="15" w:name="_15._投标文件的有效期"/>
      <w:bookmarkEnd w:id="15"/>
      <w:bookmarkStart w:id="16" w:name="_Toc80502558"/>
      <w:bookmarkStart w:id="17" w:name="_Toc80458903"/>
      <w:r>
        <w:rPr>
          <w:rFonts w:hint="eastAsia"/>
          <w:sz w:val="24"/>
          <w:szCs w:val="24"/>
        </w:rPr>
        <w:t>16.2 供</w:t>
      </w:r>
      <w:r>
        <w:rPr>
          <w:sz w:val="24"/>
          <w:szCs w:val="24"/>
        </w:rPr>
        <w:t>应商</w:t>
      </w:r>
      <w:r>
        <w:rPr>
          <w:rFonts w:hint="eastAsia"/>
          <w:sz w:val="24"/>
          <w:szCs w:val="24"/>
        </w:rPr>
        <w:t>必须准确填写谈判保证金汇出（交纳）人的名称，采购机构只按汇出（交纳）人的名称退还谈判保证金。</w:t>
      </w:r>
    </w:p>
    <w:p>
      <w:pPr>
        <w:spacing w:line="440" w:lineRule="exact"/>
        <w:ind w:firstLine="480" w:firstLineChars="200"/>
        <w:rPr>
          <w:sz w:val="24"/>
          <w:szCs w:val="24"/>
        </w:rPr>
      </w:pPr>
      <w:r>
        <w:rPr>
          <w:rFonts w:hint="eastAsia"/>
          <w:sz w:val="24"/>
          <w:szCs w:val="24"/>
        </w:rPr>
        <w:t>16.3 谈判保证金汇出（交纳）人和供</w:t>
      </w:r>
      <w:r>
        <w:rPr>
          <w:sz w:val="24"/>
          <w:szCs w:val="24"/>
        </w:rPr>
        <w:t>应商</w:t>
      </w:r>
      <w:r>
        <w:rPr>
          <w:rFonts w:hint="eastAsia"/>
          <w:sz w:val="24"/>
          <w:szCs w:val="24"/>
        </w:rPr>
        <w:t>必须为同一法人，否则将视同未按采购文件规定交纳谈判保证金。</w:t>
      </w:r>
    </w:p>
    <w:p>
      <w:pPr>
        <w:spacing w:line="440" w:lineRule="exact"/>
        <w:ind w:firstLine="480" w:firstLineChars="200"/>
        <w:rPr>
          <w:sz w:val="24"/>
          <w:szCs w:val="24"/>
        </w:rPr>
      </w:pPr>
      <w:r>
        <w:rPr>
          <w:rFonts w:hint="eastAsia"/>
          <w:sz w:val="24"/>
          <w:szCs w:val="24"/>
        </w:rPr>
        <w:t>16.4 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pPr>
        <w:spacing w:line="440" w:lineRule="exact"/>
        <w:ind w:firstLine="480" w:firstLineChars="200"/>
        <w:rPr>
          <w:sz w:val="24"/>
          <w:szCs w:val="24"/>
        </w:rPr>
      </w:pPr>
      <w:r>
        <w:rPr>
          <w:rFonts w:hint="eastAsia"/>
          <w:sz w:val="24"/>
          <w:szCs w:val="24"/>
        </w:rPr>
        <w:t>16.5采购代理机构将在成</w:t>
      </w:r>
      <w:r>
        <w:rPr>
          <w:sz w:val="24"/>
          <w:szCs w:val="24"/>
        </w:rPr>
        <w:t>交</w:t>
      </w:r>
      <w:r>
        <w:rPr>
          <w:rFonts w:hint="eastAsia"/>
          <w:sz w:val="24"/>
          <w:szCs w:val="24"/>
        </w:rPr>
        <w:t>通知书发出后凭未成</w:t>
      </w:r>
      <w:r>
        <w:rPr>
          <w:sz w:val="24"/>
          <w:szCs w:val="24"/>
        </w:rPr>
        <w:t>交</w:t>
      </w:r>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供应商的保证金。在采购合同签订后凭成</w:t>
      </w:r>
      <w:r>
        <w:rPr>
          <w:sz w:val="24"/>
          <w:szCs w:val="24"/>
        </w:rPr>
        <w:t>交</w:t>
      </w:r>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pPr>
        <w:spacing w:line="400" w:lineRule="exact"/>
        <w:ind w:firstLine="480" w:firstLineChars="200"/>
        <w:rPr>
          <w:sz w:val="24"/>
          <w:szCs w:val="24"/>
        </w:rPr>
      </w:pPr>
      <w:r>
        <w:rPr>
          <w:rFonts w:hint="eastAsia"/>
          <w:sz w:val="24"/>
          <w:szCs w:val="24"/>
        </w:rPr>
        <w:t>16.6 发生下列情况之一，供</w:t>
      </w:r>
      <w:r>
        <w:rPr>
          <w:sz w:val="24"/>
          <w:szCs w:val="24"/>
        </w:rPr>
        <w:t>应商</w:t>
      </w:r>
      <w:r>
        <w:rPr>
          <w:rFonts w:hint="eastAsia"/>
          <w:sz w:val="24"/>
          <w:szCs w:val="24"/>
        </w:rPr>
        <w:t>的保证金将不予退还：</w:t>
      </w:r>
    </w:p>
    <w:p>
      <w:pPr>
        <w:spacing w:line="400" w:lineRule="exact"/>
        <w:ind w:firstLine="480" w:firstLineChars="200"/>
        <w:rPr>
          <w:sz w:val="24"/>
          <w:szCs w:val="24"/>
        </w:rPr>
      </w:pPr>
      <w:r>
        <w:rPr>
          <w:rFonts w:hint="eastAsia"/>
          <w:sz w:val="24"/>
          <w:szCs w:val="24"/>
        </w:rPr>
        <w:t>（1）供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pPr>
        <w:spacing w:line="400" w:lineRule="exact"/>
        <w:ind w:firstLine="480" w:firstLineChars="200"/>
        <w:rPr>
          <w:sz w:val="24"/>
          <w:szCs w:val="24"/>
        </w:rPr>
      </w:pPr>
      <w:r>
        <w:rPr>
          <w:rFonts w:hint="eastAsia"/>
          <w:sz w:val="24"/>
          <w:szCs w:val="24"/>
        </w:rPr>
        <w:t>（2）供</w:t>
      </w:r>
      <w:r>
        <w:rPr>
          <w:sz w:val="24"/>
          <w:szCs w:val="24"/>
        </w:rPr>
        <w:t>应商在响应文件中</w:t>
      </w:r>
      <w:r>
        <w:rPr>
          <w:rFonts w:hint="eastAsia"/>
          <w:sz w:val="24"/>
          <w:szCs w:val="24"/>
        </w:rPr>
        <w:t>提供虚假材料的；</w:t>
      </w:r>
    </w:p>
    <w:p>
      <w:pPr>
        <w:spacing w:line="400" w:lineRule="exact"/>
        <w:ind w:firstLine="480" w:firstLineChars="200"/>
        <w:rPr>
          <w:sz w:val="24"/>
          <w:szCs w:val="24"/>
        </w:rPr>
      </w:pPr>
      <w:r>
        <w:rPr>
          <w:rFonts w:hint="eastAsia"/>
          <w:sz w:val="24"/>
          <w:szCs w:val="24"/>
        </w:rPr>
        <w:t>（3）采取不正当手段诋毁、排挤其他供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pPr>
        <w:spacing w:line="400" w:lineRule="exact"/>
        <w:ind w:firstLine="480" w:firstLineChars="200"/>
        <w:rPr>
          <w:sz w:val="24"/>
          <w:szCs w:val="24"/>
        </w:rPr>
      </w:pPr>
      <w:r>
        <w:rPr>
          <w:rFonts w:hint="eastAsia"/>
          <w:sz w:val="24"/>
          <w:szCs w:val="24"/>
        </w:rPr>
        <w:t>（4）供</w:t>
      </w:r>
      <w:r>
        <w:rPr>
          <w:sz w:val="24"/>
          <w:szCs w:val="24"/>
        </w:rPr>
        <w:t>应商</w:t>
      </w:r>
      <w:r>
        <w:rPr>
          <w:rFonts w:hint="eastAsia"/>
          <w:sz w:val="24"/>
          <w:szCs w:val="24"/>
        </w:rPr>
        <w:t>向采购单位、采购机构或者评审专家行贿或者提供其他不正当利益以牟取成交资格的；</w:t>
      </w:r>
    </w:p>
    <w:p>
      <w:pPr>
        <w:spacing w:line="400" w:lineRule="exact"/>
        <w:ind w:firstLine="480" w:firstLineChars="200"/>
        <w:rPr>
          <w:sz w:val="24"/>
          <w:szCs w:val="24"/>
        </w:rPr>
      </w:pPr>
      <w:r>
        <w:rPr>
          <w:rFonts w:hint="eastAsia"/>
          <w:sz w:val="24"/>
          <w:szCs w:val="24"/>
        </w:rPr>
        <w:t>（5）成交后，成交供应商拒绝交纳履约保证金的；</w:t>
      </w:r>
    </w:p>
    <w:p>
      <w:pPr>
        <w:spacing w:line="400" w:lineRule="exact"/>
        <w:ind w:firstLine="480" w:firstLineChars="200"/>
        <w:rPr>
          <w:sz w:val="24"/>
          <w:szCs w:val="24"/>
        </w:rPr>
      </w:pPr>
      <w:r>
        <w:rPr>
          <w:rFonts w:hint="eastAsia"/>
          <w:sz w:val="24"/>
          <w:szCs w:val="24"/>
        </w:rPr>
        <w:t>（6）成交后，成交供应商无正当理由拒绝与采购单位签订采购合同的；</w:t>
      </w:r>
    </w:p>
    <w:p>
      <w:pPr>
        <w:spacing w:line="400" w:lineRule="exact"/>
        <w:ind w:firstLine="480" w:firstLineChars="200"/>
        <w:rPr>
          <w:sz w:val="24"/>
          <w:szCs w:val="24"/>
        </w:rPr>
      </w:pPr>
      <w:r>
        <w:rPr>
          <w:rFonts w:hint="eastAsia"/>
          <w:sz w:val="24"/>
          <w:szCs w:val="24"/>
        </w:rPr>
        <w:t>（7）成交后，成交供应商将成交项目转让给他人或者分包给他人的；</w:t>
      </w:r>
    </w:p>
    <w:p>
      <w:pPr>
        <w:spacing w:line="400" w:lineRule="exact"/>
        <w:ind w:firstLine="480" w:firstLineChars="200"/>
        <w:rPr>
          <w:sz w:val="24"/>
          <w:szCs w:val="24"/>
        </w:rPr>
      </w:pPr>
      <w:r>
        <w:rPr>
          <w:rFonts w:hint="eastAsia"/>
          <w:sz w:val="24"/>
          <w:szCs w:val="24"/>
        </w:rPr>
        <w:t>（8）成交后，成交供应商不按照采购文件和成交供应商的谈判响应文件订立采购合同，或者与采购单位另行订立背离采购合同实质性内容的协议的；</w:t>
      </w:r>
    </w:p>
    <w:p>
      <w:pPr>
        <w:spacing w:line="400" w:lineRule="exact"/>
        <w:ind w:firstLine="480" w:firstLineChars="200"/>
        <w:rPr>
          <w:sz w:val="24"/>
          <w:szCs w:val="24"/>
        </w:rPr>
      </w:pPr>
      <w:r>
        <w:rPr>
          <w:rFonts w:hint="eastAsia"/>
          <w:sz w:val="24"/>
          <w:szCs w:val="24"/>
        </w:rPr>
        <w:t>（9）供应商的其他给采购活动带来不利后果的行为。</w:t>
      </w:r>
    </w:p>
    <w:bookmarkEnd w:id="16"/>
    <w:bookmarkEnd w:id="17"/>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0" w:firstLineChars="200"/>
        <w:rPr>
          <w:rFonts w:ascii="宋体" w:hAnsi="宋体" w:cs="宋体"/>
          <w:sz w:val="24"/>
          <w:szCs w:val="24"/>
        </w:rPr>
      </w:pPr>
      <w:r>
        <w:rPr>
          <w:rFonts w:hint="eastAsia" w:ascii="宋体" w:hAnsi="宋体" w:cs="宋体"/>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提供如光盘等一次性介质，则该介质必须作为响</w:t>
      </w:r>
      <w:r>
        <w:rPr>
          <w:sz w:val="24"/>
          <w:szCs w:val="24"/>
        </w:rPr>
        <w:t>应</w:t>
      </w:r>
      <w:r>
        <w:rPr>
          <w:rFonts w:hint="eastAsia"/>
          <w:sz w:val="24"/>
          <w:szCs w:val="24"/>
        </w:rPr>
        <w:t>文件的一部分与谈判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80" w:firstLineChars="200"/>
        <w:rPr>
          <w:sz w:val="24"/>
          <w:szCs w:val="24"/>
        </w:rPr>
      </w:pPr>
      <w:r>
        <w:rPr>
          <w:rFonts w:hint="eastAsia"/>
          <w:sz w:val="24"/>
          <w:szCs w:val="24"/>
        </w:rPr>
        <w:t>（3）未出示已交纳谈判</w:t>
      </w:r>
      <w:r>
        <w:rPr>
          <w:sz w:val="24"/>
          <w:szCs w:val="24"/>
        </w:rPr>
        <w:t>响应</w:t>
      </w:r>
      <w:r>
        <w:rPr>
          <w:rFonts w:hint="eastAsia"/>
          <w:sz w:val="24"/>
          <w:szCs w:val="24"/>
        </w:rPr>
        <w:t>保证金的有效证明的。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法定代表人（代表人）或其授权委托人参加，并应签到出席。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sz w:val="24"/>
          <w:szCs w:val="24"/>
        </w:rPr>
        <w:t>22</w:t>
      </w:r>
      <w:r>
        <w:rPr>
          <w:rFonts w:hint="eastAsia"/>
          <w:sz w:val="24"/>
          <w:szCs w:val="24"/>
        </w:rPr>
        <w:t>.5在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sz w:val="24"/>
          <w:szCs w:val="24"/>
        </w:rPr>
        <w:t>22</w:t>
      </w:r>
      <w:r>
        <w:rPr>
          <w:rFonts w:hint="eastAsia"/>
          <w:sz w:val="24"/>
          <w:szCs w:val="24"/>
        </w:rPr>
        <w:t>.6谈判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firstLine="480" w:firstLineChars="200"/>
        <w:rPr>
          <w:sz w:val="24"/>
          <w:szCs w:val="24"/>
        </w:rPr>
      </w:pPr>
      <w:r>
        <w:rPr>
          <w:rFonts w:hint="eastAsia"/>
          <w:sz w:val="24"/>
          <w:szCs w:val="24"/>
        </w:rPr>
        <w:t>22.7已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28.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29. 资格后审</w:t>
      </w:r>
    </w:p>
    <w:p>
      <w:pPr>
        <w:spacing w:line="400" w:lineRule="exact"/>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29.2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30. 采购</w:t>
      </w:r>
      <w:r>
        <w:rPr>
          <w:rFonts w:ascii="宋体" w:hAnsi="宋体"/>
          <w:b/>
          <w:sz w:val="24"/>
          <w:szCs w:val="24"/>
        </w:rPr>
        <w:t>人或者</w:t>
      </w:r>
      <w:r>
        <w:rPr>
          <w:rFonts w:hint="eastAsia" w:ascii="宋体" w:hAnsi="宋体"/>
          <w:b/>
          <w:sz w:val="24"/>
          <w:szCs w:val="24"/>
        </w:rPr>
        <w:t>采购代理机构终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30.1 出现下列情况之一的，采购</w:t>
      </w:r>
      <w:r>
        <w:rPr>
          <w:rFonts w:ascii="宋体" w:hAnsi="宋体"/>
          <w:sz w:val="24"/>
          <w:szCs w:val="24"/>
        </w:rPr>
        <w:t>人或者</w:t>
      </w:r>
      <w:r>
        <w:rPr>
          <w:rFonts w:hint="eastAsia" w:ascii="宋体" w:hAnsi="宋体"/>
          <w:sz w:val="24"/>
          <w:szCs w:val="24"/>
        </w:rPr>
        <w:t>采购代理机构应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31.成交通知书</w:t>
      </w:r>
    </w:p>
    <w:p>
      <w:pPr>
        <w:spacing w:line="400" w:lineRule="exact"/>
        <w:ind w:firstLine="470" w:firstLineChars="196"/>
        <w:rPr>
          <w:rFonts w:ascii="宋体" w:hAnsi="宋体"/>
          <w:sz w:val="24"/>
          <w:szCs w:val="24"/>
        </w:rPr>
      </w:pPr>
      <w:r>
        <w:rPr>
          <w:rFonts w:hint="eastAsia" w:ascii="宋体" w:hAnsi="宋体"/>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pPr>
        <w:spacing w:line="400" w:lineRule="exact"/>
        <w:ind w:firstLine="470" w:firstLineChars="196"/>
        <w:rPr>
          <w:rFonts w:ascii="宋体" w:hAnsi="宋体"/>
          <w:sz w:val="24"/>
          <w:szCs w:val="24"/>
        </w:rPr>
      </w:pPr>
      <w:r>
        <w:rPr>
          <w:rFonts w:hint="eastAsia" w:ascii="宋体" w:hAnsi="宋体"/>
          <w:sz w:val="24"/>
          <w:szCs w:val="24"/>
        </w:rPr>
        <w:t>31.2该成交通知书将作为签订采购合同的重要依据，是采购合同的一个组成部分，对</w:t>
      </w:r>
      <w:r>
        <w:rPr>
          <w:rFonts w:ascii="宋体" w:hAnsi="宋体"/>
          <w:sz w:val="24"/>
          <w:szCs w:val="24"/>
        </w:rPr>
        <w:t>采购代理机构</w:t>
      </w:r>
      <w:r>
        <w:rPr>
          <w:rFonts w:hint="eastAsia" w:ascii="宋体" w:hAnsi="宋体"/>
          <w:sz w:val="24"/>
          <w:szCs w:val="24"/>
        </w:rPr>
        <w:t>、成交供应商和采购单位具有法律效力。采购人</w:t>
      </w:r>
      <w:r>
        <w:rPr>
          <w:rFonts w:ascii="宋体" w:hAnsi="宋体"/>
          <w:sz w:val="24"/>
          <w:szCs w:val="24"/>
        </w:rPr>
        <w:t>或者委托的采购代理</w:t>
      </w:r>
      <w:r>
        <w:rPr>
          <w:rFonts w:hint="eastAsia" w:ascii="宋体" w:hAnsi="宋体"/>
          <w:sz w:val="24"/>
          <w:szCs w:val="24"/>
        </w:rPr>
        <w:t>机构无故改变成交结果、成交供应商无故放弃成交资格或采购单位无正当理由拒签采购合同的都应承担法律责任。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32.签订采购合同</w:t>
      </w:r>
    </w:p>
    <w:p>
      <w:pPr>
        <w:spacing w:line="400" w:lineRule="exact"/>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32.2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32.3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1"/>
        <w:numPr>
          <w:ilvl w:val="0"/>
          <w:numId w:val="0"/>
        </w:numPr>
        <w:tabs>
          <w:tab w:val="left" w:pos="420"/>
        </w:tabs>
        <w:spacing w:line="400" w:lineRule="exact"/>
        <w:ind w:firstLine="479" w:firstLineChars="199"/>
        <w:rPr>
          <w:b/>
          <w:sz w:val="24"/>
          <w:szCs w:val="24"/>
        </w:rPr>
      </w:pPr>
      <w:r>
        <w:rPr>
          <w:rFonts w:hint="eastAsia"/>
          <w:b/>
          <w:sz w:val="24"/>
          <w:szCs w:val="24"/>
        </w:rPr>
        <w:t>33.履约保证金</w:t>
      </w:r>
    </w:p>
    <w:p>
      <w:pPr>
        <w:spacing w:line="400" w:lineRule="exact"/>
        <w:ind w:firstLine="470" w:firstLineChars="196"/>
        <w:rPr>
          <w:rFonts w:ascii="宋体" w:hAnsi="宋体"/>
          <w:sz w:val="24"/>
          <w:szCs w:val="24"/>
        </w:rPr>
      </w:pPr>
      <w:r>
        <w:rPr>
          <w:rFonts w:hint="eastAsia" w:ascii="宋体" w:hAnsi="宋体"/>
          <w:sz w:val="24"/>
          <w:szCs w:val="24"/>
        </w:rPr>
        <w:t>33.1 详见采购文件第二章“采购项目基本内容及要求”。</w:t>
      </w:r>
    </w:p>
    <w:p>
      <w:pPr>
        <w:spacing w:line="400" w:lineRule="exact"/>
        <w:ind w:firstLine="470" w:firstLineChars="196"/>
        <w:rPr>
          <w:rFonts w:ascii="宋体" w:hAnsi="宋体"/>
          <w:sz w:val="24"/>
          <w:szCs w:val="24"/>
        </w:rPr>
      </w:pPr>
      <w:r>
        <w:rPr>
          <w:rFonts w:hint="eastAsia" w:ascii="宋体" w:hAnsi="宋体"/>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pPr>
        <w:spacing w:line="400" w:lineRule="exact"/>
        <w:ind w:firstLine="470" w:firstLineChars="196"/>
        <w:rPr>
          <w:rFonts w:ascii="宋体" w:hAnsi="宋体"/>
          <w:sz w:val="24"/>
          <w:szCs w:val="24"/>
        </w:rPr>
      </w:pPr>
      <w:r>
        <w:rPr>
          <w:rFonts w:hint="eastAsia" w:ascii="宋体" w:hAnsi="宋体"/>
          <w:sz w:val="24"/>
          <w:szCs w:val="24"/>
        </w:rPr>
        <w:t>33.3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34.履约验收</w:t>
      </w:r>
    </w:p>
    <w:p>
      <w:pPr>
        <w:spacing w:line="400" w:lineRule="exact"/>
        <w:ind w:firstLine="470" w:firstLineChars="196"/>
        <w:rPr>
          <w:rFonts w:ascii="宋体" w:hAnsi="宋体"/>
          <w:sz w:val="24"/>
          <w:szCs w:val="24"/>
        </w:rPr>
      </w:pPr>
      <w:r>
        <w:rPr>
          <w:rFonts w:hint="eastAsia" w:ascii="宋体" w:hAnsi="宋体"/>
          <w:sz w:val="24"/>
          <w:szCs w:val="24"/>
        </w:rPr>
        <w:t>34.1成交供应商应严格按照采购合同规定履约，并积极配合采购单位的相关验收工作。</w:t>
      </w:r>
    </w:p>
    <w:p>
      <w:pPr>
        <w:spacing w:line="400" w:lineRule="exact"/>
        <w:ind w:firstLine="470" w:firstLineChars="196"/>
        <w:rPr>
          <w:rFonts w:ascii="宋体" w:hAnsi="宋体"/>
          <w:sz w:val="24"/>
          <w:szCs w:val="24"/>
        </w:rPr>
      </w:pPr>
      <w:r>
        <w:rPr>
          <w:rFonts w:hint="eastAsia" w:ascii="宋体" w:hAnsi="宋体"/>
          <w:sz w:val="24"/>
          <w:szCs w:val="24"/>
        </w:rPr>
        <w:t>34.2采购</w:t>
      </w:r>
      <w:r>
        <w:rPr>
          <w:rFonts w:ascii="宋体" w:hAnsi="宋体"/>
          <w:sz w:val="24"/>
          <w:szCs w:val="24"/>
        </w:rPr>
        <w:t>人或者采购代理机构应当按照采购合同规定的技术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1"/>
        <w:numPr>
          <w:ilvl w:val="0"/>
          <w:numId w:val="0"/>
        </w:numPr>
        <w:tabs>
          <w:tab w:val="left" w:pos="420"/>
        </w:tabs>
        <w:spacing w:line="400" w:lineRule="exact"/>
        <w:ind w:firstLine="479" w:firstLineChars="199"/>
        <w:rPr>
          <w:b/>
          <w:sz w:val="24"/>
          <w:szCs w:val="24"/>
        </w:rPr>
      </w:pPr>
      <w:r>
        <w:rPr>
          <w:rFonts w:hint="eastAsia"/>
          <w:b/>
          <w:sz w:val="24"/>
          <w:szCs w:val="24"/>
        </w:rPr>
        <w:t>35.其他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37.术语的定义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（3）“货物”是指采购合同货物清单（同谈判文件中报价一览表及其附表，下同）中所规定的产品、设备、材料、备件及专用器具、文件资料等内容。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（10）“验收”是指采购人或采购代理机构依据强制性的国家技术质量规范和采购合同规定，确认采购合同项下的货物符合采购合同规定的活动。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采购代理机构发布的采购文本。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38.来源地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39. 技术规范与技术规格</w:t>
      </w:r>
    </w:p>
    <w:p>
      <w:pPr>
        <w:spacing w:line="400" w:lineRule="exact"/>
        <w:ind w:firstLine="360" w:firstLineChars="150"/>
        <w:rPr>
          <w:rFonts w:ascii="宋体" w:hAnsi="宋体"/>
          <w:sz w:val="24"/>
          <w:szCs w:val="24"/>
        </w:rPr>
      </w:pPr>
      <w:r>
        <w:rPr>
          <w:rFonts w:hint="eastAsia" w:ascii="宋体" w:hAnsi="宋体"/>
          <w:sz w:val="24"/>
          <w:szCs w:val="24"/>
        </w:rPr>
        <w:t>39.1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39.2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40.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41. 包装要求</w:t>
      </w:r>
    </w:p>
    <w:p>
      <w:pPr>
        <w:spacing w:line="400" w:lineRule="exact"/>
        <w:ind w:firstLine="360" w:firstLineChars="150"/>
        <w:rPr>
          <w:rFonts w:ascii="宋体" w:hAnsi="宋体"/>
          <w:sz w:val="24"/>
          <w:szCs w:val="24"/>
        </w:rPr>
      </w:pPr>
      <w:r>
        <w:rPr>
          <w:rFonts w:hint="eastAsia" w:ascii="宋体" w:hAnsi="宋体"/>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41.2每一个包装箱内应附一份详细装箱单和质量合格证书。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42.交货方式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43.装运通知</w:t>
      </w:r>
    </w:p>
    <w:p>
      <w:pPr>
        <w:spacing w:line="400" w:lineRule="exact"/>
        <w:ind w:firstLine="360" w:firstLineChars="150"/>
        <w:rPr>
          <w:rFonts w:ascii="宋体" w:hAnsi="宋体"/>
          <w:sz w:val="24"/>
          <w:szCs w:val="24"/>
        </w:rPr>
      </w:pPr>
      <w:r>
        <w:rPr>
          <w:rFonts w:hint="eastAsia" w:ascii="宋体" w:hAnsi="宋体"/>
          <w:sz w:val="24"/>
          <w:szCs w:val="24"/>
        </w:rPr>
        <w:t>43.1在将采购合同约定的货物备妥待运输后的24小时之内，卖方应将采购合同号、货号、数量、毛重、总体积（立方米）、发票金额、运输工具名称及装运日期，以电报或传真通知买方。</w:t>
      </w:r>
    </w:p>
    <w:p>
      <w:pPr>
        <w:spacing w:line="400" w:lineRule="exact"/>
        <w:ind w:firstLine="360" w:firstLineChars="150"/>
        <w:rPr>
          <w:rFonts w:ascii="宋体" w:hAnsi="宋体"/>
          <w:sz w:val="24"/>
          <w:szCs w:val="24"/>
        </w:rPr>
      </w:pPr>
      <w:r>
        <w:rPr>
          <w:rFonts w:hint="eastAsia" w:ascii="宋体" w:hAnsi="宋体"/>
          <w:sz w:val="24"/>
          <w:szCs w:val="24"/>
        </w:rPr>
        <w:t>43.2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44.付款</w:t>
      </w:r>
    </w:p>
    <w:p>
      <w:pPr>
        <w:spacing w:line="400" w:lineRule="exact"/>
        <w:ind w:firstLine="360" w:firstLineChars="150"/>
        <w:rPr>
          <w:rFonts w:ascii="宋体" w:hAnsi="宋体"/>
          <w:sz w:val="24"/>
          <w:szCs w:val="24"/>
        </w:rPr>
      </w:pPr>
      <w:r>
        <w:rPr>
          <w:rFonts w:hint="eastAsia" w:ascii="宋体" w:hAnsi="宋体"/>
          <w:sz w:val="24"/>
          <w:szCs w:val="24"/>
        </w:rPr>
        <w:t>44.1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44.2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45. 附带（伴随）服务</w:t>
      </w:r>
    </w:p>
    <w:p>
      <w:pPr>
        <w:spacing w:line="400" w:lineRule="exact"/>
        <w:ind w:firstLine="360" w:firstLineChars="150"/>
        <w:rPr>
          <w:rFonts w:ascii="宋体" w:hAnsi="宋体"/>
          <w:sz w:val="24"/>
          <w:szCs w:val="24"/>
        </w:rPr>
      </w:pPr>
      <w:r>
        <w:rPr>
          <w:rFonts w:hint="eastAsia" w:ascii="宋体" w:hAnsi="宋体"/>
          <w:sz w:val="24"/>
          <w:szCs w:val="24"/>
        </w:rPr>
        <w:t>45.1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45.2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46. 质量保证期（保修期）</w:t>
      </w:r>
    </w:p>
    <w:p>
      <w:pPr>
        <w:spacing w:line="400" w:lineRule="exact"/>
        <w:ind w:firstLine="470" w:firstLineChars="196"/>
        <w:rPr>
          <w:rFonts w:ascii="宋体" w:hAnsi="宋体"/>
          <w:sz w:val="24"/>
          <w:szCs w:val="24"/>
        </w:rPr>
      </w:pPr>
      <w:r>
        <w:rPr>
          <w:rFonts w:hint="eastAsia" w:ascii="宋体" w:hAnsi="宋体"/>
          <w:sz w:val="24"/>
          <w:szCs w:val="24"/>
        </w:rPr>
        <w:t>46.1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46.2 如果采购文件没有特别要求，则以卖方在谈判</w:t>
      </w:r>
      <w:r>
        <w:rPr>
          <w:rFonts w:ascii="宋体" w:hAnsi="宋体"/>
          <w:sz w:val="24"/>
          <w:szCs w:val="24"/>
        </w:rPr>
        <w:t>响应</w:t>
      </w:r>
      <w:r>
        <w:rPr>
          <w:rFonts w:hint="eastAsia" w:ascii="宋体" w:hAnsi="宋体"/>
          <w:sz w:val="24"/>
          <w:szCs w:val="24"/>
        </w:rPr>
        <w:t>文件中提交的生产制造厂商的有关文件为准。如果在上述文件的规定中有不一致之处，则以对买方最有利的为准。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46.3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47.质量保证</w:t>
      </w:r>
    </w:p>
    <w:p>
      <w:pPr>
        <w:spacing w:line="400" w:lineRule="exact"/>
        <w:ind w:firstLine="470" w:firstLineChars="196"/>
        <w:rPr>
          <w:rFonts w:ascii="宋体" w:hAnsi="宋体"/>
          <w:sz w:val="24"/>
          <w:szCs w:val="24"/>
        </w:rPr>
      </w:pPr>
      <w:r>
        <w:rPr>
          <w:rFonts w:hint="eastAsia" w:ascii="宋体" w:hAnsi="宋体"/>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47.4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48.检验和验收</w:t>
      </w:r>
    </w:p>
    <w:p>
      <w:pPr>
        <w:spacing w:line="400" w:lineRule="exact"/>
        <w:ind w:firstLine="470" w:firstLineChars="196"/>
        <w:rPr>
          <w:rFonts w:ascii="宋体" w:hAnsi="宋体"/>
          <w:sz w:val="24"/>
          <w:szCs w:val="24"/>
        </w:rPr>
      </w:pPr>
      <w:r>
        <w:rPr>
          <w:rFonts w:hint="eastAsia" w:ascii="宋体" w:hAnsi="宋体"/>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pPr>
        <w:spacing w:line="400" w:lineRule="exact"/>
        <w:ind w:firstLine="470" w:firstLineChars="196"/>
        <w:rPr>
          <w:rFonts w:ascii="宋体" w:hAnsi="宋体"/>
          <w:sz w:val="24"/>
          <w:szCs w:val="24"/>
        </w:rPr>
      </w:pPr>
      <w:r>
        <w:rPr>
          <w:rFonts w:hint="eastAsia" w:ascii="宋体" w:hAnsi="宋体"/>
          <w:sz w:val="24"/>
          <w:szCs w:val="24"/>
        </w:rPr>
        <w:t>48.2货物运抵现场后，买方或采购代理机构应在采购合同规定的时间内组织验收，并在“采购项目验收报告单”上签字。“采购项目验收报告单”将作为申请付款文件的一部分。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48.4由买方或采购机构按照规定组织对货物进行检查验收。发生的相关费用由卖方承担。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49.索赔</w:t>
      </w:r>
    </w:p>
    <w:p>
      <w:pPr>
        <w:spacing w:line="400" w:lineRule="exact"/>
        <w:ind w:firstLine="470" w:firstLineChars="196"/>
        <w:rPr>
          <w:rFonts w:ascii="宋体" w:hAnsi="宋体"/>
          <w:sz w:val="24"/>
          <w:szCs w:val="24"/>
        </w:rPr>
      </w:pPr>
      <w:r>
        <w:rPr>
          <w:rFonts w:hint="eastAsia" w:ascii="宋体" w:hAnsi="宋体"/>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0" w:firstLineChars="196"/>
        <w:rPr>
          <w:rFonts w:ascii="宋体" w:hAnsi="宋体"/>
          <w:sz w:val="24"/>
          <w:szCs w:val="24"/>
        </w:rPr>
      </w:pPr>
      <w:r>
        <w:rPr>
          <w:rFonts w:hint="eastAsia" w:ascii="宋体" w:hAnsi="宋体"/>
          <w:sz w:val="24"/>
          <w:szCs w:val="24"/>
        </w:rPr>
        <w:t>49.2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0" w:firstLineChars="196"/>
        <w:rPr>
          <w:rFonts w:ascii="宋体" w:hAnsi="宋体"/>
          <w:sz w:val="24"/>
          <w:szCs w:val="24"/>
        </w:rPr>
      </w:pPr>
      <w:r>
        <w:rPr>
          <w:rFonts w:hint="eastAsia" w:ascii="宋体" w:hAnsi="宋体"/>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50. 卖方履约延误和误期赔偿</w:t>
      </w:r>
    </w:p>
    <w:p>
      <w:pPr>
        <w:spacing w:line="400" w:lineRule="exact"/>
        <w:ind w:firstLine="470" w:firstLineChars="196"/>
        <w:rPr>
          <w:rFonts w:ascii="宋体" w:hAnsi="宋体"/>
          <w:sz w:val="24"/>
          <w:szCs w:val="24"/>
        </w:rPr>
      </w:pPr>
      <w:r>
        <w:rPr>
          <w:rFonts w:hint="eastAsia" w:ascii="宋体" w:hAnsi="宋体"/>
          <w:sz w:val="24"/>
          <w:szCs w:val="24"/>
        </w:rPr>
        <w:t>50.1 如卖方无正当理由而拖延交货，买方有权提出误期赔偿或解除采购合同。</w:t>
      </w:r>
    </w:p>
    <w:p>
      <w:pPr>
        <w:spacing w:line="400" w:lineRule="exact"/>
        <w:ind w:firstLine="470" w:firstLineChars="196"/>
        <w:rPr>
          <w:rFonts w:ascii="宋体" w:hAnsi="宋体"/>
          <w:sz w:val="24"/>
          <w:szCs w:val="24"/>
        </w:rPr>
      </w:pPr>
      <w:r>
        <w:rPr>
          <w:rFonts w:hint="eastAsia" w:ascii="宋体" w:hAnsi="宋体"/>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0" w:firstLineChars="196"/>
        <w:rPr>
          <w:rFonts w:ascii="宋体" w:hAnsi="宋体"/>
          <w:sz w:val="24"/>
          <w:szCs w:val="24"/>
        </w:rPr>
      </w:pPr>
      <w:r>
        <w:rPr>
          <w:rFonts w:hint="eastAsia" w:ascii="宋体" w:hAnsi="宋体"/>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51. 不可抗力</w:t>
      </w:r>
    </w:p>
    <w:p>
      <w:pPr>
        <w:spacing w:line="400" w:lineRule="exact"/>
        <w:ind w:firstLine="470" w:firstLineChars="196"/>
        <w:rPr>
          <w:rFonts w:ascii="宋体" w:hAnsi="宋体"/>
          <w:sz w:val="24"/>
          <w:szCs w:val="24"/>
        </w:rPr>
      </w:pPr>
      <w:r>
        <w:rPr>
          <w:rFonts w:hint="eastAsia" w:ascii="宋体" w:hAnsi="宋体"/>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0" w:firstLineChars="196"/>
        <w:rPr>
          <w:rFonts w:ascii="宋体" w:hAnsi="宋体"/>
          <w:sz w:val="24"/>
          <w:szCs w:val="24"/>
        </w:rPr>
      </w:pPr>
      <w:r>
        <w:rPr>
          <w:rFonts w:hint="eastAsia" w:ascii="宋体" w:hAnsi="宋体"/>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0" w:firstLineChars="196"/>
        <w:rPr>
          <w:rFonts w:ascii="宋体" w:hAnsi="宋体"/>
          <w:sz w:val="24"/>
          <w:szCs w:val="24"/>
        </w:rPr>
      </w:pPr>
      <w:r>
        <w:rPr>
          <w:rFonts w:hint="eastAsia" w:ascii="宋体" w:hAnsi="宋体"/>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0" w:firstLineChars="196"/>
        <w:rPr>
          <w:rFonts w:ascii="宋体" w:hAnsi="宋体"/>
          <w:sz w:val="24"/>
          <w:szCs w:val="24"/>
        </w:rPr>
      </w:pPr>
      <w:r>
        <w:rPr>
          <w:rFonts w:hint="eastAsia" w:ascii="宋体" w:hAnsi="宋体"/>
          <w:sz w:val="24"/>
          <w:szCs w:val="24"/>
        </w:rPr>
        <w:t>51.4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52.税费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53. 争议的解决</w:t>
      </w:r>
    </w:p>
    <w:p>
      <w:pPr>
        <w:spacing w:line="400" w:lineRule="exact"/>
        <w:ind w:firstLine="470" w:firstLineChars="196"/>
        <w:rPr>
          <w:rFonts w:ascii="宋体" w:hAnsi="宋体"/>
          <w:sz w:val="24"/>
          <w:szCs w:val="24"/>
        </w:rPr>
      </w:pPr>
      <w:bookmarkStart w:id="18" w:name="_Toc80458943"/>
      <w:bookmarkStart w:id="19" w:name="_Toc80502600"/>
      <w:r>
        <w:rPr>
          <w:rFonts w:hint="eastAsia" w:ascii="宋体" w:hAnsi="宋体"/>
          <w:sz w:val="24"/>
          <w:szCs w:val="24"/>
        </w:rPr>
        <w:t>53.1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0" w:firstLineChars="196"/>
        <w:rPr>
          <w:rFonts w:ascii="宋体" w:hAnsi="宋体"/>
          <w:sz w:val="24"/>
          <w:szCs w:val="24"/>
        </w:rPr>
      </w:pPr>
      <w:r>
        <w:rPr>
          <w:rFonts w:hint="eastAsia" w:ascii="宋体" w:hAnsi="宋体"/>
          <w:sz w:val="24"/>
          <w:szCs w:val="24"/>
        </w:rPr>
        <w:t>53.2 仲裁裁决为最终裁决，对双方均有约束力。当事人一方在规定时间内不履行仲裁机构裁决的，另一方可申请人民法院强制执行。</w:t>
      </w:r>
    </w:p>
    <w:p>
      <w:pPr>
        <w:spacing w:line="400" w:lineRule="exact"/>
        <w:ind w:firstLine="470" w:firstLineChars="196"/>
        <w:rPr>
          <w:rFonts w:ascii="宋体" w:hAnsi="宋体"/>
          <w:sz w:val="24"/>
          <w:szCs w:val="24"/>
        </w:rPr>
      </w:pPr>
      <w:r>
        <w:rPr>
          <w:rFonts w:hint="eastAsia" w:ascii="宋体" w:hAnsi="宋体"/>
          <w:sz w:val="24"/>
          <w:szCs w:val="24"/>
        </w:rPr>
        <w:t>53.3 仲裁（或诉讼）费用除仲裁机关（或人民法院）另有裁决外，应由败诉方负担。</w:t>
      </w:r>
    </w:p>
    <w:p>
      <w:pPr>
        <w:spacing w:line="400" w:lineRule="exact"/>
        <w:ind w:firstLine="470" w:firstLineChars="196"/>
        <w:rPr>
          <w:rFonts w:ascii="宋体" w:hAnsi="宋体"/>
          <w:sz w:val="24"/>
          <w:szCs w:val="24"/>
        </w:rPr>
      </w:pPr>
      <w:r>
        <w:rPr>
          <w:rFonts w:hint="eastAsia" w:ascii="宋体" w:hAnsi="宋体"/>
          <w:sz w:val="24"/>
          <w:szCs w:val="24"/>
        </w:rPr>
        <w:t>53.4 在仲裁（或诉讼）期间，除正在进行仲裁（或诉讼）的部分外，采购合同其他部分继续执行。</w:t>
      </w:r>
      <w:bookmarkEnd w:id="18"/>
      <w:bookmarkEnd w:id="19"/>
    </w:p>
    <w:p>
      <w:pPr>
        <w:spacing w:line="400" w:lineRule="exact"/>
        <w:ind w:firstLine="472" w:firstLineChars="196"/>
        <w:rPr>
          <w:rFonts w:ascii="宋体" w:hAnsi="宋体"/>
          <w:b/>
          <w:sz w:val="24"/>
          <w:szCs w:val="24"/>
        </w:rPr>
      </w:pPr>
      <w:r>
        <w:rPr>
          <w:rFonts w:hint="eastAsia" w:ascii="宋体" w:hAnsi="宋体"/>
          <w:b/>
          <w:sz w:val="24"/>
          <w:szCs w:val="24"/>
        </w:rPr>
        <w:t>54. 违约终止采购合同</w:t>
      </w:r>
    </w:p>
    <w:p>
      <w:pPr>
        <w:spacing w:line="400" w:lineRule="exact"/>
        <w:ind w:firstLine="470" w:firstLineChars="196"/>
        <w:rPr>
          <w:rFonts w:ascii="宋体" w:hAnsi="宋体"/>
          <w:sz w:val="24"/>
          <w:szCs w:val="24"/>
        </w:rPr>
      </w:pPr>
      <w:bookmarkStart w:id="20" w:name="_Toc80458944"/>
      <w:bookmarkStart w:id="21" w:name="_Toc80502601"/>
      <w:r>
        <w:rPr>
          <w:rFonts w:hint="eastAsia" w:ascii="宋体" w:hAnsi="宋体"/>
          <w:sz w:val="24"/>
          <w:szCs w:val="24"/>
        </w:rPr>
        <w:t>54.1 在卖方违约的情况下，买方可向卖方发出书面通知书，提出终止部分或全部采购合同，同时保留向卖方追诉的权利。</w:t>
      </w:r>
    </w:p>
    <w:p>
      <w:pPr>
        <w:spacing w:line="400" w:lineRule="exact"/>
        <w:ind w:firstLine="470" w:firstLineChars="196"/>
        <w:rPr>
          <w:rFonts w:ascii="宋体" w:hAnsi="宋体"/>
          <w:sz w:val="24"/>
          <w:szCs w:val="24"/>
        </w:rPr>
      </w:pPr>
      <w:r>
        <w:rPr>
          <w:rFonts w:hint="eastAsia" w:ascii="宋体" w:hAnsi="宋体"/>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20"/>
      <w:bookmarkEnd w:id="21"/>
    </w:p>
    <w:p>
      <w:pPr>
        <w:spacing w:line="400" w:lineRule="exact"/>
        <w:ind w:firstLine="472" w:firstLineChars="196"/>
        <w:rPr>
          <w:rFonts w:ascii="宋体" w:hAnsi="宋体"/>
          <w:b/>
          <w:sz w:val="24"/>
          <w:szCs w:val="24"/>
        </w:rPr>
      </w:pPr>
      <w:r>
        <w:rPr>
          <w:rFonts w:hint="eastAsia" w:ascii="宋体" w:hAnsi="宋体"/>
          <w:b/>
          <w:sz w:val="24"/>
          <w:szCs w:val="24"/>
        </w:rPr>
        <w:t>55. 破产终止采购合同</w:t>
      </w:r>
    </w:p>
    <w:p>
      <w:pPr>
        <w:spacing w:line="400" w:lineRule="exact"/>
        <w:ind w:firstLine="470" w:firstLineChars="196"/>
        <w:rPr>
          <w:rFonts w:ascii="宋体" w:hAnsi="宋体"/>
          <w:sz w:val="24"/>
          <w:szCs w:val="24"/>
        </w:rPr>
      </w:pPr>
      <w:bookmarkStart w:id="22" w:name="_Toc80458945"/>
      <w:bookmarkStart w:id="23"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22"/>
      <w:bookmarkEnd w:id="23"/>
    </w:p>
    <w:p>
      <w:pPr>
        <w:spacing w:line="400" w:lineRule="exact"/>
        <w:ind w:firstLine="472" w:firstLineChars="196"/>
        <w:rPr>
          <w:rFonts w:ascii="宋体" w:hAnsi="宋体"/>
          <w:b/>
          <w:sz w:val="24"/>
          <w:szCs w:val="24"/>
        </w:rPr>
      </w:pPr>
      <w:r>
        <w:rPr>
          <w:rFonts w:hint="eastAsia" w:ascii="宋体" w:hAnsi="宋体"/>
          <w:b/>
          <w:sz w:val="24"/>
          <w:szCs w:val="24"/>
        </w:rPr>
        <w:t>56. 转让和分包</w:t>
      </w:r>
    </w:p>
    <w:p>
      <w:pPr>
        <w:spacing w:line="400" w:lineRule="exact"/>
        <w:ind w:firstLine="470" w:firstLineChars="196"/>
        <w:rPr>
          <w:rFonts w:ascii="宋体" w:hAnsi="宋体"/>
          <w:sz w:val="24"/>
          <w:szCs w:val="24"/>
        </w:rPr>
      </w:pPr>
      <w:bookmarkStart w:id="24" w:name="_Toc80502603"/>
      <w:bookmarkStart w:id="25" w:name="_Toc80458946"/>
      <w:r>
        <w:rPr>
          <w:rFonts w:hint="eastAsia" w:ascii="宋体" w:hAnsi="宋体"/>
          <w:sz w:val="24"/>
          <w:szCs w:val="24"/>
        </w:rPr>
        <w:t>56.1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57.合同修改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58.通知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24"/>
      <w:bookmarkEnd w:id="25"/>
    </w:p>
    <w:p>
      <w:pPr>
        <w:spacing w:line="400" w:lineRule="exact"/>
        <w:ind w:firstLine="472" w:firstLineChars="196"/>
        <w:rPr>
          <w:rFonts w:ascii="宋体" w:hAnsi="宋体"/>
          <w:b/>
          <w:sz w:val="24"/>
          <w:szCs w:val="24"/>
        </w:rPr>
      </w:pPr>
      <w:r>
        <w:rPr>
          <w:rFonts w:hint="eastAsia" w:ascii="宋体" w:hAnsi="宋体"/>
          <w:b/>
          <w:sz w:val="24"/>
          <w:szCs w:val="24"/>
        </w:rPr>
        <w:t>59.适用法律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60. 合同生效</w:t>
      </w:r>
    </w:p>
    <w:p>
      <w:pPr>
        <w:spacing w:line="400" w:lineRule="exact"/>
        <w:ind w:firstLine="470" w:firstLineChars="196"/>
        <w:rPr>
          <w:rFonts w:ascii="宋体" w:hAnsi="宋体"/>
          <w:sz w:val="24"/>
          <w:szCs w:val="24"/>
        </w:rPr>
      </w:pPr>
      <w:bookmarkStart w:id="26" w:name="_Toc80458948"/>
      <w:bookmarkStart w:id="27" w:name="_Toc80502605"/>
      <w:r>
        <w:rPr>
          <w:rFonts w:hint="eastAsia" w:ascii="宋体" w:hAnsi="宋体"/>
          <w:sz w:val="24"/>
          <w:szCs w:val="24"/>
        </w:rPr>
        <w:t>60.1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60.2 采购合同一式三份，以中文书就，具同等法律效力。买卖双方、采购代理机构各执一份。</w:t>
      </w:r>
      <w:bookmarkEnd w:id="26"/>
      <w:bookmarkEnd w:id="27"/>
    </w:p>
    <w:p>
      <w:pPr>
        <w:spacing w:line="400" w:lineRule="exact"/>
        <w:ind w:firstLine="472" w:firstLineChars="196"/>
        <w:rPr>
          <w:rFonts w:ascii="宋体" w:hAnsi="宋体"/>
          <w:b/>
          <w:sz w:val="24"/>
          <w:szCs w:val="24"/>
        </w:rPr>
      </w:pPr>
      <w:r>
        <w:rPr>
          <w:rFonts w:hint="eastAsia" w:ascii="宋体" w:hAnsi="宋体"/>
          <w:b/>
          <w:sz w:val="24"/>
          <w:szCs w:val="24"/>
        </w:rPr>
        <w:t>61.补充条款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hint="eastAsia" w:cs="宋体" w:asciiTheme="majorEastAsia" w:hAnsiTheme="majorEastAsia" w:eastAsiaTheme="majorEastAsia"/>
          <w:b/>
          <w:kern w:val="0"/>
          <w:sz w:val="36"/>
          <w:szCs w:val="36"/>
        </w:rPr>
      </w:pPr>
      <w:r>
        <w:rPr>
          <w:rFonts w:ascii="宋体" w:hAnsi="宋体"/>
          <w:b/>
          <w:sz w:val="24"/>
          <w:szCs w:val="24"/>
        </w:rPr>
        <w:br w:type="page"/>
      </w:r>
      <w:r>
        <w:rPr>
          <w:rFonts w:hint="eastAsia" w:ascii="宋体" w:hAnsi="宋体"/>
          <w:b/>
          <w:sz w:val="24"/>
          <w:szCs w:val="24"/>
        </w:rPr>
        <w:t>八、</w:t>
      </w:r>
      <w:r>
        <w:rPr>
          <w:rFonts w:hint="eastAsia" w:ascii="宋体" w:hAnsi="宋体" w:eastAsia="宋体" w:cs="Times New Roman"/>
          <w:b/>
          <w:sz w:val="24"/>
          <w:szCs w:val="24"/>
        </w:rPr>
        <w:t>合同条款及格式</w:t>
      </w:r>
    </w:p>
    <w:p>
      <w:pPr>
        <w:autoSpaceDE w:val="0"/>
        <w:autoSpaceDN w:val="0"/>
        <w:adjustRightInd w:val="0"/>
        <w:spacing w:afterLines="50" w:line="380" w:lineRule="atLeast"/>
        <w:jc w:val="center"/>
        <w:rPr>
          <w:rFonts w:cs="宋体" w:asciiTheme="majorEastAsia" w:hAnsiTheme="majorEastAsia" w:eastAsiaTheme="majorEastAsia"/>
          <w:b/>
          <w:kern w:val="0"/>
          <w:sz w:val="36"/>
          <w:szCs w:val="36"/>
        </w:rPr>
      </w:pPr>
      <w:r>
        <w:rPr>
          <w:rFonts w:hint="eastAsia" w:ascii="宋体" w:hAnsi="宋体" w:cs="Arial"/>
          <w:kern w:val="0"/>
          <w:sz w:val="24"/>
          <w:szCs w:val="24"/>
        </w:rPr>
        <w:t>（以实际签订采购合同为准）</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hint="eastAsia" w:asciiTheme="majorEastAsia" w:hAnsiTheme="majorEastAsia" w:eastAsiaTheme="majorEastAsia"/>
          <w:b/>
          <w:sz w:val="28"/>
          <w:szCs w:val="28"/>
        </w:rPr>
      </w:pPr>
    </w:p>
    <w:p>
      <w:pPr>
        <w:spacing w:after="50" w:line="320" w:lineRule="exact"/>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exact"/>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spacing w:line="480" w:lineRule="exact"/>
        <w:ind w:left="1" w:firstLine="537" w:firstLineChars="192"/>
        <w:rPr>
          <w:rFonts w:ascii="宋体" w:hAnsi="宋体"/>
          <w:kern w:val="0"/>
          <w:sz w:val="28"/>
          <w:szCs w:val="28"/>
        </w:rPr>
      </w:pPr>
      <w:r>
        <w:rPr>
          <w:rFonts w:hint="eastAsia" w:ascii="宋体" w:hAnsi="宋体"/>
          <w:kern w:val="0"/>
          <w:sz w:val="28"/>
          <w:szCs w:val="28"/>
        </w:rPr>
        <w:t>2.对于给定格式的，需按照给定的格式进行填报；没有给定格式的，供应商可以自行设计。</w:t>
      </w:r>
    </w:p>
    <w:p>
      <w:pPr>
        <w:spacing w:line="480" w:lineRule="exact"/>
        <w:rPr>
          <w:rFonts w:ascii="宋体" w:hAnsi="宋体"/>
          <w:b/>
          <w:kern w:val="0"/>
          <w:sz w:val="24"/>
          <w:szCs w:val="24"/>
        </w:rPr>
      </w:pPr>
      <w:r>
        <w:rPr>
          <w:rFonts w:hint="eastAsia" w:ascii="宋体" w:hAnsi="宋体"/>
          <w:b/>
          <w:kern w:val="0"/>
          <w:sz w:val="28"/>
          <w:szCs w:val="28"/>
        </w:rPr>
        <w:br w:type="page"/>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r>
        <w:rPr>
          <w:rFonts w:hint="eastAsia" w:ascii="隶书" w:hAnsi="宋体" w:eastAsia="隶书"/>
          <w:b/>
          <w:sz w:val="52"/>
          <w:szCs w:val="52"/>
        </w:rPr>
        <w:t>采购项目</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spacing w:beforeLines="100" w:afterLines="100" w:line="480" w:lineRule="exact"/>
        <w:jc w:val="center"/>
        <w:rPr>
          <w:rFonts w:hint="eastAsia" w:ascii="宋体" w:hAnsi="宋体" w:cs="Lucida Sans Unicode"/>
          <w:b/>
          <w:sz w:val="44"/>
          <w:szCs w:val="44"/>
        </w:rPr>
      </w:pPr>
      <w:r>
        <w:rPr>
          <w:rFonts w:hint="eastAsia" w:ascii="宋体" w:hAnsi="宋体" w:cs="Lucida Sans Unicode"/>
          <w:b/>
          <w:sz w:val="44"/>
          <w:szCs w:val="44"/>
        </w:rPr>
        <w:br w:type="page"/>
      </w:r>
    </w:p>
    <w:p>
      <w:pPr>
        <w:autoSpaceDE w:val="0"/>
        <w:autoSpaceDN w:val="0"/>
        <w:adjustRightInd w:val="0"/>
        <w:spacing w:line="700" w:lineRule="exact"/>
        <w:ind w:firstLine="551"/>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11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28" w:name="_Toc184023138"/>
      <w:bookmarkStart w:id="29" w:name="_Toc186274126"/>
      <w:bookmarkStart w:id="30" w:name="_Toc174185203"/>
      <w:r>
        <w:rPr>
          <w:rFonts w:hint="eastAsia" w:cs="黑体" w:asciiTheme="minorEastAsia" w:hAnsiTheme="minorEastAsia" w:eastAsiaTheme="minorEastAsia"/>
          <w:color w:val="auto"/>
          <w:kern w:val="2"/>
          <w:sz w:val="36"/>
          <w:szCs w:val="36"/>
          <w:lang w:val="zh-CN"/>
        </w:rPr>
        <w:t>一、投标人应答索引表</w:t>
      </w:r>
      <w:bookmarkEnd w:id="28"/>
      <w:bookmarkEnd w:id="29"/>
      <w:bookmarkEnd w:id="30"/>
    </w:p>
    <w:tbl>
      <w:tblPr>
        <w:tblStyle w:val="38"/>
        <w:tblW w:w="9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253"/>
        <w:gridCol w:w="345"/>
        <w:gridCol w:w="2153"/>
        <w:gridCol w:w="6"/>
        <w:gridCol w:w="1553"/>
        <w:gridCol w:w="6"/>
        <w:gridCol w:w="1554"/>
        <w:gridCol w:w="6"/>
        <w:gridCol w:w="2012"/>
        <w:gridCol w:w="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Pr>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gridSpan w:val="2"/>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gridSpan w:val="2"/>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gridSpan w:val="2"/>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gridSpan w:val="2"/>
            <w:vAlign w:val="center"/>
          </w:tcPr>
          <w:p>
            <w:pPr>
              <w:snapToGrid w:val="0"/>
              <w:spacing w:line="400" w:lineRule="exact"/>
              <w:jc w:val="center"/>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kern w:val="0"/>
              </w:rPr>
            </w:pPr>
            <w:r>
              <w:rPr>
                <w:rFonts w:hint="eastAsia" w:hAnsi="宋体"/>
                <w:kern w:val="0"/>
              </w:rPr>
              <w:t>开标一览表</w:t>
            </w:r>
          </w:p>
        </w:tc>
        <w:tc>
          <w:tcPr>
            <w:tcW w:w="1559" w:type="dxa"/>
            <w:gridSpan w:val="2"/>
            <w:vAlign w:val="center"/>
          </w:tcPr>
          <w:p>
            <w:pPr>
              <w:snapToGrid w:val="0"/>
              <w:spacing w:line="400" w:lineRule="exact"/>
              <w:jc w:val="center"/>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gridSpan w:val="2"/>
            <w:vAlign w:val="center"/>
          </w:tcPr>
          <w:p>
            <w:pPr>
              <w:snapToGrid w:val="0"/>
              <w:spacing w:line="400" w:lineRule="exact"/>
              <w:jc w:val="center"/>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gridSpan w:val="2"/>
            <w:vAlign w:val="center"/>
          </w:tcPr>
          <w:p>
            <w:pPr>
              <w:snapToGrid w:val="0"/>
              <w:spacing w:line="400" w:lineRule="exact"/>
              <w:jc w:val="center"/>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gridSpan w:val="2"/>
            <w:vAlign w:val="center"/>
          </w:tcPr>
          <w:p>
            <w:pPr>
              <w:snapToGrid w:val="0"/>
              <w:spacing w:line="400" w:lineRule="exact"/>
              <w:jc w:val="center"/>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gridSpan w:val="2"/>
            <w:vAlign w:val="center"/>
          </w:tcPr>
          <w:p>
            <w:pPr>
              <w:snapToGrid w:val="0"/>
              <w:spacing w:line="400" w:lineRule="exact"/>
              <w:jc w:val="center"/>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1253" w:type="dxa"/>
            <w:vMerge w:val="restart"/>
            <w:tcBorders>
              <w:right w:val="single" w:color="auto" w:sz="6" w:space="0"/>
            </w:tcBorders>
            <w:vAlign w:val="center"/>
          </w:tcPr>
          <w:p>
            <w:pPr>
              <w:pStyle w:val="21"/>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498"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gridSpan w:val="2"/>
            <w:vAlign w:val="center"/>
          </w:tcPr>
          <w:p>
            <w:pPr>
              <w:snapToGrid w:val="0"/>
              <w:spacing w:line="400" w:lineRule="exact"/>
              <w:jc w:val="center"/>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53" w:type="dxa"/>
            <w:vMerge w:val="continue"/>
            <w:tcBorders>
              <w:right w:val="single" w:color="auto" w:sz="6" w:space="0"/>
            </w:tcBorders>
            <w:vAlign w:val="center"/>
          </w:tcPr>
          <w:p>
            <w:pPr>
              <w:pStyle w:val="21"/>
              <w:kinsoku w:val="0"/>
              <w:overflowPunct w:val="0"/>
              <w:autoSpaceDE w:val="0"/>
              <w:autoSpaceDN w:val="0"/>
              <w:spacing w:line="320" w:lineRule="exact"/>
              <w:rPr>
                <w:rFonts w:hAnsi="宋体"/>
                <w:kern w:val="0"/>
                <w:szCs w:val="24"/>
              </w:rPr>
            </w:pPr>
          </w:p>
        </w:tc>
        <w:tc>
          <w:tcPr>
            <w:tcW w:w="2498" w:type="dxa"/>
            <w:gridSpan w:val="2"/>
            <w:tcBorders>
              <w:left w:val="single" w:color="auto" w:sz="6" w:space="0"/>
            </w:tcBorders>
            <w:vAlign w:val="center"/>
          </w:tcPr>
          <w:p>
            <w:pPr>
              <w:pStyle w:val="21"/>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gridSpan w:val="2"/>
            <w:vAlign w:val="center"/>
          </w:tcPr>
          <w:p>
            <w:pPr>
              <w:pStyle w:val="21"/>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1253"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345"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159" w:type="dxa"/>
            <w:gridSpan w:val="2"/>
            <w:tcBorders>
              <w:left w:val="single" w:color="auto" w:sz="6" w:space="0"/>
            </w:tcBorders>
            <w:vAlign w:val="center"/>
          </w:tcPr>
          <w:p>
            <w:pPr>
              <w:snapToGrid w:val="0"/>
              <w:spacing w:line="400" w:lineRule="exact"/>
              <w:rPr>
                <w:rFonts w:ascii="宋体" w:hAnsi="宋体" w:cs="微软雅黑"/>
                <w:sz w:val="24"/>
                <w:szCs w:val="24"/>
              </w:rPr>
            </w:pPr>
          </w:p>
        </w:tc>
        <w:tc>
          <w:tcPr>
            <w:tcW w:w="1559" w:type="dxa"/>
            <w:gridSpan w:val="2"/>
            <w:vAlign w:val="center"/>
          </w:tcPr>
          <w:p>
            <w:pPr>
              <w:snapToGrid w:val="0"/>
              <w:spacing w:line="400" w:lineRule="exact"/>
              <w:jc w:val="center"/>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1253"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345"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159" w:type="dxa"/>
            <w:gridSpan w:val="2"/>
            <w:tcBorders>
              <w:left w:val="single" w:color="auto" w:sz="6" w:space="0"/>
            </w:tcBorders>
            <w:vAlign w:val="center"/>
          </w:tcPr>
          <w:p>
            <w:pPr>
              <w:snapToGrid w:val="0"/>
              <w:spacing w:line="400" w:lineRule="exact"/>
              <w:rPr>
                <w:rFonts w:ascii="宋体" w:hAnsi="宋体" w:cs="微软雅黑"/>
                <w:sz w:val="24"/>
                <w:szCs w:val="24"/>
              </w:rPr>
            </w:pPr>
          </w:p>
        </w:tc>
        <w:tc>
          <w:tcPr>
            <w:tcW w:w="1559" w:type="dxa"/>
            <w:gridSpan w:val="2"/>
            <w:vAlign w:val="center"/>
          </w:tcPr>
          <w:p>
            <w:pPr>
              <w:snapToGrid w:val="0"/>
              <w:spacing w:line="400" w:lineRule="exact"/>
              <w:jc w:val="center"/>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1253"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345"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159" w:type="dxa"/>
            <w:gridSpan w:val="2"/>
            <w:tcBorders>
              <w:left w:val="single" w:color="auto" w:sz="6" w:space="0"/>
            </w:tcBorders>
            <w:vAlign w:val="center"/>
          </w:tcPr>
          <w:p>
            <w:pPr>
              <w:snapToGrid w:val="0"/>
              <w:spacing w:line="400" w:lineRule="exact"/>
              <w:rPr>
                <w:rFonts w:ascii="宋体" w:hAnsi="宋体" w:cs="微软雅黑"/>
                <w:sz w:val="24"/>
                <w:szCs w:val="24"/>
              </w:rPr>
            </w:pPr>
          </w:p>
        </w:tc>
        <w:tc>
          <w:tcPr>
            <w:tcW w:w="1559" w:type="dxa"/>
            <w:gridSpan w:val="2"/>
            <w:vAlign w:val="center"/>
          </w:tcPr>
          <w:p>
            <w:pPr>
              <w:snapToGrid w:val="0"/>
              <w:spacing w:line="400" w:lineRule="exact"/>
              <w:jc w:val="center"/>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1253"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345"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159" w:type="dxa"/>
            <w:gridSpan w:val="2"/>
            <w:tcBorders>
              <w:left w:val="single" w:color="auto" w:sz="6" w:space="0"/>
            </w:tcBorders>
            <w:vAlign w:val="center"/>
          </w:tcPr>
          <w:p>
            <w:pPr>
              <w:snapToGrid w:val="0"/>
              <w:spacing w:line="400" w:lineRule="exact"/>
              <w:rPr>
                <w:rFonts w:ascii="宋体" w:hAnsi="宋体" w:cs="微软雅黑"/>
                <w:sz w:val="24"/>
                <w:szCs w:val="24"/>
              </w:rPr>
            </w:pPr>
          </w:p>
        </w:tc>
        <w:tc>
          <w:tcPr>
            <w:tcW w:w="1559" w:type="dxa"/>
            <w:gridSpan w:val="2"/>
            <w:vAlign w:val="center"/>
          </w:tcPr>
          <w:p>
            <w:pPr>
              <w:snapToGrid w:val="0"/>
              <w:spacing w:line="400" w:lineRule="exact"/>
              <w:jc w:val="center"/>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1253"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345"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159" w:type="dxa"/>
            <w:gridSpan w:val="2"/>
            <w:tcBorders>
              <w:left w:val="single" w:color="auto" w:sz="6" w:space="0"/>
            </w:tcBorders>
            <w:vAlign w:val="center"/>
          </w:tcPr>
          <w:p>
            <w:pPr>
              <w:snapToGrid w:val="0"/>
              <w:spacing w:line="400" w:lineRule="exact"/>
              <w:rPr>
                <w:rFonts w:ascii="宋体" w:hAnsi="宋体" w:cs="微软雅黑"/>
                <w:sz w:val="24"/>
                <w:szCs w:val="24"/>
              </w:rPr>
            </w:pPr>
          </w:p>
        </w:tc>
        <w:tc>
          <w:tcPr>
            <w:tcW w:w="1559" w:type="dxa"/>
            <w:gridSpan w:val="2"/>
            <w:vAlign w:val="center"/>
          </w:tcPr>
          <w:p>
            <w:pPr>
              <w:snapToGrid w:val="0"/>
              <w:spacing w:line="400" w:lineRule="exact"/>
              <w:jc w:val="center"/>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1253"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498"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gridSpan w:val="2"/>
            <w:vAlign w:val="center"/>
          </w:tcPr>
          <w:p>
            <w:pPr>
              <w:snapToGrid w:val="0"/>
              <w:spacing w:line="400" w:lineRule="exact"/>
              <w:jc w:val="center"/>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1253"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498"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gridSpan w:val="2"/>
            <w:vAlign w:val="center"/>
          </w:tcPr>
          <w:p>
            <w:pPr>
              <w:snapToGrid w:val="0"/>
              <w:spacing w:line="400" w:lineRule="exact"/>
              <w:jc w:val="center"/>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1253"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498"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gridSpan w:val="2"/>
            <w:vAlign w:val="center"/>
          </w:tcPr>
          <w:p>
            <w:pPr>
              <w:snapToGrid w:val="0"/>
              <w:spacing w:line="400" w:lineRule="exact"/>
              <w:jc w:val="center"/>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gridSpan w:val="2"/>
            <w:vAlign w:val="center"/>
          </w:tcPr>
          <w:p>
            <w:pPr>
              <w:snapToGrid w:val="0"/>
              <w:spacing w:line="400" w:lineRule="exact"/>
              <w:jc w:val="center"/>
              <w:rPr>
                <w:rFonts w:ascii="宋体" w:hAnsi="宋体" w:cs="微软雅黑"/>
                <w:szCs w:val="21"/>
              </w:rP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1253"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345"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159" w:type="dxa"/>
            <w:gridSpan w:val="2"/>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gridSpan w:val="2"/>
            <w:vAlign w:val="center"/>
          </w:tcPr>
          <w:p>
            <w:pPr>
              <w:jc w:val="cente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1253"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kern w:val="0"/>
                <w:szCs w:val="24"/>
              </w:rPr>
            </w:pPr>
          </w:p>
        </w:tc>
        <w:tc>
          <w:tcPr>
            <w:tcW w:w="345"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kern w:val="0"/>
                <w:szCs w:val="24"/>
              </w:rPr>
            </w:pPr>
          </w:p>
        </w:tc>
        <w:tc>
          <w:tcPr>
            <w:tcW w:w="2159"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gridSpan w:val="2"/>
            <w:vAlign w:val="center"/>
          </w:tcPr>
          <w:p>
            <w:pPr>
              <w:pStyle w:val="21"/>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pStyle w:val="21"/>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1253"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kern w:val="0"/>
                <w:szCs w:val="24"/>
              </w:rPr>
            </w:pPr>
          </w:p>
        </w:tc>
        <w:tc>
          <w:tcPr>
            <w:tcW w:w="345"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kern w:val="0"/>
                <w:szCs w:val="24"/>
              </w:rPr>
            </w:pPr>
          </w:p>
        </w:tc>
        <w:tc>
          <w:tcPr>
            <w:tcW w:w="2159"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gridSpan w:val="2"/>
            <w:vAlign w:val="center"/>
          </w:tcPr>
          <w:p>
            <w:pPr>
              <w:pStyle w:val="21"/>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pStyle w:val="21"/>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1253"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kern w:val="0"/>
                <w:szCs w:val="24"/>
              </w:rPr>
            </w:pPr>
          </w:p>
        </w:tc>
        <w:tc>
          <w:tcPr>
            <w:tcW w:w="2498"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gridSpan w:val="2"/>
            <w:vAlign w:val="center"/>
          </w:tcPr>
          <w:p>
            <w:pPr>
              <w:pStyle w:val="21"/>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gridSpan w:val="2"/>
            <w:vAlign w:val="center"/>
          </w:tcPr>
          <w:p>
            <w:pPr>
              <w:jc w:val="cente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gridSpan w:val="2"/>
            <w:vAlign w:val="center"/>
          </w:tcPr>
          <w:p>
            <w:pPr>
              <w:jc w:val="cente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gridSpan w:val="2"/>
            <w:vAlign w:val="center"/>
          </w:tcPr>
          <w:p>
            <w:pPr>
              <w:jc w:val="cente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21"/>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gridSpan w:val="2"/>
            <w:vAlign w:val="center"/>
          </w:tcPr>
          <w:p>
            <w:pPr>
              <w:jc w:val="cente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gridSpan w:val="2"/>
            <w:tcBorders>
              <w:top w:val="double" w:color="auto" w:sz="4" w:space="0"/>
            </w:tcBorders>
            <w:vAlign w:val="center"/>
          </w:tcPr>
          <w:p>
            <w:pPr>
              <w:jc w:val="center"/>
            </w:pPr>
          </w:p>
        </w:tc>
        <w:tc>
          <w:tcPr>
            <w:tcW w:w="1560" w:type="dxa"/>
            <w:gridSpan w:val="2"/>
            <w:tcBorders>
              <w:top w:val="double" w:color="auto" w:sz="4" w:space="0"/>
            </w:tcBorders>
            <w:vAlign w:val="center"/>
          </w:tcPr>
          <w:p>
            <w:pPr>
              <w:snapToGrid w:val="0"/>
              <w:spacing w:line="400" w:lineRule="exact"/>
              <w:rPr>
                <w:rFonts w:ascii="宋体" w:hAnsi="宋体" w:cs="微软雅黑"/>
                <w:szCs w:val="21"/>
              </w:rPr>
            </w:pPr>
          </w:p>
        </w:tc>
        <w:tc>
          <w:tcPr>
            <w:tcW w:w="2018" w:type="dxa"/>
            <w:gridSpan w:val="2"/>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21"/>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gridSpan w:val="2"/>
            <w:vAlign w:val="center"/>
          </w:tcPr>
          <w:p>
            <w:pPr>
              <w:jc w:val="cente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21"/>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gridSpan w:val="2"/>
            <w:vAlign w:val="center"/>
          </w:tcPr>
          <w:p>
            <w:pPr>
              <w:jc w:val="center"/>
            </w:pPr>
          </w:p>
        </w:tc>
        <w:tc>
          <w:tcPr>
            <w:tcW w:w="1560" w:type="dxa"/>
            <w:gridSpan w:val="2"/>
            <w:tcBorders>
              <w:top w:val="single" w:color="auto" w:sz="4" w:space="0"/>
            </w:tcBorders>
            <w:vAlign w:val="center"/>
          </w:tcPr>
          <w:p>
            <w:pPr>
              <w:snapToGrid w:val="0"/>
              <w:spacing w:line="400" w:lineRule="exact"/>
              <w:rPr>
                <w:rFonts w:ascii="宋体" w:hAnsi="宋体" w:cs="微软雅黑"/>
                <w:szCs w:val="21"/>
              </w:rPr>
            </w:pPr>
          </w:p>
        </w:tc>
        <w:tc>
          <w:tcPr>
            <w:tcW w:w="2018" w:type="dxa"/>
            <w:gridSpan w:val="2"/>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gridSpan w:val="2"/>
            <w:vAlign w:val="center"/>
          </w:tcPr>
          <w:p>
            <w:pPr>
              <w:jc w:val="cente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gridSpan w:val="2"/>
            <w:vAlign w:val="center"/>
          </w:tcPr>
          <w:p>
            <w:pPr>
              <w:jc w:val="cente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gridSpan w:val="2"/>
            <w:vAlign w:val="center"/>
          </w:tcPr>
          <w:p>
            <w:pPr>
              <w:jc w:val="cente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gridSpan w:val="2"/>
            <w:vAlign w:val="center"/>
          </w:tcPr>
          <w:p>
            <w:pPr>
              <w:jc w:val="cente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gridSpan w:val="2"/>
            <w:vAlign w:val="center"/>
          </w:tcPr>
          <w:p>
            <w:pPr>
              <w:jc w:val="cente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gridSpan w:val="2"/>
            <w:vAlign w:val="center"/>
          </w:tcPr>
          <w:p>
            <w:pPr>
              <w:jc w:val="cente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1"/>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gridSpan w:val="2"/>
            <w:vAlign w:val="center"/>
          </w:tcPr>
          <w:p>
            <w:pPr>
              <w:jc w:val="cente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21"/>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gridSpan w:val="2"/>
            <w:vAlign w:val="center"/>
          </w:tcPr>
          <w:p>
            <w:pPr>
              <w:jc w:val="cente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98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253" w:type="dxa"/>
            <w:tcBorders>
              <w:right w:val="single" w:color="auto" w:sz="4" w:space="0"/>
            </w:tcBorders>
            <w:vAlign w:val="center"/>
          </w:tcPr>
          <w:p>
            <w:pPr>
              <w:pStyle w:val="21"/>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498" w:type="dxa"/>
            <w:gridSpan w:val="2"/>
            <w:tcBorders>
              <w:left w:val="single" w:color="auto" w:sz="4" w:space="0"/>
            </w:tcBorders>
            <w:vAlign w:val="center"/>
          </w:tcPr>
          <w:p>
            <w:pPr>
              <w:pStyle w:val="21"/>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gridSpan w:val="2"/>
            <w:vAlign w:val="center"/>
          </w:tcPr>
          <w:p>
            <w:pPr>
              <w:pStyle w:val="21"/>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117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253" w:type="dxa"/>
            <w:tcBorders>
              <w:right w:val="single" w:color="auto" w:sz="4" w:space="0"/>
            </w:tcBorders>
            <w:vAlign w:val="center"/>
          </w:tcPr>
          <w:p>
            <w:pPr>
              <w:pStyle w:val="21"/>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498" w:type="dxa"/>
            <w:gridSpan w:val="2"/>
            <w:tcBorders>
              <w:left w:val="single" w:color="auto" w:sz="4" w:space="0"/>
            </w:tcBorders>
            <w:vAlign w:val="center"/>
          </w:tcPr>
          <w:p>
            <w:pPr>
              <w:pStyle w:val="21"/>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gridSpan w:val="2"/>
            <w:vAlign w:val="center"/>
          </w:tcPr>
          <w:p>
            <w:pPr>
              <w:pStyle w:val="21"/>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21"/>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gridSpan w:val="2"/>
            <w:vAlign w:val="center"/>
          </w:tcPr>
          <w:p>
            <w:pPr>
              <w:jc w:val="cente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 w:type="dxa"/>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kern w:val="0"/>
              </w:rPr>
            </w:pPr>
          </w:p>
        </w:tc>
        <w:tc>
          <w:tcPr>
            <w:tcW w:w="1559" w:type="dxa"/>
            <w:gridSpan w:val="2"/>
            <w:vAlign w:val="center"/>
          </w:tcPr>
          <w:p>
            <w:pPr>
              <w:jc w:val="center"/>
            </w:pPr>
          </w:p>
        </w:tc>
        <w:tc>
          <w:tcPr>
            <w:tcW w:w="1560" w:type="dxa"/>
            <w:gridSpan w:val="2"/>
            <w:vAlign w:val="center"/>
          </w:tcPr>
          <w:p>
            <w:pPr>
              <w:snapToGrid w:val="0"/>
              <w:spacing w:line="400" w:lineRule="exact"/>
              <w:rPr>
                <w:rFonts w:ascii="宋体" w:hAnsi="宋体" w:cs="微软雅黑"/>
                <w:szCs w:val="21"/>
              </w:rPr>
            </w:pPr>
          </w:p>
        </w:tc>
        <w:tc>
          <w:tcPr>
            <w:tcW w:w="2018" w:type="dxa"/>
            <w:gridSpan w:val="2"/>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21"/>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3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21"/>
        <w:spacing w:line="360" w:lineRule="auto"/>
        <w:jc w:val="center"/>
        <w:rPr>
          <w:rFonts w:asciiTheme="majorEastAsia" w:hAnsiTheme="majorEastAsia" w:eastAsiaTheme="majorEastAsia"/>
          <w:b/>
          <w:snapToGrid w:val="0"/>
          <w:kern w:val="0"/>
          <w:sz w:val="36"/>
          <w:szCs w:val="36"/>
        </w:rPr>
      </w:pPr>
    </w:p>
    <w:p>
      <w:pPr>
        <w:pStyle w:val="21"/>
        <w:spacing w:line="360" w:lineRule="auto"/>
        <w:jc w:val="center"/>
        <w:rPr>
          <w:rFonts w:asciiTheme="majorEastAsia" w:hAnsiTheme="majorEastAsia" w:eastAsiaTheme="majorEastAsia"/>
          <w:b/>
          <w:snapToGrid w:val="0"/>
          <w:kern w:val="0"/>
          <w:sz w:val="36"/>
          <w:szCs w:val="36"/>
        </w:rPr>
      </w:pPr>
    </w:p>
    <w:p>
      <w:pPr>
        <w:pStyle w:val="21"/>
        <w:spacing w:line="360" w:lineRule="auto"/>
        <w:jc w:val="center"/>
        <w:rPr>
          <w:rFonts w:asciiTheme="majorEastAsia" w:hAnsiTheme="majorEastAsia" w:eastAsiaTheme="majorEastAsia"/>
          <w:b/>
          <w:snapToGrid w:val="0"/>
          <w:kern w:val="0"/>
          <w:sz w:val="36"/>
          <w:szCs w:val="36"/>
        </w:rPr>
      </w:pPr>
    </w:p>
    <w:p>
      <w:pPr>
        <w:pStyle w:val="21"/>
        <w:spacing w:line="360" w:lineRule="auto"/>
        <w:jc w:val="center"/>
        <w:rPr>
          <w:rFonts w:asciiTheme="majorEastAsia" w:hAnsiTheme="majorEastAsia" w:eastAsiaTheme="majorEastAsia"/>
          <w:b/>
          <w:snapToGrid w:val="0"/>
          <w:kern w:val="0"/>
          <w:sz w:val="36"/>
          <w:szCs w:val="36"/>
        </w:rPr>
      </w:pPr>
    </w:p>
    <w:p>
      <w:pPr>
        <w:pStyle w:val="21"/>
        <w:spacing w:line="360" w:lineRule="auto"/>
        <w:jc w:val="center"/>
        <w:rPr>
          <w:rFonts w:asciiTheme="majorEastAsia" w:hAnsiTheme="majorEastAsia" w:eastAsiaTheme="majorEastAsia"/>
          <w:b/>
          <w:snapToGrid w:val="0"/>
          <w:kern w:val="0"/>
          <w:sz w:val="36"/>
          <w:szCs w:val="36"/>
        </w:rPr>
      </w:pPr>
    </w:p>
    <w:p>
      <w:pPr>
        <w:pStyle w:val="21"/>
        <w:spacing w:line="360" w:lineRule="auto"/>
        <w:jc w:val="center"/>
        <w:rPr>
          <w:rFonts w:asciiTheme="majorEastAsia" w:hAnsiTheme="majorEastAsia" w:eastAsiaTheme="majorEastAsia"/>
          <w:b/>
          <w:snapToGrid w:val="0"/>
          <w:kern w:val="0"/>
          <w:sz w:val="36"/>
          <w:szCs w:val="36"/>
        </w:rPr>
      </w:pPr>
    </w:p>
    <w:p>
      <w:pPr>
        <w:pStyle w:val="21"/>
        <w:spacing w:line="360" w:lineRule="auto"/>
        <w:jc w:val="center"/>
        <w:rPr>
          <w:rFonts w:asciiTheme="majorEastAsia" w:hAnsiTheme="majorEastAsia" w:eastAsiaTheme="majorEastAsia"/>
          <w:b/>
          <w:snapToGrid w:val="0"/>
          <w:kern w:val="0"/>
          <w:sz w:val="36"/>
          <w:szCs w:val="36"/>
        </w:rPr>
      </w:pPr>
    </w:p>
    <w:p>
      <w:pPr>
        <w:pStyle w:val="21"/>
        <w:spacing w:line="360" w:lineRule="auto"/>
        <w:jc w:val="center"/>
        <w:rPr>
          <w:rFonts w:asciiTheme="majorEastAsia" w:hAnsiTheme="majorEastAsia" w:eastAsiaTheme="majorEastAsia"/>
          <w:b/>
          <w:snapToGrid w:val="0"/>
          <w:kern w:val="0"/>
          <w:sz w:val="36"/>
          <w:szCs w:val="36"/>
        </w:rPr>
      </w:pPr>
    </w:p>
    <w:p>
      <w:pPr>
        <w:pStyle w:val="21"/>
        <w:spacing w:line="360" w:lineRule="auto"/>
        <w:jc w:val="center"/>
        <w:rPr>
          <w:rFonts w:asciiTheme="majorEastAsia" w:hAnsiTheme="majorEastAsia" w:eastAsiaTheme="majorEastAsia"/>
          <w:b/>
          <w:snapToGrid w:val="0"/>
          <w:kern w:val="0"/>
          <w:sz w:val="36"/>
          <w:szCs w:val="36"/>
        </w:rPr>
      </w:pPr>
    </w:p>
    <w:p>
      <w:pPr>
        <w:pStyle w:val="21"/>
        <w:spacing w:line="360" w:lineRule="auto"/>
        <w:jc w:val="center"/>
        <w:rPr>
          <w:rFonts w:asciiTheme="majorEastAsia" w:hAnsiTheme="majorEastAsia" w:eastAsiaTheme="majorEastAsia"/>
          <w:b/>
          <w:snapToGrid w:val="0"/>
          <w:kern w:val="0"/>
          <w:sz w:val="36"/>
          <w:szCs w:val="36"/>
        </w:rPr>
      </w:pPr>
    </w:p>
    <w:p>
      <w:pPr>
        <w:pStyle w:val="21"/>
        <w:spacing w:line="360" w:lineRule="auto"/>
        <w:jc w:val="center"/>
        <w:rPr>
          <w:rFonts w:asciiTheme="majorEastAsia" w:hAnsiTheme="majorEastAsia" w:eastAsiaTheme="majorEastAsia"/>
          <w:b/>
          <w:snapToGrid w:val="0"/>
          <w:kern w:val="0"/>
          <w:sz w:val="36"/>
          <w:szCs w:val="36"/>
        </w:rPr>
      </w:pPr>
    </w:p>
    <w:p>
      <w:pPr>
        <w:pStyle w:val="21"/>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21"/>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w:t>
      </w:r>
      <w:r>
        <w:rPr>
          <w:rFonts w:hint="eastAsia" w:eastAsia="宋体" w:cs="Times New Roman" w:asciiTheme="minorEastAsia" w:hAnsiTheme="minorEastAsia"/>
          <w:snapToGrid w:val="0"/>
          <w:kern w:val="0"/>
          <w:sz w:val="24"/>
          <w:szCs w:val="24"/>
          <w:u w:val="single"/>
          <w:lang w:val="en-US" w:eastAsia="zh-CN"/>
        </w:rPr>
        <w:t xml:space="preserve">         </w:t>
      </w:r>
      <w:r>
        <w:rPr>
          <w:rFonts w:hint="eastAsia" w:asciiTheme="minorEastAsia" w:hAnsiTheme="minorEastAsia"/>
          <w:snapToGrid w:val="0"/>
          <w:kern w:val="0"/>
          <w:sz w:val="24"/>
          <w:szCs w:val="24"/>
        </w:rPr>
        <w:t>（项目名称、项目编号）采购的采购公告及投标邀请，_______（姓名和职务）被正式授权并代表投标人（投标人名称、地址）提交。</w:t>
      </w:r>
    </w:p>
    <w:p>
      <w:pPr>
        <w:pStyle w:val="21"/>
        <w:adjustRightInd w:val="0"/>
        <w:spacing w:line="360" w:lineRule="auto"/>
        <w:ind w:firstLine="42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我方确认收到贵方提供的（项目名称、项目编号）采购文件的全部内容。</w:t>
      </w:r>
    </w:p>
    <w:p>
      <w:pPr>
        <w:pStyle w:val="21"/>
        <w:adjustRightInd w:val="0"/>
        <w:spacing w:line="360" w:lineRule="auto"/>
        <w:ind w:firstLine="42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Theme="minorEastAsia" w:hAnsiTheme="minorEastAsia" w:eastAsiaTheme="minorEastAsia"/>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lang w:val="en-US" w:eastAsia="zh-CN"/>
        </w:rPr>
        <w:t>三</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我方已完全明白采购文件的所有条款要求，并申明如下：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一、按采购文件提供的全部货物与相关服务的投标总价详见《开标一览表》。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3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3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3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3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21"/>
        <w:adjustRightInd w:val="0"/>
        <w:spacing w:line="360" w:lineRule="auto"/>
        <w:ind w:firstLine="42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21"/>
        <w:adjustRightInd w:val="0"/>
        <w:spacing w:line="360" w:lineRule="auto"/>
        <w:ind w:firstLine="42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21"/>
        <w:adjustRightInd w:val="0"/>
        <w:spacing w:line="360" w:lineRule="auto"/>
        <w:ind w:firstLine="42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21"/>
        <w:adjustRightInd w:val="0"/>
        <w:spacing w:line="360" w:lineRule="auto"/>
        <w:ind w:firstLine="42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21"/>
        <w:adjustRightInd w:val="0"/>
        <w:spacing w:line="360" w:lineRule="auto"/>
        <w:ind w:firstLine="42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21"/>
        <w:adjustRightInd w:val="0"/>
        <w:snapToGrid w:val="0"/>
        <w:spacing w:line="360" w:lineRule="auto"/>
        <w:rPr>
          <w:rFonts w:asciiTheme="minorEastAsia" w:hAnsiTheme="minorEastAsia" w:eastAsiaTheme="minorEastAsia"/>
          <w:szCs w:val="24"/>
        </w:rPr>
      </w:pPr>
    </w:p>
    <w:p>
      <w:pPr>
        <w:pStyle w:val="21"/>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hint="eastAsia" w:asciiTheme="majorEastAsia" w:hAnsiTheme="majorEastAsia" w:eastAsiaTheme="majorEastAsia"/>
          <w:b/>
          <w:bCs/>
          <w:sz w:val="36"/>
          <w:szCs w:val="36"/>
        </w:rPr>
      </w:pPr>
    </w:p>
    <w:p>
      <w:pPr>
        <w:spacing w:line="480" w:lineRule="exact"/>
        <w:jc w:val="center"/>
        <w:rPr>
          <w:rFonts w:hint="eastAsia" w:asciiTheme="majorEastAsia" w:hAnsiTheme="majorEastAsia" w:eastAsiaTheme="majorEastAsia"/>
          <w:b/>
          <w:bCs/>
          <w:sz w:val="36"/>
          <w:szCs w:val="36"/>
        </w:rPr>
      </w:pPr>
    </w:p>
    <w:p>
      <w:pPr>
        <w:spacing w:line="480" w:lineRule="exact"/>
        <w:jc w:val="center"/>
        <w:rPr>
          <w:rFonts w:hint="eastAsia" w:asciiTheme="majorEastAsia" w:hAnsiTheme="majorEastAsia" w:eastAsiaTheme="majorEastAsia"/>
          <w:b/>
          <w:bCs/>
          <w:sz w:val="36"/>
          <w:szCs w:val="36"/>
        </w:rPr>
      </w:pPr>
    </w:p>
    <w:p>
      <w:pPr>
        <w:spacing w:line="480" w:lineRule="exact"/>
        <w:jc w:val="center"/>
        <w:rPr>
          <w:rFonts w:hint="eastAsia" w:asciiTheme="majorEastAsia" w:hAnsiTheme="majorEastAsia" w:eastAsiaTheme="majorEastAsia"/>
          <w:b/>
          <w:bCs/>
          <w:sz w:val="36"/>
          <w:szCs w:val="36"/>
        </w:rPr>
      </w:pPr>
    </w:p>
    <w:p>
      <w:pPr>
        <w:spacing w:line="480" w:lineRule="exact"/>
        <w:jc w:val="center"/>
        <w:rPr>
          <w:rFonts w:hint="eastAsia" w:asciiTheme="majorEastAsia" w:hAnsiTheme="majorEastAsia" w:eastAsiaTheme="majorEastAsia"/>
          <w:b/>
          <w:bCs/>
          <w:sz w:val="36"/>
          <w:szCs w:val="36"/>
        </w:rPr>
      </w:pPr>
    </w:p>
    <w:p>
      <w:pPr>
        <w:spacing w:line="480" w:lineRule="exact"/>
        <w:jc w:val="center"/>
        <w:rPr>
          <w:rFonts w:hint="eastAsia" w:asciiTheme="majorEastAsia" w:hAnsiTheme="majorEastAsia" w:eastAsiaTheme="majorEastAsia"/>
          <w:b/>
          <w:bCs/>
          <w:sz w:val="36"/>
          <w:szCs w:val="36"/>
        </w:rPr>
      </w:pPr>
    </w:p>
    <w:p>
      <w:pPr>
        <w:spacing w:line="480" w:lineRule="exact"/>
        <w:jc w:val="center"/>
        <w:rPr>
          <w:rFonts w:hint="eastAsia" w:asciiTheme="majorEastAsia" w:hAnsiTheme="majorEastAsia" w:eastAsiaTheme="majorEastAsia"/>
          <w:b/>
          <w:bCs/>
          <w:sz w:val="36"/>
          <w:szCs w:val="36"/>
        </w:rPr>
      </w:pPr>
    </w:p>
    <w:p>
      <w:pPr>
        <w:spacing w:line="480" w:lineRule="exact"/>
        <w:jc w:val="center"/>
        <w:rPr>
          <w:rFonts w:hint="eastAsia" w:asciiTheme="majorEastAsia" w:hAnsiTheme="majorEastAsia" w:eastAsiaTheme="majorEastAsia"/>
          <w:b/>
          <w:bCs/>
          <w:sz w:val="36"/>
          <w:szCs w:val="36"/>
        </w:rPr>
      </w:pPr>
    </w:p>
    <w:p>
      <w:pPr>
        <w:spacing w:line="480" w:lineRule="exact"/>
        <w:jc w:val="center"/>
        <w:rPr>
          <w:rFonts w:hint="eastAsia" w:asciiTheme="majorEastAsia" w:hAnsiTheme="majorEastAsia" w:eastAsiaTheme="majorEastAsia"/>
          <w:b/>
          <w:bCs/>
          <w:sz w:val="36"/>
          <w:szCs w:val="36"/>
        </w:rPr>
      </w:pPr>
    </w:p>
    <w:p>
      <w:pPr>
        <w:spacing w:line="480" w:lineRule="exact"/>
        <w:jc w:val="center"/>
        <w:rPr>
          <w:rFonts w:hint="eastAsia" w:asciiTheme="majorEastAsia" w:hAnsiTheme="majorEastAsia" w:eastAsiaTheme="majorEastAsia"/>
          <w:b/>
          <w:bCs/>
          <w:sz w:val="36"/>
          <w:szCs w:val="36"/>
        </w:rPr>
      </w:pP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8"/>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118"/>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118"/>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118"/>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118"/>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118"/>
        <w:spacing w:line="480" w:lineRule="auto"/>
        <w:ind w:firstLine="540" w:firstLineChars="225"/>
        <w:jc w:val="left"/>
        <w:rPr>
          <w:rFonts w:asciiTheme="minorEastAsia" w:hAnsiTheme="minorEastAsia"/>
          <w:szCs w:val="24"/>
        </w:rPr>
      </w:pPr>
    </w:p>
    <w:p>
      <w:pPr>
        <w:pStyle w:val="118"/>
        <w:spacing w:line="480" w:lineRule="auto"/>
        <w:ind w:firstLine="540" w:firstLineChars="225"/>
        <w:jc w:val="left"/>
        <w:rPr>
          <w:rFonts w:asciiTheme="minorEastAsia" w:hAnsiTheme="minorEastAsia"/>
          <w:szCs w:val="24"/>
        </w:rPr>
      </w:pPr>
    </w:p>
    <w:p>
      <w:pPr>
        <w:pStyle w:val="118"/>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118"/>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119"/>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120"/>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hint="eastAsia" w:ascii="宋体" w:hAnsi="宋体"/>
          <w:b/>
          <w:bCs/>
          <w:sz w:val="36"/>
          <w:szCs w:val="36"/>
        </w:rPr>
      </w:pPr>
    </w:p>
    <w:p>
      <w:pPr>
        <w:spacing w:line="480" w:lineRule="exact"/>
        <w:jc w:val="center"/>
        <w:rPr>
          <w:rFonts w:hint="eastAsia" w:ascii="宋体" w:hAnsi="宋体"/>
          <w:b/>
          <w:bCs/>
          <w:sz w:val="36"/>
          <w:szCs w:val="36"/>
        </w:rPr>
      </w:pPr>
    </w:p>
    <w:p>
      <w:pPr>
        <w:spacing w:line="480" w:lineRule="exact"/>
        <w:jc w:val="center"/>
        <w:rPr>
          <w:rFonts w:hint="eastAsia"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3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31" w:name="_资格证明文件"/>
            <w:bookmarkEnd w:id="31"/>
            <w:bookmarkStart w:id="32" w:name="_Toc364329026"/>
            <w:r>
              <w:rPr>
                <w:rFonts w:hint="eastAsia" w:asciiTheme="minorEastAsia" w:hAnsiTheme="minorEastAsia"/>
                <w:sz w:val="24"/>
                <w:szCs w:val="24"/>
              </w:rPr>
              <w:t>法定代表人授权代表身份证（正面）</w:t>
            </w:r>
            <w:bookmarkEnd w:id="32"/>
          </w:p>
        </w:tc>
        <w:tc>
          <w:tcPr>
            <w:tcW w:w="4492" w:type="dxa"/>
            <w:gridSpan w:val="2"/>
            <w:vAlign w:val="center"/>
          </w:tcPr>
          <w:p>
            <w:pPr>
              <w:jc w:val="center"/>
              <w:rPr>
                <w:rFonts w:asciiTheme="minorEastAsia" w:hAnsiTheme="minorEastAsia"/>
                <w:sz w:val="24"/>
                <w:szCs w:val="24"/>
              </w:rPr>
            </w:pPr>
            <w:bookmarkStart w:id="33" w:name="_Toc364329027"/>
            <w:r>
              <w:rPr>
                <w:rFonts w:hint="eastAsia" w:asciiTheme="minorEastAsia" w:hAnsiTheme="minorEastAsia"/>
                <w:sz w:val="24"/>
                <w:szCs w:val="24"/>
              </w:rPr>
              <w:t>法定代表人授权代表身份证（反面）</w:t>
            </w:r>
            <w:bookmarkEnd w:id="33"/>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int="eastAsia"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both"/>
        <w:outlineLvl w:val="0"/>
        <w:rPr>
          <w:rFonts w:hint="eastAsia" w:ascii="宋体" w:hAnsi="宋体"/>
          <w:b/>
          <w:bCs/>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38"/>
        <w:tblW w:w="9400" w:type="dxa"/>
        <w:tblInd w:w="0" w:type="dxa"/>
        <w:tblLayout w:type="fixed"/>
        <w:tblCellMar>
          <w:top w:w="0" w:type="dxa"/>
          <w:left w:w="108" w:type="dxa"/>
          <w:bottom w:w="0" w:type="dxa"/>
          <w:right w:w="108" w:type="dxa"/>
        </w:tblCellMar>
      </w:tblPr>
      <w:tblGrid>
        <w:gridCol w:w="534"/>
        <w:gridCol w:w="992"/>
        <w:gridCol w:w="1843"/>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 w:val="24"/>
                <w:szCs w:val="24"/>
                <w:lang w:val="zh-CN"/>
              </w:rPr>
            </w:pPr>
            <w:r>
              <w:rPr>
                <w:rFonts w:hint="eastAsia" w:cs="宋体" w:asciiTheme="minorEastAsia" w:hAnsiTheme="minorEastAsia"/>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5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874"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38"/>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采购文件</w:t>
            </w:r>
          </w:p>
          <w:p>
            <w:pPr>
              <w:pStyle w:val="16"/>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16"/>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hint="eastAsia" w:ascii="宋体" w:hAnsi="宋体"/>
          <w:b/>
          <w:bCs/>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3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6"/>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6"/>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6"/>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6"/>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6"/>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6"/>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6"/>
              <w:spacing w:line="360" w:lineRule="auto"/>
              <w:rPr>
                <w:rFonts w:ascii="宋体" w:hAnsi="宋体" w:eastAsia="宋体" w:cs="Times New Roman"/>
                <w:sz w:val="24"/>
                <w:szCs w:val="24"/>
              </w:rPr>
            </w:pPr>
          </w:p>
        </w:tc>
        <w:tc>
          <w:tcPr>
            <w:tcW w:w="3579" w:type="dxa"/>
            <w:vAlign w:val="center"/>
          </w:tcPr>
          <w:p>
            <w:pPr>
              <w:pStyle w:val="16"/>
              <w:spacing w:line="360" w:lineRule="auto"/>
              <w:rPr>
                <w:rFonts w:ascii="宋体" w:hAnsi="宋体" w:eastAsia="宋体" w:cs="Times New Roman"/>
                <w:sz w:val="24"/>
                <w:szCs w:val="24"/>
              </w:rPr>
            </w:pPr>
          </w:p>
        </w:tc>
        <w:tc>
          <w:tcPr>
            <w:tcW w:w="1440" w:type="dxa"/>
            <w:vAlign w:val="center"/>
          </w:tcPr>
          <w:p>
            <w:pPr>
              <w:pStyle w:val="16"/>
              <w:spacing w:line="360" w:lineRule="auto"/>
              <w:rPr>
                <w:rFonts w:ascii="宋体" w:hAnsi="宋体" w:eastAsia="宋体" w:cs="Times New Roman"/>
                <w:sz w:val="24"/>
                <w:szCs w:val="24"/>
              </w:rPr>
            </w:pPr>
          </w:p>
        </w:tc>
        <w:tc>
          <w:tcPr>
            <w:tcW w:w="1706" w:type="dxa"/>
            <w:vAlign w:val="center"/>
          </w:tcPr>
          <w:p>
            <w:pPr>
              <w:pStyle w:val="1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6"/>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6"/>
              <w:spacing w:line="360" w:lineRule="auto"/>
              <w:rPr>
                <w:rFonts w:ascii="宋体" w:hAnsi="宋体" w:eastAsia="宋体" w:cs="Times New Roman"/>
                <w:sz w:val="24"/>
                <w:szCs w:val="24"/>
              </w:rPr>
            </w:pPr>
          </w:p>
        </w:tc>
        <w:tc>
          <w:tcPr>
            <w:tcW w:w="3579" w:type="dxa"/>
            <w:vAlign w:val="center"/>
          </w:tcPr>
          <w:p>
            <w:pPr>
              <w:pStyle w:val="16"/>
              <w:spacing w:line="360" w:lineRule="auto"/>
              <w:rPr>
                <w:rFonts w:ascii="宋体" w:hAnsi="宋体" w:eastAsia="宋体" w:cs="Times New Roman"/>
                <w:sz w:val="24"/>
                <w:szCs w:val="24"/>
              </w:rPr>
            </w:pPr>
          </w:p>
        </w:tc>
        <w:tc>
          <w:tcPr>
            <w:tcW w:w="1440" w:type="dxa"/>
            <w:vAlign w:val="center"/>
          </w:tcPr>
          <w:p>
            <w:pPr>
              <w:pStyle w:val="16"/>
              <w:spacing w:line="360" w:lineRule="auto"/>
              <w:rPr>
                <w:rFonts w:ascii="宋体" w:hAnsi="宋体" w:eastAsia="宋体" w:cs="Times New Roman"/>
                <w:sz w:val="24"/>
                <w:szCs w:val="24"/>
              </w:rPr>
            </w:pPr>
          </w:p>
        </w:tc>
        <w:tc>
          <w:tcPr>
            <w:tcW w:w="1706" w:type="dxa"/>
            <w:vAlign w:val="center"/>
          </w:tcPr>
          <w:p>
            <w:pPr>
              <w:pStyle w:val="1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6"/>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6"/>
              <w:spacing w:line="360" w:lineRule="auto"/>
              <w:rPr>
                <w:rFonts w:ascii="宋体" w:hAnsi="宋体" w:eastAsia="宋体" w:cs="Times New Roman"/>
                <w:sz w:val="24"/>
                <w:szCs w:val="24"/>
              </w:rPr>
            </w:pPr>
          </w:p>
        </w:tc>
        <w:tc>
          <w:tcPr>
            <w:tcW w:w="3579" w:type="dxa"/>
            <w:vAlign w:val="center"/>
          </w:tcPr>
          <w:p>
            <w:pPr>
              <w:pStyle w:val="16"/>
              <w:spacing w:line="360" w:lineRule="auto"/>
              <w:rPr>
                <w:rFonts w:ascii="宋体" w:hAnsi="宋体" w:eastAsia="宋体" w:cs="Times New Roman"/>
                <w:sz w:val="24"/>
                <w:szCs w:val="24"/>
              </w:rPr>
            </w:pPr>
          </w:p>
        </w:tc>
        <w:tc>
          <w:tcPr>
            <w:tcW w:w="1440" w:type="dxa"/>
            <w:vAlign w:val="center"/>
          </w:tcPr>
          <w:p>
            <w:pPr>
              <w:pStyle w:val="16"/>
              <w:spacing w:line="360" w:lineRule="auto"/>
              <w:rPr>
                <w:rFonts w:ascii="宋体" w:hAnsi="宋体" w:eastAsia="宋体" w:cs="Times New Roman"/>
                <w:sz w:val="24"/>
                <w:szCs w:val="24"/>
              </w:rPr>
            </w:pPr>
          </w:p>
        </w:tc>
        <w:tc>
          <w:tcPr>
            <w:tcW w:w="1706" w:type="dxa"/>
            <w:vAlign w:val="center"/>
          </w:tcPr>
          <w:p>
            <w:pPr>
              <w:pStyle w:val="1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6"/>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6"/>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6"/>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6"/>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6"/>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6"/>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6"/>
              <w:spacing w:line="360" w:lineRule="auto"/>
              <w:rPr>
                <w:rFonts w:ascii="宋体" w:hAnsi="宋体" w:eastAsia="宋体" w:cs="Times New Roman"/>
                <w:sz w:val="24"/>
                <w:szCs w:val="24"/>
              </w:rPr>
            </w:pPr>
          </w:p>
        </w:tc>
        <w:tc>
          <w:tcPr>
            <w:tcW w:w="991" w:type="dxa"/>
            <w:vAlign w:val="center"/>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135" w:type="dxa"/>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439" w:type="dxa"/>
          </w:tcPr>
          <w:p>
            <w:pPr>
              <w:pStyle w:val="16"/>
              <w:spacing w:line="360" w:lineRule="auto"/>
              <w:rPr>
                <w:rFonts w:ascii="宋体" w:hAnsi="宋体" w:eastAsia="宋体" w:cs="Times New Roman"/>
                <w:sz w:val="24"/>
                <w:szCs w:val="24"/>
              </w:rPr>
            </w:pPr>
          </w:p>
        </w:tc>
        <w:tc>
          <w:tcPr>
            <w:tcW w:w="1252" w:type="dxa"/>
          </w:tcPr>
          <w:p>
            <w:pPr>
              <w:pStyle w:val="1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6"/>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6"/>
              <w:spacing w:line="360" w:lineRule="auto"/>
              <w:rPr>
                <w:rFonts w:ascii="宋体" w:hAnsi="宋体" w:eastAsia="宋体" w:cs="Times New Roman"/>
                <w:sz w:val="24"/>
                <w:szCs w:val="24"/>
              </w:rPr>
            </w:pPr>
          </w:p>
        </w:tc>
        <w:tc>
          <w:tcPr>
            <w:tcW w:w="991" w:type="dxa"/>
            <w:vAlign w:val="center"/>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135" w:type="dxa"/>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439" w:type="dxa"/>
          </w:tcPr>
          <w:p>
            <w:pPr>
              <w:pStyle w:val="16"/>
              <w:spacing w:line="360" w:lineRule="auto"/>
              <w:rPr>
                <w:rFonts w:ascii="宋体" w:hAnsi="宋体" w:eastAsia="宋体" w:cs="Times New Roman"/>
                <w:sz w:val="24"/>
                <w:szCs w:val="24"/>
              </w:rPr>
            </w:pPr>
          </w:p>
        </w:tc>
        <w:tc>
          <w:tcPr>
            <w:tcW w:w="1252" w:type="dxa"/>
          </w:tcPr>
          <w:p>
            <w:pPr>
              <w:pStyle w:val="1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6"/>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16"/>
              <w:spacing w:line="360" w:lineRule="auto"/>
              <w:rPr>
                <w:rFonts w:ascii="宋体" w:hAnsi="宋体" w:eastAsia="宋体" w:cs="Times New Roman"/>
                <w:sz w:val="24"/>
                <w:szCs w:val="24"/>
              </w:rPr>
            </w:pPr>
          </w:p>
        </w:tc>
        <w:tc>
          <w:tcPr>
            <w:tcW w:w="991" w:type="dxa"/>
            <w:vAlign w:val="center"/>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135" w:type="dxa"/>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439" w:type="dxa"/>
          </w:tcPr>
          <w:p>
            <w:pPr>
              <w:pStyle w:val="16"/>
              <w:spacing w:line="360" w:lineRule="auto"/>
              <w:rPr>
                <w:rFonts w:ascii="宋体" w:hAnsi="宋体" w:eastAsia="宋体" w:cs="Times New Roman"/>
                <w:sz w:val="24"/>
                <w:szCs w:val="24"/>
              </w:rPr>
            </w:pPr>
          </w:p>
        </w:tc>
        <w:tc>
          <w:tcPr>
            <w:tcW w:w="1252" w:type="dxa"/>
          </w:tcPr>
          <w:p>
            <w:pPr>
              <w:pStyle w:val="16"/>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6"/>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6"/>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6"/>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6"/>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6"/>
              <w:spacing w:line="360" w:lineRule="auto"/>
              <w:rPr>
                <w:rFonts w:ascii="宋体" w:hAnsi="宋体" w:eastAsia="宋体" w:cs="Times New Roman"/>
                <w:sz w:val="24"/>
                <w:szCs w:val="24"/>
              </w:rPr>
            </w:pPr>
          </w:p>
        </w:tc>
        <w:tc>
          <w:tcPr>
            <w:tcW w:w="991" w:type="dxa"/>
            <w:vAlign w:val="center"/>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135" w:type="dxa"/>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439" w:type="dxa"/>
          </w:tcPr>
          <w:p>
            <w:pPr>
              <w:pStyle w:val="16"/>
              <w:spacing w:line="360" w:lineRule="auto"/>
              <w:rPr>
                <w:rFonts w:ascii="宋体" w:hAnsi="宋体" w:eastAsia="宋体" w:cs="Times New Roman"/>
                <w:sz w:val="24"/>
                <w:szCs w:val="24"/>
              </w:rPr>
            </w:pPr>
          </w:p>
        </w:tc>
        <w:tc>
          <w:tcPr>
            <w:tcW w:w="1252" w:type="dxa"/>
          </w:tcPr>
          <w:p>
            <w:pPr>
              <w:pStyle w:val="1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6"/>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6"/>
              <w:spacing w:line="360" w:lineRule="auto"/>
              <w:rPr>
                <w:rFonts w:ascii="宋体" w:hAnsi="宋体" w:eastAsia="宋体" w:cs="Times New Roman"/>
                <w:sz w:val="24"/>
                <w:szCs w:val="24"/>
              </w:rPr>
            </w:pPr>
          </w:p>
        </w:tc>
        <w:tc>
          <w:tcPr>
            <w:tcW w:w="991" w:type="dxa"/>
            <w:vAlign w:val="center"/>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135" w:type="dxa"/>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439" w:type="dxa"/>
          </w:tcPr>
          <w:p>
            <w:pPr>
              <w:pStyle w:val="16"/>
              <w:spacing w:line="360" w:lineRule="auto"/>
              <w:rPr>
                <w:rFonts w:ascii="宋体" w:hAnsi="宋体" w:eastAsia="宋体" w:cs="Times New Roman"/>
                <w:sz w:val="24"/>
                <w:szCs w:val="24"/>
              </w:rPr>
            </w:pPr>
          </w:p>
        </w:tc>
        <w:tc>
          <w:tcPr>
            <w:tcW w:w="1252" w:type="dxa"/>
          </w:tcPr>
          <w:p>
            <w:pPr>
              <w:pStyle w:val="1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6"/>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6"/>
              <w:spacing w:line="360" w:lineRule="auto"/>
              <w:rPr>
                <w:rFonts w:ascii="宋体" w:hAnsi="宋体" w:eastAsia="宋体" w:cs="Times New Roman"/>
                <w:sz w:val="24"/>
                <w:szCs w:val="24"/>
              </w:rPr>
            </w:pPr>
          </w:p>
        </w:tc>
        <w:tc>
          <w:tcPr>
            <w:tcW w:w="991" w:type="dxa"/>
            <w:vAlign w:val="center"/>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135" w:type="dxa"/>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439" w:type="dxa"/>
          </w:tcPr>
          <w:p>
            <w:pPr>
              <w:pStyle w:val="16"/>
              <w:spacing w:line="360" w:lineRule="auto"/>
              <w:rPr>
                <w:rFonts w:ascii="宋体" w:hAnsi="宋体" w:eastAsia="宋体" w:cs="Times New Roman"/>
                <w:sz w:val="24"/>
                <w:szCs w:val="24"/>
              </w:rPr>
            </w:pPr>
          </w:p>
        </w:tc>
        <w:tc>
          <w:tcPr>
            <w:tcW w:w="1252" w:type="dxa"/>
          </w:tcPr>
          <w:p>
            <w:pPr>
              <w:pStyle w:val="16"/>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6"/>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16"/>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6"/>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6"/>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6"/>
              <w:spacing w:line="360" w:lineRule="auto"/>
              <w:rPr>
                <w:rFonts w:ascii="宋体" w:hAnsi="宋体" w:eastAsia="宋体" w:cs="Times New Roman"/>
                <w:sz w:val="24"/>
                <w:szCs w:val="24"/>
              </w:rPr>
            </w:pPr>
          </w:p>
        </w:tc>
        <w:tc>
          <w:tcPr>
            <w:tcW w:w="991" w:type="dxa"/>
            <w:vAlign w:val="center"/>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135" w:type="dxa"/>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439" w:type="dxa"/>
          </w:tcPr>
          <w:p>
            <w:pPr>
              <w:pStyle w:val="16"/>
              <w:spacing w:line="360" w:lineRule="auto"/>
              <w:rPr>
                <w:rFonts w:ascii="宋体" w:hAnsi="宋体" w:eastAsia="宋体" w:cs="Times New Roman"/>
                <w:sz w:val="24"/>
                <w:szCs w:val="24"/>
              </w:rPr>
            </w:pPr>
          </w:p>
        </w:tc>
        <w:tc>
          <w:tcPr>
            <w:tcW w:w="1252" w:type="dxa"/>
          </w:tcPr>
          <w:p>
            <w:pPr>
              <w:pStyle w:val="1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6"/>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6"/>
              <w:spacing w:line="360" w:lineRule="auto"/>
              <w:rPr>
                <w:rFonts w:ascii="宋体" w:hAnsi="宋体" w:eastAsia="宋体" w:cs="Times New Roman"/>
                <w:sz w:val="24"/>
                <w:szCs w:val="24"/>
              </w:rPr>
            </w:pPr>
          </w:p>
        </w:tc>
        <w:tc>
          <w:tcPr>
            <w:tcW w:w="991" w:type="dxa"/>
            <w:vAlign w:val="center"/>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135" w:type="dxa"/>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439" w:type="dxa"/>
          </w:tcPr>
          <w:p>
            <w:pPr>
              <w:pStyle w:val="16"/>
              <w:spacing w:line="360" w:lineRule="auto"/>
              <w:rPr>
                <w:rFonts w:ascii="宋体" w:hAnsi="宋体" w:eastAsia="宋体" w:cs="Times New Roman"/>
                <w:sz w:val="24"/>
                <w:szCs w:val="24"/>
              </w:rPr>
            </w:pPr>
          </w:p>
        </w:tc>
        <w:tc>
          <w:tcPr>
            <w:tcW w:w="1252" w:type="dxa"/>
          </w:tcPr>
          <w:p>
            <w:pPr>
              <w:pStyle w:val="1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6"/>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6"/>
              <w:spacing w:line="360" w:lineRule="auto"/>
              <w:rPr>
                <w:rFonts w:ascii="宋体" w:hAnsi="宋体" w:eastAsia="宋体" w:cs="Times New Roman"/>
                <w:sz w:val="24"/>
                <w:szCs w:val="24"/>
              </w:rPr>
            </w:pPr>
          </w:p>
        </w:tc>
        <w:tc>
          <w:tcPr>
            <w:tcW w:w="991" w:type="dxa"/>
            <w:vAlign w:val="center"/>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135" w:type="dxa"/>
          </w:tcPr>
          <w:p>
            <w:pPr>
              <w:pStyle w:val="16"/>
              <w:spacing w:line="360" w:lineRule="auto"/>
              <w:rPr>
                <w:rFonts w:ascii="宋体" w:hAnsi="宋体" w:eastAsia="宋体" w:cs="Times New Roman"/>
                <w:sz w:val="24"/>
                <w:szCs w:val="24"/>
              </w:rPr>
            </w:pPr>
          </w:p>
        </w:tc>
        <w:tc>
          <w:tcPr>
            <w:tcW w:w="1276" w:type="dxa"/>
          </w:tcPr>
          <w:p>
            <w:pPr>
              <w:pStyle w:val="16"/>
              <w:spacing w:line="360" w:lineRule="auto"/>
              <w:rPr>
                <w:rFonts w:ascii="宋体" w:hAnsi="宋体" w:eastAsia="宋体" w:cs="Times New Roman"/>
                <w:sz w:val="24"/>
                <w:szCs w:val="24"/>
              </w:rPr>
            </w:pPr>
          </w:p>
        </w:tc>
        <w:tc>
          <w:tcPr>
            <w:tcW w:w="1439" w:type="dxa"/>
          </w:tcPr>
          <w:p>
            <w:pPr>
              <w:pStyle w:val="16"/>
              <w:spacing w:line="360" w:lineRule="auto"/>
              <w:rPr>
                <w:rFonts w:ascii="宋体" w:hAnsi="宋体" w:eastAsia="宋体" w:cs="Times New Roman"/>
                <w:sz w:val="24"/>
                <w:szCs w:val="24"/>
              </w:rPr>
            </w:pPr>
          </w:p>
        </w:tc>
        <w:tc>
          <w:tcPr>
            <w:tcW w:w="1252" w:type="dxa"/>
          </w:tcPr>
          <w:p>
            <w:pPr>
              <w:pStyle w:val="16"/>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hint="eastAsia" w:ascii="宋体" w:hAnsi="宋体"/>
          <w:b/>
          <w:bCs/>
          <w:sz w:val="36"/>
          <w:szCs w:val="36"/>
        </w:rPr>
      </w:pPr>
      <w:bookmarkStart w:id="34" w:name="OLE_LINK14"/>
      <w:bookmarkStart w:id="35" w:name="OLE_LINK13"/>
    </w:p>
    <w:p>
      <w:pPr>
        <w:spacing w:line="360" w:lineRule="auto"/>
        <w:jc w:val="center"/>
        <w:rPr>
          <w:rFonts w:ascii="宋体" w:hAnsi="宋体"/>
          <w:b/>
          <w:bCs/>
          <w:sz w:val="36"/>
          <w:szCs w:val="36"/>
        </w:rPr>
      </w:pPr>
      <w:r>
        <w:rPr>
          <w:rFonts w:hint="eastAsia" w:ascii="宋体" w:hAnsi="宋体"/>
          <w:b/>
          <w:bCs/>
          <w:sz w:val="36"/>
          <w:szCs w:val="36"/>
        </w:rPr>
        <w:t>4.10 残疾人福利性单位声明函</w:t>
      </w:r>
    </w:p>
    <w:bookmarkEnd w:id="34"/>
    <w:bookmarkEnd w:id="35"/>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w:t>
      </w:r>
      <w:r>
        <w:rPr>
          <w:rFonts w:ascii="宋体" w:hAnsi="宋体" w:cs="Arial"/>
          <w:kern w:val="0"/>
          <w:sz w:val="24"/>
          <w:szCs w:val="24"/>
        </w:rPr>
        <w:t>信息安全产品强制性认证</w:t>
      </w:r>
      <w:r>
        <w:rPr>
          <w:rFonts w:hint="eastAsia" w:ascii="宋体" w:hAnsi="宋体" w:cs="Arial"/>
          <w:kern w:val="0"/>
          <w:sz w:val="24"/>
          <w:szCs w:val="24"/>
        </w:rPr>
        <w:t>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pStyle w:val="15"/>
        <w:spacing w:before="60" w:afterLines="50" w:line="320" w:lineRule="exact"/>
        <w:ind w:firstLine="0" w:firstLineChars="0"/>
        <w:rPr>
          <w:rFonts w:hint="eastAsia" w:ascii="宋体" w:hAnsi="宋体" w:eastAsia="宋体" w:cs="Arial"/>
          <w:b/>
          <w:szCs w:val="24"/>
          <w:lang w:val="en-US" w:eastAsia="zh-CN"/>
        </w:rPr>
      </w:pPr>
    </w:p>
    <w:sectPr>
      <w:headerReference r:id="rId3" w:type="default"/>
      <w:footerReference r:id="rId4" w:type="default"/>
      <w:footerReference r:id="rId5" w:type="even"/>
      <w:pgSz w:w="11907" w:h="16840"/>
      <w:pgMar w:top="1474" w:right="1134" w:bottom="1474" w:left="1247" w:header="907" w:footer="907"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r>
      <w:rPr>
        <w:rFonts w:hint="eastAsia" w:ascii="宋体" w:hAnsi="宋体"/>
        <w:szCs w:val="21"/>
        <w:u w:val="single"/>
      </w:rPr>
      <w:t xml:space="preserve">                                                                                                         </w:t>
    </w:r>
  </w:p>
  <w:p>
    <w:pPr>
      <w:pStyle w:val="25"/>
      <w:jc w:val="center"/>
      <w:rPr>
        <w:rFonts w:ascii="宋体" w:hAnsi="宋体"/>
      </w:rPr>
    </w:pPr>
    <w:r>
      <w:rPr>
        <w:rFonts w:ascii="宋体" w:hAnsi="宋体" w:cs="Arial"/>
        <w:color w:val="000000"/>
        <w:szCs w:val="21"/>
      </w:rPr>
      <w:t xml:space="preserve">-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42</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3"/>
      </w:rPr>
    </w:pPr>
    <w:r>
      <w:fldChar w:fldCharType="begin"/>
    </w:r>
    <w:r>
      <w:rPr>
        <w:rStyle w:val="33"/>
      </w:rPr>
      <w:instrText xml:space="preserve">PAGE  </w:instrText>
    </w:r>
    <w:r>
      <w:fldChar w:fldCharType="separate"/>
    </w:r>
    <w:r>
      <w:rPr>
        <w:rStyle w:val="33"/>
      </w:rPr>
      <w:t>53</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B586B5"/>
    <w:multiLevelType w:val="singleLevel"/>
    <w:tmpl w:val="CAB586B5"/>
    <w:lvl w:ilvl="0" w:tentative="0">
      <w:start w:val="14"/>
      <w:numFmt w:val="decimal"/>
      <w:lvlText w:val="%1."/>
      <w:lvlJc w:val="left"/>
      <w:pPr>
        <w:tabs>
          <w:tab w:val="left" w:pos="312"/>
        </w:tabs>
      </w:pPr>
    </w:lvl>
  </w:abstractNum>
  <w:abstractNum w:abstractNumId="1">
    <w:nsid w:val="0000000A"/>
    <w:multiLevelType w:val="multilevel"/>
    <w:tmpl w:val="0000000A"/>
    <w:lvl w:ilvl="0" w:tentative="0">
      <w:start w:val="1"/>
      <w:numFmt w:val="decimal"/>
      <w:pStyle w:val="9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1E50C0"/>
    <w:multiLevelType w:val="multilevel"/>
    <w:tmpl w:val="1C1E50C0"/>
    <w:lvl w:ilvl="0" w:tentative="0">
      <w:start w:val="1"/>
      <w:numFmt w:val="decimal"/>
      <w:pStyle w:val="99"/>
      <w:lvlText w:val="%1"/>
      <w:lvlJc w:val="left"/>
      <w:pPr>
        <w:ind w:left="432" w:hanging="432"/>
      </w:pPr>
      <w:rPr>
        <w:b w:val="0"/>
      </w:rPr>
    </w:lvl>
    <w:lvl w:ilvl="1" w:tentative="0">
      <w:start w:val="1"/>
      <w:numFmt w:val="decimal"/>
      <w:pStyle w:val="115"/>
      <w:lvlText w:val="%1.%2"/>
      <w:lvlJc w:val="left"/>
      <w:pPr>
        <w:ind w:left="576" w:hanging="576"/>
      </w:pPr>
      <w:rPr>
        <w:rFonts w:ascii="黑体" w:hAnsi="黑体" w:eastAsia="黑体"/>
        <w:b w:val="0"/>
      </w:rPr>
    </w:lvl>
    <w:lvl w:ilvl="2" w:tentative="0">
      <w:start w:val="1"/>
      <w:numFmt w:val="decimal"/>
      <w:pStyle w:val="97"/>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2"/>
      <w:lvlText w:val="%1.%2.%3.%4.%5"/>
      <w:lvlJc w:val="left"/>
      <w:pPr>
        <w:ind w:left="1008" w:hanging="1008"/>
      </w:pPr>
      <w:rPr>
        <w:rFonts w:ascii="黑体" w:hAnsi="黑体" w:eastAsia="黑体"/>
        <w:b w:val="0"/>
      </w:rPr>
    </w:lvl>
    <w:lvl w:ilvl="5" w:tentative="0">
      <w:start w:val="1"/>
      <w:numFmt w:val="decimal"/>
      <w:pStyle w:val="94"/>
      <w:lvlText w:val="%1.%2.%3.%4.%5.%6"/>
      <w:lvlJc w:val="left"/>
      <w:pPr>
        <w:ind w:left="1152" w:hanging="1152"/>
      </w:pPr>
      <w:rPr>
        <w:rFonts w:ascii="黑体" w:hAnsi="黑体" w:eastAsia="黑体"/>
        <w:lang w:val="en-US"/>
      </w:rPr>
    </w:lvl>
    <w:lvl w:ilvl="6" w:tentative="0">
      <w:start w:val="1"/>
      <w:numFmt w:val="decimal"/>
      <w:pStyle w:val="105"/>
      <w:lvlText w:val="%1.%2.%3.%4.%5.%6.%7"/>
      <w:lvlJc w:val="left"/>
      <w:pPr>
        <w:ind w:left="1296" w:hanging="1296"/>
      </w:pPr>
      <w:rPr>
        <w:rFonts w:ascii="黑体" w:hAnsi="黑体" w:eastAsia="黑体"/>
        <w:b w:val="0"/>
      </w:rPr>
    </w:lvl>
    <w:lvl w:ilvl="7" w:tentative="0">
      <w:start w:val="1"/>
      <w:numFmt w:val="decimal"/>
      <w:pStyle w:val="113"/>
      <w:lvlText w:val="%1.%2.%3.%4.%5.%6.%7.%8"/>
      <w:lvlJc w:val="left"/>
      <w:pPr>
        <w:ind w:left="1440" w:hanging="1440"/>
      </w:pPr>
    </w:lvl>
    <w:lvl w:ilvl="8" w:tentative="0">
      <w:start w:val="1"/>
      <w:numFmt w:val="decimal"/>
      <w:pStyle w:val="102"/>
      <w:lvlText w:val="%1.%2.%3.%4.%5.%6.%7.%8.%9"/>
      <w:lvlJc w:val="left"/>
      <w:pPr>
        <w:ind w:left="1584" w:hanging="1584"/>
      </w:pPr>
    </w:lvl>
  </w:abstractNum>
  <w:abstractNum w:abstractNumId="4">
    <w:nsid w:val="59F817E8"/>
    <w:multiLevelType w:val="singleLevel"/>
    <w:tmpl w:val="59F817E8"/>
    <w:lvl w:ilvl="0" w:tentative="0">
      <w:start w:val="1"/>
      <w:numFmt w:val="chineseCounting"/>
      <w:pStyle w:val="117"/>
      <w:suff w:val="nothing"/>
      <w:lvlText w:val="%1、"/>
      <w:lvlJc w:val="left"/>
    </w:lvl>
  </w:abstractNum>
  <w:abstractNum w:abstractNumId="5">
    <w:nsid w:val="59FFF35F"/>
    <w:multiLevelType w:val="singleLevel"/>
    <w:tmpl w:val="59FFF35F"/>
    <w:lvl w:ilvl="0" w:tentative="0">
      <w:start w:val="3"/>
      <w:numFmt w:val="decimal"/>
      <w:suff w:val="nothing"/>
      <w:lvlText w:val="%1、"/>
      <w:lvlJc w:val="left"/>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4191"/>
    <w:rsid w:val="00024A54"/>
    <w:rsid w:val="00032F3E"/>
    <w:rsid w:val="00033B29"/>
    <w:rsid w:val="00036C15"/>
    <w:rsid w:val="00045F13"/>
    <w:rsid w:val="00052339"/>
    <w:rsid w:val="00054164"/>
    <w:rsid w:val="00064A63"/>
    <w:rsid w:val="00065CF8"/>
    <w:rsid w:val="0007274D"/>
    <w:rsid w:val="000729D1"/>
    <w:rsid w:val="00073360"/>
    <w:rsid w:val="0007392C"/>
    <w:rsid w:val="00077059"/>
    <w:rsid w:val="00083FF9"/>
    <w:rsid w:val="00084172"/>
    <w:rsid w:val="00090786"/>
    <w:rsid w:val="000916D2"/>
    <w:rsid w:val="00092CE2"/>
    <w:rsid w:val="00093E40"/>
    <w:rsid w:val="0009527D"/>
    <w:rsid w:val="000A0E87"/>
    <w:rsid w:val="000A2791"/>
    <w:rsid w:val="000B4E76"/>
    <w:rsid w:val="000C05C3"/>
    <w:rsid w:val="000C5049"/>
    <w:rsid w:val="000C709D"/>
    <w:rsid w:val="000C7C7E"/>
    <w:rsid w:val="000D15AB"/>
    <w:rsid w:val="000D2739"/>
    <w:rsid w:val="000E2FB6"/>
    <w:rsid w:val="000E6A6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4676"/>
    <w:rsid w:val="00163255"/>
    <w:rsid w:val="001638C0"/>
    <w:rsid w:val="001638F0"/>
    <w:rsid w:val="001677A0"/>
    <w:rsid w:val="00172A27"/>
    <w:rsid w:val="00185641"/>
    <w:rsid w:val="00192DB7"/>
    <w:rsid w:val="001A1B03"/>
    <w:rsid w:val="001A7320"/>
    <w:rsid w:val="001B3D09"/>
    <w:rsid w:val="001C41E0"/>
    <w:rsid w:val="001D024F"/>
    <w:rsid w:val="001D3A7E"/>
    <w:rsid w:val="001D565C"/>
    <w:rsid w:val="001D630C"/>
    <w:rsid w:val="001E09FB"/>
    <w:rsid w:val="001E4BD9"/>
    <w:rsid w:val="001F2555"/>
    <w:rsid w:val="001F2690"/>
    <w:rsid w:val="001F3291"/>
    <w:rsid w:val="001F550E"/>
    <w:rsid w:val="001F60DE"/>
    <w:rsid w:val="00200F57"/>
    <w:rsid w:val="0020101B"/>
    <w:rsid w:val="0020423A"/>
    <w:rsid w:val="0020567D"/>
    <w:rsid w:val="00207C68"/>
    <w:rsid w:val="002106A2"/>
    <w:rsid w:val="00210974"/>
    <w:rsid w:val="00210F0A"/>
    <w:rsid w:val="0021361F"/>
    <w:rsid w:val="0021507B"/>
    <w:rsid w:val="002209B2"/>
    <w:rsid w:val="00224353"/>
    <w:rsid w:val="00232629"/>
    <w:rsid w:val="00233878"/>
    <w:rsid w:val="002366F0"/>
    <w:rsid w:val="00241F18"/>
    <w:rsid w:val="00242B53"/>
    <w:rsid w:val="00243AC7"/>
    <w:rsid w:val="00252A2B"/>
    <w:rsid w:val="00253722"/>
    <w:rsid w:val="00256356"/>
    <w:rsid w:val="002575D3"/>
    <w:rsid w:val="0026055F"/>
    <w:rsid w:val="00261562"/>
    <w:rsid w:val="002615A9"/>
    <w:rsid w:val="0026437B"/>
    <w:rsid w:val="00274F7D"/>
    <w:rsid w:val="002765EB"/>
    <w:rsid w:val="00280360"/>
    <w:rsid w:val="00284094"/>
    <w:rsid w:val="00285CBB"/>
    <w:rsid w:val="0028747D"/>
    <w:rsid w:val="002913F4"/>
    <w:rsid w:val="002A6901"/>
    <w:rsid w:val="002B0431"/>
    <w:rsid w:val="002C1F02"/>
    <w:rsid w:val="002D472E"/>
    <w:rsid w:val="002E226E"/>
    <w:rsid w:val="002E3A88"/>
    <w:rsid w:val="002F0268"/>
    <w:rsid w:val="002F04B1"/>
    <w:rsid w:val="002F1DF1"/>
    <w:rsid w:val="002F6D2A"/>
    <w:rsid w:val="002F7A2A"/>
    <w:rsid w:val="00301668"/>
    <w:rsid w:val="00304731"/>
    <w:rsid w:val="00310C40"/>
    <w:rsid w:val="00313F5C"/>
    <w:rsid w:val="00317C0D"/>
    <w:rsid w:val="003228B4"/>
    <w:rsid w:val="00331B19"/>
    <w:rsid w:val="00337111"/>
    <w:rsid w:val="00341131"/>
    <w:rsid w:val="0034373D"/>
    <w:rsid w:val="003437A6"/>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2523"/>
    <w:rsid w:val="00393F2C"/>
    <w:rsid w:val="0039672A"/>
    <w:rsid w:val="003A15FF"/>
    <w:rsid w:val="003A301A"/>
    <w:rsid w:val="003A501C"/>
    <w:rsid w:val="003A6DE8"/>
    <w:rsid w:val="003B447C"/>
    <w:rsid w:val="003B4DA3"/>
    <w:rsid w:val="003C0D27"/>
    <w:rsid w:val="003C0FF2"/>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567E0"/>
    <w:rsid w:val="004873F8"/>
    <w:rsid w:val="004958A8"/>
    <w:rsid w:val="004A1A46"/>
    <w:rsid w:val="004B05CC"/>
    <w:rsid w:val="004C2D8C"/>
    <w:rsid w:val="004C3761"/>
    <w:rsid w:val="004C449E"/>
    <w:rsid w:val="004D09C9"/>
    <w:rsid w:val="004D718D"/>
    <w:rsid w:val="004E02F5"/>
    <w:rsid w:val="004E0A9C"/>
    <w:rsid w:val="004E30E6"/>
    <w:rsid w:val="004F5519"/>
    <w:rsid w:val="004F72D1"/>
    <w:rsid w:val="00500747"/>
    <w:rsid w:val="005036A2"/>
    <w:rsid w:val="00505210"/>
    <w:rsid w:val="00505F1C"/>
    <w:rsid w:val="00520A11"/>
    <w:rsid w:val="00522844"/>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597D"/>
    <w:rsid w:val="00586B47"/>
    <w:rsid w:val="00591666"/>
    <w:rsid w:val="00595F0F"/>
    <w:rsid w:val="005A2CC3"/>
    <w:rsid w:val="005B2B5A"/>
    <w:rsid w:val="005C0BB0"/>
    <w:rsid w:val="005C547A"/>
    <w:rsid w:val="005D1848"/>
    <w:rsid w:val="005D2A8F"/>
    <w:rsid w:val="005E4196"/>
    <w:rsid w:val="005F38F6"/>
    <w:rsid w:val="006013D5"/>
    <w:rsid w:val="00602A88"/>
    <w:rsid w:val="0060323B"/>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1564"/>
    <w:rsid w:val="00744113"/>
    <w:rsid w:val="00745012"/>
    <w:rsid w:val="00754570"/>
    <w:rsid w:val="007578EF"/>
    <w:rsid w:val="00763F42"/>
    <w:rsid w:val="0077194D"/>
    <w:rsid w:val="00773B39"/>
    <w:rsid w:val="00773EF6"/>
    <w:rsid w:val="00776D20"/>
    <w:rsid w:val="00780F4F"/>
    <w:rsid w:val="00791E9B"/>
    <w:rsid w:val="007A2A40"/>
    <w:rsid w:val="007A6797"/>
    <w:rsid w:val="007A7C6E"/>
    <w:rsid w:val="007A7DC9"/>
    <w:rsid w:val="007A7F77"/>
    <w:rsid w:val="007B50DB"/>
    <w:rsid w:val="007B55EB"/>
    <w:rsid w:val="007C3E99"/>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677FA"/>
    <w:rsid w:val="0087503C"/>
    <w:rsid w:val="008806AC"/>
    <w:rsid w:val="00885AE4"/>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4F0B"/>
    <w:rsid w:val="00925A0E"/>
    <w:rsid w:val="00931677"/>
    <w:rsid w:val="009336E8"/>
    <w:rsid w:val="00934857"/>
    <w:rsid w:val="00940073"/>
    <w:rsid w:val="0094126F"/>
    <w:rsid w:val="00943010"/>
    <w:rsid w:val="00943671"/>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B744B"/>
    <w:rsid w:val="009C2215"/>
    <w:rsid w:val="009C4A64"/>
    <w:rsid w:val="009C6DD0"/>
    <w:rsid w:val="009D183D"/>
    <w:rsid w:val="009E3850"/>
    <w:rsid w:val="00A064D1"/>
    <w:rsid w:val="00A075BD"/>
    <w:rsid w:val="00A07A42"/>
    <w:rsid w:val="00A10427"/>
    <w:rsid w:val="00A11CBE"/>
    <w:rsid w:val="00A1549B"/>
    <w:rsid w:val="00A27D3C"/>
    <w:rsid w:val="00A456AB"/>
    <w:rsid w:val="00A45DF3"/>
    <w:rsid w:val="00A4772C"/>
    <w:rsid w:val="00A552FC"/>
    <w:rsid w:val="00A579B6"/>
    <w:rsid w:val="00A62135"/>
    <w:rsid w:val="00A65E74"/>
    <w:rsid w:val="00A66E5E"/>
    <w:rsid w:val="00A865D4"/>
    <w:rsid w:val="00A91184"/>
    <w:rsid w:val="00AA10EC"/>
    <w:rsid w:val="00AA6E39"/>
    <w:rsid w:val="00AB2462"/>
    <w:rsid w:val="00AB24E6"/>
    <w:rsid w:val="00AB4CFC"/>
    <w:rsid w:val="00AB767B"/>
    <w:rsid w:val="00AC0B70"/>
    <w:rsid w:val="00AD1362"/>
    <w:rsid w:val="00AE1379"/>
    <w:rsid w:val="00AE28AD"/>
    <w:rsid w:val="00AE515D"/>
    <w:rsid w:val="00AE5CBB"/>
    <w:rsid w:val="00AF6844"/>
    <w:rsid w:val="00B01A74"/>
    <w:rsid w:val="00B0204A"/>
    <w:rsid w:val="00B02C1D"/>
    <w:rsid w:val="00B0457D"/>
    <w:rsid w:val="00B05CCE"/>
    <w:rsid w:val="00B20907"/>
    <w:rsid w:val="00B268F5"/>
    <w:rsid w:val="00B26C70"/>
    <w:rsid w:val="00B27B90"/>
    <w:rsid w:val="00B4536D"/>
    <w:rsid w:val="00B47191"/>
    <w:rsid w:val="00B47F04"/>
    <w:rsid w:val="00B51081"/>
    <w:rsid w:val="00B51278"/>
    <w:rsid w:val="00B521FF"/>
    <w:rsid w:val="00B56054"/>
    <w:rsid w:val="00B65BDE"/>
    <w:rsid w:val="00B73F3C"/>
    <w:rsid w:val="00B74200"/>
    <w:rsid w:val="00B84ADB"/>
    <w:rsid w:val="00B8659A"/>
    <w:rsid w:val="00B90DD0"/>
    <w:rsid w:val="00B95D4B"/>
    <w:rsid w:val="00B96655"/>
    <w:rsid w:val="00B96CB3"/>
    <w:rsid w:val="00BA69DE"/>
    <w:rsid w:val="00BB1E0A"/>
    <w:rsid w:val="00BB205B"/>
    <w:rsid w:val="00BB3FAA"/>
    <w:rsid w:val="00BB7E1D"/>
    <w:rsid w:val="00BC1910"/>
    <w:rsid w:val="00BC3113"/>
    <w:rsid w:val="00BC45C4"/>
    <w:rsid w:val="00BC55C9"/>
    <w:rsid w:val="00BD1B1D"/>
    <w:rsid w:val="00BD5216"/>
    <w:rsid w:val="00BE0B61"/>
    <w:rsid w:val="00BE2D1D"/>
    <w:rsid w:val="00BE5447"/>
    <w:rsid w:val="00BE78CD"/>
    <w:rsid w:val="00BE7AB1"/>
    <w:rsid w:val="00BF48EE"/>
    <w:rsid w:val="00BF6399"/>
    <w:rsid w:val="00C031B5"/>
    <w:rsid w:val="00C03FCA"/>
    <w:rsid w:val="00C06901"/>
    <w:rsid w:val="00C152CD"/>
    <w:rsid w:val="00C17FD6"/>
    <w:rsid w:val="00C217CA"/>
    <w:rsid w:val="00C25D2E"/>
    <w:rsid w:val="00C270EE"/>
    <w:rsid w:val="00C27BB6"/>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32F45"/>
    <w:rsid w:val="00D37E0D"/>
    <w:rsid w:val="00D414C1"/>
    <w:rsid w:val="00D43060"/>
    <w:rsid w:val="00D54A32"/>
    <w:rsid w:val="00D54A47"/>
    <w:rsid w:val="00D55D2D"/>
    <w:rsid w:val="00D649AC"/>
    <w:rsid w:val="00D70D25"/>
    <w:rsid w:val="00D73238"/>
    <w:rsid w:val="00D7502D"/>
    <w:rsid w:val="00D7530C"/>
    <w:rsid w:val="00D8210D"/>
    <w:rsid w:val="00D8323B"/>
    <w:rsid w:val="00D843D5"/>
    <w:rsid w:val="00D8700E"/>
    <w:rsid w:val="00D95B4E"/>
    <w:rsid w:val="00D96E80"/>
    <w:rsid w:val="00DA15FF"/>
    <w:rsid w:val="00DA3B87"/>
    <w:rsid w:val="00DB77C6"/>
    <w:rsid w:val="00DB7E09"/>
    <w:rsid w:val="00DC0E66"/>
    <w:rsid w:val="00DC5662"/>
    <w:rsid w:val="00DD5BFC"/>
    <w:rsid w:val="00DD7788"/>
    <w:rsid w:val="00DF0304"/>
    <w:rsid w:val="00E00B75"/>
    <w:rsid w:val="00E02AAA"/>
    <w:rsid w:val="00E0415C"/>
    <w:rsid w:val="00E16E19"/>
    <w:rsid w:val="00E170AA"/>
    <w:rsid w:val="00E21505"/>
    <w:rsid w:val="00E3097D"/>
    <w:rsid w:val="00E330FD"/>
    <w:rsid w:val="00E425AB"/>
    <w:rsid w:val="00E43509"/>
    <w:rsid w:val="00E4745A"/>
    <w:rsid w:val="00E553AE"/>
    <w:rsid w:val="00E5761E"/>
    <w:rsid w:val="00E616C1"/>
    <w:rsid w:val="00E85073"/>
    <w:rsid w:val="00E86D71"/>
    <w:rsid w:val="00E872D5"/>
    <w:rsid w:val="00E97309"/>
    <w:rsid w:val="00EC5FD2"/>
    <w:rsid w:val="00EC653B"/>
    <w:rsid w:val="00ED0869"/>
    <w:rsid w:val="00EE0196"/>
    <w:rsid w:val="00EE1B64"/>
    <w:rsid w:val="00EF1E8A"/>
    <w:rsid w:val="00EF3C72"/>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1741"/>
    <w:rsid w:val="00FD605F"/>
    <w:rsid w:val="00FE3142"/>
    <w:rsid w:val="00FE334F"/>
    <w:rsid w:val="00FE36AE"/>
    <w:rsid w:val="00FE5633"/>
    <w:rsid w:val="00FF0654"/>
    <w:rsid w:val="00FF10AE"/>
    <w:rsid w:val="00FF260D"/>
    <w:rsid w:val="01122119"/>
    <w:rsid w:val="012D0115"/>
    <w:rsid w:val="016F7352"/>
    <w:rsid w:val="01B15229"/>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97649F"/>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5C6FBB"/>
    <w:rsid w:val="11A46367"/>
    <w:rsid w:val="11A73FC2"/>
    <w:rsid w:val="11FA194A"/>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0AE8"/>
    <w:rsid w:val="1AC32709"/>
    <w:rsid w:val="1ACB042B"/>
    <w:rsid w:val="1ACB74F2"/>
    <w:rsid w:val="1B3F2CBA"/>
    <w:rsid w:val="1B6C4927"/>
    <w:rsid w:val="1B770DD3"/>
    <w:rsid w:val="1BB0202F"/>
    <w:rsid w:val="1BE65CC8"/>
    <w:rsid w:val="1BEA00D1"/>
    <w:rsid w:val="1CB00BB2"/>
    <w:rsid w:val="1D5A5F68"/>
    <w:rsid w:val="1D704579"/>
    <w:rsid w:val="1EBA5ED6"/>
    <w:rsid w:val="1EBD273E"/>
    <w:rsid w:val="1F294332"/>
    <w:rsid w:val="1FB766D1"/>
    <w:rsid w:val="1FD37CC4"/>
    <w:rsid w:val="20562A02"/>
    <w:rsid w:val="20784C7B"/>
    <w:rsid w:val="20B136DD"/>
    <w:rsid w:val="20E31259"/>
    <w:rsid w:val="20E95E96"/>
    <w:rsid w:val="212B3E2F"/>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5480BBC"/>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B2778A"/>
    <w:rsid w:val="2ABC3520"/>
    <w:rsid w:val="2B2C0D2C"/>
    <w:rsid w:val="2BA25B80"/>
    <w:rsid w:val="2BB658F9"/>
    <w:rsid w:val="2C7A6B94"/>
    <w:rsid w:val="2CAD4518"/>
    <w:rsid w:val="2CC3760B"/>
    <w:rsid w:val="2CD67175"/>
    <w:rsid w:val="2D6362D3"/>
    <w:rsid w:val="2E365666"/>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B202AC8"/>
    <w:rsid w:val="3B9246CA"/>
    <w:rsid w:val="3C20303D"/>
    <w:rsid w:val="3C576FAF"/>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11CA5"/>
    <w:rsid w:val="4A2D0812"/>
    <w:rsid w:val="4A6D24FF"/>
    <w:rsid w:val="4AF6764F"/>
    <w:rsid w:val="4B923520"/>
    <w:rsid w:val="4BE05207"/>
    <w:rsid w:val="4C8706B6"/>
    <w:rsid w:val="4CA95CA7"/>
    <w:rsid w:val="4CEB2F56"/>
    <w:rsid w:val="4CF16D8A"/>
    <w:rsid w:val="4D25409B"/>
    <w:rsid w:val="4D2729A1"/>
    <w:rsid w:val="4D896328"/>
    <w:rsid w:val="4E570C2E"/>
    <w:rsid w:val="4E691682"/>
    <w:rsid w:val="4F411E86"/>
    <w:rsid w:val="4F5C4B3F"/>
    <w:rsid w:val="4FD1347A"/>
    <w:rsid w:val="500E6070"/>
    <w:rsid w:val="504317A7"/>
    <w:rsid w:val="50842376"/>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5F85"/>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414043"/>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9"/>
    <w:qFormat/>
    <w:uiPriority w:val="9"/>
    <w:pPr>
      <w:keepNext/>
      <w:keepLines/>
      <w:spacing w:before="340" w:after="330" w:line="576" w:lineRule="auto"/>
      <w:outlineLvl w:val="0"/>
    </w:pPr>
    <w:rPr>
      <w:b/>
      <w:kern w:val="44"/>
      <w:sz w:val="44"/>
      <w:szCs w:val="20"/>
    </w:rPr>
  </w:style>
  <w:style w:type="paragraph" w:styleId="4">
    <w:name w:val="heading 2"/>
    <w:basedOn w:val="1"/>
    <w:next w:val="1"/>
    <w:link w:val="74"/>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sz w:val="32"/>
      <w:szCs w:val="20"/>
    </w:rPr>
  </w:style>
  <w:style w:type="paragraph" w:styleId="6">
    <w:name w:val="heading 4"/>
    <w:basedOn w:val="1"/>
    <w:next w:val="1"/>
    <w:link w:val="52"/>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57"/>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70"/>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9">
    <w:name w:val="heading 7"/>
    <w:basedOn w:val="1"/>
    <w:next w:val="1"/>
    <w:link w:val="40"/>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0">
    <w:name w:val="heading 8"/>
    <w:basedOn w:val="1"/>
    <w:next w:val="1"/>
    <w:link w:val="83"/>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1">
    <w:name w:val="heading 9"/>
    <w:basedOn w:val="1"/>
    <w:next w:val="1"/>
    <w:link w:val="42"/>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1">
    <w:name w:val="Default Paragraph Font"/>
    <w:unhideWhenUsed/>
    <w:qFormat/>
    <w:uiPriority w:val="1"/>
  </w:style>
  <w:style w:type="table" w:default="1" w:styleId="3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63"/>
    <w:qFormat/>
    <w:uiPriority w:val="0"/>
    <w:pPr>
      <w:adjustRightInd w:val="0"/>
      <w:spacing w:after="120" w:line="360" w:lineRule="atLeast"/>
      <w:jc w:val="left"/>
      <w:textAlignment w:val="baseline"/>
    </w:pPr>
    <w:rPr>
      <w:kern w:val="0"/>
      <w:sz w:val="24"/>
      <w:szCs w:val="20"/>
    </w:rPr>
  </w:style>
  <w:style w:type="paragraph" w:styleId="12">
    <w:name w:val="annotation subject"/>
    <w:basedOn w:val="13"/>
    <w:next w:val="13"/>
    <w:link w:val="55"/>
    <w:qFormat/>
    <w:uiPriority w:val="0"/>
    <w:rPr>
      <w:b/>
      <w:bCs/>
    </w:rPr>
  </w:style>
  <w:style w:type="paragraph" w:styleId="13">
    <w:name w:val="annotation text"/>
    <w:basedOn w:val="1"/>
    <w:link w:val="58"/>
    <w:qFormat/>
    <w:uiPriority w:val="0"/>
    <w:pPr>
      <w:jc w:val="left"/>
    </w:pPr>
  </w:style>
  <w:style w:type="paragraph" w:styleId="14">
    <w:name w:val="Body Text First Indent"/>
    <w:basedOn w:val="2"/>
    <w:link w:val="51"/>
    <w:qFormat/>
    <w:uiPriority w:val="0"/>
    <w:pPr>
      <w:ind w:firstLine="420" w:firstLineChars="100"/>
    </w:pPr>
  </w:style>
  <w:style w:type="paragraph" w:styleId="1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67"/>
    <w:qFormat/>
    <w:uiPriority w:val="0"/>
    <w:rPr>
      <w:rFonts w:ascii="宋体"/>
      <w:kern w:val="0"/>
      <w:sz w:val="18"/>
      <w:szCs w:val="18"/>
    </w:rPr>
  </w:style>
  <w:style w:type="paragraph" w:styleId="18">
    <w:name w:val="Body Text 3"/>
    <w:basedOn w:val="1"/>
    <w:link w:val="47"/>
    <w:qFormat/>
    <w:uiPriority w:val="0"/>
    <w:pPr>
      <w:spacing w:after="120"/>
    </w:pPr>
    <w:rPr>
      <w:sz w:val="16"/>
      <w:szCs w:val="20"/>
    </w:rPr>
  </w:style>
  <w:style w:type="paragraph" w:styleId="19">
    <w:name w:val="Body Text Indent"/>
    <w:basedOn w:val="1"/>
    <w:link w:val="72"/>
    <w:qFormat/>
    <w:uiPriority w:val="0"/>
    <w:pPr>
      <w:spacing w:line="360" w:lineRule="auto"/>
      <w:ind w:firstLine="480" w:firstLineChars="200"/>
    </w:pPr>
    <w:rPr>
      <w:rFonts w:ascii="宋体"/>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3"/>
    <w:qFormat/>
    <w:uiPriority w:val="0"/>
    <w:pPr>
      <w:adjustRightInd w:val="0"/>
      <w:spacing w:line="360" w:lineRule="atLeast"/>
      <w:jc w:val="left"/>
      <w:textAlignment w:val="baseline"/>
    </w:pPr>
    <w:rPr>
      <w:rFonts w:ascii="宋体" w:hAnsi="Courier New"/>
      <w:kern w:val="0"/>
      <w:szCs w:val="21"/>
    </w:rPr>
  </w:style>
  <w:style w:type="paragraph" w:styleId="22">
    <w:name w:val="Date"/>
    <w:basedOn w:val="1"/>
    <w:next w:val="1"/>
    <w:link w:val="60"/>
    <w:qFormat/>
    <w:uiPriority w:val="0"/>
    <w:rPr>
      <w:sz w:val="24"/>
      <w:szCs w:val="20"/>
    </w:rPr>
  </w:style>
  <w:style w:type="paragraph" w:styleId="23">
    <w:name w:val="Body Text Indent 2"/>
    <w:basedOn w:val="1"/>
    <w:link w:val="85"/>
    <w:qFormat/>
    <w:uiPriority w:val="0"/>
    <w:pPr>
      <w:spacing w:after="120" w:line="480" w:lineRule="auto"/>
      <w:ind w:left="420" w:leftChars="200"/>
    </w:pPr>
    <w:rPr>
      <w:szCs w:val="20"/>
    </w:rPr>
  </w:style>
  <w:style w:type="paragraph" w:styleId="24">
    <w:name w:val="Balloon Text"/>
    <w:basedOn w:val="1"/>
    <w:link w:val="48"/>
    <w:qFormat/>
    <w:uiPriority w:val="0"/>
    <w:rPr>
      <w:kern w:val="0"/>
      <w:sz w:val="18"/>
      <w:szCs w:val="18"/>
    </w:rPr>
  </w:style>
  <w:style w:type="paragraph" w:styleId="25">
    <w:name w:val="footer"/>
    <w:basedOn w:val="1"/>
    <w:link w:val="84"/>
    <w:qFormat/>
    <w:uiPriority w:val="0"/>
    <w:pPr>
      <w:tabs>
        <w:tab w:val="center" w:pos="4153"/>
        <w:tab w:val="right" w:pos="8306"/>
      </w:tabs>
      <w:snapToGrid w:val="0"/>
      <w:jc w:val="left"/>
    </w:pPr>
    <w:rPr>
      <w:kern w:val="0"/>
      <w:sz w:val="18"/>
      <w:szCs w:val="18"/>
    </w:rPr>
  </w:style>
  <w:style w:type="paragraph" w:styleId="26">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4"/>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1"/>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444444"/>
      <w:u w:val="none"/>
    </w:rPr>
  </w:style>
  <w:style w:type="character" w:styleId="35">
    <w:name w:val="Emphasis"/>
    <w:qFormat/>
    <w:uiPriority w:val="0"/>
  </w:style>
  <w:style w:type="character" w:styleId="36">
    <w:name w:val="Hyperlink"/>
    <w:qFormat/>
    <w:uiPriority w:val="0"/>
    <w:rPr>
      <w:color w:val="444444"/>
      <w:u w:val="none"/>
    </w:rPr>
  </w:style>
  <w:style w:type="character" w:styleId="37">
    <w:name w:val="annotation reference"/>
    <w:qFormat/>
    <w:uiPriority w:val="0"/>
    <w:rPr>
      <w:sz w:val="21"/>
      <w:szCs w:val="21"/>
    </w:rPr>
  </w:style>
  <w:style w:type="table" w:styleId="39">
    <w:name w:val="Table Grid"/>
    <w:basedOn w:val="3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0">
    <w:name w:val="标题 7 Char"/>
    <w:link w:val="9"/>
    <w:qFormat/>
    <w:uiPriority w:val="0"/>
    <w:rPr>
      <w:rFonts w:ascii="Times New Roman" w:hAnsi="Times New Roman"/>
      <w:b/>
      <w:bCs/>
      <w:sz w:val="24"/>
      <w:szCs w:val="24"/>
    </w:rPr>
  </w:style>
  <w:style w:type="character" w:customStyle="1" w:styleId="41">
    <w:name w:val="正文文本 2 Char"/>
    <w:link w:val="29"/>
    <w:qFormat/>
    <w:uiPriority w:val="0"/>
    <w:rPr>
      <w:rFonts w:ascii="Times New Roman" w:hAnsi="Times New Roman"/>
      <w:sz w:val="24"/>
    </w:rPr>
  </w:style>
  <w:style w:type="character" w:customStyle="1" w:styleId="42">
    <w:name w:val="标题 9 Char"/>
    <w:link w:val="11"/>
    <w:qFormat/>
    <w:uiPriority w:val="0"/>
    <w:rPr>
      <w:rFonts w:ascii="Arial" w:hAnsi="Arial" w:eastAsia="黑体"/>
      <w:sz w:val="21"/>
      <w:szCs w:val="21"/>
    </w:rPr>
  </w:style>
  <w:style w:type="character" w:customStyle="1" w:styleId="43">
    <w:name w:val="red1"/>
    <w:qFormat/>
    <w:uiPriority w:val="0"/>
    <w:rPr>
      <w:color w:val="FF0000"/>
      <w:sz w:val="18"/>
      <w:szCs w:val="18"/>
    </w:rPr>
  </w:style>
  <w:style w:type="character" w:customStyle="1" w:styleId="44">
    <w:name w:val="正文文本缩进 3 Char"/>
    <w:link w:val="28"/>
    <w:qFormat/>
    <w:uiPriority w:val="0"/>
    <w:rPr>
      <w:rFonts w:ascii="Times New Roman" w:hAnsi="Times New Roman"/>
      <w:sz w:val="16"/>
      <w:szCs w:val="16"/>
    </w:rPr>
  </w:style>
  <w:style w:type="character" w:customStyle="1" w:styleId="45">
    <w:name w:val="hover25"/>
    <w:basedOn w:val="31"/>
    <w:qFormat/>
    <w:uiPriority w:val="0"/>
  </w:style>
  <w:style w:type="character" w:customStyle="1" w:styleId="46">
    <w:name w:val="页码1"/>
    <w:basedOn w:val="31"/>
    <w:qFormat/>
    <w:uiPriority w:val="0"/>
  </w:style>
  <w:style w:type="character" w:customStyle="1" w:styleId="47">
    <w:name w:val="正文文本 3 Char"/>
    <w:link w:val="18"/>
    <w:qFormat/>
    <w:uiPriority w:val="0"/>
    <w:rPr>
      <w:rFonts w:ascii="Times New Roman" w:hAnsi="Times New Roman"/>
      <w:kern w:val="2"/>
      <w:sz w:val="16"/>
    </w:rPr>
  </w:style>
  <w:style w:type="character" w:customStyle="1" w:styleId="48">
    <w:name w:val="批注框文本 Char"/>
    <w:link w:val="24"/>
    <w:qFormat/>
    <w:uiPriority w:val="0"/>
    <w:rPr>
      <w:sz w:val="18"/>
      <w:szCs w:val="18"/>
    </w:rPr>
  </w:style>
  <w:style w:type="character" w:customStyle="1" w:styleId="49">
    <w:name w:val="green1"/>
    <w:qFormat/>
    <w:uiPriority w:val="0"/>
    <w:rPr>
      <w:color w:val="66AE00"/>
      <w:sz w:val="18"/>
      <w:szCs w:val="18"/>
    </w:rPr>
  </w:style>
  <w:style w:type="character" w:customStyle="1" w:styleId="50">
    <w:name w:val="right"/>
    <w:qFormat/>
    <w:uiPriority w:val="0"/>
    <w:rPr>
      <w:color w:val="999999"/>
      <w:sz w:val="18"/>
      <w:szCs w:val="18"/>
    </w:rPr>
  </w:style>
  <w:style w:type="character" w:customStyle="1" w:styleId="51">
    <w:name w:val="正文首行缩进 Char"/>
    <w:link w:val="14"/>
    <w:qFormat/>
    <w:uiPriority w:val="0"/>
    <w:rPr>
      <w:sz w:val="24"/>
    </w:rPr>
  </w:style>
  <w:style w:type="character" w:customStyle="1" w:styleId="52">
    <w:name w:val="标题 4 Char"/>
    <w:link w:val="6"/>
    <w:qFormat/>
    <w:uiPriority w:val="0"/>
    <w:rPr>
      <w:rFonts w:ascii="Arial" w:hAnsi="Arial" w:eastAsia="黑体"/>
      <w:b/>
      <w:bCs/>
      <w:sz w:val="28"/>
      <w:szCs w:val="28"/>
    </w:rPr>
  </w:style>
  <w:style w:type="character" w:customStyle="1" w:styleId="53">
    <w:name w:val="纯文本 Char"/>
    <w:link w:val="21"/>
    <w:qFormat/>
    <w:uiPriority w:val="0"/>
    <w:rPr>
      <w:rFonts w:ascii="宋体" w:hAnsi="Courier New" w:cs="Courier New"/>
      <w:sz w:val="21"/>
      <w:szCs w:val="21"/>
    </w:rPr>
  </w:style>
  <w:style w:type="character" w:customStyle="1" w:styleId="54">
    <w:name w:val="green"/>
    <w:qFormat/>
    <w:uiPriority w:val="0"/>
    <w:rPr>
      <w:color w:val="66AE00"/>
      <w:sz w:val="18"/>
      <w:szCs w:val="18"/>
    </w:rPr>
  </w:style>
  <w:style w:type="character" w:customStyle="1" w:styleId="55">
    <w:name w:val="批注主题 Char"/>
    <w:link w:val="12"/>
    <w:qFormat/>
    <w:uiPriority w:val="0"/>
    <w:rPr>
      <w:b/>
      <w:bCs/>
      <w:kern w:val="2"/>
      <w:sz w:val="21"/>
      <w:szCs w:val="22"/>
    </w:rPr>
  </w:style>
  <w:style w:type="character" w:customStyle="1" w:styleId="56">
    <w:name w:val="标题 3 Char"/>
    <w:link w:val="5"/>
    <w:qFormat/>
    <w:uiPriority w:val="0"/>
    <w:rPr>
      <w:rFonts w:ascii="Times New Roman" w:hAnsi="Times New Roman"/>
      <w:b/>
      <w:kern w:val="2"/>
      <w:sz w:val="32"/>
    </w:rPr>
  </w:style>
  <w:style w:type="character" w:customStyle="1" w:styleId="57">
    <w:name w:val="标题 5 Char"/>
    <w:link w:val="7"/>
    <w:qFormat/>
    <w:uiPriority w:val="0"/>
    <w:rPr>
      <w:rFonts w:ascii="Times New Roman" w:hAnsi="Times New Roman"/>
      <w:b/>
      <w:bCs/>
      <w:sz w:val="28"/>
      <w:szCs w:val="28"/>
    </w:rPr>
  </w:style>
  <w:style w:type="character" w:customStyle="1" w:styleId="58">
    <w:name w:val="批注文字 Char"/>
    <w:link w:val="13"/>
    <w:qFormat/>
    <w:uiPriority w:val="0"/>
    <w:rPr>
      <w:kern w:val="2"/>
      <w:sz w:val="21"/>
      <w:szCs w:val="22"/>
    </w:rPr>
  </w:style>
  <w:style w:type="character" w:customStyle="1" w:styleId="59">
    <w:name w:val="标题 1 Char"/>
    <w:link w:val="3"/>
    <w:qFormat/>
    <w:uiPriority w:val="9"/>
    <w:rPr>
      <w:rFonts w:ascii="Times New Roman" w:hAnsi="Times New Roman"/>
      <w:b/>
      <w:kern w:val="44"/>
      <w:sz w:val="44"/>
    </w:rPr>
  </w:style>
  <w:style w:type="character" w:customStyle="1" w:styleId="60">
    <w:name w:val="日期 Char"/>
    <w:link w:val="22"/>
    <w:qFormat/>
    <w:uiPriority w:val="0"/>
    <w:rPr>
      <w:rFonts w:ascii="Times New Roman" w:hAnsi="Times New Roman"/>
      <w:kern w:val="2"/>
      <w:sz w:val="24"/>
    </w:rPr>
  </w:style>
  <w:style w:type="character" w:customStyle="1" w:styleId="61">
    <w:name w:val="lw_collapsiblearea_title1"/>
    <w:qFormat/>
    <w:uiPriority w:val="0"/>
    <w:rPr>
      <w:rFonts w:hint="default" w:ascii="Segoe UI" w:hAnsi="Segoe UI" w:cs="Segoe UI"/>
      <w:b/>
      <w:bCs/>
      <w:color w:val="3F529C"/>
      <w:sz w:val="37"/>
      <w:szCs w:val="37"/>
    </w:rPr>
  </w:style>
  <w:style w:type="character" w:customStyle="1" w:styleId="62">
    <w:name w:val="red2"/>
    <w:qFormat/>
    <w:uiPriority w:val="0"/>
    <w:rPr>
      <w:color w:val="FF0000"/>
      <w:sz w:val="18"/>
      <w:szCs w:val="18"/>
    </w:rPr>
  </w:style>
  <w:style w:type="character" w:customStyle="1" w:styleId="63">
    <w:name w:val="正文文本 Char"/>
    <w:link w:val="2"/>
    <w:qFormat/>
    <w:uiPriority w:val="0"/>
    <w:rPr>
      <w:rFonts w:ascii="Times New Roman" w:hAnsi="Times New Roman"/>
      <w:sz w:val="24"/>
    </w:rPr>
  </w:style>
  <w:style w:type="character" w:customStyle="1" w:styleId="64">
    <w:name w:val="parameter"/>
    <w:basedOn w:val="31"/>
    <w:qFormat/>
    <w:uiPriority w:val="0"/>
  </w:style>
  <w:style w:type="character" w:customStyle="1" w:styleId="65">
    <w:name w:val="input"/>
    <w:qFormat/>
    <w:uiPriority w:val="0"/>
    <w:rPr>
      <w:b/>
      <w:bCs/>
    </w:rPr>
  </w:style>
  <w:style w:type="character" w:customStyle="1" w:styleId="66">
    <w:name w:val="label"/>
    <w:qFormat/>
    <w:uiPriority w:val="0"/>
    <w:rPr>
      <w:b/>
      <w:bCs/>
    </w:rPr>
  </w:style>
  <w:style w:type="character" w:customStyle="1" w:styleId="67">
    <w:name w:val="文档结构图 Char"/>
    <w:link w:val="17"/>
    <w:qFormat/>
    <w:uiPriority w:val="0"/>
    <w:rPr>
      <w:rFonts w:ascii="宋体" w:eastAsia="宋体"/>
      <w:sz w:val="18"/>
      <w:szCs w:val="18"/>
    </w:rPr>
  </w:style>
  <w:style w:type="character" w:customStyle="1" w:styleId="68">
    <w:name w:val="form-textarea-print1"/>
    <w:qFormat/>
    <w:uiPriority w:val="0"/>
    <w:rPr>
      <w:sz w:val="18"/>
      <w:szCs w:val="18"/>
    </w:rPr>
  </w:style>
  <w:style w:type="character" w:customStyle="1" w:styleId="69">
    <w:name w:val="red"/>
    <w:qFormat/>
    <w:uiPriority w:val="0"/>
    <w:rPr>
      <w:color w:val="FF0000"/>
    </w:rPr>
  </w:style>
  <w:style w:type="character" w:customStyle="1" w:styleId="70">
    <w:name w:val="标题 6 Char"/>
    <w:link w:val="8"/>
    <w:qFormat/>
    <w:uiPriority w:val="0"/>
    <w:rPr>
      <w:rFonts w:ascii="Arial" w:hAnsi="Arial" w:eastAsia="黑体"/>
      <w:b/>
      <w:bCs/>
      <w:sz w:val="24"/>
      <w:szCs w:val="24"/>
    </w:rPr>
  </w:style>
  <w:style w:type="character" w:customStyle="1" w:styleId="71">
    <w:name w:val="页眉 Char"/>
    <w:link w:val="26"/>
    <w:qFormat/>
    <w:uiPriority w:val="0"/>
    <w:rPr>
      <w:sz w:val="18"/>
      <w:szCs w:val="18"/>
    </w:rPr>
  </w:style>
  <w:style w:type="character" w:customStyle="1" w:styleId="72">
    <w:name w:val="正文文本缩进 Char"/>
    <w:link w:val="19"/>
    <w:qFormat/>
    <w:uiPriority w:val="0"/>
    <w:rPr>
      <w:rFonts w:ascii="宋体" w:hAnsi="Times New Roman"/>
      <w:kern w:val="2"/>
      <w:sz w:val="24"/>
    </w:rPr>
  </w:style>
  <w:style w:type="character" w:customStyle="1" w:styleId="73">
    <w:name w:val="tgtsentence"/>
    <w:basedOn w:val="31"/>
    <w:qFormat/>
    <w:uiPriority w:val="0"/>
  </w:style>
  <w:style w:type="character" w:customStyle="1" w:styleId="74">
    <w:name w:val="标题 2 Char"/>
    <w:link w:val="4"/>
    <w:qFormat/>
    <w:uiPriority w:val="9"/>
    <w:rPr>
      <w:rFonts w:ascii="Arial" w:hAnsi="Arial" w:eastAsia="黑体"/>
      <w:b/>
      <w:bCs/>
      <w:sz w:val="32"/>
      <w:szCs w:val="32"/>
    </w:rPr>
  </w:style>
  <w:style w:type="character" w:customStyle="1" w:styleId="75">
    <w:name w:val="font81"/>
    <w:basedOn w:val="31"/>
    <w:qFormat/>
    <w:uiPriority w:val="0"/>
    <w:rPr>
      <w:rFonts w:hint="eastAsia" w:ascii="宋体" w:hAnsi="宋体" w:eastAsia="宋体" w:cs="宋体"/>
      <w:color w:val="000000"/>
      <w:sz w:val="18"/>
      <w:szCs w:val="18"/>
      <w:u w:val="none"/>
    </w:rPr>
  </w:style>
  <w:style w:type="character" w:customStyle="1" w:styleId="76">
    <w:name w:val="列出段落 Char"/>
    <w:link w:val="77"/>
    <w:qFormat/>
    <w:uiPriority w:val="0"/>
    <w:rPr>
      <w:bCs/>
      <w:kern w:val="2"/>
      <w:sz w:val="21"/>
    </w:rPr>
  </w:style>
  <w:style w:type="paragraph" w:customStyle="1" w:styleId="77">
    <w:name w:val="列出段落1"/>
    <w:basedOn w:val="1"/>
    <w:link w:val="76"/>
    <w:qFormat/>
    <w:uiPriority w:val="0"/>
    <w:pPr>
      <w:ind w:firstLine="420" w:firstLineChars="200"/>
    </w:pPr>
    <w:rPr>
      <w:bCs/>
      <w:szCs w:val="20"/>
    </w:rPr>
  </w:style>
  <w:style w:type="character" w:customStyle="1" w:styleId="78">
    <w:name w:val="gb-jt"/>
    <w:basedOn w:val="31"/>
    <w:qFormat/>
    <w:uiPriority w:val="0"/>
  </w:style>
  <w:style w:type="character" w:customStyle="1" w:styleId="79">
    <w:name w:val="blue"/>
    <w:qFormat/>
    <w:uiPriority w:val="0"/>
    <w:rPr>
      <w:color w:val="0371C6"/>
      <w:sz w:val="21"/>
      <w:szCs w:val="21"/>
    </w:rPr>
  </w:style>
  <w:style w:type="character" w:customStyle="1" w:styleId="80">
    <w:name w:val="hover"/>
    <w:basedOn w:val="31"/>
    <w:qFormat/>
    <w:uiPriority w:val="0"/>
  </w:style>
  <w:style w:type="character" w:customStyle="1" w:styleId="81">
    <w:name w:val="font11"/>
    <w:basedOn w:val="31"/>
    <w:qFormat/>
    <w:uiPriority w:val="0"/>
    <w:rPr>
      <w:rFonts w:hint="eastAsia" w:ascii="宋体" w:hAnsi="宋体" w:eastAsia="宋体" w:cs="宋体"/>
      <w:color w:val="000000"/>
      <w:sz w:val="21"/>
      <w:szCs w:val="21"/>
      <w:u w:val="none"/>
    </w:rPr>
  </w:style>
  <w:style w:type="character" w:customStyle="1" w:styleId="82">
    <w:name w:val="font91"/>
    <w:basedOn w:val="31"/>
    <w:qFormat/>
    <w:uiPriority w:val="0"/>
    <w:rPr>
      <w:rFonts w:hint="eastAsia" w:ascii="宋体" w:hAnsi="宋体" w:eastAsia="宋体" w:cs="宋体"/>
      <w:color w:val="000000"/>
      <w:sz w:val="18"/>
      <w:szCs w:val="18"/>
      <w:u w:val="none"/>
      <w:vertAlign w:val="superscript"/>
    </w:rPr>
  </w:style>
  <w:style w:type="character" w:customStyle="1" w:styleId="83">
    <w:name w:val="标题 8 Char"/>
    <w:link w:val="10"/>
    <w:qFormat/>
    <w:uiPriority w:val="0"/>
    <w:rPr>
      <w:rFonts w:ascii="Arial" w:hAnsi="Arial" w:eastAsia="黑体"/>
      <w:sz w:val="24"/>
      <w:szCs w:val="24"/>
    </w:rPr>
  </w:style>
  <w:style w:type="character" w:customStyle="1" w:styleId="84">
    <w:name w:val="页脚 Char"/>
    <w:link w:val="25"/>
    <w:qFormat/>
    <w:uiPriority w:val="0"/>
    <w:rPr>
      <w:sz w:val="18"/>
      <w:szCs w:val="18"/>
    </w:rPr>
  </w:style>
  <w:style w:type="character" w:customStyle="1" w:styleId="85">
    <w:name w:val="正文文本缩进 2 Char"/>
    <w:link w:val="23"/>
    <w:qFormat/>
    <w:uiPriority w:val="0"/>
    <w:rPr>
      <w:rFonts w:ascii="Times New Roman" w:hAnsi="Times New Roman"/>
      <w:kern w:val="2"/>
      <w:sz w:val="21"/>
    </w:rPr>
  </w:style>
  <w:style w:type="character" w:customStyle="1" w:styleId="86">
    <w:name w:val="Char Char8"/>
    <w:qFormat/>
    <w:uiPriority w:val="0"/>
    <w:rPr>
      <w:rFonts w:ascii="Arial" w:hAnsi="Arial" w:eastAsia="黑体"/>
      <w:b/>
      <w:bCs/>
      <w:kern w:val="2"/>
      <w:sz w:val="32"/>
      <w:szCs w:val="32"/>
      <w:lang w:val="en-US" w:eastAsia="zh-CN" w:bidi="ar-SA"/>
    </w:rPr>
  </w:style>
  <w:style w:type="character" w:customStyle="1" w:styleId="87">
    <w:name w:val="font01"/>
    <w:basedOn w:val="31"/>
    <w:qFormat/>
    <w:uiPriority w:val="0"/>
    <w:rPr>
      <w:rFonts w:hint="eastAsia" w:ascii="宋体" w:hAnsi="宋体" w:eastAsia="宋体" w:cs="宋体"/>
      <w:color w:val="000000"/>
      <w:sz w:val="21"/>
      <w:szCs w:val="21"/>
      <w:u w:val="none"/>
      <w:vertAlign w:val="superscript"/>
    </w:rPr>
  </w:style>
  <w:style w:type="character" w:customStyle="1" w:styleId="88">
    <w:name w:val="code"/>
    <w:basedOn w:val="31"/>
    <w:qFormat/>
    <w:uiPriority w:val="0"/>
  </w:style>
  <w:style w:type="paragraph" w:customStyle="1" w:styleId="89">
    <w:name w:val="样式 标题 2 + 宋体 五号 非加粗 黑色"/>
    <w:basedOn w:val="4"/>
    <w:qFormat/>
    <w:uiPriority w:val="0"/>
    <w:rPr>
      <w:rFonts w:ascii="宋体" w:hAnsi="宋体" w:eastAsia="宋体"/>
      <w:b w:val="0"/>
      <w:bCs w:val="0"/>
      <w:color w:val="000000"/>
      <w:sz w:val="21"/>
    </w:rPr>
  </w:style>
  <w:style w:type="paragraph" w:customStyle="1" w:styleId="90">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1">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2">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3">
    <w:name w:val="Char Char Char Char"/>
    <w:basedOn w:val="1"/>
    <w:qFormat/>
    <w:uiPriority w:val="0"/>
    <w:rPr>
      <w:rFonts w:ascii="Tahoma" w:hAnsi="Tahoma"/>
      <w:sz w:val="24"/>
      <w:szCs w:val="20"/>
    </w:rPr>
  </w:style>
  <w:style w:type="paragraph" w:customStyle="1" w:styleId="94">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5">
    <w:name w:val="Char1 Char Char Char Char Char Char Char"/>
    <w:basedOn w:val="1"/>
    <w:qFormat/>
    <w:uiPriority w:val="0"/>
    <w:rPr>
      <w:rFonts w:ascii="Tahoma" w:hAnsi="Tahoma"/>
      <w:sz w:val="24"/>
      <w:szCs w:val="30"/>
    </w:rPr>
  </w:style>
  <w:style w:type="paragraph" w:customStyle="1" w:styleId="96">
    <w:name w:val="PMstyle"/>
    <w:qFormat/>
    <w:uiPriority w:val="0"/>
    <w:rPr>
      <w:rFonts w:ascii="Tahoma" w:hAnsi="Tahoma" w:eastAsia="宋体" w:cs="Times New Roman"/>
      <w:sz w:val="22"/>
      <w:lang w:val="en-US" w:eastAsia="zh-CN" w:bidi="ar-SA"/>
    </w:rPr>
  </w:style>
  <w:style w:type="paragraph" w:customStyle="1" w:styleId="97">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98">
    <w:name w:val="p18"/>
    <w:basedOn w:val="1"/>
    <w:qFormat/>
    <w:uiPriority w:val="0"/>
    <w:pPr>
      <w:widowControl/>
      <w:spacing w:line="440" w:lineRule="atLeast"/>
    </w:pPr>
    <w:rPr>
      <w:rFonts w:ascii="宋体" w:hAnsi="宋体" w:cs="宋体"/>
      <w:kern w:val="0"/>
      <w:sz w:val="24"/>
      <w:szCs w:val="24"/>
    </w:rPr>
  </w:style>
  <w:style w:type="paragraph" w:customStyle="1" w:styleId="99">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0">
    <w:name w:val="Char Char1 Char Char Char Char Char Char"/>
    <w:basedOn w:val="1"/>
    <w:qFormat/>
    <w:uiPriority w:val="0"/>
    <w:pPr>
      <w:widowControl/>
      <w:spacing w:after="160" w:line="240" w:lineRule="exact"/>
      <w:jc w:val="left"/>
    </w:pPr>
    <w:rPr>
      <w:szCs w:val="20"/>
    </w:rPr>
  </w:style>
  <w:style w:type="paragraph" w:customStyle="1" w:styleId="101">
    <w:name w:val="Char Char1 Char Char Char Char Char Char1"/>
    <w:basedOn w:val="1"/>
    <w:qFormat/>
    <w:uiPriority w:val="0"/>
    <w:pPr>
      <w:widowControl/>
      <w:spacing w:after="160" w:line="240" w:lineRule="exact"/>
      <w:jc w:val="left"/>
    </w:pPr>
  </w:style>
  <w:style w:type="paragraph" w:customStyle="1" w:styleId="102">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3">
    <w:name w:val="标书正文文本"/>
    <w:basedOn w:val="1"/>
    <w:qFormat/>
    <w:uiPriority w:val="0"/>
    <w:pPr>
      <w:spacing w:line="360" w:lineRule="auto"/>
      <w:ind w:firstLine="420"/>
    </w:pPr>
    <w:rPr>
      <w:rFonts w:eastAsia="楷体_GB2312" w:cs="宋体"/>
      <w:bCs/>
      <w:sz w:val="28"/>
      <w:szCs w:val="20"/>
    </w:rPr>
  </w:style>
  <w:style w:type="paragraph" w:customStyle="1" w:styleId="104">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5">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6">
    <w:name w:val="p0"/>
    <w:basedOn w:val="1"/>
    <w:qFormat/>
    <w:uiPriority w:val="0"/>
    <w:pPr>
      <w:widowControl/>
    </w:pPr>
    <w:rPr>
      <w:kern w:val="0"/>
      <w:szCs w:val="21"/>
    </w:rPr>
  </w:style>
  <w:style w:type="paragraph" w:customStyle="1" w:styleId="107">
    <w:name w:val="p16"/>
    <w:basedOn w:val="1"/>
    <w:qFormat/>
    <w:uiPriority w:val="0"/>
    <w:pPr>
      <w:widowControl/>
      <w:spacing w:after="120"/>
      <w:ind w:firstLine="210"/>
      <w:jc w:val="left"/>
    </w:pPr>
    <w:rPr>
      <w:kern w:val="0"/>
      <w:sz w:val="20"/>
      <w:szCs w:val="20"/>
    </w:rPr>
  </w:style>
  <w:style w:type="paragraph" w:customStyle="1" w:styleId="108">
    <w:name w:val="p21"/>
    <w:basedOn w:val="1"/>
    <w:qFormat/>
    <w:uiPriority w:val="0"/>
    <w:pPr>
      <w:widowControl/>
      <w:spacing w:after="120"/>
    </w:pPr>
    <w:rPr>
      <w:kern w:val="0"/>
      <w:szCs w:val="21"/>
    </w:rPr>
  </w:style>
  <w:style w:type="paragraph" w:customStyle="1" w:styleId="109">
    <w:name w:val="样式 标题 1 + 四号 居中 段前: 12 磅 段后: 12 磅 行距: 单倍行距"/>
    <w:basedOn w:val="3"/>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0">
    <w:name w:val="样式 样式 标题 2 + 宋体 五号 非加粗 黑色 + 段前: 6 磅 段后: 0 磅 行距: 单倍行距"/>
    <w:basedOn w:val="89"/>
    <w:qFormat/>
    <w:uiPriority w:val="0"/>
  </w:style>
  <w:style w:type="paragraph" w:customStyle="1" w:styleId="111">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2">
    <w:name w:val="p19"/>
    <w:basedOn w:val="1"/>
    <w:qFormat/>
    <w:uiPriority w:val="0"/>
    <w:pPr>
      <w:widowControl/>
    </w:pPr>
    <w:rPr>
      <w:rFonts w:ascii="宋体" w:hAnsi="宋体" w:cs="宋体"/>
      <w:kern w:val="0"/>
      <w:szCs w:val="21"/>
    </w:rPr>
  </w:style>
  <w:style w:type="paragraph" w:customStyle="1" w:styleId="113">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4">
    <w:name w:val="Char1"/>
    <w:basedOn w:val="1"/>
    <w:qFormat/>
    <w:uiPriority w:val="0"/>
    <w:pPr>
      <w:adjustRightInd w:val="0"/>
      <w:spacing w:line="600" w:lineRule="exact"/>
      <w:ind w:firstLine="560" w:firstLineChars="200"/>
      <w:jc w:val="center"/>
    </w:pPr>
    <w:rPr>
      <w:szCs w:val="24"/>
    </w:rPr>
  </w:style>
  <w:style w:type="paragraph" w:customStyle="1" w:styleId="115">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6">
    <w:name w:val="red3"/>
    <w:basedOn w:val="31"/>
    <w:qFormat/>
    <w:uiPriority w:val="0"/>
    <w:rPr>
      <w:color w:val="FF0000"/>
    </w:rPr>
  </w:style>
  <w:style w:type="paragraph" w:customStyle="1" w:styleId="11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18">
    <w:name w:val="正文文本缩进1"/>
    <w:basedOn w:val="1"/>
    <w:qFormat/>
    <w:uiPriority w:val="0"/>
    <w:pPr>
      <w:spacing w:line="360" w:lineRule="auto"/>
      <w:ind w:firstLine="480" w:firstLineChars="200"/>
    </w:pPr>
    <w:rPr>
      <w:rFonts w:ascii="宋体"/>
      <w:sz w:val="24"/>
    </w:rPr>
  </w:style>
  <w:style w:type="paragraph" w:customStyle="1" w:styleId="11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20">
    <w:name w:val="日期1"/>
    <w:basedOn w:val="1"/>
    <w:next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4BAE4-F2E4-4163-9F0C-7FCCE57E0B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26213</Words>
  <Characters>3887</Characters>
  <Lines>32</Lines>
  <Paragraphs>60</Paragraphs>
  <TotalTime>18</TotalTime>
  <ScaleCrop>false</ScaleCrop>
  <LinksUpToDate>false</LinksUpToDate>
  <CharactersWithSpaces>30040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2018-11-30T06:28:00Z</dcterms:created>
  <dc:creator>USER</dc:creator>
  <cp:lastModifiedBy>Administrator</cp:lastModifiedBy>
  <cp:lastPrinted>2019-01-03T09:50:16Z</cp:lastPrinted>
  <dcterms:modified xsi:type="dcterms:W3CDTF">2019-01-03T09:50:58Z</dcterms:modified>
  <dc:title>曹魏古城315KVA箱变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