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宋体" w:hAnsi="宋体" w:eastAsia="宋体" w:cs="宋体"/>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en-US" w:eastAsia="zh-CN"/>
        </w:rPr>
        <w:t>2018031</w:t>
      </w:r>
    </w:p>
    <w:p>
      <w:pPr>
        <w:jc w:val="both"/>
        <w:rPr>
          <w:rFonts w:hint="eastAsia" w:ascii="宋体" w:hAnsi="宋体" w:eastAsia="宋体" w:cs="宋体"/>
          <w:b/>
          <w:bCs/>
          <w:color w:val="auto"/>
          <w:sz w:val="44"/>
          <w:szCs w:val="44"/>
          <w:lang w:eastAsia="zh-CN"/>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许昌市</w:t>
      </w:r>
      <w:r>
        <w:rPr>
          <w:rFonts w:hint="eastAsia" w:ascii="宋体" w:hAnsi="宋体" w:eastAsia="宋体" w:cs="宋体"/>
          <w:b/>
          <w:bCs/>
          <w:color w:val="auto"/>
          <w:sz w:val="44"/>
          <w:szCs w:val="44"/>
          <w:lang w:eastAsia="zh-CN"/>
        </w:rPr>
        <w:t>曹魏古城开发建设有限公司</w:t>
      </w:r>
      <w:r>
        <w:rPr>
          <w:rFonts w:hint="eastAsia" w:ascii="宋体" w:hAnsi="宋体" w:eastAsia="宋体" w:cs="宋体"/>
          <w:b/>
          <w:bCs/>
          <w:color w:val="auto"/>
          <w:sz w:val="44"/>
          <w:szCs w:val="44"/>
        </w:rPr>
        <w:t>“曹魏古城南城门主题空间秀”</w:t>
      </w:r>
      <w:r>
        <w:rPr>
          <w:rFonts w:hint="eastAsia" w:ascii="宋体" w:hAnsi="宋体" w:eastAsia="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8011</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w:t>
      </w:r>
      <w:r>
        <w:rPr>
          <w:rFonts w:hint="eastAsia" w:ascii="宋体" w:hAnsi="宋体" w:cs="宋体"/>
          <w:b/>
          <w:bCs/>
          <w:color w:val="auto"/>
          <w:sz w:val="36"/>
          <w:szCs w:val="36"/>
          <w:lang w:val="en-US" w:eastAsia="zh-CN"/>
        </w:rPr>
        <w:t>127</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采购单位：许昌市曹魏古城开发建设有限公司</w:t>
      </w:r>
    </w:p>
    <w:p>
      <w:pPr>
        <w:ind w:firstLine="1084" w:firstLineChars="300"/>
        <w:rPr>
          <w:rFonts w:hint="eastAsia" w:ascii="宋体" w:hAnsi="宋体" w:cs="宋体"/>
          <w:b/>
          <w:bCs/>
          <w:color w:val="auto"/>
          <w:sz w:val="36"/>
          <w:szCs w:val="36"/>
          <w:lang w:eastAsia="zh-CN"/>
        </w:rPr>
      </w:pP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二〇一八年</w:t>
      </w:r>
      <w:r>
        <w:rPr>
          <w:rFonts w:hint="eastAsia" w:ascii="宋体" w:hAnsi="宋体" w:eastAsia="宋体" w:cs="宋体"/>
          <w:b/>
          <w:bCs/>
          <w:color w:val="auto"/>
          <w:sz w:val="36"/>
          <w:szCs w:val="36"/>
          <w:lang w:eastAsia="zh-CN"/>
        </w:rPr>
        <w:t>十二</w:t>
      </w:r>
      <w:r>
        <w:rPr>
          <w:rFonts w:hint="eastAsia" w:ascii="宋体" w:hAnsi="宋体" w:cs="宋体"/>
          <w:b/>
          <w:bCs/>
          <w:color w:val="auto"/>
          <w:sz w:val="36"/>
          <w:szCs w:val="36"/>
          <w:lang w:eastAsia="zh-CN"/>
        </w:rPr>
        <w:t>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6"/>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6"/>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6"/>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（一）项目名称：曹魏古城南城门主题空间秀</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WZCG-G2018</w:t>
      </w:r>
      <w:r>
        <w:rPr>
          <w:rFonts w:hint="eastAsia" w:ascii="宋体" w:hAnsi="宋体" w:eastAsia="宋体" w:cs="仿宋_GB2312"/>
          <w:color w:val="auto"/>
          <w:shd w:val="clear" w:color="auto" w:fill="FFFFFF"/>
          <w:lang w:val="en-US" w:eastAsia="zh-CN"/>
        </w:rPr>
        <w:t>01</w:t>
      </w:r>
      <w:r>
        <w:rPr>
          <w:rFonts w:hint="eastAsia" w:ascii="宋体" w:hAnsi="宋体" w:cs="仿宋_GB2312"/>
          <w:color w:val="auto"/>
          <w:shd w:val="clear" w:color="auto" w:fill="FFFFFF"/>
          <w:lang w:val="en-US" w:eastAsia="zh-CN"/>
        </w:rPr>
        <w:t>1</w:t>
      </w:r>
      <w:r>
        <w:rPr>
          <w:rFonts w:hint="eastAsia" w:ascii="宋体" w:hAnsi="宋体" w:eastAsia="宋体" w:cs="仿宋_GB2312"/>
          <w:color w:val="auto"/>
          <w:shd w:val="clear" w:color="auto" w:fill="FFFFFF"/>
        </w:rPr>
        <w:t>号</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JZFCG-G2018</w:t>
      </w:r>
      <w:r>
        <w:rPr>
          <w:rFonts w:hint="eastAsia" w:ascii="宋体" w:hAnsi="宋体" w:cs="仿宋_GB2312"/>
          <w:color w:val="auto"/>
          <w:shd w:val="clear" w:color="auto" w:fill="FFFFFF"/>
          <w:lang w:val="en-US" w:eastAsia="zh-CN"/>
        </w:rPr>
        <w:t>127</w:t>
      </w:r>
      <w:r>
        <w:rPr>
          <w:rFonts w:hint="eastAsia" w:ascii="宋体" w:hAnsi="宋体" w:eastAsia="宋体" w:cs="仿宋_GB2312"/>
          <w:color w:val="auto"/>
          <w:shd w:val="clear" w:color="auto" w:fill="FFFFFF"/>
        </w:rPr>
        <w:t xml:space="preserve">号  </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（1）音频扩声系统：全频户外线阵列扬声器16只、双18“户外超低频扬声器4只、全天候柱状扬声器8只、功率放大器7台、扬声器管理器6台、数字音频处理器1台、音频扩展接口2台、数字调音台1台、辅材等；</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（2）演艺灯光系统：电脑灯控台1台、摇头电脑灯74台、LED 投影灯2台、20W全彩激光灯4套、激光器系统编程软件1套、辅材等；</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3）视频投影系统：高流明激光投影机8台、高流明激光投影机镜头8套、激光投影机2台、投影机防护箱及措施2套、投影机防护箱支架及措施2套、投影机防护箱支架包装及措施2套、幕布及措施2套、多媒体视频服务器2套、投影管理系统1台、辅材等；</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（4）中控系统：中控系统1项、网络控制扩展界面2套、辅材等；</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（5）手机互动系统：互动服务器1台、笔记本电脑1套、互动平台开发1项、互动平台开发、辅材等；</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（6）Live AR增强现实：互动服务器1台、网络录像及1套、AR平台开发、AR内容制作、线辅材等；</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（7）导演与内容制作编排：总导演、灯光导演、音效导演、视频导演、舞美设计、剧本深化、前期场景气氛图绘制、分镜脚本绘制、视频拍摄、Modelling、3D Animation、Texture Mapping and Lighting、特效制作、3D FX-Particles、3D Rendering、Compositing、Music Sounds Effects 音乐、音效、配音等</w:t>
      </w:r>
      <w:r>
        <w:rPr>
          <w:rFonts w:hint="eastAsia" w:ascii="宋体" w:hAnsi="宋体" w:eastAsia="宋体" w:cs="仿宋_GB2312"/>
          <w:color w:val="auto"/>
          <w:shd w:val="clear" w:color="auto" w:fill="FFFFFF"/>
          <w:lang w:eastAsia="zh-CN"/>
        </w:rPr>
        <w:t>。</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（五）预算金额：16906411元。最高限价：16906411元。</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（六）交付（服务、完工）时间：自合同签订后45个日历天完成</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（七）交付（服务、完工）地点：许昌市</w:t>
      </w:r>
      <w:r>
        <w:rPr>
          <w:rFonts w:hint="eastAsia" w:ascii="宋体" w:hAnsi="宋体" w:eastAsia="宋体" w:cs="仿宋_GB2312"/>
          <w:color w:val="auto"/>
          <w:shd w:val="clear" w:color="auto" w:fill="FFFFFF"/>
          <w:lang w:eastAsia="zh-CN"/>
        </w:rPr>
        <w:t>曹魏古城</w:t>
      </w:r>
      <w:r>
        <w:rPr>
          <w:rFonts w:hint="eastAsia" w:ascii="宋体" w:hAnsi="宋体" w:eastAsia="宋体" w:cs="仿宋_GB2312"/>
          <w:color w:val="auto"/>
          <w:shd w:val="clear" w:color="auto" w:fill="FFFFFF"/>
        </w:rPr>
        <w:t>南城门内</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36"/>
        <w:widowControl/>
        <w:shd w:val="clear" w:color="auto" w:fill="FFFFFF"/>
        <w:spacing w:line="360" w:lineRule="auto"/>
        <w:ind w:firstLine="480" w:firstLineChars="20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eastAsia="zh-CN"/>
        </w:rPr>
        <w:t>（二）</w:t>
      </w:r>
      <w:r>
        <w:rPr>
          <w:rFonts w:hint="eastAsia" w:ascii="宋体" w:hAnsi="宋体" w:eastAsia="宋体" w:cs="仿宋_GB2312"/>
          <w:color w:val="auto"/>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lang w:eastAsia="zh-CN"/>
        </w:rPr>
        <w:t>（三）供应商须具有住房和城乡建设行政主管部门核发的电子与智能化工程专业承包二级资质（含二级）；</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lang w:eastAsia="zh-CN"/>
        </w:rPr>
        <w:t>（四）供应商须具有《中国演艺设备技术协会》颁发的专业灯光壹级资质证书；</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eastAsia="宋体" w:cs="仿宋_GB2312"/>
          <w:color w:val="auto"/>
          <w:shd w:val="clear" w:color="auto" w:fill="FFFFFF"/>
          <w:lang w:eastAsia="zh-CN"/>
        </w:rPr>
        <w:t>五</w:t>
      </w:r>
      <w:r>
        <w:rPr>
          <w:rFonts w:hint="eastAsia" w:ascii="宋体" w:hAnsi="宋体" w:eastAsia="宋体" w:cs="仿宋_GB2312"/>
          <w:color w:val="auto"/>
          <w:shd w:val="clear" w:color="auto" w:fill="FFFFFF"/>
        </w:rPr>
        <w:t>）本次招标不接受联合体投标。</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eastAsia="宋体" w:cs="仿宋_GB2312"/>
          <w:color w:val="auto"/>
        </w:rPr>
        <w:t xml:space="preserve"> </w:t>
      </w:r>
      <w:r>
        <w:rPr>
          <w:rFonts w:hint="eastAsia" w:ascii="宋体" w:hAnsi="宋体" w:cs="仿宋_GB2312"/>
          <w:color w:val="auto"/>
          <w:lang w:val="en-US" w:eastAsia="zh-CN"/>
        </w:rPr>
        <w:t>1</w:t>
      </w:r>
      <w:r>
        <w:rPr>
          <w:rFonts w:hint="eastAsia" w:ascii="宋体" w:hAnsi="宋体" w:eastAsia="宋体" w:cs="仿宋_GB2312"/>
          <w:color w:val="auto"/>
        </w:rPr>
        <w:t>月</w:t>
      </w:r>
      <w:r>
        <w:rPr>
          <w:rFonts w:hint="eastAsia" w:ascii="宋体" w:hAnsi="宋体" w:eastAsia="宋体" w:cs="仿宋_GB2312"/>
          <w:color w:val="auto"/>
        </w:rPr>
        <w:t xml:space="preserve"> </w:t>
      </w:r>
      <w:r>
        <w:rPr>
          <w:rFonts w:hint="eastAsia" w:ascii="宋体" w:hAnsi="宋体" w:cs="仿宋_GB2312"/>
          <w:color w:val="auto"/>
          <w:lang w:val="en-US" w:eastAsia="zh-CN"/>
        </w:rPr>
        <w:t>8</w:t>
      </w:r>
      <w:r>
        <w:rPr>
          <w:rFonts w:hint="eastAsia" w:ascii="宋体" w:hAnsi="宋体" w:eastAsia="宋体" w:cs="仿宋_GB2312"/>
          <w:color w:val="auto"/>
        </w:rPr>
        <w:t xml:space="preserve"> </w:t>
      </w:r>
      <w:r>
        <w:rPr>
          <w:rFonts w:hint="eastAsia" w:ascii="宋体" w:hAnsi="宋体" w:eastAsia="宋体" w:cs="仿宋_GB2312"/>
          <w:color w:val="auto"/>
        </w:rPr>
        <w:t>日</w:t>
      </w:r>
      <w:r>
        <w:rPr>
          <w:rFonts w:hint="eastAsia" w:ascii="宋体" w:hAnsi="宋体" w:eastAsia="宋体" w:cs="仿宋_GB2312"/>
          <w:color w:val="auto"/>
        </w:rPr>
        <w:t xml:space="preserve"> </w:t>
      </w:r>
      <w:r>
        <w:rPr>
          <w:rFonts w:hint="eastAsia" w:ascii="宋体" w:hAnsi="宋体" w:cs="仿宋_GB2312"/>
          <w:color w:val="auto"/>
          <w:lang w:val="en-US" w:eastAsia="zh-CN"/>
        </w:rPr>
        <w:t>9</w:t>
      </w:r>
      <w:r>
        <w:rPr>
          <w:rFonts w:hint="eastAsia" w:ascii="宋体" w:hAnsi="宋体" w:eastAsia="宋体" w:cs="仿宋_GB2312"/>
          <w:color w:val="auto"/>
        </w:rPr>
        <w:t xml:space="preserve"> </w:t>
      </w:r>
      <w:r>
        <w:rPr>
          <w:rFonts w:hint="eastAsia" w:ascii="宋体" w:hAnsi="宋体" w:eastAsia="宋体" w:cs="仿宋_GB2312"/>
          <w:color w:val="auto"/>
        </w:rPr>
        <w:t>时</w:t>
      </w:r>
      <w:r>
        <w:rPr>
          <w:rFonts w:hint="eastAsia" w:ascii="宋体" w:hAnsi="宋体" w:eastAsia="宋体" w:cs="仿宋_GB2312"/>
          <w:color w:val="auto"/>
        </w:rPr>
        <w:t xml:space="preserve"> </w:t>
      </w:r>
      <w:r>
        <w:rPr>
          <w:rFonts w:hint="eastAsia" w:ascii="宋体" w:hAnsi="宋体" w:cs="仿宋_GB2312"/>
          <w:color w:val="auto"/>
          <w:lang w:val="en-US" w:eastAsia="zh-CN"/>
        </w:rPr>
        <w:t>30</w:t>
      </w:r>
      <w:r>
        <w:rPr>
          <w:rFonts w:hint="eastAsia" w:ascii="宋体" w:hAnsi="宋体" w:eastAsia="宋体" w:cs="仿宋_GB2312"/>
          <w:color w:val="auto"/>
        </w:rPr>
        <w:t xml:space="preserve"> </w:t>
      </w:r>
      <w:r>
        <w:rPr>
          <w:rFonts w:hint="eastAsia" w:ascii="宋体" w:hAnsi="宋体" w:eastAsia="宋体" w:cs="仿宋_GB2312"/>
          <w:color w:val="auto"/>
        </w:rPr>
        <w:t>分（北京时间），逾期提交或不符合规定的投标文件不予接受。</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lang w:val="en-US" w:eastAsia="zh-CN"/>
        </w:rPr>
        <w:t>5</w:t>
      </w:r>
      <w:r>
        <w:rPr>
          <w:rFonts w:hint="eastAsia" w:ascii="宋体" w:hAnsi="宋体" w:eastAsia="宋体" w:cs="仿宋_GB2312"/>
          <w:color w:val="auto"/>
        </w:rPr>
        <w:t>室。</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6"/>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eastAsia="宋体" w:cs="仿宋_GB2312"/>
          <w:color w:val="auto"/>
          <w:lang w:val="en-US" w:eastAsia="zh-CN"/>
        </w:rPr>
        <w:t>3</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6"/>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采购人：许昌市曹魏古城开发建设有限公司</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址：许昌市劳动路1012号</w:t>
      </w:r>
    </w:p>
    <w:p>
      <w:pPr>
        <w:pStyle w:val="36"/>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rPr>
        <w:t>联系人：李晶               联系电话：</w:t>
      </w:r>
      <w:r>
        <w:rPr>
          <w:rFonts w:hint="eastAsia" w:ascii="宋体" w:hAnsi="宋体" w:eastAsia="宋体" w:cs="仿宋_GB2312"/>
          <w:color w:val="auto"/>
          <w:lang w:val="en-US" w:eastAsia="zh-CN"/>
        </w:rPr>
        <w:t>0374-6060619</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eastAsia="宋体" w:cs="仿宋_GB2312"/>
          <w:color w:val="auto"/>
          <w:lang w:val="zh-CN" w:eastAsia="zh-CN"/>
        </w:rPr>
        <w:t>张良</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宋体"/>
          <w:color w:val="auto"/>
          <w:sz w:val="24"/>
          <w:szCs w:val="24"/>
          <w:lang w:val="zh-CN"/>
        </w:rPr>
        <w:t xml:space="preserve">                               许昌市曹魏古城开发建设有限公司</w:t>
      </w:r>
      <w:r>
        <w:rPr>
          <w:rFonts w:hint="eastAsia" w:ascii="宋体" w:hAnsi="宋体" w:cs="宋体"/>
          <w:color w:val="auto"/>
          <w:sz w:val="24"/>
          <w:szCs w:val="24"/>
          <w:lang w:val="en-US" w:eastAsia="zh-CN"/>
        </w:rPr>
        <w:t xml:space="preserve">    </w:t>
      </w: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 xml:space="preserve">                              二〇一八年</w:t>
      </w:r>
      <w:r>
        <w:rPr>
          <w:rFonts w:hint="eastAsia" w:ascii="宋体" w:hAnsi="宋体" w:cs="仿宋_GB2312"/>
          <w:color w:val="auto"/>
          <w:sz w:val="24"/>
          <w:szCs w:val="24"/>
          <w:lang w:eastAsia="zh-CN"/>
        </w:rPr>
        <w:t>十二</w:t>
      </w:r>
      <w:r>
        <w:rPr>
          <w:rFonts w:hint="eastAsia" w:ascii="宋体" w:hAnsi="宋体" w:cs="仿宋_GB2312"/>
          <w:color w:val="auto"/>
          <w:sz w:val="24"/>
          <w:szCs w:val="24"/>
        </w:rPr>
        <w:t>月</w:t>
      </w:r>
      <w:r>
        <w:rPr>
          <w:rFonts w:hint="eastAsia" w:ascii="宋体" w:hAnsi="宋体" w:cs="仿宋_GB2312"/>
          <w:color w:val="auto"/>
          <w:sz w:val="24"/>
          <w:szCs w:val="24"/>
          <w:lang w:eastAsia="zh-CN"/>
        </w:rPr>
        <w:t>十三</w:t>
      </w:r>
      <w:r>
        <w:rPr>
          <w:rFonts w:hint="eastAsia" w:ascii="宋体" w:hAnsi="宋体" w:cs="仿宋_GB2312"/>
          <w:color w:val="auto"/>
          <w:sz w:val="24"/>
          <w:szCs w:val="24"/>
        </w:rPr>
        <w:t xml:space="preserve"> 日</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br w:type="page"/>
      </w: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ascii="宋体" w:hAnsi="宋体" w:cs="黑体"/>
          <w:b w:val="0"/>
          <w:bCs w:val="0"/>
          <w:color w:val="auto"/>
          <w:sz w:val="24"/>
          <w:szCs w:val="24"/>
          <w:shd w:val="clear" w:color="auto" w:fill="FFFFFF"/>
        </w:rPr>
      </w:pPr>
      <w:r>
        <w:rPr>
          <w:rFonts w:hint="eastAsia" w:ascii="宋体" w:hAnsi="宋体" w:cs="黑体"/>
          <w:b w:val="0"/>
          <w:bCs w:val="0"/>
          <w:color w:val="auto"/>
          <w:sz w:val="24"/>
          <w:szCs w:val="24"/>
          <w:shd w:val="clear" w:color="auto" w:fill="FFFFFF"/>
        </w:rPr>
        <w:t>以南城门为载体，通过现代声光电科技手段展现许昌的前世今生，重点呈现三国时代背景，以及许昌的当代面貌等。通过艺术化的编排和加工，以及最前沿的演艺科技和最炫酷精彩的演艺形式，将静态的城门赋予灵魂，呈现许昌悠久的历史及浓厚的人文风貌，谱写出一部曹魏古城荡气回肠的英雄史诗，让游客对许昌留下更为深刻和美好的印象，成为许昌的又一张精美的城市名片。</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1、主要内容：</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（1）系统要求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1）灯光系统</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灯光系统应充分考虑整个广场空间的布局及使用。</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在设备选择上，选用先进产品，多功能选择。</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系统需具有可扩展性，确保在重大活动时能满足临时增加灯光设备的需求。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2）视频系统</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视频系统应充分考虑广场。</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视频系统应具备互动功能。</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视频载体面需具有呈现多素材内容的能力，视频源可切换。</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3）音频系统</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音频系统应充分考虑广场区域的空间大小，满足户外扩声需求。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广场扩声不能以简单扩声处理，应针对不同区域设计不同扩声关系，主次分明。</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4）中控系统</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中控系统要求功能全面，操作方便，集成度高。可通过简单操作完成空间秀的开启、播放、关闭等演出步骤。</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5）手机互动及Live AR增强现实系统</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以通过智能移动终端设备进行实时互动，完成已有素材的交互和文字涂鸦，包括创意设计及功能设计的效果。通过云平台的管理和运行实现实时互动。管理用户组织结构，维护用户信息，客户管理平台。能够完成互动功能的方案设计及系统的搭建进行清晰描述，完成不同场景的互动形式设计。</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6）机房要求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供电采用三相五线制，电缆零线截面必须等于或大于相线截面。</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配电柜中所选用的空气自动断路器，应考虑板前接线方式，以便于接线操作。</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空气自动断路器不宜带有漏电保护装置。</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配电柜内应设标准零线线排和保护接地线排，接地电阻须符合规范要求。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配电柜应使用标准防雨型低压配电柜。</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配电柜所标示数字为设计使用负荷及空气自动断路器整定值。</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在离地面0.4m处设置墙面电源插座若干，满足使用要求。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地面：室内铺设架空活动地板(防静电地板)，活动地板距混凝土地面为200mm，室内管线均暗敷在活动地板下。</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照明：控制室内用白炽灯，不使用带镇流器的日光灯，以免引起干扰。</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消防：建议使用气体消防。</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空调：为使设备能够在正常运行，管理人员有良好的工作环境，建议设有独立空调。</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（2）空间秀内容要求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整体内容要求符合许昌魏都积极奋进的形象，符合社会主义核心价值观。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能呈现许昌悠久的历史及浓厚的人文风貌，谱写出一部曹魏古城荡气回肠的英雄史诗，让游客对许昌魏都留下更为深刻和美好的印象，成为许昌的又一张精美的城市名片。</w:t>
      </w:r>
    </w:p>
    <w:p>
      <w:pPr>
        <w:widowControl w:val="0"/>
        <w:wordWrap/>
        <w:adjustRightInd/>
        <w:snapToGrid/>
        <w:spacing w:line="360" w:lineRule="auto"/>
        <w:ind w:firstLine="480" w:firstLineChars="200"/>
        <w:textAlignment w:val="auto"/>
        <w:rPr>
          <w:rFonts w:hint="eastAsia" w:ascii="宋体" w:hAnsi="宋体" w:cs="黑体"/>
          <w:b w:val="0"/>
          <w:bCs w:val="0"/>
          <w:color w:val="auto"/>
          <w:sz w:val="24"/>
          <w:szCs w:val="24"/>
          <w:shd w:val="clear" w:color="auto" w:fill="FFFFFF"/>
        </w:rPr>
      </w:pPr>
      <w:r>
        <w:rPr>
          <w:rFonts w:hint="eastAsia" w:ascii="宋体" w:hAnsi="宋体" w:eastAsia="宋体" w:cs="宋体"/>
          <w:sz w:val="24"/>
          <w:szCs w:val="24"/>
        </w:rPr>
        <w:t>富有艺术感、科技感。</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二、采购清单</w:t>
      </w:r>
    </w:p>
    <w:tbl>
      <w:tblPr>
        <w:tblStyle w:val="18"/>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676"/>
        <w:gridCol w:w="5383"/>
        <w:gridCol w:w="442"/>
        <w:gridCol w:w="442"/>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trPr>
        <w:tc>
          <w:tcPr>
            <w:tcW w:w="442" w:type="dxa"/>
            <w:shd w:val="clear" w:color="000000" w:fill="404040"/>
            <w:vAlign w:val="center"/>
          </w:tcPr>
          <w:p>
            <w:pPr>
              <w:jc w:val="center"/>
              <w:rPr>
                <w:rFonts w:hint="eastAsia" w:ascii="宋体" w:hAnsi="宋体" w:eastAsia="宋体" w:cs="宋体"/>
                <w:b/>
                <w:bCs/>
                <w:color w:val="FFFFFF"/>
                <w:sz w:val="18"/>
                <w:szCs w:val="18"/>
              </w:rPr>
            </w:pPr>
            <w:r>
              <w:rPr>
                <w:rFonts w:hint="eastAsia" w:ascii="宋体" w:hAnsi="宋体" w:eastAsia="宋体" w:cs="宋体"/>
                <w:b/>
                <w:bCs/>
                <w:color w:val="FFFFFF"/>
                <w:sz w:val="18"/>
                <w:szCs w:val="18"/>
              </w:rPr>
              <w:t>序号</w:t>
            </w:r>
          </w:p>
        </w:tc>
        <w:tc>
          <w:tcPr>
            <w:tcW w:w="1676" w:type="dxa"/>
            <w:shd w:val="clear" w:color="000000" w:fill="404040"/>
            <w:vAlign w:val="center"/>
          </w:tcPr>
          <w:p>
            <w:pPr>
              <w:jc w:val="center"/>
              <w:rPr>
                <w:rFonts w:hint="eastAsia" w:ascii="宋体" w:hAnsi="宋体" w:eastAsia="宋体" w:cs="宋体"/>
                <w:b/>
                <w:bCs/>
                <w:color w:val="FFFFFF"/>
                <w:sz w:val="18"/>
                <w:szCs w:val="18"/>
              </w:rPr>
            </w:pPr>
            <w:r>
              <w:rPr>
                <w:rFonts w:hint="eastAsia" w:ascii="宋体" w:hAnsi="宋体" w:eastAsia="宋体" w:cs="宋体"/>
                <w:b/>
                <w:bCs/>
                <w:color w:val="FFFFFF"/>
                <w:sz w:val="18"/>
                <w:szCs w:val="18"/>
              </w:rPr>
              <w:t>产品名称</w:t>
            </w:r>
          </w:p>
        </w:tc>
        <w:tc>
          <w:tcPr>
            <w:tcW w:w="5383" w:type="dxa"/>
            <w:shd w:val="clear" w:color="000000" w:fill="404040"/>
            <w:vAlign w:val="center"/>
          </w:tcPr>
          <w:p>
            <w:pPr>
              <w:jc w:val="center"/>
              <w:rPr>
                <w:rFonts w:hint="eastAsia" w:ascii="宋体" w:hAnsi="宋体" w:eastAsia="宋体" w:cs="宋体"/>
                <w:b/>
                <w:bCs/>
                <w:color w:val="FFFFFF"/>
                <w:sz w:val="18"/>
                <w:szCs w:val="18"/>
              </w:rPr>
            </w:pPr>
            <w:r>
              <w:rPr>
                <w:rFonts w:hint="eastAsia" w:ascii="宋体" w:hAnsi="宋体" w:eastAsia="宋体" w:cs="宋体"/>
                <w:b/>
                <w:bCs/>
                <w:color w:val="FFFFFF"/>
                <w:sz w:val="18"/>
                <w:szCs w:val="18"/>
              </w:rPr>
              <w:t>性能参数</w:t>
            </w:r>
          </w:p>
        </w:tc>
        <w:tc>
          <w:tcPr>
            <w:tcW w:w="442" w:type="dxa"/>
            <w:shd w:val="clear" w:color="000000" w:fill="404040"/>
            <w:vAlign w:val="center"/>
          </w:tcPr>
          <w:p>
            <w:pPr>
              <w:jc w:val="center"/>
              <w:rPr>
                <w:rFonts w:hint="eastAsia" w:ascii="宋体" w:hAnsi="宋体" w:eastAsia="宋体" w:cs="宋体"/>
                <w:b/>
                <w:bCs/>
                <w:color w:val="FFFFFF"/>
                <w:sz w:val="18"/>
                <w:szCs w:val="18"/>
              </w:rPr>
            </w:pPr>
            <w:r>
              <w:rPr>
                <w:rFonts w:hint="eastAsia" w:ascii="宋体" w:hAnsi="宋体" w:eastAsia="宋体" w:cs="宋体"/>
                <w:b/>
                <w:bCs/>
                <w:color w:val="FFFFFF"/>
                <w:sz w:val="18"/>
                <w:szCs w:val="18"/>
              </w:rPr>
              <w:t>数量</w:t>
            </w:r>
          </w:p>
        </w:tc>
        <w:tc>
          <w:tcPr>
            <w:tcW w:w="442" w:type="dxa"/>
            <w:shd w:val="clear" w:color="000000" w:fill="404040"/>
            <w:vAlign w:val="center"/>
          </w:tcPr>
          <w:p>
            <w:pPr>
              <w:jc w:val="center"/>
              <w:rPr>
                <w:rFonts w:hint="eastAsia" w:ascii="宋体" w:hAnsi="宋体" w:eastAsia="宋体" w:cs="宋体"/>
                <w:b/>
                <w:bCs/>
                <w:color w:val="FFFFFF"/>
                <w:sz w:val="18"/>
                <w:szCs w:val="18"/>
              </w:rPr>
            </w:pPr>
            <w:r>
              <w:rPr>
                <w:rFonts w:hint="eastAsia" w:ascii="宋体" w:hAnsi="宋体" w:eastAsia="宋体" w:cs="宋体"/>
                <w:b/>
                <w:bCs/>
                <w:color w:val="FFFFFF"/>
                <w:sz w:val="18"/>
                <w:szCs w:val="18"/>
              </w:rPr>
              <w:t>单位</w:t>
            </w:r>
          </w:p>
        </w:tc>
        <w:tc>
          <w:tcPr>
            <w:tcW w:w="669" w:type="dxa"/>
            <w:shd w:val="clear" w:color="000000" w:fill="404040"/>
            <w:vAlign w:val="top"/>
          </w:tcPr>
          <w:p>
            <w:pPr>
              <w:jc w:val="center"/>
              <w:rPr>
                <w:rFonts w:hint="eastAsia" w:ascii="宋体" w:hAnsi="宋体" w:eastAsia="宋体" w:cs="宋体"/>
                <w:b/>
                <w:bCs/>
                <w:color w:val="FFFFFF"/>
                <w:sz w:val="18"/>
                <w:szCs w:val="18"/>
              </w:rPr>
            </w:pPr>
            <w:r>
              <w:rPr>
                <w:rFonts w:hint="eastAsia" w:ascii="宋体" w:hAnsi="宋体" w:eastAsia="宋体" w:cs="宋体"/>
                <w:b/>
                <w:bCs/>
                <w:color w:val="FFFFFF"/>
                <w:sz w:val="18"/>
                <w:szCs w:val="18"/>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A</w:t>
            </w:r>
          </w:p>
        </w:tc>
        <w:tc>
          <w:tcPr>
            <w:tcW w:w="1676" w:type="dxa"/>
            <w:vAlign w:val="center"/>
          </w:tcPr>
          <w:p>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音频扩声系统</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669" w:type="dxa"/>
            <w:vAlign w:val="top"/>
          </w:tcPr>
          <w:p>
            <w:pPr>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全频户外线阵列扬声器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频率响应：≥65Hz-18kHz(±3dB)</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最大声压级：≥135dB</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覆盖角度：100°(水平)±5°×10°(垂直)±5°</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低音扬声器：2x8" 钕磁单元</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防水级别≥IPX5</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支持时域校正技术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支持多单元线源耦合波导</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只</w:t>
            </w:r>
          </w:p>
        </w:tc>
        <w:tc>
          <w:tcPr>
            <w:tcW w:w="669" w:type="dxa"/>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双18“户外超低频扬声器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频率响应：≥28Hz-80Hz(±3dB)</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最大声压级：≥141dB</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覆盖角度：180°(水平)</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低音扬声器：2×18"钕磁单元</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防水级别≥IPX5</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支持时域校正技术</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只</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全天候柱状扬声器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类型：二分频防水音柱</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频率响应：≥65Hz-18kHz(±3dB)</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最大声压级：≥132dB</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覆盖角度：100°(水平)±5°×40°(垂直)±5°</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低音单元：8*6"钕磁单元</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高音单元：8*1"</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防水级别≥IPX5</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支持时域校正技术</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只</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功率放大器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所选功率放大器符合原厂标准推荐配置且满足以上最大声压级要求，标称输出功率（FTC）必须不小于扬声器噪声功率1.5倍；</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功放通道数≥4</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扬声器管理器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≥4路电子平衡输入/8路电子平衡输出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具备LCD显示屏；</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≥8组哑音,8组电平增益,6组菜单控制；</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量化精度:≥32 Bit(可扩展)；</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采样频率:≥48KHz/96KHz；</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支持每路输出可分配至任意输入或输入的矩阵功能；</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支持每路输出具备可调整参数均衡和延时,独立可调电子分频器、参数均衡器、中段滤波限幅器、相位和延时器等等；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AD/DA转换精度:24-Bit；</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频率响应:优于30-20KHz(+/-0.1dB)；</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动态范围:≥115dB；</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失真:不高于0.001%；</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具有RJ45跟电脑连接口，可使用软件进行设置和管理。</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（若功放包含音箱管理器功能，则不用额外配置）</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1676" w:type="dxa"/>
            <w:vAlign w:val="center"/>
          </w:tcPr>
          <w:p>
            <w:pPr>
              <w:rPr>
                <w:rFonts w:hint="eastAsia" w:ascii="宋体" w:hAnsi="宋体" w:eastAsia="宋体" w:cs="宋体"/>
                <w:sz w:val="18"/>
                <w:szCs w:val="18"/>
              </w:rPr>
            </w:pPr>
            <w:r>
              <w:rPr>
                <w:rFonts w:hint="eastAsia" w:ascii="宋体" w:hAnsi="宋体" w:eastAsia="宋体" w:cs="宋体"/>
                <w:sz w:val="18"/>
                <w:szCs w:val="18"/>
              </w:rPr>
              <w:t>数字音频处理器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≥12路带幻象电源的话筒/线路输入，≥8路输出；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≥1一个可配置的输入/输出选项卡插槽；</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≥128 (64x64)个Dante网络音频通道；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具备Dante主备接口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≥600种DSP处理模块（均衡器、压限器、反馈抑制器、FIR滤波器等等）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内置交换机带有冗余Dante网络音频接口，无需再使用外部交换机；</w:t>
            </w:r>
          </w:p>
        </w:tc>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台</w:t>
            </w:r>
          </w:p>
        </w:tc>
        <w:tc>
          <w:tcPr>
            <w:tcW w:w="669" w:type="dxa"/>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c>
          <w:tcPr>
            <w:tcW w:w="1676" w:type="dxa"/>
            <w:vAlign w:val="center"/>
          </w:tcPr>
          <w:p>
            <w:pPr>
              <w:rPr>
                <w:rFonts w:hint="eastAsia" w:ascii="宋体" w:hAnsi="宋体" w:eastAsia="宋体" w:cs="宋体"/>
                <w:sz w:val="18"/>
                <w:szCs w:val="18"/>
              </w:rPr>
            </w:pPr>
            <w:r>
              <w:rPr>
                <w:rFonts w:hint="eastAsia" w:ascii="宋体" w:hAnsi="宋体" w:eastAsia="宋体" w:cs="宋体"/>
                <w:sz w:val="18"/>
                <w:szCs w:val="18"/>
              </w:rPr>
              <w:t>音频扩展接口</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≥12路线路输出，DANTE扩展设备；</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具备Dante主备接口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采样率：≥ 48 kHz</w:t>
            </w:r>
          </w:p>
        </w:tc>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台</w:t>
            </w:r>
          </w:p>
        </w:tc>
        <w:tc>
          <w:tcPr>
            <w:tcW w:w="669"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8</w:t>
            </w:r>
          </w:p>
        </w:tc>
        <w:tc>
          <w:tcPr>
            <w:tcW w:w="1676" w:type="dxa"/>
            <w:vAlign w:val="center"/>
          </w:tcPr>
          <w:p>
            <w:pPr>
              <w:rPr>
                <w:rFonts w:hint="eastAsia" w:ascii="宋体" w:hAnsi="宋体" w:eastAsia="宋体" w:cs="宋体"/>
                <w:sz w:val="18"/>
                <w:szCs w:val="18"/>
              </w:rPr>
            </w:pPr>
            <w:r>
              <w:rPr>
                <w:rFonts w:hint="eastAsia" w:ascii="宋体" w:hAnsi="宋体" w:eastAsia="宋体" w:cs="宋体"/>
                <w:sz w:val="18"/>
                <w:szCs w:val="18"/>
              </w:rPr>
              <w:t>数字调音台</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≥17个马达推子（16通道+1主控）</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≥40条输入混音通道（32单声道+2立体声+2返送通道）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≥20个AUX（8单声道+6立体声）+立体声+子母线</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≥8个DCA编组</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≥16个模拟XLR/TRS混合麦克风/线路输入+2个模拟RCA立体声线路输入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≥16个模拟XLR输出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≥34×34 USB数字录音/回放 + 2×2 录音/回放通过USB存储设备</w:t>
            </w:r>
          </w:p>
        </w:tc>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台</w:t>
            </w:r>
          </w:p>
        </w:tc>
        <w:tc>
          <w:tcPr>
            <w:tcW w:w="669" w:type="dxa"/>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9</w:t>
            </w:r>
          </w:p>
        </w:tc>
        <w:tc>
          <w:tcPr>
            <w:tcW w:w="1676" w:type="dxa"/>
            <w:vAlign w:val="center"/>
          </w:tcPr>
          <w:p>
            <w:pPr>
              <w:rPr>
                <w:rFonts w:hint="eastAsia" w:ascii="宋体" w:hAnsi="宋体" w:eastAsia="宋体" w:cs="宋体"/>
                <w:sz w:val="18"/>
                <w:szCs w:val="18"/>
              </w:rPr>
            </w:pPr>
            <w:r>
              <w:rPr>
                <w:rFonts w:hint="eastAsia" w:ascii="宋体" w:hAnsi="宋体" w:eastAsia="宋体" w:cs="宋体"/>
                <w:sz w:val="18"/>
                <w:szCs w:val="18"/>
              </w:rPr>
              <w:t>DANTE发送卡</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DANTE发送卡，≥64个通道</w:t>
            </w:r>
          </w:p>
        </w:tc>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44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张</w:t>
            </w:r>
          </w:p>
        </w:tc>
        <w:tc>
          <w:tcPr>
            <w:tcW w:w="669"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千兆网络交换机</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端口：≥24个10/100/1000Base-T，≥4个千兆SFP；</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供电：交流供电，支持RPS冗余电源；</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交换容量：≥336Gbps/3.36Tbps；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包转发率：≥96Mpps/126Mpps；</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控制电脑</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CPU：≥i5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xml:space="preserve">内存：≥16G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硬盘存储：≥1TB硬盘</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显卡：≥GTX1060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显示器：≥24寸</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线阵列扬声器安装平台</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满足第1项全频户外线阵列扬声器安装使用需求，结构稳固</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电源时序器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≥8位输出</w:t>
            </w:r>
          </w:p>
          <w:p>
            <w:pPr>
              <w:rPr>
                <w:rFonts w:hint="eastAsia" w:ascii="宋体" w:hAnsi="宋体" w:eastAsia="宋体" w:cs="宋体"/>
                <w:color w:val="000000"/>
                <w:sz w:val="18"/>
                <w:szCs w:val="18"/>
              </w:rPr>
            </w:pPr>
            <w:r>
              <w:rPr>
                <w:rFonts w:hint="eastAsia" w:ascii="宋体" w:hAnsi="宋体" w:eastAsia="宋体" w:cs="宋体"/>
                <w:color w:val="000000"/>
                <w:sz w:val="18"/>
                <w:szCs w:val="18"/>
              </w:rPr>
              <w:t>最大电流≥40A</w:t>
            </w:r>
          </w:p>
          <w:p>
            <w:pPr>
              <w:rPr>
                <w:rFonts w:hint="eastAsia" w:ascii="宋体" w:hAnsi="宋体" w:eastAsia="宋体" w:cs="宋体"/>
                <w:color w:val="000000"/>
                <w:sz w:val="18"/>
                <w:szCs w:val="18"/>
              </w:rPr>
            </w:pPr>
            <w:r>
              <w:rPr>
                <w:rFonts w:hint="eastAsia" w:ascii="宋体" w:hAnsi="宋体" w:eastAsia="宋体" w:cs="宋体"/>
                <w:color w:val="000000"/>
                <w:sz w:val="18"/>
                <w:szCs w:val="18"/>
              </w:rPr>
              <w:t>支持时序控制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支持多台之间级联控制</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机柜</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≥32U</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防雨罩</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满足全频户外线阵列扬声器、双18“户外超低频扬声器的户外安装使用需求，可透声</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辅材</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满足扩声系统使用需求及现场安装条件，含网线、音频线、喇叭线、接插件、线管、线槽、跳线盘等</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B</w:t>
            </w:r>
          </w:p>
        </w:tc>
        <w:tc>
          <w:tcPr>
            <w:tcW w:w="1676" w:type="dxa"/>
            <w:vAlign w:val="center"/>
          </w:tcPr>
          <w:p>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演艺灯光系统</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669" w:type="dxa"/>
            <w:vAlign w:val="center"/>
          </w:tcPr>
          <w:p>
            <w:pPr>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电脑灯控台</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≥8个DMX输出输入, 最高扩展可支持65536个通道参数</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≥2个15.4英寸触摸屏+1个10英寸触摸屏</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可外接DVI触摸显示器1个</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内置无线DMX（可选）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≥15个高精度电动推杆</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A/B场电动推杆</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≥1个主控电动推杆</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≥6个耐磨编码器（带Push功能）</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≥1个高灵敏轨迹球</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≥1个高精度调光轮</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≥2个千兆以太网口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≥2个USB2.0口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MIDI输入输出接口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LTC/SMPTE时间码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支持扩展推杆侧翼</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内置不间断UPS电源</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18</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控制电脑</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CPU：≥i5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xml:space="preserve">内存：≥16G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硬盘存储：≥1TB硬盘</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显卡：≥GTX1060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显示器：≥24寸</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19</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光纤交换机</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端口：≥24个10/100/1000Base-T，4个千兆SFP；</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供电：交流供电，支持RPS冗余电源；</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交换容量：≥336Gbps/3.36Tbps；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包转发率：≥96Mpps/126Mpps；</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节点转换器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自动将网络数据转换为DMX数据，或者将DMX数据转换为网络数据。支持DMX512、ART-NET及ACN等各种灯光协议。在同一个网络中，多个控制台可以共享一个或多个双口扩展器。</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与灯光控制台整合一体式使用，无需进行任何操作</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灯光控制台完全远程监控和操作</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自带2个DMX512输出口或输入口，可同时控制多达1,024控制参数</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1个百兆以太网接口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支持所有Art-Net的控制连接使用</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兼容其他控台产品，如MA1代、MA2代、飞猪等</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21</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灯光网络系统控制信号放大器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满足灯光网络系统使用需求。</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摇头电脑光束灯（防水）</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光源功率：≥380W</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光源平均寿命：≥1500小时</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灯泡色温：≥6900K</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防护等级：≥IP66</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色盘：≥11色盘</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光束角度：2°</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混色系统：独立CMY混色系统</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柔光角度：≥ 6-45°可调节独立柔光效果</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棱镜：≥8棱镜+16双阶棱镜+多种组合效果</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66</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23</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摇头电脑三合一灯</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额定功率：≥495W</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光源平均寿命：≥1500h</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色温：≥6900K</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频闪：双频闪结构,0.5-9次/秒可调.</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调光：≥0-100％线性调节</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颜色：≥13种颜色+白光，双快速颜色彩虹效果</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棱镜：≥11棱圆形棱镜（棱镜角度10到20°自由缩放）</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固定图案盘：≥10个图案+白光+3种animation range固定图案盘，可双向抖动、动画、流水效果</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柔光角度：8~60°独立柔光效果</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24</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电脑灯安装基础</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满足摇头电脑光束灯（防水）、摇头电脑三合一灯现场安装使用需求，结构稳固</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74</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摇头电脑三合一灯防水灯罩</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满足摇头电脑三合一灯现场安装使用需求，结构稳固</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个</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26</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烟雾机</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额定功率：≥3000瓦</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加热时间：≥9.5 分钟</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油桶容量：≥10公升 (2.64加仑)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适用环温：优于0 °C-40 °C (32 °F-104 °F)</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输出量：≥50,000 ft³/min (1416 m³/min)</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控制方式:DMX512, 定时控制, 手动控制, 无线控制 (选配)</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27</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LED 投影灯</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功率：2000W</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光源：LED CREE</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光源寿命：10000H</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光通量：100000lm</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色温：≥7000K</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显色指数：CRI&gt;95</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投影距离：5-65m</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投影面积：50-400㎡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聚光透镜：F-340   2：1</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幻灯片格式：≥单帧18cm×18cm全彩全透胶片，胶片数1～16张"</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控制：通过数字操控盘设定，自动运行</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防护级别：≥IP54</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28</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20W全彩激光灯</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激光器类型半导体固态激光器</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调制方式模拟调制</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发散角&lt; 2mrad</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扫描速度：≥50000次/秒</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激光寿命：≥10,000hours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扫描角度：≥+/-28°</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控制模式：支持Pangolin软件控制</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29</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激光灯安装基础</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满足20W全彩激光灯现场安装使用需求，结构稳固</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30</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激光器控制模块</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完整的网络控制</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独立的SD卡内存(车展回放)</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全彩OLED显示器</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支持DMX,ILDA OSC</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支持多达80 k的扫描速度</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支持6色通道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改善高清晰度激光输出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能够控制更多的激光从单个工作站</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模块化的、可定制的设计</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31</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激光器系统编程软件</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具有帧编辑功能</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支持同步编辑功能</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最大80个翻页</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每个翻页可以多大100个cues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多达100个以上效果</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2条时间轴功能</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40个轨道</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32</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DMX转usb设备</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DMX转usb</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33</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电源时序器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≥8位输出</w:t>
            </w:r>
          </w:p>
          <w:p>
            <w:pPr>
              <w:rPr>
                <w:rFonts w:hint="eastAsia" w:ascii="宋体" w:hAnsi="宋体" w:eastAsia="宋体" w:cs="宋体"/>
                <w:color w:val="000000"/>
                <w:sz w:val="18"/>
                <w:szCs w:val="18"/>
              </w:rPr>
            </w:pPr>
            <w:r>
              <w:rPr>
                <w:rFonts w:hint="eastAsia" w:ascii="宋体" w:hAnsi="宋体" w:eastAsia="宋体" w:cs="宋体"/>
                <w:color w:val="000000"/>
                <w:sz w:val="18"/>
                <w:szCs w:val="18"/>
              </w:rPr>
              <w:t>最大电流≥40A</w:t>
            </w:r>
          </w:p>
          <w:p>
            <w:pPr>
              <w:rPr>
                <w:rFonts w:hint="eastAsia" w:ascii="宋体" w:hAnsi="宋体" w:eastAsia="宋体" w:cs="宋体"/>
                <w:color w:val="000000"/>
                <w:sz w:val="18"/>
                <w:szCs w:val="18"/>
              </w:rPr>
            </w:pPr>
            <w:r>
              <w:rPr>
                <w:rFonts w:hint="eastAsia" w:ascii="宋体" w:hAnsi="宋体" w:eastAsia="宋体" w:cs="宋体"/>
                <w:color w:val="000000"/>
                <w:sz w:val="18"/>
                <w:szCs w:val="18"/>
              </w:rPr>
              <w:t>支持时序控制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支持多台之间级联控制</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34</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机柜</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≥32U</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35</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辅材</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满足灯光系统使用需求及现场安装条件，含网线、DMX线、光纤、接插件、线管、线槽等</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C</w:t>
            </w:r>
          </w:p>
        </w:tc>
        <w:tc>
          <w:tcPr>
            <w:tcW w:w="1676" w:type="dxa"/>
            <w:vAlign w:val="center"/>
          </w:tcPr>
          <w:p>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视频投影系统</w:t>
            </w:r>
          </w:p>
        </w:tc>
        <w:tc>
          <w:tcPr>
            <w:tcW w:w="5383" w:type="dxa"/>
            <w:vAlign w:val="center"/>
          </w:tcPr>
          <w:p>
            <w:pPr>
              <w:rPr>
                <w:rFonts w:hint="eastAsia" w:ascii="宋体" w:hAnsi="宋体" w:eastAsia="宋体" w:cs="宋体"/>
                <w:color w:val="000000"/>
                <w:sz w:val="18"/>
                <w:szCs w:val="18"/>
              </w:rPr>
            </w:pPr>
          </w:p>
        </w:tc>
        <w:tc>
          <w:tcPr>
            <w:tcW w:w="442" w:type="dxa"/>
            <w:vAlign w:val="center"/>
          </w:tcPr>
          <w:p>
            <w:pPr>
              <w:jc w:val="center"/>
              <w:rPr>
                <w:rFonts w:hint="eastAsia" w:ascii="宋体" w:hAnsi="宋体" w:eastAsia="宋体" w:cs="宋体"/>
                <w:color w:val="000000"/>
                <w:sz w:val="18"/>
                <w:szCs w:val="18"/>
              </w:rPr>
            </w:pPr>
          </w:p>
        </w:tc>
        <w:tc>
          <w:tcPr>
            <w:tcW w:w="442" w:type="dxa"/>
            <w:vAlign w:val="center"/>
          </w:tcPr>
          <w:p>
            <w:pPr>
              <w:jc w:val="center"/>
              <w:rPr>
                <w:rFonts w:hint="eastAsia" w:ascii="宋体" w:hAnsi="宋体" w:eastAsia="宋体" w:cs="宋体"/>
                <w:color w:val="000000"/>
                <w:sz w:val="18"/>
                <w:szCs w:val="18"/>
              </w:rPr>
            </w:pP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36</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高流明激光投影机</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显像技术：单芯片DLP激光光源</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分辨率：不低于1920x1200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中心亮度：不低于23000中心流明</w:t>
            </w: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支持双色激光荧光轮技术</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动态对比度：不低于2000:1</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宽高比：16:10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光学镜头移动：不低于垂直：+/-44%/水平：+/-20%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光源寿命：不少于20000小时（标准模式）</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37</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高流明激光投影机镜头</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可变焦,满足系统及现场效果需求</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38</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激光投影机</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显像技术：单芯片DLP激光光源</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中心亮度：不低于8000中心流明</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动态对比度：不低于10000:1</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分辨率：不低于1920x1200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宽高比：16:10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光源寿命：不低于20000小时（标准模式）</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39</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激光投影机镜头</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可变焦,满足系统及现场效果需求</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40</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投影机防护箱及措施</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满足系统使用需求，一个箱体可安装5台投影机；户外防水。</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41</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投影机防护箱支架及措施</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满足系统使用需求，用于放置投影机防护箱，稳固牢靠。</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42</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投影机防护箱支架包装及措施</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满足系统使用需求，用于对投影机防护箱支架进行包装，美观大方。</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43</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幕布及措施</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电动升降户外幕布，满足系统、成像效果及现场安装需要。</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44</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投影机稳压器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额定容量 10kVA</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相数单相</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交流输入：额定电压 220V（G）</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稳压范围±18%</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频率 47Hz-63Hz</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功率因数：0.95-1</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交流输出：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相数单相</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额定电压 220V（G）</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频率同输入频率</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功率因数±0.7-1</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效率≥98%（满载时），空载消耗≤2%</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电源稳压率±1%-±2%</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负载稳压率±1%-±2%</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波形失真度（THD) 附加失真≤1%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45</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投影机传输系统</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最高分辨率支持3840*2160/30Hz;</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HDMI Type A接口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单根光纤传输，LC光纤接口;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支持OM3多模光纤，传输距离300m;</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支持单模(G625.D)光纤，传输距离300米;</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1310/1550 nm 激光器光源;</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传输带宽不低于10.2Gb/s;</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46</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多媒体视频服务器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时间线编辑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支持多种特效，淡入淡出、旋转、顶点变换等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多通道融合，多主机拼接融合，并同步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支持多个节目的播放</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支持任意视频格式解码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支持视频及图片播放，多点几何校正、全局色域统一、边缘消隐。</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支持平面幕融合</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支持6路同时输出</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47</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投影管理系统</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视频播放控制</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节目播放/停止/暂停，播放控制命令按钮跳转，视频缩略图配置显示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音量控制</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控制软件播放视频输出音量，增减音量，静音，音量增减取消静音</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节目播</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文本输出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可输出普通字符串/16进制字符串</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48</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高清摄像机</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≥200万高清摄像机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≥1/2.8″CMOS,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光学变焦≥20倍。</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最低照度不高于：彩色0.06lux、黑白0.01lux。</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水平：≥0.1°~360°/S ，垂直：≥-15°~90°/S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防尘防水等级≥IP66</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49</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硬盘录像机</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≥8路网络视频接入，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网络视频接入带宽≥48Mbps，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≥1路HDMI、1路VGA支持HDMI、VGA数据同时显示；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最高支持1080P高清显示；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支持所有视频通道网络双码流传输；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支持本地硬盘或和网络存储；</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遥控和网络远程等操作，支持全球网络即插即用，支持手机直连3G监控，支持JPEG抓图功能；</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内置硬盘容量≥1TB</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50</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液晶监视器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≥22寸，</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≥2路BNC、1路HDMI、 1路VGA、1路YPbPr视频输入，1路视频输出接口，</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最高支持分辨率：≥1920x1080</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51</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主控网络键盘</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单机可解码≥4路1080P/8路720P/16路D1/32路CIF解码视频，</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 H.264、MPEG4、MPEG2、MJPEG,</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支持ONVIF接入；</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自带≥8寸1280*600高清屏显示输出，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≥2路1080p高清HDMI接口输出，可实现解码、拼接、分割、轮巡、漫游（画中画）等功能；</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≥2个USB接口支持键盘鼠标接入，支持鼠标操作界面；</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带4维摇杆，可方便快捷操作云台、摄像机、球机等设备；</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52</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辅材</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满足视频投影系统使用需求及现场安装条件，含网线、HDMI线、光纤、接插件、线管、线槽等</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D</w:t>
            </w:r>
          </w:p>
        </w:tc>
        <w:tc>
          <w:tcPr>
            <w:tcW w:w="1676" w:type="dxa"/>
            <w:vAlign w:val="center"/>
          </w:tcPr>
          <w:p>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中控系统</w:t>
            </w:r>
          </w:p>
        </w:tc>
        <w:tc>
          <w:tcPr>
            <w:tcW w:w="5383" w:type="dxa"/>
            <w:vAlign w:val="center"/>
          </w:tcPr>
          <w:p>
            <w:pPr>
              <w:rPr>
                <w:rFonts w:hint="eastAsia" w:ascii="宋体" w:hAnsi="宋体" w:eastAsia="宋体" w:cs="宋体"/>
                <w:color w:val="000000"/>
                <w:sz w:val="18"/>
                <w:szCs w:val="18"/>
              </w:rPr>
            </w:pPr>
          </w:p>
        </w:tc>
        <w:tc>
          <w:tcPr>
            <w:tcW w:w="442" w:type="dxa"/>
            <w:vAlign w:val="center"/>
          </w:tcPr>
          <w:p>
            <w:pPr>
              <w:jc w:val="center"/>
              <w:rPr>
                <w:rFonts w:hint="eastAsia" w:ascii="宋体" w:hAnsi="宋体" w:eastAsia="宋体" w:cs="宋体"/>
                <w:color w:val="000000"/>
                <w:sz w:val="18"/>
                <w:szCs w:val="18"/>
              </w:rPr>
            </w:pPr>
          </w:p>
        </w:tc>
        <w:tc>
          <w:tcPr>
            <w:tcW w:w="442" w:type="dxa"/>
            <w:vAlign w:val="center"/>
          </w:tcPr>
          <w:p>
            <w:pPr>
              <w:jc w:val="center"/>
              <w:rPr>
                <w:rFonts w:hint="eastAsia" w:ascii="宋体" w:hAnsi="宋体" w:eastAsia="宋体" w:cs="宋体"/>
                <w:color w:val="000000"/>
                <w:sz w:val="18"/>
                <w:szCs w:val="18"/>
              </w:rPr>
            </w:pP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53</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中控系统</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不限时间轴条数;</w:t>
            </w:r>
          </w:p>
          <w:p>
            <w:pPr>
              <w:rPr>
                <w:rFonts w:hint="eastAsia" w:ascii="宋体" w:hAnsi="宋体" w:eastAsia="宋体" w:cs="宋体"/>
                <w:color w:val="000000"/>
                <w:sz w:val="18"/>
                <w:szCs w:val="18"/>
              </w:rPr>
            </w:pPr>
            <w:r>
              <w:rPr>
                <w:rFonts w:hint="eastAsia" w:ascii="宋体" w:hAnsi="宋体" w:eastAsia="宋体" w:cs="宋体"/>
                <w:color w:val="000000"/>
                <w:sz w:val="18"/>
                <w:szCs w:val="18"/>
              </w:rPr>
              <w:t>居于Windows的多任务、拖拽式编程;</w:t>
            </w:r>
          </w:p>
          <w:p>
            <w:pPr>
              <w:rPr>
                <w:rFonts w:hint="eastAsia" w:ascii="宋体" w:hAnsi="宋体" w:eastAsia="宋体" w:cs="宋体"/>
                <w:color w:val="000000"/>
                <w:sz w:val="18"/>
                <w:szCs w:val="18"/>
              </w:rPr>
            </w:pPr>
            <w:r>
              <w:rPr>
                <w:rFonts w:hint="eastAsia" w:ascii="宋体" w:hAnsi="宋体" w:eastAsia="宋体" w:cs="宋体"/>
                <w:color w:val="000000"/>
                <w:sz w:val="18"/>
                <w:szCs w:val="18"/>
              </w:rPr>
              <w:t>时间轴式的任务设计；</w:t>
            </w:r>
          </w:p>
          <w:p>
            <w:pPr>
              <w:rPr>
                <w:rFonts w:hint="eastAsia" w:ascii="宋体" w:hAnsi="宋体" w:eastAsia="宋体" w:cs="宋体"/>
                <w:color w:val="000000"/>
                <w:sz w:val="18"/>
                <w:szCs w:val="18"/>
              </w:rPr>
            </w:pPr>
            <w:r>
              <w:rPr>
                <w:rFonts w:hint="eastAsia" w:ascii="宋体" w:hAnsi="宋体" w:eastAsia="宋体" w:cs="宋体"/>
                <w:color w:val="000000"/>
                <w:sz w:val="18"/>
                <w:szCs w:val="18"/>
                <w:shd w:val="clear" w:color="auto" w:fill="FFFFFF"/>
              </w:rPr>
              <w:t>★</w:t>
            </w:r>
            <w:r>
              <w:rPr>
                <w:rFonts w:hint="eastAsia" w:ascii="宋体" w:hAnsi="宋体" w:eastAsia="宋体" w:cs="宋体"/>
                <w:color w:val="000000"/>
                <w:sz w:val="18"/>
                <w:szCs w:val="18"/>
              </w:rPr>
              <w:t>1/100秒高精确同步控制;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支持DMX、MIDI、Serial指令记录</w:t>
            </w:r>
          </w:p>
          <w:p>
            <w:pPr>
              <w:rPr>
                <w:rFonts w:hint="eastAsia" w:ascii="宋体" w:hAnsi="宋体" w:eastAsia="宋体" w:cs="宋体"/>
                <w:color w:val="000000"/>
                <w:sz w:val="18"/>
                <w:szCs w:val="18"/>
              </w:rPr>
            </w:pPr>
            <w:r>
              <w:rPr>
                <w:rFonts w:hint="eastAsia" w:ascii="宋体" w:hAnsi="宋体" w:eastAsia="宋体" w:cs="宋体"/>
                <w:color w:val="000000"/>
                <w:sz w:val="18"/>
                <w:szCs w:val="18"/>
              </w:rPr>
              <w:t>开放的外部连接控制、数据库对接及驱动;</w:t>
            </w:r>
          </w:p>
          <w:p>
            <w:pPr>
              <w:rPr>
                <w:rFonts w:hint="eastAsia" w:ascii="宋体" w:hAnsi="宋体" w:eastAsia="宋体" w:cs="宋体"/>
                <w:color w:val="000000"/>
                <w:sz w:val="18"/>
                <w:szCs w:val="18"/>
              </w:rPr>
            </w:pPr>
            <w:r>
              <w:rPr>
                <w:rFonts w:hint="eastAsia" w:ascii="宋体" w:hAnsi="宋体" w:eastAsia="宋体" w:cs="宋体"/>
                <w:color w:val="000000"/>
                <w:sz w:val="18"/>
                <w:szCs w:val="18"/>
              </w:rPr>
              <w:t>完善的日志管理</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54</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网络控制扩展界面</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与中控系统配套，可操作控制中控系统</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55</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控制电脑</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与中控系统配套，可安装中控系统软件</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56</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辅材</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满足中控系统使用需求及现场安装条件，含网线、接插件、线管、线槽等</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E</w:t>
            </w:r>
          </w:p>
        </w:tc>
        <w:tc>
          <w:tcPr>
            <w:tcW w:w="1676" w:type="dxa"/>
            <w:vAlign w:val="center"/>
          </w:tcPr>
          <w:p>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手机互动系统</w:t>
            </w:r>
          </w:p>
        </w:tc>
        <w:tc>
          <w:tcPr>
            <w:tcW w:w="5383" w:type="dxa"/>
            <w:vAlign w:val="center"/>
          </w:tcPr>
          <w:p>
            <w:pPr>
              <w:rPr>
                <w:rFonts w:hint="eastAsia" w:ascii="宋体" w:hAnsi="宋体" w:eastAsia="宋体" w:cs="宋体"/>
                <w:color w:val="000000"/>
                <w:sz w:val="18"/>
                <w:szCs w:val="18"/>
              </w:rPr>
            </w:pPr>
          </w:p>
        </w:tc>
        <w:tc>
          <w:tcPr>
            <w:tcW w:w="442" w:type="dxa"/>
            <w:vAlign w:val="center"/>
          </w:tcPr>
          <w:p>
            <w:pPr>
              <w:jc w:val="center"/>
              <w:rPr>
                <w:rFonts w:hint="eastAsia" w:ascii="宋体" w:hAnsi="宋体" w:eastAsia="宋体" w:cs="宋体"/>
                <w:color w:val="000000"/>
                <w:sz w:val="18"/>
                <w:szCs w:val="18"/>
              </w:rPr>
            </w:pPr>
          </w:p>
        </w:tc>
        <w:tc>
          <w:tcPr>
            <w:tcW w:w="442" w:type="dxa"/>
            <w:vAlign w:val="center"/>
          </w:tcPr>
          <w:p>
            <w:pPr>
              <w:jc w:val="center"/>
              <w:rPr>
                <w:rFonts w:hint="eastAsia" w:ascii="宋体" w:hAnsi="宋体" w:eastAsia="宋体" w:cs="宋体"/>
                <w:color w:val="000000"/>
                <w:sz w:val="18"/>
                <w:szCs w:val="18"/>
              </w:rPr>
            </w:pP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57</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互动服务器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CPU：≥Intel 酷睿i7-8700；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主板：≥z370P；</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显卡：≥GTX1080；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电源：≥700W；</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内存：≥16G DDR4；</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固态硬盘：≥SSD256G；</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操作系统：正版windows；</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58</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笔记本电脑</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CPU：≥i7-8750H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xml:space="preserve">内存：≥16G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硬盘存储：≥SSD128G+1TB硬盘</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xml:space="preserve">显卡：≥GTX1060 6G </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59</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互动场景开发</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1个场景的开发</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60</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互动平台开发</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包含云平台的开发、管理，H5界面开发、微信端接入和云存储等。</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61</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辅材</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满足手机互动系统使用需求及现场安装条件，含网线、HDMI线、接插件等</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F</w:t>
            </w:r>
          </w:p>
        </w:tc>
        <w:tc>
          <w:tcPr>
            <w:tcW w:w="1676" w:type="dxa"/>
            <w:vAlign w:val="center"/>
          </w:tcPr>
          <w:p>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Live AR增强现实</w:t>
            </w:r>
          </w:p>
        </w:tc>
        <w:tc>
          <w:tcPr>
            <w:tcW w:w="5383" w:type="dxa"/>
            <w:vAlign w:val="center"/>
          </w:tcPr>
          <w:p>
            <w:pPr>
              <w:rPr>
                <w:rFonts w:hint="eastAsia" w:ascii="宋体" w:hAnsi="宋体" w:eastAsia="宋体" w:cs="宋体"/>
                <w:color w:val="000000"/>
                <w:sz w:val="18"/>
                <w:szCs w:val="18"/>
              </w:rPr>
            </w:pPr>
          </w:p>
        </w:tc>
        <w:tc>
          <w:tcPr>
            <w:tcW w:w="442" w:type="dxa"/>
            <w:vAlign w:val="center"/>
          </w:tcPr>
          <w:p>
            <w:pPr>
              <w:jc w:val="center"/>
              <w:rPr>
                <w:rFonts w:hint="eastAsia" w:ascii="宋体" w:hAnsi="宋体" w:eastAsia="宋体" w:cs="宋体"/>
                <w:color w:val="000000"/>
                <w:sz w:val="18"/>
                <w:szCs w:val="18"/>
              </w:rPr>
            </w:pPr>
          </w:p>
        </w:tc>
        <w:tc>
          <w:tcPr>
            <w:tcW w:w="442" w:type="dxa"/>
            <w:vAlign w:val="center"/>
          </w:tcPr>
          <w:p>
            <w:pPr>
              <w:jc w:val="center"/>
              <w:rPr>
                <w:rFonts w:hint="eastAsia" w:ascii="宋体" w:hAnsi="宋体" w:eastAsia="宋体" w:cs="宋体"/>
                <w:color w:val="000000"/>
                <w:sz w:val="18"/>
                <w:szCs w:val="18"/>
              </w:rPr>
            </w:pP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62</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互动服务器</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CPU：≥Intel 酷睿i7-8700；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主板：≥z370P；</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显卡：≥GTX1080；</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电源：≥700W；</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内存：≥16G DDR4；</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固态硬盘：≥SSD256G；</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操作系统：正版windows；</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63</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网络录像机</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分辨率：1080P及以上；</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支持H.265编码码流；</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支持户外防水功能。</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64</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AR平台开发</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含AR平台开发、智能识别、UI设计、交互设计、页面开发和管理系统、支付系统等。</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65</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AR内容制作</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2个AR内容的制作</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66</w:t>
            </w:r>
          </w:p>
        </w:tc>
        <w:tc>
          <w:tcPr>
            <w:tcW w:w="1676"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线辅材</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满足Live AR增强现实系统使用需求及现场安装条件，含网线、HDMI线、接插件等</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vAlign w:val="center"/>
          </w:tcPr>
          <w:p>
            <w:pPr>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G</w:t>
            </w:r>
          </w:p>
        </w:tc>
        <w:tc>
          <w:tcPr>
            <w:tcW w:w="1676" w:type="dxa"/>
            <w:vAlign w:val="center"/>
          </w:tcPr>
          <w:p>
            <w:pP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导演与内容制作编排</w:t>
            </w:r>
          </w:p>
        </w:tc>
        <w:tc>
          <w:tcPr>
            <w:tcW w:w="5383" w:type="dxa"/>
            <w:vAlign w:val="center"/>
          </w:tcPr>
          <w:p>
            <w:pPr>
              <w:rPr>
                <w:rFonts w:hint="eastAsia" w:ascii="宋体" w:hAnsi="宋体" w:eastAsia="宋体" w:cs="宋体"/>
                <w:color w:val="000000"/>
                <w:sz w:val="18"/>
                <w:szCs w:val="18"/>
              </w:rPr>
            </w:pPr>
          </w:p>
        </w:tc>
        <w:tc>
          <w:tcPr>
            <w:tcW w:w="442" w:type="dxa"/>
            <w:vAlign w:val="center"/>
          </w:tcPr>
          <w:p>
            <w:pPr>
              <w:jc w:val="center"/>
              <w:rPr>
                <w:rFonts w:hint="eastAsia" w:ascii="宋体" w:hAnsi="宋体" w:eastAsia="宋体" w:cs="宋体"/>
                <w:color w:val="000000"/>
                <w:sz w:val="18"/>
                <w:szCs w:val="18"/>
              </w:rPr>
            </w:pPr>
          </w:p>
        </w:tc>
        <w:tc>
          <w:tcPr>
            <w:tcW w:w="442" w:type="dxa"/>
            <w:vAlign w:val="center"/>
          </w:tcPr>
          <w:p>
            <w:pPr>
              <w:jc w:val="center"/>
              <w:rPr>
                <w:rFonts w:hint="eastAsia" w:ascii="宋体" w:hAnsi="宋体" w:eastAsia="宋体" w:cs="宋体"/>
                <w:color w:val="000000"/>
                <w:sz w:val="18"/>
                <w:szCs w:val="18"/>
              </w:rPr>
            </w:pP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67</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总导演</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整场秀的视效创意及呈现效果控制，约8分钟</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68</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灯光导演</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整场秀的灯光分布、效果设计，现场配合艺术合成</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69</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音效导演</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整场秀的音效分布、效果设计，现场配合艺术合成</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70</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视频导演</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整场秀的视效分布、效果设计，现场配合艺术合成</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71</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舞美设计</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整场秀的舞美设计</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72</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剧本深化</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文案、文学脚本</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73</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前期场景气氛图绘制</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彩色气氛图</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74</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分镜脚本绘制</w:t>
            </w:r>
          </w:p>
        </w:tc>
        <w:tc>
          <w:tcPr>
            <w:tcW w:w="5383"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分镜脚本绘制</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75</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视频拍制</w:t>
            </w:r>
          </w:p>
        </w:tc>
        <w:tc>
          <w:tcPr>
            <w:tcW w:w="5383"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影片素材拍摄、实景拍摄、绿幕拍摄</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76</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Modelling</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角色模型贴图、场景模型贴图、道具模型贴图设定</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77</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3D Animation</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3D动画制作</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78</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Texture Mapping and Lighting</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材质、灯光制作</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79</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特效制作</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特效制作</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80</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3D FX-Particles</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3D特效粒子制作</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81</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3D Rendering</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3D渲染</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42" w:type="dxa"/>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82</w:t>
            </w:r>
          </w:p>
        </w:tc>
        <w:tc>
          <w:tcPr>
            <w:tcW w:w="1676" w:type="dxa"/>
            <w:shd w:val="clear" w:color="000000" w:fill="FFFFFF"/>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Compositing</w:t>
            </w:r>
          </w:p>
        </w:tc>
        <w:tc>
          <w:tcPr>
            <w:tcW w:w="5383" w:type="dxa"/>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整体合成</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42"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w:t>
            </w:r>
          </w:p>
        </w:tc>
        <w:tc>
          <w:tcPr>
            <w:tcW w:w="669"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442" w:type="dxa"/>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83</w:t>
            </w:r>
          </w:p>
        </w:tc>
        <w:tc>
          <w:tcPr>
            <w:tcW w:w="1676" w:type="dxa"/>
            <w:shd w:val="clear" w:color="000000" w:fill="FFFFFF"/>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Music Sounds Effects 音乐、音效、配音</w:t>
            </w:r>
          </w:p>
        </w:tc>
        <w:tc>
          <w:tcPr>
            <w:tcW w:w="5383"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音效制作</w:t>
            </w:r>
          </w:p>
        </w:tc>
        <w:tc>
          <w:tcPr>
            <w:tcW w:w="44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44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项</w:t>
            </w:r>
          </w:p>
        </w:tc>
        <w:tc>
          <w:tcPr>
            <w:tcW w:w="669"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否</w:t>
            </w:r>
          </w:p>
        </w:tc>
      </w:tr>
    </w:tbl>
    <w:p>
      <w:pPr>
        <w:spacing w:line="360" w:lineRule="auto"/>
        <w:ind w:firstLine="482" w:firstLineChars="200"/>
        <w:contextualSpacing/>
        <w:rPr>
          <w:rFonts w:hint="eastAsia"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rPr>
      </w:pPr>
      <w:r>
        <w:rPr>
          <w:rFonts w:hint="eastAsia" w:ascii="宋体" w:hAnsi="宋体" w:cs="微软雅黑"/>
          <w:b/>
          <w:color w:val="auto"/>
          <w:sz w:val="24"/>
          <w:szCs w:val="24"/>
        </w:rPr>
        <w:t>★三</w:t>
      </w:r>
      <w:r>
        <w:rPr>
          <w:rFonts w:hint="eastAsia" w:ascii="宋体" w:hAnsi="宋体" w:cs="微软雅黑"/>
          <w:b/>
          <w:color w:val="auto"/>
          <w:sz w:val="24"/>
          <w:szCs w:val="24"/>
          <w:lang w:eastAsia="zh-CN"/>
        </w:rPr>
        <w:t>、</w:t>
      </w:r>
      <w:r>
        <w:rPr>
          <w:rFonts w:hint="eastAsia" w:ascii="宋体" w:hAnsi="宋体" w:cs="微软雅黑"/>
          <w:b/>
          <w:color w:val="auto"/>
          <w:sz w:val="24"/>
          <w:szCs w:val="24"/>
        </w:rPr>
        <w:t>采购标的执行标准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（1）设计及所有系统设备供应以及</w:t>
      </w:r>
      <w:r>
        <w:rPr>
          <w:rFonts w:hint="eastAsia" w:ascii="宋体" w:hAnsi="宋体" w:cs="宋体"/>
          <w:color w:val="auto"/>
          <w:kern w:val="0"/>
          <w:sz w:val="24"/>
          <w:szCs w:val="24"/>
          <w:lang w:val="zh-CN"/>
        </w:rPr>
        <w:t>均需满足（但不限于）下表中的国家标准和规范。</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序号规范名称规范编号</w:t>
      </w:r>
      <w:bookmarkStart w:id="9" w:name="_GoBack"/>
      <w:bookmarkEnd w:id="9"/>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1)工业金属管道工程实施规范GB 50235-2010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2)风机、压缩机、泵安装工程实施及验收规范GB 50275-2010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3)给水排水管道工程施工及验收规范GB 50268-2008</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4)电气技术用文件的编制第1 部分：规则GB/T 6988.1-2008</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5)电气简图用图形符号GB/T4728-2008</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6)低压成套开关设备和控制设备GB 7251-2005</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7)电气装置安装工程低压电气施工及验收规范GB 50254-2014</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8)民用建筑电气设计规范JGJ16-2008</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9)建筑电气工程施工质量验收规范GB50303-2002</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10)电气装置安装工程接地装置施工及验收规范GB50169-2006</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11)电力工程电缆设计规范GB50217/2007</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12)施工现场临时用电安全技术规范JGJ 46-2005</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 xml:space="preserve">13)机械设备安装工程施工及验收通用规范GB50231-2009 </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14)建筑照明设计标准GB 50034-2013</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15)民用建筑电气设计规范JGJ16-2008</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16)“国际照明委员会”（CIE）制定的行业标准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17)建筑设计防火规范GB 50016-2006</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18)电气装置安装工程接地装置施工及验收规范GB 50169-2006</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19)电气照明和类似设备的无线电骚扰特性的限值和测量方法GB 17743-2007</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20)投光照明灯具光度测试GB/T7002-2008</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21)灯具第2-19 部分：特殊要求通风式灯具GB 7000.219-2008</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22)声系统设备第11 部分：声系统设备互连用连接器的应用GB/T12060.11-2012</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23)综合布线系统工程设计规范GB 50311-2007</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24)声系统设备互联的优选配接值GB/T14197-93</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25)声环境质量标准GB 3096-2008</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26)公共广播系统工程技术规范GB 50526-2010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27)民用建筑电气设计规范JGJ16-2008</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28)扩声系统的图符代号及制图规则WHT 19-2003</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29)演出场所扩声系统的声学特性指标WH/T18-2003</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30)专业音频和扩声用扬声器组件实用规范WH/T 39-2009</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上述标准和规范如有不完善或其版本已重新修订时，应使系统的设计、施工以及选用的设备和材料符合最新版本的国际和中国国家标准、规范，并提供采用的国家和国际标准、规范以及所采用的版本的有关技术资料。</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对国家规定有强制性规范或条例或认证要求的设备或材料，还须符合相应要求。</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w:t>
      </w:r>
      <w:r>
        <w:rPr>
          <w:rFonts w:hint="eastAsia" w:ascii="宋体" w:hAnsi="宋体" w:cs="仿宋_GB2312"/>
          <w:sz w:val="24"/>
          <w:szCs w:val="24"/>
          <w:lang w:val="en-US" w:eastAsia="zh-CN"/>
        </w:rPr>
        <w:t>2</w:t>
      </w:r>
      <w:r>
        <w:rPr>
          <w:rFonts w:hint="eastAsia" w:ascii="宋体" w:hAnsi="宋体" w:cs="仿宋_GB2312"/>
          <w:sz w:val="24"/>
          <w:szCs w:val="24"/>
          <w:lang w:val="zh-CN"/>
        </w:rPr>
        <w:t>）</w:t>
      </w:r>
      <w:r>
        <w:rPr>
          <w:rFonts w:ascii="宋体" w:hAnsi="宋体" w:cs="仿宋_GB2312"/>
          <w:sz w:val="24"/>
          <w:szCs w:val="24"/>
          <w:lang w:val="zh-CN"/>
        </w:rPr>
        <w:t>强制性产品认证</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rPr>
        <w:t>（</w:t>
      </w:r>
      <w:r>
        <w:rPr>
          <w:rFonts w:hint="eastAsia" w:ascii="宋体" w:hAnsi="宋体" w:cs="仿宋_GB2312"/>
          <w:sz w:val="24"/>
          <w:szCs w:val="24"/>
          <w:lang w:val="en-US" w:eastAsia="zh-CN"/>
        </w:rPr>
        <w:t>3</w:t>
      </w:r>
      <w:r>
        <w:rPr>
          <w:rFonts w:hint="eastAsia" w:ascii="宋体" w:hAnsi="宋体" w:cs="仿宋_GB2312"/>
          <w:sz w:val="24"/>
          <w:szCs w:val="24"/>
          <w:lang w:val="zh-CN"/>
        </w:rPr>
        <w:t>）</w:t>
      </w:r>
      <w:r>
        <w:rPr>
          <w:rFonts w:hint="eastAsia" w:ascii="宋体" w:hAnsi="宋体" w:cs="仿宋_GB2312"/>
          <w:sz w:val="24"/>
          <w:szCs w:val="24"/>
          <w:lang w:val="en-US" w:eastAsia="zh-CN"/>
        </w:rPr>
        <w:t>政府强制采购的节能产品</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eastAsia="zh-CN"/>
        </w:rPr>
        <w:t xml:space="preserve"> 如采购人所采购产品为政府强制采购的节能产品，投标人所投产品的品牌及型号必须为《节能产品政府采购清单（投标截止时间前最新一期）》中的产品，并提供证明文件，否则其投标将被拒绝。</w:t>
      </w:r>
    </w:p>
    <w:p>
      <w:pPr>
        <w:widowControl/>
        <w:shd w:val="clear" w:color="auto" w:fill="FFFFFF"/>
        <w:spacing w:line="360" w:lineRule="auto"/>
        <w:ind w:firstLine="482" w:firstLineChars="200"/>
        <w:contextualSpacing/>
        <w:jc w:val="left"/>
        <w:rPr>
          <w:rFonts w:hint="eastAsia"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四、服务标准、期限、效率等其他要求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1.中标单位中标后要求：中标单位中标后要向甲方（业主）缴纳履约保证金。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（1）缴纳金额：按中标价的3%收取履约保证金；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（2）缴纳方式：银行保函</w:t>
      </w:r>
    </w:p>
    <w:p>
      <w:pPr>
        <w:widowControl/>
        <w:shd w:val="clear" w:color="auto" w:fill="FFFFFF"/>
        <w:spacing w:line="360" w:lineRule="auto"/>
        <w:ind w:firstLine="480" w:firstLineChars="200"/>
        <w:contextualSpacing/>
        <w:jc w:val="left"/>
        <w:rPr>
          <w:rFonts w:hint="eastAsia" w:ascii="宋体" w:hAnsi="宋体" w:cs="微软雅黑"/>
          <w:b/>
          <w:color w:val="auto"/>
          <w:sz w:val="24"/>
          <w:szCs w:val="24"/>
        </w:rPr>
      </w:pPr>
      <w:r>
        <w:rPr>
          <w:rFonts w:hint="eastAsia" w:ascii="宋体" w:hAnsi="宋体" w:cs="宋体"/>
          <w:color w:val="auto"/>
          <w:kern w:val="0"/>
          <w:sz w:val="24"/>
          <w:szCs w:val="24"/>
          <w:lang w:val="zh-CN"/>
        </w:rPr>
        <w:t>2.售后服务要求：投标人须对售后服务期限等做出承诺。</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由采购人成立验收小组,按照采购合同的约定对中标人履约情况进行验收。验收时,按照采购合同的约定对每一项技术、服务、安全标准的履约情况进行确认。验收结束后,出具验收合格书。</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val="zh-CN"/>
        </w:rPr>
        <w:t>按照招标文件要求、投标文件响应和承诺的内容，对本次采购的内容进行验收。</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eastAsia="宋体" w:cs="黑体"/>
          <w:b/>
          <w:bCs/>
          <w:color w:val="auto"/>
          <w:shd w:val="clear" w:color="auto" w:fill="FFFFFF"/>
          <w:lang w:eastAsia="zh-CN"/>
        </w:rPr>
        <w:t>六</w:t>
      </w:r>
      <w:r>
        <w:rPr>
          <w:rFonts w:hint="eastAsia" w:ascii="宋体" w:hAnsi="宋体" w:eastAsia="宋体" w:cs="黑体"/>
          <w:b/>
          <w:bCs/>
          <w:color w:val="auto"/>
          <w:shd w:val="clear" w:color="auto" w:fill="FFFFFF"/>
        </w:rPr>
        <w:t>、本项目预算金额16906411元。最高限价16906411</w:t>
      </w:r>
      <w:r>
        <w:rPr>
          <w:rFonts w:hint="eastAsia" w:ascii="宋体" w:hAnsi="宋体" w:eastAsia="宋体" w:cs="宋体"/>
          <w:b/>
          <w:color w:val="auto"/>
          <w:kern w:val="0"/>
          <w:lang w:val="zh-CN"/>
        </w:rPr>
        <w:t>元。超出最高限价的投标无效。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val="zh-CN"/>
        </w:rPr>
        <w:t>支付方式：银行转帐</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val="zh-CN"/>
        </w:rPr>
        <w:t>支付时间及条件</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（1）主要设备进场后3日内并经监理单位或甲方确认后，甲方向乙方支付合同总额的50%；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（2）所有设备安装调试完成后，甲方向乙方支付至合同总额的80%；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（3）完成首演或竣工验收合格后甲方向乙方支付至合同总额的85%；</w:t>
      </w:r>
    </w:p>
    <w:p>
      <w:pPr>
        <w:widowControl/>
        <w:shd w:val="clear" w:color="auto" w:fill="FFFFFF"/>
        <w:spacing w:line="360" w:lineRule="auto"/>
        <w:ind w:firstLine="480" w:firstLineChars="200"/>
        <w:contextualSpacing/>
        <w:jc w:val="left"/>
        <w:rPr>
          <w:rFonts w:ascii="宋体" w:hAnsi="宋体" w:cs="黑体"/>
          <w:color w:val="0000FF"/>
          <w:kern w:val="0"/>
          <w:sz w:val="24"/>
          <w:szCs w:val="24"/>
          <w:lang w:val="zh-CN"/>
        </w:rPr>
      </w:pPr>
      <w:r>
        <w:rPr>
          <w:rFonts w:hint="eastAsia" w:ascii="宋体" w:hAnsi="宋体" w:cs="宋体"/>
          <w:color w:val="auto"/>
          <w:kern w:val="0"/>
          <w:sz w:val="24"/>
          <w:szCs w:val="24"/>
          <w:lang w:val="zh-CN"/>
        </w:rPr>
        <w:t>（4）完成结算手续后，甲方向乙方支付至结算总价的97%，余下的3%作为质量保证金于保修期（两年）满后30天内支付完毕。</w:t>
      </w: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项目名称：</w:t>
            </w:r>
            <w:r>
              <w:rPr>
                <w:rFonts w:hint="eastAsia" w:ascii="宋体" w:hAnsi="宋体" w:cs="仿宋_GB2312"/>
                <w:color w:val="auto"/>
                <w:sz w:val="24"/>
                <w:szCs w:val="24"/>
                <w:lang w:eastAsia="zh-CN"/>
              </w:rPr>
              <w:t>曹魏古城南城门主题空间秀</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项目编号：魏都区政府采购中心 WZCG-G201801</w:t>
            </w:r>
            <w:r>
              <w:rPr>
                <w:rFonts w:hint="eastAsia" w:ascii="宋体" w:hAnsi="宋体" w:cs="仿宋_GB2312"/>
                <w:color w:val="auto"/>
                <w:sz w:val="24"/>
                <w:szCs w:val="24"/>
                <w:lang w:val="en-US" w:eastAsia="zh-CN"/>
              </w:rPr>
              <w:t>1</w:t>
            </w:r>
            <w:r>
              <w:rPr>
                <w:rFonts w:hint="eastAsia" w:ascii="宋体" w:hAnsi="宋体" w:cs="仿宋_GB2312"/>
                <w:color w:val="auto"/>
                <w:sz w:val="24"/>
                <w:szCs w:val="24"/>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          许昌市公共资源交易中心 JZFCG-G2018</w:t>
            </w:r>
            <w:r>
              <w:rPr>
                <w:rFonts w:hint="eastAsia" w:ascii="宋体" w:hAnsi="宋体" w:cs="仿宋_GB2312"/>
                <w:color w:val="auto"/>
                <w:sz w:val="24"/>
                <w:szCs w:val="24"/>
                <w:lang w:val="en-US" w:eastAsia="zh-CN"/>
              </w:rPr>
              <w:t>127</w:t>
            </w:r>
            <w:r>
              <w:rPr>
                <w:rFonts w:hint="eastAsia" w:ascii="宋体" w:hAnsi="宋体" w:cs="仿宋_GB2312"/>
                <w:color w:val="auto"/>
                <w:sz w:val="24"/>
                <w:szCs w:val="24"/>
              </w:rPr>
              <w:t xml:space="preserve">号  </w:t>
            </w:r>
          </w:p>
          <w:p>
            <w:pPr>
              <w:autoSpaceDE w:val="0"/>
              <w:autoSpaceDN w:val="0"/>
              <w:adjustRightInd w:val="0"/>
              <w:spacing w:line="360" w:lineRule="auto"/>
              <w:jc w:val="lef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项目内容：曹魏古城南城门主题空间秀</w:t>
            </w:r>
            <w:r>
              <w:rPr>
                <w:rFonts w:hint="eastAsia" w:ascii="宋体" w:hAnsi="宋体" w:cs="仿宋_GB2312"/>
                <w:color w:val="auto"/>
                <w:sz w:val="24"/>
                <w:szCs w:val="24"/>
                <w:lang w:eastAsia="zh-CN"/>
              </w:rPr>
              <w:t>相关采购</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项目地址：许昌市曹魏古城南城门内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采购人：许昌市曹魏古城开发建设有限公司</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 址：许昌市劳动路1012号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联系人：李晶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联系人：张良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eastAsia" w:ascii="宋体" w:hAnsi="宋体" w:cs="宋体"/>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pStyle w:val="36"/>
              <w:widowControl/>
              <w:shd w:val="clear" w:color="auto" w:fill="FFFFFF"/>
              <w:spacing w:line="360" w:lineRule="auto"/>
              <w:contextualSpacing/>
              <w:jc w:val="left"/>
              <w:rPr>
                <w:rFonts w:hint="eastAsia" w:ascii="宋体" w:hAnsi="宋体" w:eastAsia="宋体" w:cs="仿宋_GB2312"/>
                <w:b/>
                <w:color w:val="auto"/>
                <w:kern w:val="2"/>
                <w:sz w:val="24"/>
                <w:szCs w:val="24"/>
                <w:shd w:val="clear" w:color="auto" w:fill="FFFFFF"/>
                <w:lang w:val="en-US" w:eastAsia="zh-CN" w:bidi="ar-SA"/>
              </w:rPr>
            </w:pPr>
            <w:r>
              <w:rPr>
                <w:rFonts w:hint="eastAsia" w:ascii="宋体" w:hAnsi="宋体" w:eastAsia="宋体" w:cs="仿宋_GB2312"/>
                <w:b/>
                <w:color w:val="auto"/>
                <w:kern w:val="2"/>
                <w:sz w:val="24"/>
                <w:szCs w:val="24"/>
                <w:shd w:val="clear" w:color="auto" w:fill="FFFFFF"/>
                <w:lang w:val="en-US" w:eastAsia="zh-CN" w:bidi="ar-SA"/>
              </w:rPr>
              <w:t>七、供应商须具有住房和城乡建设行政主管部门核发的电子与智能化工程专业承包二级资质（含二级）。</w:t>
            </w:r>
          </w:p>
          <w:p>
            <w:pPr>
              <w:pStyle w:val="36"/>
              <w:widowControl/>
              <w:shd w:val="clear" w:color="auto" w:fill="FFFFFF"/>
              <w:spacing w:line="360" w:lineRule="auto"/>
              <w:contextualSpacing/>
              <w:jc w:val="left"/>
              <w:rPr>
                <w:rFonts w:ascii="宋体" w:hAnsi="宋体" w:eastAsia="宋体" w:cs="仿宋_GB2312"/>
                <w:b/>
                <w:color w:val="auto"/>
                <w:kern w:val="2"/>
                <w:sz w:val="24"/>
                <w:szCs w:val="24"/>
                <w:shd w:val="clear" w:color="auto" w:fill="FFFFFF"/>
                <w:lang w:val="zh-CN" w:eastAsia="zh-CN" w:bidi="ar-SA"/>
              </w:rPr>
            </w:pPr>
            <w:r>
              <w:rPr>
                <w:rFonts w:hint="eastAsia" w:ascii="宋体" w:hAnsi="宋体" w:eastAsia="宋体" w:cs="仿宋_GB2312"/>
                <w:b/>
                <w:color w:val="auto"/>
                <w:kern w:val="2"/>
                <w:sz w:val="24"/>
                <w:szCs w:val="24"/>
                <w:shd w:val="clear" w:color="auto" w:fill="FFFFFF"/>
                <w:lang w:val="en-US" w:eastAsia="zh-CN" w:bidi="ar-SA"/>
              </w:rPr>
              <w:t>八、供应商须具有《中国演艺设备技术协会》颁发的专业灯光壹级资质证书。</w:t>
            </w:r>
          </w:p>
          <w:p>
            <w:pPr>
              <w:pStyle w:val="36"/>
              <w:widowControl/>
              <w:shd w:val="clear" w:color="auto" w:fill="FFFFFF"/>
              <w:spacing w:line="360" w:lineRule="auto"/>
              <w:ind w:firstLine="482" w:firstLineChars="200"/>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九、</w:t>
            </w:r>
            <w:r>
              <w:rPr>
                <w:rFonts w:ascii="宋体" w:hAnsi="宋体" w:cs="仿宋_GB2312"/>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中国政府采购网</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 xml:space="preserve"> (www.ccgp.gov.cn)政府采购严重违法失信行为记录名单的投标人</w:t>
            </w:r>
            <w:r>
              <w:rPr>
                <w:rFonts w:hint="eastAsia" w:ascii="宋体" w:hAnsi="宋体" w:cs="仿宋_GB2312"/>
                <w:b/>
                <w:color w:val="auto"/>
                <w:sz w:val="24"/>
                <w:szCs w:val="24"/>
                <w:shd w:val="clear" w:color="auto" w:fill="FFFFFF"/>
                <w:lang w:eastAsia="zh-CN"/>
              </w:rPr>
              <w:t>；</w:t>
            </w:r>
            <w:r>
              <w:rPr>
                <w:rFonts w:hint="eastAsia" w:ascii="宋体" w:hAnsi="宋体" w:eastAsia="宋体" w:cs="仿宋_GB2312"/>
                <w:b/>
                <w:bCs/>
                <w:color w:val="auto"/>
                <w:shd w:val="clear" w:color="auto" w:fill="FFFFFF"/>
              </w:rPr>
              <w:t>“国家企业信用公示系统”网站（www.gsxt.gov.cn）严重违法失信企业名单（黑名单）的投标人</w:t>
            </w:r>
            <w:r>
              <w:rPr>
                <w:rFonts w:hint="eastAsia" w:ascii="宋体" w:hAnsi="宋体" w:cs="宋体"/>
                <w:b/>
                <w:bCs/>
                <w:color w:val="auto"/>
                <w:sz w:val="24"/>
                <w:szCs w:val="24"/>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和</w:t>
            </w:r>
            <w:r>
              <w:rPr>
                <w:rFonts w:hint="eastAsia" w:ascii="宋体" w:hAnsi="宋体" w:eastAsia="宋体" w:cs="仿宋_GB2312"/>
                <w:color w:val="auto"/>
                <w:shd w:val="clear" w:color="auto" w:fill="FFFFFF"/>
              </w:rPr>
              <w:t>“国家企业信用公示系统”网站（www.gsxt.gov.cn）</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zh-CN"/>
              </w:rPr>
              <w:t xml:space="preserve">          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1</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8</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w:t>
            </w:r>
            <w:r>
              <w:rPr>
                <w:rFonts w:hint="eastAsia" w:ascii="宋体" w:hAnsi="宋体" w:cs="宋体"/>
                <w:bCs/>
                <w:color w:val="auto"/>
                <w:sz w:val="24"/>
                <w:szCs w:val="24"/>
                <w:lang w:val="zh-CN"/>
              </w:rPr>
              <w:t xml:space="preserve">楼开标 </w:t>
            </w:r>
            <w:r>
              <w:rPr>
                <w:rFonts w:hint="eastAsia" w:ascii="宋体" w:hAnsi="宋体" w:cs="宋体"/>
                <w:bCs/>
                <w:color w:val="auto"/>
                <w:sz w:val="24"/>
                <w:szCs w:val="24"/>
                <w:lang w:val="en-US" w:eastAsia="zh-CN"/>
              </w:rPr>
              <w:t>5</w:t>
            </w:r>
            <w:r>
              <w:rPr>
                <w:rFonts w:hint="eastAsia" w:ascii="宋体" w:hAnsi="宋体" w:cs="宋体"/>
                <w:bCs/>
                <w:color w:val="auto"/>
                <w:sz w:val="24"/>
                <w:szCs w:val="24"/>
                <w:lang w:val="zh-CN"/>
              </w:rPr>
              <w:t xml:space="preserve"> 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14</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金额：叁拾叁万元整（¥</w:t>
            </w:r>
            <w:r>
              <w:rPr>
                <w:rFonts w:hint="eastAsia" w:ascii="宋体" w:hAnsi="宋体" w:cs="仿宋_GB2312"/>
                <w:color w:val="auto"/>
                <w:sz w:val="24"/>
                <w:szCs w:val="24"/>
                <w:lang w:val="en-US" w:eastAsia="zh-CN"/>
              </w:rPr>
              <w:t>330000元</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lang w:val="zh-CN"/>
              </w:rPr>
              <w:t>http://221.14.6.70:8088/ggzy</w:t>
            </w:r>
            <w:r>
              <w:rPr>
                <w:rFonts w:hint="eastAsia"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15</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u w:val="single"/>
                <w:lang w:eastAsia="zh-CN"/>
              </w:rPr>
              <w:t>三</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19</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20</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5"/>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41"/>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自采购合同签订之日起</w:t>
      </w:r>
      <w:r>
        <w:rPr>
          <w:rFonts w:ascii="宋体" w:hAnsi="宋体" w:cs="仿宋_GB2312"/>
          <w:sz w:val="24"/>
          <w:szCs w:val="24"/>
          <w:lang w:val="zh-CN"/>
        </w:rPr>
        <w:t>5</w:t>
      </w:r>
      <w:r>
        <w:rPr>
          <w:rFonts w:hint="eastAsia" w:ascii="宋体" w:hAnsi="宋体" w:cs="仿宋_GB2312"/>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sz w:val="24"/>
          <w:szCs w:val="24"/>
          <w:lang w:eastAsia="zh-CN"/>
        </w:rPr>
        <w:t>一</w:t>
      </w:r>
      <w:r>
        <w:rPr>
          <w:rFonts w:hint="eastAsia" w:ascii="宋体" w:hAnsi="宋体" w:cs="仿宋_GB2312"/>
          <w:sz w:val="24"/>
          <w:szCs w:val="24"/>
        </w:rPr>
        <w:t>楼交易见证部办理退款手续（0374-2968027）。</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17.3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30.1.1 未按照招标文件的规定提交投标保证金的；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30.5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31.</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32</w:t>
      </w:r>
      <w:r>
        <w:rPr>
          <w:rFonts w:hint="eastAsia" w:ascii="宋体" w:hAnsi="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33</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4</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8</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39.</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39.1.2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41.履约保证金</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29"/>
        <w:spacing w:line="360" w:lineRule="auto"/>
        <w:ind w:firstLine="480" w:firstLineChars="200"/>
        <w:contextualSpacing/>
        <w:rPr>
          <w:rFonts w:ascii="宋体" w:hAnsi="宋体" w:eastAsia="宋体" w:cs="仿宋_GB2312"/>
          <w:szCs w:val="24"/>
        </w:rPr>
      </w:pPr>
      <w:r>
        <w:rPr>
          <w:rFonts w:hint="eastAsia" w:ascii="宋体" w:hAnsi="宋体" w:eastAsia="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szCs w:val="24"/>
        </w:rPr>
        <w:t>并加盖投标人公章的原件扫描件（或图片）</w:t>
      </w:r>
      <w:r>
        <w:rPr>
          <w:rFonts w:hint="eastAsia" w:ascii="宋体" w:hAnsi="宋体" w:eastAsia="宋体" w:cs="仿宋_GB2312"/>
          <w:szCs w:val="24"/>
          <w:lang w:val="zh-CN"/>
        </w:rPr>
        <w:t>。投标人所投其他产品若属于“节能产品政府采购清单”优先采购产品，在同等条件下，优先采购清单中的产品。</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29"/>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29"/>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29"/>
        <w:spacing w:line="360" w:lineRule="auto"/>
        <w:contextualSpacing/>
        <w:rPr>
          <w:rFonts w:ascii="宋体" w:hAnsi="宋体" w:cs="仿宋_GB2312"/>
          <w:lang w:val="zh-CN"/>
        </w:rPr>
      </w:pPr>
    </w:p>
    <w:p>
      <w:pPr>
        <w:pStyle w:val="29"/>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（1）2016年度经审计的财务报告，包括资产负债表、利润表、现金流量表、所有者权益变动表及其附注；</w:t>
            </w:r>
            <w:r>
              <w:rPr>
                <w:rFonts w:hint="eastAsia" w:ascii="宋体" w:hAnsi="宋体"/>
                <w:bCs/>
                <w:color w:val="FF0000"/>
                <w:sz w:val="24"/>
                <w:szCs w:val="24"/>
              </w:rPr>
              <w:t>或</w:t>
            </w:r>
            <w:r>
              <w:rPr>
                <w:rFonts w:hint="eastAsia" w:ascii="宋体" w:hAnsi="宋体"/>
                <w:bCs/>
                <w:sz w:val="24"/>
                <w:szCs w:val="24"/>
              </w:rPr>
              <w:t>基本开户银行出具的资信证明；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w:t>
            </w:r>
            <w:r>
              <w:rPr>
                <w:rFonts w:hint="eastAsia" w:ascii="宋体" w:hAnsi="宋体"/>
                <w:bCs/>
                <w:color w:val="FF0000"/>
                <w:sz w:val="24"/>
                <w:szCs w:val="24"/>
              </w:rPr>
              <w:t>或者</w:t>
            </w:r>
            <w:r>
              <w:rPr>
                <w:rFonts w:hint="eastAsia" w:ascii="宋体" w:hAnsi="宋体"/>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36"/>
              <w:widowControl/>
              <w:shd w:val="clear" w:color="auto" w:fill="FFFFFF"/>
              <w:spacing w:line="360" w:lineRule="auto"/>
              <w:contextualSpacing/>
              <w:jc w:val="left"/>
              <w:rPr>
                <w:rFonts w:hint="eastAsia" w:ascii="宋体" w:hAnsi="宋体" w:eastAsia="宋体" w:cs="仿宋_GB2312"/>
                <w:b/>
                <w:color w:val="000000"/>
                <w:kern w:val="2"/>
                <w:sz w:val="24"/>
                <w:szCs w:val="24"/>
                <w:shd w:val="clear" w:color="auto" w:fill="FFFFFF"/>
                <w:lang w:val="en-US" w:eastAsia="zh-CN" w:bidi="ar-SA"/>
              </w:rPr>
            </w:pPr>
            <w:r>
              <w:rPr>
                <w:rFonts w:hint="eastAsia" w:ascii="宋体" w:hAnsi="宋体" w:eastAsia="宋体" w:cs="仿宋_GB2312"/>
                <w:b/>
                <w:color w:val="000000"/>
                <w:kern w:val="2"/>
                <w:sz w:val="24"/>
                <w:szCs w:val="24"/>
                <w:shd w:val="clear" w:color="auto" w:fill="FFFFFF"/>
                <w:lang w:val="en-US" w:eastAsia="zh-CN" w:bidi="ar-SA"/>
              </w:rPr>
              <w:t>8、供应商须具有住房和城乡建设行政主管部门核发的电子与智能化工程专业承包二级资质（含二级）。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cs="仿宋_GB2312"/>
                <w:b/>
                <w:color w:val="000000"/>
                <w:sz w:val="24"/>
                <w:szCs w:val="24"/>
                <w:shd w:val="clear" w:color="auto" w:fill="FFFFFF"/>
              </w:rPr>
            </w:pPr>
            <w:r>
              <w:rPr>
                <w:rFonts w:hint="eastAsia" w:ascii="宋体" w:hAnsi="宋体" w:cs="仿宋_GB2312"/>
                <w:b/>
                <w:color w:val="000000"/>
                <w:sz w:val="24"/>
                <w:szCs w:val="24"/>
                <w:shd w:val="clear" w:color="auto" w:fill="FFFFFF"/>
                <w:lang w:val="en-US" w:eastAsia="zh-CN"/>
              </w:rPr>
              <w:t>9、</w:t>
            </w:r>
            <w:r>
              <w:rPr>
                <w:rFonts w:hint="eastAsia" w:ascii="宋体" w:hAnsi="宋体" w:cs="仿宋_GB2312"/>
                <w:b/>
                <w:color w:val="000000"/>
                <w:sz w:val="24"/>
                <w:szCs w:val="24"/>
                <w:shd w:val="clear" w:color="auto" w:fill="FFFFFF"/>
              </w:rPr>
              <w:t>供应商须具有《中国演艺设备技术协会》颁发的专业灯光壹级资质证书。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w:t>
            </w:r>
            <w:r>
              <w:rPr>
                <w:rFonts w:ascii="宋体" w:hAnsi="宋体"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000000"/>
                <w:shd w:val="clear" w:color="auto" w:fill="FFFFFF"/>
              </w:rPr>
              <w:t>“</w:t>
            </w:r>
            <w:r>
              <w:rPr>
                <w:rFonts w:ascii="宋体" w:hAnsi="宋体" w:cs="仿宋_GB2312"/>
                <w:b/>
                <w:color w:val="000000"/>
                <w:sz w:val="24"/>
                <w:szCs w:val="24"/>
                <w:shd w:val="clear" w:color="auto" w:fill="FFFFFF"/>
              </w:rPr>
              <w:t>中国政府采购网</w:t>
            </w:r>
            <w:r>
              <w:rPr>
                <w:rFonts w:hint="eastAsia" w:ascii="宋体" w:hAnsi="宋体" w:cs="仿宋_GB2312"/>
                <w:b/>
                <w:color w:val="000000"/>
                <w:shd w:val="clear" w:color="auto" w:fill="FFFFFF"/>
              </w:rPr>
              <w:t>”</w:t>
            </w:r>
            <w:r>
              <w:rPr>
                <w:rFonts w:ascii="宋体" w:hAnsi="宋体" w:cs="仿宋_GB2312"/>
                <w:b/>
                <w:color w:val="000000"/>
                <w:shd w:val="clear" w:color="auto" w:fill="FFFFFF"/>
              </w:rPr>
              <w:t xml:space="preserve"> </w:t>
            </w:r>
            <w:r>
              <w:rPr>
                <w:rFonts w:ascii="宋体" w:hAnsi="宋体" w:cs="仿宋_GB2312"/>
                <w:b/>
                <w:color w:val="000000"/>
                <w:sz w:val="24"/>
                <w:szCs w:val="24"/>
                <w:shd w:val="clear" w:color="auto" w:fill="FFFFFF"/>
              </w:rPr>
              <w:t>(www.ccgp.gov.cn)政府采购严重违法失信行为记录名单的投标人</w:t>
            </w:r>
            <w:r>
              <w:rPr>
                <w:rFonts w:hint="eastAsia" w:ascii="宋体" w:hAnsi="宋体"/>
                <w:b/>
                <w:bCs/>
                <w:sz w:val="24"/>
                <w:szCs w:val="24"/>
              </w:rPr>
              <w:t>。</w:t>
            </w:r>
          </w:p>
          <w:p>
            <w:pPr>
              <w:spacing w:line="360" w:lineRule="auto"/>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lang w:val="en-US" w:eastAsia="zh-CN"/>
              </w:rPr>
              <w:t>11</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3</w:t>
            </w:r>
            <w:r>
              <w:rPr>
                <w:rFonts w:hint="eastAsia" w:ascii="宋体" w:hAnsi="宋体"/>
                <w:b/>
                <w:sz w:val="24"/>
                <w:szCs w:val="24"/>
              </w:rPr>
              <w:t>、投标保证金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4</w:t>
            </w:r>
            <w:r>
              <w:rPr>
                <w:rFonts w:hint="eastAsia" w:ascii="宋体" w:hAnsi="宋体"/>
                <w:b/>
                <w:sz w:val="24"/>
                <w:szCs w:val="24"/>
              </w:rPr>
              <w:t>、法定代表人身份证明或提供法定代表人授权委托书及被授权人身份证明。</w:t>
            </w:r>
          </w:p>
        </w:tc>
      </w:tr>
    </w:tbl>
    <w:p>
      <w:pPr>
        <w:pStyle w:val="29"/>
        <w:spacing w:line="360" w:lineRule="auto"/>
        <w:ind w:firstLine="482" w:firstLineChars="200"/>
        <w:contextualSpacing/>
        <w:rPr>
          <w:rFonts w:ascii="宋体" w:hAnsi="宋体" w:eastAsia="宋体" w:cs="仿宋_GB2312"/>
          <w:b/>
          <w:szCs w:val="24"/>
          <w:lang w:val="zh-CN"/>
        </w:rPr>
      </w:pPr>
    </w:p>
    <w:p>
      <w:pPr>
        <w:pStyle w:val="29"/>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本项目采用综合评分法。总分为100分。</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29"/>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29"/>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29"/>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29"/>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29"/>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9"/>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29"/>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pStyle w:val="2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（1）价格分计算</w:t>
      </w:r>
    </w:p>
    <w:p>
      <w:pPr>
        <w:pStyle w:val="29"/>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9"/>
        <w:spacing w:line="360" w:lineRule="auto"/>
        <w:ind w:firstLine="480" w:firstLineChars="200"/>
        <w:contextualSpacing/>
        <w:rPr>
          <w:rFonts w:ascii="宋体" w:hAnsi="宋体" w:eastAsia="宋体"/>
          <w:color w:val="000000"/>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Cs w:val="24"/>
        </w:rPr>
        <w:t>残疾人福利性单位属于小型、微型企业的，不重复享受政策。</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b/>
          <w:color w:val="000000"/>
          <w:szCs w:val="24"/>
        </w:rPr>
        <w:t>（2）强制采购节能产品和优先采购节能产品、优先采购环保产品</w:t>
      </w:r>
    </w:p>
    <w:p>
      <w:pPr>
        <w:pStyle w:val="29"/>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1）对《节能产品政府采购清单》所列的政府强制采购节能产品</w:t>
      </w:r>
      <w:r>
        <w:rPr>
          <w:rFonts w:hint="eastAsia" w:ascii="宋体" w:hAnsi="宋体" w:eastAsia="宋体" w:cs="仿宋_GB2312"/>
          <w:szCs w:val="24"/>
        </w:rPr>
        <w:t>，</w:t>
      </w:r>
      <w:r>
        <w:rPr>
          <w:rFonts w:hint="eastAsia" w:ascii="宋体" w:hAnsi="宋体" w:eastAsia="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29"/>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投标人所投其他产品若属于“节能产品政府采购清单”优先采购产品，</w:t>
      </w:r>
      <w:r>
        <w:rPr>
          <w:rFonts w:hint="eastAsia" w:ascii="宋体" w:hAnsi="宋体" w:cs="仿宋_GB2312"/>
          <w:szCs w:val="24"/>
          <w:lang w:val="zh-CN"/>
        </w:rPr>
        <w:t>投标文件中须提供最新一期《节能产品政府采购清单》中产品所在页并加盖投标人公章的原件扫描件（或图片），评标委员会根据本项目评标标准予以判定并赋分。</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szCs w:val="24"/>
          <w:lang w:val="zh-CN"/>
        </w:rPr>
        <w:t>评标委员会根据本项目评标标准予以判定并赋分。</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关于相同品牌产品</w:t>
      </w:r>
    </w:p>
    <w:p>
      <w:pPr>
        <w:pStyle w:val="29"/>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4"/>
          <w:lang w:val="zh-CN"/>
        </w:rPr>
        <w:t>采取随机抽取</w:t>
      </w:r>
      <w:r>
        <w:rPr>
          <w:rFonts w:ascii="宋体" w:hAnsi="宋体" w:eastAsia="宋体" w:cs="仿宋_GB2312"/>
          <w:szCs w:val="24"/>
          <w:lang w:val="zh-CN"/>
        </w:rPr>
        <w:t>方式确定一个参加评标的投标人，其他投标无效。</w:t>
      </w:r>
    </w:p>
    <w:p>
      <w:pPr>
        <w:pStyle w:val="29"/>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采用综合评分法的，提供相同品牌产品</w:t>
      </w:r>
      <w:r>
        <w:rPr>
          <w:rFonts w:hint="eastAsia" w:ascii="宋体" w:hAnsi="宋体" w:eastAsia="宋体" w:cs="仿宋_GB2312"/>
          <w:szCs w:val="24"/>
          <w:lang w:val="zh-CN"/>
        </w:rPr>
        <w:t>（</w:t>
      </w:r>
      <w:r>
        <w:rPr>
          <w:rFonts w:ascii="宋体" w:hAnsi="宋体" w:eastAsia="宋体" w:cs="仿宋_GB2312"/>
          <w:szCs w:val="24"/>
          <w:lang w:val="zh-CN"/>
        </w:rPr>
        <w:t>非单一产品采购项目，多家投标人提供的核心产品品牌相同</w:t>
      </w:r>
      <w:r>
        <w:rPr>
          <w:rFonts w:hint="eastAsia" w:ascii="宋体" w:hAnsi="宋体" w:eastAsia="宋体" w:cs="仿宋_GB2312"/>
          <w:szCs w:val="24"/>
          <w:lang w:val="zh-CN"/>
        </w:rPr>
        <w:t>）</w:t>
      </w:r>
      <w:r>
        <w:rPr>
          <w:rFonts w:ascii="宋体" w:hAnsi="宋体" w:eastAsia="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4"/>
          <w:lang w:val="zh-CN"/>
        </w:rPr>
        <w:t>由采购人或者采购人委托评标委员会</w:t>
      </w:r>
      <w:r>
        <w:rPr>
          <w:rFonts w:ascii="宋体" w:hAnsi="宋体" w:eastAsia="宋体" w:cs="仿宋_GB2312"/>
          <w:szCs w:val="24"/>
          <w:lang w:val="zh-CN"/>
        </w:rPr>
        <w:t>采取随机抽取方式确定</w:t>
      </w:r>
      <w:r>
        <w:rPr>
          <w:rFonts w:hint="eastAsia" w:ascii="宋体" w:hAnsi="宋体" w:eastAsia="宋体" w:cs="仿宋_GB2312"/>
          <w:szCs w:val="24"/>
          <w:lang w:val="zh-CN"/>
        </w:rPr>
        <w:t>一个投标人获得中标人推荐资格</w:t>
      </w:r>
      <w:r>
        <w:rPr>
          <w:rFonts w:ascii="宋体" w:hAnsi="宋体" w:eastAsia="宋体" w:cs="仿宋_GB2312"/>
          <w:szCs w:val="24"/>
          <w:lang w:val="zh-CN"/>
        </w:rPr>
        <w:t>，其他同品牌投标人不作为中标候选人。</w:t>
      </w:r>
    </w:p>
    <w:p>
      <w:pPr>
        <w:pStyle w:val="29"/>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（6）评标标准</w:t>
      </w:r>
    </w:p>
    <w:tbl>
      <w:tblPr>
        <w:tblStyle w:val="1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3"/>
        <w:gridCol w:w="1065"/>
        <w:gridCol w:w="625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2028"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color w:val="000000"/>
                <w:sz w:val="24"/>
                <w:szCs w:val="24"/>
                <w:shd w:val="clear" w:color="auto" w:fill="FFFFFF"/>
              </w:rPr>
              <w:t>分值构成</w:t>
            </w:r>
          </w:p>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color w:val="000000"/>
                <w:sz w:val="24"/>
                <w:szCs w:val="24"/>
                <w:shd w:val="clear" w:color="auto" w:fill="FFFFFF"/>
              </w:rPr>
              <w:t>(总分100分)</w:t>
            </w:r>
          </w:p>
        </w:tc>
        <w:tc>
          <w:tcPr>
            <w:tcW w:w="7030"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color w:val="000000"/>
                <w:sz w:val="24"/>
                <w:szCs w:val="24"/>
                <w:shd w:val="clear" w:color="auto" w:fill="FFFFFF"/>
              </w:rPr>
              <w:t>价格分值：</w:t>
            </w:r>
            <w:r>
              <w:rPr>
                <w:rFonts w:hint="eastAsia" w:ascii="宋体" w:hAnsi="宋体"/>
                <w:color w:val="000000"/>
                <w:sz w:val="24"/>
                <w:szCs w:val="24"/>
                <w:shd w:val="clear" w:color="auto" w:fill="FFFFFF"/>
              </w:rPr>
              <w:t>30</w:t>
            </w:r>
            <w:r>
              <w:rPr>
                <w:rFonts w:ascii="宋体" w:hAnsi="宋体"/>
                <w:color w:val="000000"/>
                <w:sz w:val="24"/>
                <w:szCs w:val="24"/>
                <w:shd w:val="clear" w:color="auto" w:fill="FFFFFF"/>
              </w:rPr>
              <w:t>分</w:t>
            </w:r>
          </w:p>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color w:val="000000"/>
                <w:sz w:val="24"/>
                <w:szCs w:val="24"/>
                <w:shd w:val="clear" w:color="auto" w:fill="FFFFFF"/>
              </w:rPr>
              <w:t>商务部分：</w:t>
            </w:r>
            <w:r>
              <w:rPr>
                <w:rFonts w:hint="eastAsia" w:ascii="宋体" w:hAnsi="宋体"/>
                <w:color w:val="000000"/>
                <w:sz w:val="24"/>
                <w:szCs w:val="24"/>
                <w:shd w:val="clear" w:color="auto" w:fill="FFFFFF"/>
              </w:rPr>
              <w:t>30</w:t>
            </w:r>
            <w:r>
              <w:rPr>
                <w:rFonts w:ascii="宋体" w:hAnsi="宋体"/>
                <w:color w:val="000000"/>
                <w:sz w:val="24"/>
                <w:szCs w:val="24"/>
                <w:shd w:val="clear" w:color="auto" w:fill="FFFFFF"/>
              </w:rPr>
              <w:t>分</w:t>
            </w:r>
          </w:p>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color w:val="000000"/>
                <w:sz w:val="24"/>
                <w:szCs w:val="24"/>
                <w:shd w:val="clear" w:color="auto" w:fill="FFFFFF"/>
              </w:rPr>
              <w:t>技术部分：</w:t>
            </w:r>
            <w:r>
              <w:rPr>
                <w:rFonts w:hint="eastAsia" w:ascii="宋体" w:hAnsi="宋体"/>
                <w:color w:val="000000"/>
                <w:sz w:val="24"/>
                <w:szCs w:val="24"/>
                <w:shd w:val="clear" w:color="auto" w:fill="FFFFFF"/>
              </w:rPr>
              <w:t>40</w:t>
            </w:r>
            <w:r>
              <w:rPr>
                <w:rFonts w:ascii="宋体" w:hAnsi="宋体"/>
                <w:color w:val="00000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058" w:type="dxa"/>
            <w:gridSpan w:val="4"/>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b/>
                <w:color w:val="000000"/>
                <w:sz w:val="24"/>
                <w:szCs w:val="24"/>
                <w:shd w:val="clear" w:color="auto" w:fill="FFFFFF"/>
              </w:rPr>
              <w:t>一、价格部分（满分</w:t>
            </w:r>
            <w:r>
              <w:rPr>
                <w:rFonts w:hint="eastAsia" w:ascii="宋体" w:hAnsi="宋体"/>
                <w:b/>
                <w:color w:val="000000"/>
                <w:sz w:val="24"/>
                <w:szCs w:val="24"/>
                <w:shd w:val="clear" w:color="auto" w:fill="FFFFFF"/>
              </w:rPr>
              <w:t>30</w:t>
            </w:r>
            <w:r>
              <w:rPr>
                <w:rFonts w:ascii="宋体" w:hAnsi="宋体"/>
                <w:b/>
                <w:color w:val="00000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028"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b/>
                <w:color w:val="000000"/>
                <w:sz w:val="24"/>
                <w:szCs w:val="24"/>
                <w:shd w:val="clear" w:color="auto" w:fill="FFFFFF"/>
              </w:rPr>
              <w:t>评分因素</w:t>
            </w:r>
          </w:p>
        </w:tc>
        <w:tc>
          <w:tcPr>
            <w:tcW w:w="6255"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b/>
                <w:color w:val="000000"/>
                <w:sz w:val="24"/>
                <w:szCs w:val="24"/>
                <w:shd w:val="clear" w:color="auto" w:fill="FFFFFF"/>
              </w:rPr>
              <w:t>评分标准</w:t>
            </w:r>
          </w:p>
        </w:tc>
        <w:tc>
          <w:tcPr>
            <w:tcW w:w="775"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b/>
                <w:color w:val="00000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trPr>
        <w:tc>
          <w:tcPr>
            <w:tcW w:w="2028"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color w:val="000000"/>
                <w:sz w:val="24"/>
                <w:szCs w:val="24"/>
                <w:shd w:val="clear" w:color="auto" w:fill="FFFFFF"/>
              </w:rPr>
              <w:t>投标报价</w:t>
            </w:r>
          </w:p>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color w:val="000000"/>
                <w:sz w:val="24"/>
                <w:szCs w:val="24"/>
                <w:shd w:val="clear" w:color="auto" w:fill="FFFFFF"/>
              </w:rPr>
              <w:t>评分标准</w:t>
            </w:r>
          </w:p>
        </w:tc>
        <w:tc>
          <w:tcPr>
            <w:tcW w:w="6255" w:type="dxa"/>
            <w:shd w:val="solid" w:color="FFFFFF" w:fill="auto"/>
            <w:tcMar>
              <w:top w:w="0" w:type="dxa"/>
              <w:left w:w="108" w:type="dxa"/>
              <w:bottom w:w="0" w:type="dxa"/>
              <w:right w:w="108" w:type="dxa"/>
            </w:tcMar>
            <w:vAlign w:val="center"/>
          </w:tcPr>
          <w:p>
            <w:pPr>
              <w:shd w:val="solid" w:color="FFFFFF" w:fill="auto"/>
              <w:autoSpaceDN w:val="0"/>
              <w:spacing w:line="330" w:lineRule="atLeast"/>
              <w:rPr>
                <w:rFonts w:ascii="宋体" w:hAnsi="宋体"/>
                <w:color w:val="000000"/>
                <w:sz w:val="24"/>
                <w:szCs w:val="24"/>
                <w:shd w:val="clear" w:color="auto" w:fill="FFFFFF"/>
              </w:rPr>
            </w:pPr>
            <w:r>
              <w:rPr>
                <w:rFonts w:ascii="宋体" w:hAnsi="宋体"/>
                <w:color w:val="000000"/>
                <w:sz w:val="24"/>
                <w:szCs w:val="24"/>
                <w:shd w:val="clear" w:color="auto" w:fill="FFFFFF"/>
              </w:rPr>
              <w:t>评标基准价：满足招标文件要求的有效投标报价中，最低的投标报价为评标基准价。</w:t>
            </w:r>
          </w:p>
          <w:p>
            <w:pPr>
              <w:adjustRightInd w:val="0"/>
              <w:snapToGrid w:val="0"/>
              <w:rPr>
                <w:rFonts w:ascii="宋体" w:hAnsi="宋体"/>
                <w:color w:val="000000"/>
                <w:sz w:val="24"/>
                <w:szCs w:val="24"/>
              </w:rPr>
            </w:pPr>
            <w:r>
              <w:rPr>
                <w:rFonts w:ascii="宋体" w:hAnsi="宋体"/>
                <w:color w:val="000000"/>
                <w:sz w:val="24"/>
                <w:szCs w:val="24"/>
                <w:shd w:val="clear" w:color="auto" w:fill="FFFFFF"/>
              </w:rPr>
              <w:t>投标报价得分=（评标基准价/</w:t>
            </w:r>
            <w:r>
              <w:rPr>
                <w:rFonts w:hint="eastAsia" w:ascii="宋体" w:hAnsi="宋体"/>
                <w:color w:val="000000"/>
                <w:sz w:val="24"/>
                <w:szCs w:val="24"/>
                <w:shd w:val="clear" w:color="auto" w:fill="FFFFFF"/>
              </w:rPr>
              <w:t>评标价格</w:t>
            </w:r>
            <w:r>
              <w:rPr>
                <w:rFonts w:ascii="宋体" w:hAnsi="宋体"/>
                <w:color w:val="000000"/>
                <w:sz w:val="24"/>
                <w:szCs w:val="24"/>
                <w:shd w:val="clear" w:color="auto" w:fill="FFFFFF"/>
              </w:rPr>
              <w:t xml:space="preserve">）×  </w:t>
            </w:r>
            <w:r>
              <w:rPr>
                <w:rFonts w:hint="eastAsia" w:ascii="宋体" w:hAnsi="宋体"/>
                <w:color w:val="000000"/>
                <w:sz w:val="24"/>
                <w:szCs w:val="24"/>
                <w:shd w:val="clear" w:color="auto" w:fill="FFFFFF"/>
              </w:rPr>
              <w:t>评标标准中价格分值</w:t>
            </w:r>
          </w:p>
          <w:p>
            <w:pPr>
              <w:shd w:val="solid" w:color="FFFFFF" w:fill="auto"/>
              <w:autoSpaceDN w:val="0"/>
              <w:adjustRightInd w:val="0"/>
              <w:snapToGrid w:val="0"/>
              <w:rPr>
                <w:rFonts w:ascii="宋体" w:hAnsi="宋体"/>
                <w:color w:val="000000"/>
                <w:sz w:val="24"/>
                <w:szCs w:val="24"/>
                <w:shd w:val="clear" w:color="auto" w:fill="FFFFFF"/>
              </w:rPr>
            </w:pPr>
          </w:p>
        </w:tc>
        <w:tc>
          <w:tcPr>
            <w:tcW w:w="775"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hint="eastAsia" w:ascii="宋体" w:hAnsi="宋体"/>
                <w:color w:val="000000"/>
                <w:sz w:val="24"/>
                <w:szCs w:val="24"/>
                <w:shd w:val="clear" w:color="auto" w:fill="FFFFFF"/>
              </w:rPr>
              <w:t>30</w:t>
            </w:r>
            <w:r>
              <w:rPr>
                <w:rFonts w:ascii="宋体" w:hAnsi="宋体"/>
                <w:color w:val="00000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058" w:type="dxa"/>
            <w:gridSpan w:val="4"/>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color w:val="000000"/>
                <w:sz w:val="24"/>
                <w:szCs w:val="24"/>
                <w:shd w:val="clear" w:color="auto" w:fill="FFFFFF"/>
              </w:rPr>
              <w:t>二、商务部分（满分</w:t>
            </w:r>
            <w:r>
              <w:rPr>
                <w:rFonts w:hint="eastAsia" w:ascii="宋体" w:hAnsi="宋体"/>
                <w:color w:val="000000"/>
                <w:sz w:val="24"/>
                <w:szCs w:val="24"/>
                <w:shd w:val="clear" w:color="auto" w:fill="FFFFFF"/>
              </w:rPr>
              <w:t>30</w:t>
            </w:r>
            <w:r>
              <w:rPr>
                <w:rFonts w:ascii="宋体" w:hAnsi="宋体"/>
                <w:color w:val="00000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028"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b/>
                <w:color w:val="000000"/>
                <w:sz w:val="24"/>
                <w:szCs w:val="24"/>
                <w:shd w:val="clear" w:color="auto" w:fill="FFFFFF"/>
              </w:rPr>
              <w:t>评分因素</w:t>
            </w:r>
          </w:p>
        </w:tc>
        <w:tc>
          <w:tcPr>
            <w:tcW w:w="6255"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color w:val="000000"/>
                <w:sz w:val="24"/>
                <w:szCs w:val="24"/>
                <w:shd w:val="clear" w:color="auto" w:fill="FFFFFF"/>
              </w:rPr>
              <w:t>评分标准</w:t>
            </w:r>
          </w:p>
        </w:tc>
        <w:tc>
          <w:tcPr>
            <w:tcW w:w="775"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b/>
                <w:color w:val="00000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028"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hint="eastAsia" w:ascii="宋体" w:hAnsi="宋体"/>
                <w:color w:val="000000"/>
                <w:sz w:val="24"/>
                <w:szCs w:val="24"/>
                <w:shd w:val="clear" w:color="auto" w:fill="FFFFFF"/>
              </w:rPr>
              <w:t>资质情况</w:t>
            </w:r>
          </w:p>
        </w:tc>
        <w:tc>
          <w:tcPr>
            <w:tcW w:w="6255" w:type="dxa"/>
            <w:shd w:val="solid" w:color="FFFFFF" w:fill="auto"/>
            <w:tcMar>
              <w:top w:w="0" w:type="dxa"/>
              <w:left w:w="108" w:type="dxa"/>
              <w:bottom w:w="0" w:type="dxa"/>
              <w:right w:w="108" w:type="dxa"/>
            </w:tcMar>
            <w:vAlign w:val="center"/>
          </w:tcPr>
          <w:p>
            <w:pPr>
              <w:pStyle w:val="8"/>
              <w:adjustRightInd w:val="0"/>
              <w:snapToGrid w:val="0"/>
              <w:rPr>
                <w:rFonts w:ascii="宋体" w:hAnsi="宋体"/>
                <w:color w:val="000000"/>
                <w:sz w:val="24"/>
                <w:szCs w:val="24"/>
                <w:shd w:val="clear" w:color="auto" w:fill="FFFFFF"/>
              </w:rPr>
            </w:pPr>
            <w:r>
              <w:rPr>
                <w:rFonts w:hint="eastAsia" w:ascii="宋体" w:hAnsi="宋体"/>
                <w:color w:val="000000"/>
                <w:sz w:val="24"/>
                <w:szCs w:val="24"/>
              </w:rPr>
              <w:t>具备电子与智能化工程专业承包壹级、中国演艺设备技术协会专业音响工程综合技术能力等级壹级资质和中国演艺设备技术协会音视频集成工程企业壹级资质证书</w:t>
            </w:r>
            <w:r>
              <w:rPr>
                <w:rFonts w:hint="eastAsia" w:ascii="宋体" w:hAnsi="宋体"/>
                <w:color w:val="000000"/>
                <w:sz w:val="24"/>
                <w:szCs w:val="24"/>
                <w:lang w:eastAsia="zh-CN"/>
              </w:rPr>
              <w:t>，同时</w:t>
            </w:r>
            <w:r>
              <w:rPr>
                <w:rFonts w:hint="eastAsia" w:ascii="宋体" w:hAnsi="宋体"/>
                <w:color w:val="000000"/>
                <w:sz w:val="24"/>
                <w:szCs w:val="24"/>
              </w:rPr>
              <w:t>提供得</w:t>
            </w:r>
            <w:r>
              <w:rPr>
                <w:rFonts w:hint="eastAsia" w:ascii="宋体" w:hAnsi="宋体"/>
                <w:color w:val="000000"/>
                <w:sz w:val="24"/>
                <w:szCs w:val="24"/>
                <w:lang w:val="en-US" w:eastAsia="zh-CN"/>
              </w:rPr>
              <w:t>4</w:t>
            </w:r>
            <w:r>
              <w:rPr>
                <w:rFonts w:hint="eastAsia" w:ascii="宋体" w:hAnsi="宋体"/>
                <w:color w:val="000000"/>
                <w:sz w:val="24"/>
                <w:szCs w:val="24"/>
              </w:rPr>
              <w:t>分，</w:t>
            </w:r>
            <w:r>
              <w:rPr>
                <w:rFonts w:hint="eastAsia" w:ascii="宋体" w:hAnsi="宋体"/>
                <w:color w:val="000000"/>
                <w:sz w:val="24"/>
                <w:szCs w:val="24"/>
                <w:lang w:eastAsia="zh-CN"/>
              </w:rPr>
              <w:t>提供不全或未</w:t>
            </w:r>
            <w:r>
              <w:rPr>
                <w:rFonts w:hint="eastAsia" w:ascii="宋体" w:hAnsi="宋体"/>
                <w:color w:val="000000"/>
                <w:sz w:val="24"/>
                <w:szCs w:val="24"/>
                <w:shd w:val="clear" w:color="auto" w:fill="FFFFFF"/>
              </w:rPr>
              <w:t>提供不得分。</w:t>
            </w:r>
          </w:p>
        </w:tc>
        <w:tc>
          <w:tcPr>
            <w:tcW w:w="775"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hint="eastAsia" w:ascii="宋体" w:hAnsi="宋体"/>
                <w:color w:val="000000"/>
                <w:sz w:val="24"/>
                <w:szCs w:val="24"/>
                <w:shd w:val="clear" w:color="auto" w:fill="FFFFFF"/>
              </w:rPr>
              <w:t>4</w:t>
            </w:r>
            <w:r>
              <w:rPr>
                <w:rFonts w:ascii="宋体" w:hAnsi="宋体"/>
                <w:color w:val="00000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028"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color w:val="000000"/>
                <w:sz w:val="24"/>
                <w:szCs w:val="24"/>
                <w:shd w:val="clear" w:color="auto" w:fill="FFFFFF"/>
              </w:rPr>
              <w:t>企业实力</w:t>
            </w:r>
          </w:p>
        </w:tc>
        <w:tc>
          <w:tcPr>
            <w:tcW w:w="6255" w:type="dxa"/>
            <w:shd w:val="solid" w:color="FFFFFF" w:fill="auto"/>
            <w:tcMar>
              <w:top w:w="0" w:type="dxa"/>
              <w:left w:w="108" w:type="dxa"/>
              <w:bottom w:w="0" w:type="dxa"/>
              <w:right w:w="108" w:type="dxa"/>
            </w:tcMar>
            <w:vAlign w:val="center"/>
          </w:tcPr>
          <w:p>
            <w:pPr>
              <w:numPr>
                <w:ilvl w:val="0"/>
                <w:numId w:val="4"/>
              </w:numPr>
              <w:shd w:val="solid" w:color="FFFFFF" w:fill="auto"/>
              <w:autoSpaceDN w:val="0"/>
              <w:adjustRightInd w:val="0"/>
              <w:snapToGrid w:val="0"/>
              <w:rPr>
                <w:rFonts w:ascii="宋体" w:hAnsi="宋体"/>
                <w:iCs/>
                <w:color w:val="000000"/>
                <w:sz w:val="24"/>
                <w:szCs w:val="24"/>
              </w:rPr>
            </w:pPr>
            <w:r>
              <w:rPr>
                <w:rFonts w:hint="eastAsia" w:ascii="宋体" w:hAnsi="宋体"/>
                <w:iCs/>
                <w:color w:val="000000"/>
                <w:sz w:val="24"/>
                <w:szCs w:val="24"/>
              </w:rPr>
              <w:t>同时具备有效的IS09001质量管理体系认证证书、</w:t>
            </w:r>
          </w:p>
          <w:p>
            <w:pPr>
              <w:shd w:val="solid" w:color="FFFFFF" w:fill="auto"/>
              <w:autoSpaceDN w:val="0"/>
              <w:adjustRightInd w:val="0"/>
              <w:snapToGrid w:val="0"/>
              <w:rPr>
                <w:rFonts w:ascii="宋体" w:hAnsi="宋体"/>
                <w:iCs/>
                <w:color w:val="000000"/>
                <w:sz w:val="24"/>
                <w:szCs w:val="24"/>
              </w:rPr>
            </w:pPr>
            <w:r>
              <w:rPr>
                <w:rFonts w:hint="eastAsia" w:ascii="宋体" w:hAnsi="宋体"/>
                <w:iCs/>
                <w:color w:val="000000"/>
                <w:sz w:val="24"/>
                <w:szCs w:val="24"/>
              </w:rPr>
              <w:t>IS014001环境管理体系认证证书和OHSAS18001职业健康安全管理体系认证证书，提供得1.5分，不提供不得分。</w:t>
            </w:r>
          </w:p>
          <w:p>
            <w:pPr>
              <w:shd w:val="solid" w:color="FFFFFF" w:fill="auto"/>
              <w:autoSpaceDN w:val="0"/>
              <w:adjustRightInd w:val="0"/>
              <w:snapToGrid w:val="0"/>
              <w:jc w:val="both"/>
              <w:rPr>
                <w:rFonts w:ascii="宋体" w:hAnsi="宋体"/>
                <w:iCs/>
                <w:color w:val="000000"/>
                <w:sz w:val="24"/>
                <w:szCs w:val="24"/>
              </w:rPr>
            </w:pPr>
            <w:r>
              <w:rPr>
                <w:rFonts w:hint="eastAsia" w:ascii="宋体" w:hAnsi="宋体"/>
                <w:color w:val="000000"/>
                <w:sz w:val="24"/>
                <w:szCs w:val="24"/>
              </w:rPr>
              <w:t>2、连续9年（含9年）以上工商管理部门（或其授权的协会/机构）颁发“守合同重信用企业”，得1.5分，连续3年以上不满9年得0.5分，</w:t>
            </w:r>
            <w:r>
              <w:rPr>
                <w:rFonts w:hint="eastAsia" w:ascii="宋体" w:hAnsi="宋体"/>
                <w:iCs/>
                <w:color w:val="000000"/>
                <w:sz w:val="24"/>
                <w:szCs w:val="24"/>
              </w:rPr>
              <w:t>满分1.5分，不满连续3年不得分</w:t>
            </w:r>
            <w:r>
              <w:rPr>
                <w:rFonts w:hint="eastAsia" w:ascii="宋体" w:hAnsi="宋体"/>
                <w:color w:val="000000"/>
                <w:sz w:val="24"/>
                <w:szCs w:val="24"/>
              </w:rPr>
              <w:t>。</w:t>
            </w:r>
          </w:p>
          <w:p>
            <w:pPr>
              <w:shd w:val="solid" w:color="FFFFFF" w:fill="auto"/>
              <w:autoSpaceDN w:val="0"/>
              <w:adjustRightInd w:val="0"/>
              <w:snapToGrid w:val="0"/>
              <w:rPr>
                <w:rFonts w:ascii="宋体" w:hAnsi="宋体"/>
                <w:color w:val="000000"/>
                <w:sz w:val="24"/>
                <w:szCs w:val="24"/>
                <w:shd w:val="clear" w:color="auto" w:fill="FFFFFF"/>
              </w:rPr>
            </w:pPr>
            <w:r>
              <w:rPr>
                <w:rFonts w:hint="eastAsia" w:ascii="宋体" w:hAnsi="宋体"/>
                <w:iCs/>
                <w:color w:val="000000"/>
                <w:sz w:val="24"/>
                <w:szCs w:val="24"/>
              </w:rPr>
              <w:t>3、获专业灯光或专业音响领域发明专利技术证书的，每一项得1分，满分5分，未提供不得分。</w:t>
            </w:r>
          </w:p>
        </w:tc>
        <w:tc>
          <w:tcPr>
            <w:tcW w:w="775"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hint="eastAsia" w:ascii="宋体" w:hAnsi="宋体"/>
                <w:color w:val="000000"/>
                <w:sz w:val="24"/>
                <w:szCs w:val="24"/>
                <w:shd w:val="clear" w:color="auto" w:fill="FFFFFF"/>
              </w:rPr>
              <w:t>8</w:t>
            </w:r>
            <w:r>
              <w:rPr>
                <w:rFonts w:ascii="宋体" w:hAnsi="宋体"/>
                <w:color w:val="00000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028"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color w:val="000000"/>
                <w:sz w:val="24"/>
                <w:szCs w:val="24"/>
                <w:shd w:val="clear" w:color="auto" w:fill="FFFFFF"/>
              </w:rPr>
              <w:t>业绩</w:t>
            </w:r>
          </w:p>
        </w:tc>
        <w:tc>
          <w:tcPr>
            <w:tcW w:w="6255" w:type="dxa"/>
            <w:shd w:val="solid" w:color="FFFFFF" w:fill="auto"/>
            <w:tcMar>
              <w:top w:w="0" w:type="dxa"/>
              <w:left w:w="108" w:type="dxa"/>
              <w:bottom w:w="0" w:type="dxa"/>
              <w:right w:w="108" w:type="dxa"/>
            </w:tcMar>
            <w:vAlign w:val="center"/>
          </w:tcPr>
          <w:p>
            <w:pPr>
              <w:pStyle w:val="8"/>
              <w:adjustRightInd w:val="0"/>
              <w:snapToGrid w:val="0"/>
              <w:rPr>
                <w:rFonts w:ascii="宋体" w:hAnsi="宋体" w:cs="宋体"/>
                <w:iCs/>
                <w:color w:val="000000"/>
                <w:sz w:val="24"/>
                <w:szCs w:val="24"/>
              </w:rPr>
            </w:pPr>
            <w:r>
              <w:rPr>
                <w:rFonts w:hint="eastAsia" w:ascii="宋体" w:hAnsi="宋体" w:cs="宋体"/>
                <w:iCs/>
                <w:color w:val="000000"/>
                <w:sz w:val="24"/>
                <w:szCs w:val="24"/>
              </w:rPr>
              <w:t>项目业绩：</w:t>
            </w:r>
          </w:p>
          <w:p>
            <w:pPr>
              <w:pStyle w:val="8"/>
              <w:adjustRightInd w:val="0"/>
              <w:snapToGrid w:val="0"/>
              <w:rPr>
                <w:rFonts w:ascii="宋体" w:hAnsi="宋体" w:cs="宋体"/>
                <w:iCs/>
                <w:color w:val="000000"/>
                <w:sz w:val="24"/>
                <w:szCs w:val="24"/>
              </w:rPr>
            </w:pPr>
            <w:r>
              <w:rPr>
                <w:rFonts w:hint="eastAsia" w:ascii="宋体" w:hAnsi="宋体" w:cs="宋体"/>
                <w:iCs/>
                <w:color w:val="000000"/>
                <w:sz w:val="24"/>
                <w:szCs w:val="24"/>
              </w:rPr>
              <w:t>投标人自2015年1月1日（以合同签订时间为准）以来承接过户外声光电演绎、多媒体互动、水舞秀、声光秀类等类似项目：</w:t>
            </w:r>
          </w:p>
          <w:p>
            <w:pPr>
              <w:pStyle w:val="8"/>
              <w:adjustRightInd w:val="0"/>
              <w:snapToGrid w:val="0"/>
              <w:jc w:val="left"/>
              <w:rPr>
                <w:rFonts w:ascii="宋体" w:hAnsi="宋体" w:cs="宋体"/>
                <w:iCs/>
                <w:color w:val="000000"/>
                <w:sz w:val="24"/>
                <w:szCs w:val="24"/>
              </w:rPr>
            </w:pPr>
            <w:r>
              <w:rPr>
                <w:rFonts w:hint="eastAsia" w:ascii="宋体" w:hAnsi="宋体" w:cs="宋体"/>
                <w:iCs/>
                <w:color w:val="000000"/>
                <w:sz w:val="24"/>
                <w:szCs w:val="24"/>
              </w:rPr>
              <w:t>合同额1600万元（含）以上的，每个得2分，满分18分，不提供不得分；</w:t>
            </w:r>
          </w:p>
          <w:p>
            <w:pPr>
              <w:pStyle w:val="8"/>
              <w:adjustRightInd w:val="0"/>
              <w:snapToGrid w:val="0"/>
              <w:rPr>
                <w:rFonts w:ascii="宋体" w:hAnsi="宋体"/>
                <w:color w:val="000000"/>
                <w:sz w:val="24"/>
                <w:szCs w:val="24"/>
                <w:shd w:val="clear" w:color="auto" w:fill="FFFFFF"/>
              </w:rPr>
            </w:pPr>
            <w:r>
              <w:rPr>
                <w:rFonts w:hint="eastAsia" w:ascii="宋体" w:hAnsi="宋体" w:cs="宋体"/>
                <w:iCs/>
                <w:color w:val="000000"/>
                <w:sz w:val="24"/>
                <w:szCs w:val="24"/>
              </w:rPr>
              <w:t>注：提供业绩项目均为已完工和验收通过项目，需提供合同关键页复印件及验收报告（合同要点包括项目名称、合同金额、双方盖章等关键信息）</w:t>
            </w:r>
          </w:p>
        </w:tc>
        <w:tc>
          <w:tcPr>
            <w:tcW w:w="775"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hint="eastAsia" w:ascii="宋体" w:hAnsi="宋体"/>
                <w:color w:val="000000"/>
                <w:sz w:val="24"/>
                <w:szCs w:val="24"/>
                <w:shd w:val="clear" w:color="auto" w:fill="FFFFFF"/>
              </w:rPr>
              <w:t>18</w:t>
            </w:r>
            <w:r>
              <w:rPr>
                <w:rFonts w:ascii="宋体" w:hAnsi="宋体"/>
                <w:color w:val="00000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9058" w:type="dxa"/>
            <w:gridSpan w:val="4"/>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b/>
                <w:color w:val="000000"/>
                <w:sz w:val="24"/>
                <w:szCs w:val="24"/>
                <w:shd w:val="clear" w:color="auto" w:fill="FFFFFF"/>
              </w:rPr>
              <w:t>三、技术部分（满分</w:t>
            </w:r>
            <w:r>
              <w:rPr>
                <w:rFonts w:hint="eastAsia" w:ascii="宋体" w:hAnsi="宋体"/>
                <w:b/>
                <w:color w:val="000000"/>
                <w:sz w:val="24"/>
                <w:szCs w:val="24"/>
                <w:shd w:val="clear" w:color="auto" w:fill="FFFFFF"/>
              </w:rPr>
              <w:t>40</w:t>
            </w:r>
            <w:r>
              <w:rPr>
                <w:rFonts w:ascii="宋体" w:hAnsi="宋体"/>
                <w:b/>
                <w:color w:val="00000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028"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b/>
                <w:color w:val="000000"/>
                <w:sz w:val="24"/>
                <w:szCs w:val="24"/>
                <w:shd w:val="clear" w:color="auto" w:fill="FFFFFF"/>
              </w:rPr>
              <w:t>评分因素</w:t>
            </w:r>
          </w:p>
        </w:tc>
        <w:tc>
          <w:tcPr>
            <w:tcW w:w="6255"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b/>
                <w:color w:val="000000"/>
                <w:sz w:val="24"/>
                <w:szCs w:val="24"/>
                <w:shd w:val="clear" w:color="auto" w:fill="FFFFFF"/>
              </w:rPr>
              <w:t>评分标准</w:t>
            </w:r>
          </w:p>
        </w:tc>
        <w:tc>
          <w:tcPr>
            <w:tcW w:w="775"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sz w:val="24"/>
                <w:szCs w:val="24"/>
                <w:shd w:val="clear" w:color="auto" w:fill="FFFFFF"/>
              </w:rPr>
            </w:pPr>
            <w:r>
              <w:rPr>
                <w:rFonts w:ascii="宋体" w:hAnsi="宋体"/>
                <w:b/>
                <w:color w:val="00000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963" w:type="dxa"/>
            <w:vMerge w:val="restart"/>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艺术创意（14分)</w:t>
            </w:r>
          </w:p>
        </w:tc>
        <w:tc>
          <w:tcPr>
            <w:tcW w:w="106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主题创意与情景梗概</w:t>
            </w:r>
          </w:p>
        </w:tc>
        <w:tc>
          <w:tcPr>
            <w:tcW w:w="6255" w:type="dxa"/>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文化元素贴切且突出，创意表现佳，声光电视听表现与现有空间结合到位2分；</w:t>
            </w:r>
          </w:p>
          <w:p>
            <w:pPr>
              <w:adjustRightInd w:val="0"/>
              <w:snapToGrid w:val="0"/>
              <w:rPr>
                <w:rFonts w:ascii="宋体" w:hAnsi="宋体" w:cs="宋体"/>
                <w:color w:val="000000"/>
                <w:sz w:val="24"/>
                <w:szCs w:val="24"/>
              </w:rPr>
            </w:pPr>
            <w:r>
              <w:rPr>
                <w:rFonts w:hint="eastAsia" w:ascii="宋体" w:hAnsi="宋体" w:cs="宋体"/>
                <w:color w:val="000000"/>
                <w:sz w:val="24"/>
                <w:szCs w:val="24"/>
              </w:rPr>
              <w:t>文化元素贴切一般，创意表现及声光电视听表现与现有空间结合一般1分，差或缺0分</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63" w:type="dxa"/>
            <w:vMerge w:val="continue"/>
            <w:vAlign w:val="center"/>
          </w:tcPr>
          <w:p>
            <w:pPr>
              <w:adjustRightInd w:val="0"/>
              <w:snapToGrid w:val="0"/>
              <w:rPr>
                <w:rFonts w:ascii="宋体" w:hAnsi="宋体" w:cs="宋体"/>
                <w:color w:val="000000"/>
                <w:sz w:val="24"/>
                <w:szCs w:val="24"/>
              </w:rPr>
            </w:pPr>
          </w:p>
        </w:tc>
        <w:tc>
          <w:tcPr>
            <w:tcW w:w="106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文学大纲与视听构想</w:t>
            </w:r>
          </w:p>
        </w:tc>
        <w:tc>
          <w:tcPr>
            <w:tcW w:w="6255" w:type="dxa"/>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根据创意策划要求及创意风格，创编文学脚本、分镜头脚本，结合现场空间视听构想优 2分；</w:t>
            </w:r>
          </w:p>
          <w:p>
            <w:pPr>
              <w:adjustRightInd w:val="0"/>
              <w:snapToGrid w:val="0"/>
              <w:rPr>
                <w:rFonts w:ascii="宋体" w:hAnsi="宋体" w:cs="宋体"/>
                <w:color w:val="000000"/>
                <w:sz w:val="24"/>
                <w:szCs w:val="24"/>
              </w:rPr>
            </w:pPr>
            <w:r>
              <w:rPr>
                <w:rFonts w:hint="eastAsia" w:ascii="宋体" w:hAnsi="宋体" w:cs="宋体"/>
                <w:color w:val="000000"/>
                <w:sz w:val="24"/>
                <w:szCs w:val="24"/>
              </w:rPr>
              <w:t>根据创意策划要求及创意风格，创编文学脚本、分镜头脚本，结合现场空间视听构想一般 1分；</w:t>
            </w:r>
          </w:p>
          <w:p>
            <w:pPr>
              <w:adjustRightInd w:val="0"/>
              <w:snapToGrid w:val="0"/>
              <w:rPr>
                <w:rFonts w:ascii="宋体" w:hAnsi="宋体" w:cs="宋体"/>
                <w:color w:val="000000"/>
                <w:sz w:val="24"/>
                <w:szCs w:val="24"/>
              </w:rPr>
            </w:pPr>
            <w:r>
              <w:rPr>
                <w:rFonts w:hint="eastAsia" w:ascii="宋体" w:hAnsi="宋体" w:cs="宋体"/>
                <w:color w:val="000000"/>
                <w:sz w:val="24"/>
                <w:szCs w:val="24"/>
              </w:rPr>
              <w:t>根据创意策划要求及创意风格，创编文学脚本、分镜头脚本，结合现场空间视听构想差或缺0分。</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63" w:type="dxa"/>
            <w:vMerge w:val="continue"/>
            <w:vAlign w:val="center"/>
          </w:tcPr>
          <w:p>
            <w:pPr>
              <w:adjustRightInd w:val="0"/>
              <w:snapToGrid w:val="0"/>
              <w:rPr>
                <w:rFonts w:ascii="宋体" w:hAnsi="宋体" w:cs="宋体"/>
                <w:color w:val="000000"/>
                <w:sz w:val="24"/>
                <w:szCs w:val="24"/>
              </w:rPr>
            </w:pPr>
          </w:p>
        </w:tc>
        <w:tc>
          <w:tcPr>
            <w:tcW w:w="106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效果图</w:t>
            </w:r>
          </w:p>
        </w:tc>
        <w:tc>
          <w:tcPr>
            <w:tcW w:w="6255" w:type="dxa"/>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从不同角度，模拟不同视角，要求所提交效果图与主题创意贴合，且不少于6张；满足6张得3 分，缺少一张扣0.5分。</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963" w:type="dxa"/>
            <w:vMerge w:val="continue"/>
            <w:vAlign w:val="center"/>
          </w:tcPr>
          <w:p>
            <w:pPr>
              <w:adjustRightInd w:val="0"/>
              <w:snapToGrid w:val="0"/>
              <w:rPr>
                <w:rFonts w:ascii="宋体" w:hAnsi="宋体" w:cs="宋体"/>
                <w:color w:val="000000"/>
                <w:sz w:val="24"/>
                <w:szCs w:val="24"/>
              </w:rPr>
            </w:pPr>
          </w:p>
        </w:tc>
        <w:tc>
          <w:tcPr>
            <w:tcW w:w="106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效果预演动画</w:t>
            </w:r>
          </w:p>
        </w:tc>
        <w:tc>
          <w:tcPr>
            <w:tcW w:w="6255" w:type="dxa"/>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提交不少于2分钟效果预演动画(MP4格式，投标时以U盘或光盘形式封装提交）：</w:t>
            </w:r>
          </w:p>
          <w:p>
            <w:pPr>
              <w:adjustRightInd w:val="0"/>
              <w:snapToGrid w:val="0"/>
              <w:rPr>
                <w:rFonts w:ascii="宋体" w:hAnsi="宋体" w:cs="宋体"/>
                <w:color w:val="000000"/>
                <w:sz w:val="24"/>
                <w:szCs w:val="24"/>
              </w:rPr>
            </w:pPr>
            <w:r>
              <w:rPr>
                <w:rFonts w:hint="eastAsia" w:ascii="宋体" w:hAnsi="宋体" w:cs="宋体"/>
                <w:color w:val="000000"/>
                <w:sz w:val="24"/>
                <w:szCs w:val="24"/>
              </w:rPr>
              <w:t>演绎精华选段，创意独到，形式变化精彩，灯光、音效、配乐与内容结构完美贴合5分；</w:t>
            </w:r>
          </w:p>
          <w:p>
            <w:pPr>
              <w:adjustRightInd w:val="0"/>
              <w:snapToGrid w:val="0"/>
              <w:rPr>
                <w:rFonts w:ascii="宋体" w:hAnsi="宋体" w:cs="宋体"/>
                <w:color w:val="000000"/>
                <w:sz w:val="24"/>
                <w:szCs w:val="24"/>
              </w:rPr>
            </w:pPr>
            <w:r>
              <w:rPr>
                <w:rFonts w:hint="eastAsia" w:ascii="宋体" w:hAnsi="宋体" w:cs="宋体"/>
                <w:color w:val="000000"/>
                <w:sz w:val="24"/>
                <w:szCs w:val="24"/>
              </w:rPr>
              <w:t>创意一般，形式变化较少，灯光、音效、配乐与内容结构贴合贴合度一般2分；</w:t>
            </w:r>
          </w:p>
          <w:p>
            <w:pPr>
              <w:adjustRightInd w:val="0"/>
              <w:snapToGrid w:val="0"/>
              <w:rPr>
                <w:rFonts w:ascii="宋体" w:hAnsi="宋体" w:cs="宋体"/>
                <w:color w:val="000000"/>
                <w:sz w:val="24"/>
                <w:szCs w:val="24"/>
              </w:rPr>
            </w:pPr>
            <w:r>
              <w:rPr>
                <w:rFonts w:hint="eastAsia" w:ascii="宋体" w:hAnsi="宋体" w:cs="宋体"/>
                <w:color w:val="000000"/>
                <w:sz w:val="24"/>
                <w:szCs w:val="24"/>
              </w:rPr>
              <w:t>创意差，形式变化较少，无</w:t>
            </w:r>
            <w:r>
              <w:rPr>
                <w:rFonts w:ascii="宋体" w:hAnsi="宋体" w:cs="宋体"/>
                <w:color w:val="000000"/>
                <w:sz w:val="24"/>
                <w:szCs w:val="24"/>
              </w:rPr>
              <w:t>灯光效果配合</w:t>
            </w:r>
            <w:r>
              <w:rPr>
                <w:rFonts w:hint="eastAsia" w:ascii="宋体" w:hAnsi="宋体" w:cs="宋体"/>
                <w:color w:val="000000"/>
                <w:sz w:val="24"/>
                <w:szCs w:val="24"/>
              </w:rPr>
              <w:t>，音效、配乐与内容结构贴合差或无 0分。</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63" w:type="dxa"/>
            <w:vMerge w:val="continue"/>
            <w:vAlign w:val="center"/>
          </w:tcPr>
          <w:p>
            <w:pPr>
              <w:adjustRightInd w:val="0"/>
              <w:snapToGrid w:val="0"/>
              <w:rPr>
                <w:rFonts w:ascii="宋体" w:hAnsi="宋体" w:cs="宋体"/>
                <w:color w:val="000000"/>
                <w:sz w:val="24"/>
                <w:szCs w:val="24"/>
              </w:rPr>
            </w:pPr>
          </w:p>
        </w:tc>
        <w:tc>
          <w:tcPr>
            <w:tcW w:w="106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互动参与性</w:t>
            </w:r>
          </w:p>
        </w:tc>
        <w:tc>
          <w:tcPr>
            <w:tcW w:w="6255" w:type="dxa"/>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设计创意互动，将游客互动参与性充分调动，增加其满意度：创意</w:t>
            </w:r>
            <w:r>
              <w:rPr>
                <w:rFonts w:ascii="宋体" w:hAnsi="宋体" w:cs="宋体"/>
                <w:color w:val="000000"/>
                <w:sz w:val="24"/>
                <w:szCs w:val="24"/>
              </w:rPr>
              <w:t>互动及</w:t>
            </w:r>
            <w:r>
              <w:rPr>
                <w:rFonts w:hint="eastAsia" w:ascii="宋体" w:hAnsi="宋体" w:cs="宋体"/>
                <w:color w:val="000000"/>
                <w:sz w:val="24"/>
                <w:szCs w:val="24"/>
              </w:rPr>
              <w:t>可落地性较好，并提供3个由投标企业实施完成实际案例2分；</w:t>
            </w:r>
          </w:p>
          <w:p>
            <w:pPr>
              <w:adjustRightInd w:val="0"/>
              <w:snapToGrid w:val="0"/>
              <w:rPr>
                <w:rFonts w:ascii="宋体" w:hAnsi="宋体" w:cs="宋体"/>
                <w:color w:val="000000"/>
                <w:sz w:val="24"/>
                <w:szCs w:val="24"/>
              </w:rPr>
            </w:pPr>
            <w:r>
              <w:rPr>
                <w:rFonts w:hint="eastAsia" w:ascii="宋体" w:hAnsi="宋体" w:cs="宋体"/>
                <w:color w:val="000000"/>
                <w:sz w:val="24"/>
                <w:szCs w:val="24"/>
              </w:rPr>
              <w:t>创意</w:t>
            </w:r>
            <w:r>
              <w:rPr>
                <w:rFonts w:ascii="宋体" w:hAnsi="宋体" w:cs="宋体"/>
                <w:color w:val="000000"/>
                <w:sz w:val="24"/>
                <w:szCs w:val="24"/>
              </w:rPr>
              <w:t>互动及</w:t>
            </w:r>
            <w:r>
              <w:rPr>
                <w:rFonts w:hint="eastAsia" w:ascii="宋体" w:hAnsi="宋体" w:cs="宋体"/>
                <w:color w:val="000000"/>
                <w:sz w:val="24"/>
                <w:szCs w:val="24"/>
              </w:rPr>
              <w:t>可落地性一般，并提供1个由投标企业实施完成实际案例1分；</w:t>
            </w:r>
          </w:p>
          <w:p>
            <w:pPr>
              <w:adjustRightInd w:val="0"/>
              <w:snapToGrid w:val="0"/>
              <w:rPr>
                <w:rFonts w:ascii="宋体" w:hAnsi="宋体" w:cs="宋体"/>
                <w:color w:val="000000"/>
                <w:sz w:val="24"/>
                <w:szCs w:val="24"/>
              </w:rPr>
            </w:pPr>
            <w:r>
              <w:rPr>
                <w:rFonts w:hint="eastAsia" w:ascii="宋体" w:hAnsi="宋体" w:cs="宋体"/>
                <w:color w:val="000000"/>
                <w:sz w:val="24"/>
                <w:szCs w:val="24"/>
              </w:rPr>
              <w:t>创意</w:t>
            </w:r>
            <w:r>
              <w:rPr>
                <w:rFonts w:ascii="宋体" w:hAnsi="宋体" w:cs="宋体"/>
                <w:color w:val="000000"/>
                <w:sz w:val="24"/>
                <w:szCs w:val="24"/>
              </w:rPr>
              <w:t>互动及</w:t>
            </w:r>
            <w:r>
              <w:rPr>
                <w:rFonts w:hint="eastAsia" w:ascii="宋体" w:hAnsi="宋体" w:cs="宋体"/>
                <w:color w:val="000000"/>
                <w:sz w:val="24"/>
                <w:szCs w:val="24"/>
              </w:rPr>
              <w:t>可落地性差，且无实际案例0分；</w:t>
            </w:r>
          </w:p>
          <w:p>
            <w:pPr>
              <w:adjustRightInd w:val="0"/>
              <w:snapToGrid w:val="0"/>
              <w:rPr>
                <w:rFonts w:ascii="宋体" w:hAnsi="宋体" w:cs="宋体"/>
                <w:color w:val="000000"/>
                <w:sz w:val="24"/>
                <w:szCs w:val="24"/>
              </w:rPr>
            </w:pPr>
            <w:r>
              <w:rPr>
                <w:rFonts w:hint="eastAsia" w:ascii="宋体" w:hAnsi="宋体" w:cs="宋体"/>
                <w:color w:val="000000"/>
                <w:sz w:val="24"/>
                <w:szCs w:val="24"/>
              </w:rPr>
              <w:t>需附投标企业盖章合同关键页。</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63" w:type="dxa"/>
            <w:vMerge w:val="restart"/>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技术制作（20分）</w:t>
            </w:r>
          </w:p>
        </w:tc>
        <w:tc>
          <w:tcPr>
            <w:tcW w:w="106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空间研判与观演分析</w:t>
            </w:r>
          </w:p>
        </w:tc>
        <w:tc>
          <w:tcPr>
            <w:tcW w:w="6255" w:type="dxa"/>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对项目空间及观演关系的研究分析全面合理详细，并提出切实可行的合理化建议2分；</w:t>
            </w:r>
          </w:p>
          <w:p>
            <w:pPr>
              <w:adjustRightInd w:val="0"/>
              <w:snapToGrid w:val="0"/>
              <w:rPr>
                <w:rFonts w:ascii="宋体" w:hAnsi="宋体" w:cs="宋体"/>
                <w:color w:val="000000"/>
                <w:sz w:val="24"/>
                <w:szCs w:val="24"/>
              </w:rPr>
            </w:pPr>
            <w:r>
              <w:rPr>
                <w:rFonts w:hint="eastAsia" w:ascii="宋体" w:hAnsi="宋体" w:cs="宋体"/>
                <w:color w:val="000000"/>
                <w:sz w:val="24"/>
                <w:szCs w:val="24"/>
              </w:rPr>
              <w:t>对项目空间及观演关系的研究分析一般，可行的合理化建议一般1分，无建议0分</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63" w:type="dxa"/>
            <w:vMerge w:val="continue"/>
            <w:vAlign w:val="center"/>
          </w:tcPr>
          <w:p>
            <w:pPr>
              <w:adjustRightInd w:val="0"/>
              <w:snapToGrid w:val="0"/>
              <w:rPr>
                <w:rFonts w:ascii="宋体" w:hAnsi="宋体" w:cs="宋体"/>
                <w:color w:val="000000"/>
                <w:sz w:val="24"/>
                <w:szCs w:val="24"/>
              </w:rPr>
            </w:pPr>
          </w:p>
        </w:tc>
        <w:tc>
          <w:tcPr>
            <w:tcW w:w="106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设备布局及系统设计</w:t>
            </w:r>
          </w:p>
        </w:tc>
        <w:tc>
          <w:tcPr>
            <w:tcW w:w="6255" w:type="dxa"/>
            <w:vAlign w:val="center"/>
          </w:tcPr>
          <w:p>
            <w:pPr>
              <w:adjustRightInd w:val="0"/>
              <w:snapToGrid w:val="0"/>
              <w:rPr>
                <w:rFonts w:ascii="宋体" w:hAnsi="宋体" w:cs="宋体"/>
                <w:color w:val="000000"/>
                <w:sz w:val="24"/>
                <w:szCs w:val="24"/>
              </w:rPr>
            </w:pPr>
            <w:r>
              <w:rPr>
                <w:rFonts w:hint="eastAsia" w:ascii="宋体" w:hAnsi="宋体"/>
                <w:color w:val="000000"/>
                <w:sz w:val="24"/>
                <w:szCs w:val="24"/>
              </w:rPr>
              <w:t>提供完善的设备平面布置图、系统连接图、系统说明得2分，提供不完善或不完整的设备平面布置图、系统连接图、系统说明得</w:t>
            </w:r>
            <w:r>
              <w:rPr>
                <w:rFonts w:ascii="宋体" w:hAnsi="宋体"/>
                <w:color w:val="000000"/>
                <w:sz w:val="24"/>
                <w:szCs w:val="24"/>
              </w:rPr>
              <w:t>1</w:t>
            </w:r>
            <w:r>
              <w:rPr>
                <w:rFonts w:hint="eastAsia" w:ascii="宋体" w:hAnsi="宋体"/>
                <w:color w:val="000000"/>
                <w:sz w:val="24"/>
                <w:szCs w:val="24"/>
              </w:rPr>
              <w:t>分，不提供0分。</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963" w:type="dxa"/>
            <w:vMerge w:val="continue"/>
            <w:vAlign w:val="center"/>
          </w:tcPr>
          <w:p>
            <w:pPr>
              <w:adjustRightInd w:val="0"/>
              <w:snapToGrid w:val="0"/>
              <w:rPr>
                <w:rFonts w:ascii="宋体" w:hAnsi="宋体" w:cs="宋体"/>
                <w:color w:val="000000"/>
                <w:sz w:val="24"/>
                <w:szCs w:val="24"/>
              </w:rPr>
            </w:pPr>
          </w:p>
        </w:tc>
        <w:tc>
          <w:tcPr>
            <w:tcW w:w="106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主要产品性能参数</w:t>
            </w:r>
          </w:p>
        </w:tc>
        <w:tc>
          <w:tcPr>
            <w:tcW w:w="6255" w:type="dxa"/>
            <w:vAlign w:val="center"/>
          </w:tcPr>
          <w:p>
            <w:pPr>
              <w:adjustRightInd w:val="0"/>
              <w:snapToGrid w:val="0"/>
              <w:rPr>
                <w:rFonts w:hint="eastAsia" w:ascii="宋体" w:hAnsi="宋体" w:eastAsia="宋体" w:cs="宋体"/>
                <w:color w:val="000000"/>
                <w:sz w:val="24"/>
                <w:szCs w:val="24"/>
                <w:lang w:eastAsia="zh-CN"/>
              </w:rPr>
            </w:pPr>
            <w:r>
              <w:rPr>
                <w:rFonts w:hint="eastAsia" w:ascii="宋体" w:hAnsi="宋体" w:cs="宋体"/>
                <w:color w:val="000000"/>
                <w:sz w:val="24"/>
                <w:szCs w:val="24"/>
              </w:rPr>
              <w:t>招标设备清单中带</w:t>
            </w:r>
            <w:r>
              <w:rPr>
                <w:rFonts w:hint="eastAsia" w:ascii="宋体" w:hAnsi="宋体"/>
                <w:color w:val="000000"/>
                <w:sz w:val="24"/>
                <w:szCs w:val="24"/>
                <w:shd w:val="clear" w:color="auto" w:fill="FFFFFF"/>
              </w:rPr>
              <w:t>★</w:t>
            </w:r>
            <w:r>
              <w:rPr>
                <w:rFonts w:hint="eastAsia" w:ascii="宋体" w:hAnsi="宋体" w:cs="宋体"/>
                <w:color w:val="000000"/>
                <w:sz w:val="24"/>
                <w:szCs w:val="24"/>
              </w:rPr>
              <w:t>号</w:t>
            </w:r>
            <w:r>
              <w:rPr>
                <w:rFonts w:hint="eastAsia" w:ascii="宋体" w:hAnsi="宋体" w:cs="宋体"/>
                <w:color w:val="000000"/>
                <w:sz w:val="24"/>
                <w:szCs w:val="24"/>
                <w:lang w:eastAsia="zh-CN"/>
              </w:rPr>
              <w:t>的设备需提供</w:t>
            </w:r>
            <w:r>
              <w:rPr>
                <w:rFonts w:hint="eastAsia" w:ascii="宋体" w:hAnsi="宋体" w:cs="宋体"/>
                <w:color w:val="000000"/>
                <w:sz w:val="24"/>
                <w:szCs w:val="24"/>
              </w:rPr>
              <w:t>厂家</w:t>
            </w:r>
            <w:r>
              <w:rPr>
                <w:rFonts w:hint="eastAsia" w:ascii="宋体" w:hAnsi="宋体" w:cs="宋体"/>
                <w:color w:val="000000"/>
                <w:sz w:val="24"/>
                <w:szCs w:val="24"/>
                <w:lang w:eastAsia="zh-CN"/>
              </w:rPr>
              <w:t>或中国区域</w:t>
            </w:r>
            <w:r>
              <w:rPr>
                <w:rFonts w:hint="eastAsia" w:ascii="宋体" w:hAnsi="宋体" w:cs="宋体"/>
                <w:color w:val="000000"/>
                <w:sz w:val="24"/>
                <w:szCs w:val="24"/>
              </w:rPr>
              <w:t>总代理商加盖公章的产品资料/技术参数规格书</w:t>
            </w:r>
            <w:r>
              <w:rPr>
                <w:rFonts w:hint="eastAsia" w:ascii="宋体" w:hAnsi="宋体" w:cs="宋体"/>
                <w:color w:val="000000"/>
                <w:sz w:val="24"/>
                <w:szCs w:val="24"/>
                <w:lang w:eastAsia="zh-CN"/>
              </w:rPr>
              <w:t>，每提供一项得</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分，满分</w:t>
            </w:r>
            <w:r>
              <w:rPr>
                <w:rFonts w:hint="eastAsia" w:ascii="宋体" w:hAnsi="宋体" w:cs="宋体"/>
                <w:color w:val="000000"/>
                <w:sz w:val="24"/>
                <w:szCs w:val="24"/>
                <w:lang w:val="en-US" w:eastAsia="zh-CN"/>
              </w:rPr>
              <w:t>16分</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olor w:val="00000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963"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实施方案（3分）</w:t>
            </w:r>
          </w:p>
        </w:tc>
        <w:tc>
          <w:tcPr>
            <w:tcW w:w="106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组织实施方案</w:t>
            </w:r>
          </w:p>
        </w:tc>
        <w:tc>
          <w:tcPr>
            <w:tcW w:w="6255" w:type="dxa"/>
            <w:vAlign w:val="center"/>
          </w:tcPr>
          <w:p>
            <w:pPr>
              <w:pStyle w:val="7"/>
              <w:rPr>
                <w:rFonts w:ascii="宋体" w:hAnsi="宋体"/>
                <w:color w:val="000000"/>
                <w:sz w:val="24"/>
                <w:szCs w:val="24"/>
              </w:rPr>
            </w:pPr>
            <w:r>
              <w:rPr>
                <w:rFonts w:hint="eastAsia" w:ascii="宋体" w:hAnsi="宋体" w:cs="宋体"/>
                <w:color w:val="000000"/>
                <w:sz w:val="24"/>
                <w:szCs w:val="24"/>
              </w:rPr>
              <w:t>有针地对本项目的施工方案、技术措施、质量保证措施、施工节点计划和节点控制保障措施（包括深化设计、系统内管线施工、设备进场、检验、安装、调试及验收等），且保证本项目按期完工并投入试运行。能够</w:t>
            </w:r>
            <w:r>
              <w:rPr>
                <w:rFonts w:hint="eastAsia" w:ascii="宋体" w:hAnsi="宋体"/>
                <w:color w:val="000000"/>
                <w:sz w:val="24"/>
                <w:szCs w:val="24"/>
              </w:rPr>
              <w:t>提供本条要求的所方案得3分，仅提供部分方案2分，不提供0分。</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963" w:type="dxa"/>
            <w:vMerge w:val="restart"/>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运营与运维（3分）</w:t>
            </w:r>
          </w:p>
        </w:tc>
        <w:tc>
          <w:tcPr>
            <w:tcW w:w="106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运营建议</w:t>
            </w:r>
          </w:p>
        </w:tc>
        <w:tc>
          <w:tcPr>
            <w:tcW w:w="6255" w:type="dxa"/>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能从项目可持续性经营提出有效的贴合项目实际的详细建议方案得2分，提出的建议方案一般1分，提供的运营建议较差或者不提供运营建议得0分</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63" w:type="dxa"/>
            <w:vMerge w:val="continue"/>
            <w:vAlign w:val="center"/>
          </w:tcPr>
          <w:p>
            <w:pPr>
              <w:adjustRightInd w:val="0"/>
              <w:snapToGrid w:val="0"/>
              <w:rPr>
                <w:rFonts w:ascii="宋体" w:hAnsi="宋体" w:cs="宋体"/>
                <w:color w:val="000000"/>
                <w:sz w:val="24"/>
                <w:szCs w:val="24"/>
              </w:rPr>
            </w:pPr>
          </w:p>
        </w:tc>
        <w:tc>
          <w:tcPr>
            <w:tcW w:w="106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运维方案</w:t>
            </w:r>
          </w:p>
        </w:tc>
        <w:tc>
          <w:tcPr>
            <w:tcW w:w="6255" w:type="dxa"/>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运行及维保方案详尽，涵盖且不限于培训计划、保障措施、运行方案，且保障措施完整详细得1分；运行及维保方案一般，保障措施简单得0.5分，运行及维保方案差，保障措施不满足要求或者无保障措施得0分。</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283" w:type="dxa"/>
            <w:gridSpan w:val="3"/>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合计</w:t>
            </w:r>
          </w:p>
        </w:tc>
        <w:tc>
          <w:tcPr>
            <w:tcW w:w="775"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40</w:t>
            </w:r>
          </w:p>
        </w:tc>
      </w:tr>
    </w:tbl>
    <w:p>
      <w:pPr>
        <w:spacing w:line="360" w:lineRule="auto"/>
        <w:ind w:firstLine="482" w:firstLineChars="200"/>
        <w:rPr>
          <w:rFonts w:hint="eastAsia" w:ascii="宋体" w:hAnsi="宋体" w:cs="仿宋_GB2312"/>
          <w:b/>
          <w:sz w:val="24"/>
          <w:szCs w:val="24"/>
          <w:lang w:val="zh-CN"/>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823" w:type="dxa"/>
            <w:vAlign w:val="center"/>
          </w:tcPr>
          <w:p>
            <w:pPr>
              <w:jc w:val="center"/>
              <w:rPr>
                <w:rFonts w:ascii="宋体" w:hAnsi="宋体"/>
                <w:b/>
                <w:color w:val="000000"/>
                <w:sz w:val="24"/>
                <w:szCs w:val="24"/>
              </w:rPr>
            </w:pPr>
            <w:r>
              <w:rPr>
                <w:rFonts w:hint="eastAsia" w:ascii="宋体" w:hAnsi="宋体"/>
                <w:b/>
                <w:color w:val="000000"/>
                <w:sz w:val="24"/>
                <w:szCs w:val="24"/>
              </w:rPr>
              <w:t>情形</w:t>
            </w:r>
          </w:p>
        </w:tc>
        <w:tc>
          <w:tcPr>
            <w:tcW w:w="2552" w:type="dxa"/>
            <w:vAlign w:val="center"/>
          </w:tcPr>
          <w:p>
            <w:pPr>
              <w:jc w:val="center"/>
              <w:rPr>
                <w:rFonts w:ascii="宋体" w:hAnsi="宋体"/>
                <w:b/>
                <w:color w:val="000000"/>
                <w:sz w:val="24"/>
                <w:szCs w:val="24"/>
              </w:rPr>
            </w:pPr>
            <w:r>
              <w:rPr>
                <w:rFonts w:hint="eastAsia" w:ascii="宋体" w:hAnsi="宋体"/>
                <w:b/>
                <w:color w:val="000000"/>
                <w:sz w:val="24"/>
                <w:szCs w:val="24"/>
              </w:rPr>
              <w:t>价格扣除比例</w:t>
            </w:r>
          </w:p>
        </w:tc>
        <w:tc>
          <w:tcPr>
            <w:tcW w:w="2835" w:type="dxa"/>
            <w:vAlign w:val="center"/>
          </w:tcPr>
          <w:p>
            <w:pPr>
              <w:jc w:val="center"/>
              <w:rPr>
                <w:rFonts w:ascii="宋体" w:hAnsi="宋体"/>
                <w:b/>
                <w:color w:val="000000"/>
                <w:sz w:val="24"/>
                <w:szCs w:val="24"/>
              </w:rPr>
            </w:pPr>
            <w:r>
              <w:rPr>
                <w:rFonts w:hint="eastAsia" w:ascii="宋体" w:hAnsi="宋体"/>
                <w:b/>
                <w:color w:val="000000"/>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1</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非联合体投标人</w:t>
            </w:r>
          </w:p>
          <w:p>
            <w:pPr>
              <w:jc w:val="center"/>
              <w:rPr>
                <w:rFonts w:ascii="宋体" w:hAnsi="宋体"/>
                <w:b/>
                <w:color w:val="000000"/>
                <w:sz w:val="24"/>
                <w:szCs w:val="24"/>
              </w:rPr>
            </w:pPr>
            <w:r>
              <w:rPr>
                <w:rFonts w:hint="eastAsia" w:ascii="宋体" w:hAnsi="宋体"/>
                <w:color w:val="000000"/>
                <w:sz w:val="24"/>
                <w:szCs w:val="24"/>
              </w:rPr>
              <w:t>（投标人须为中小企业）</w:t>
            </w:r>
          </w:p>
        </w:tc>
        <w:tc>
          <w:tcPr>
            <w:tcW w:w="2552" w:type="dxa"/>
            <w:vAlign w:val="center"/>
          </w:tcPr>
          <w:p>
            <w:pPr>
              <w:jc w:val="center"/>
              <w:rPr>
                <w:rFonts w:ascii="宋体" w:hAnsi="宋体"/>
                <w:b/>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rPr>
            </w:pPr>
            <w:r>
              <w:rPr>
                <w:rFonts w:hint="eastAsia"/>
                <w:color w:val="000000"/>
                <w:sz w:val="24"/>
                <w:szCs w:val="24"/>
              </w:rPr>
              <w:t>评标价格＝投标报价—小型和微型企业产品的价格</w:t>
            </w:r>
            <w:r>
              <w:rPr>
                <w:rFonts w:hint="eastAsia" w:ascii="宋体" w:hAnsi="宋体"/>
                <w:color w:val="000000"/>
                <w:sz w:val="24"/>
                <w:szCs w:val="24"/>
              </w:rPr>
              <w:t>×</w:t>
            </w:r>
            <w:r>
              <w:rPr>
                <w:rFonts w:hint="eastAsia"/>
                <w:color w:val="000000"/>
                <w:sz w:val="24"/>
                <w:szCs w:val="24"/>
              </w:rPr>
              <w:t>6%</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3</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rPr>
              <w:t>评标价格＝投标报价×(1-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4</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监狱企业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rPr>
            </w:pPr>
            <w:r>
              <w:rPr>
                <w:rFonts w:hint="eastAsia"/>
                <w:color w:val="000000"/>
                <w:sz w:val="24"/>
                <w:szCs w:val="24"/>
              </w:rPr>
              <w:t>评标价格＝投标报价—监狱企业产品的价格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5</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残疾人福利性单位</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rPr>
            </w:pPr>
            <w:r>
              <w:rPr>
                <w:rFonts w:hint="eastAsia"/>
                <w:color w:val="000000"/>
                <w:sz w:val="24"/>
                <w:szCs w:val="24"/>
              </w:rPr>
              <w:t>评标价格＝投标报价—残疾人福利性单位产品的价格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color w:val="FF0000"/>
          <w:sz w:val="24"/>
          <w:szCs w:val="24"/>
        </w:rPr>
      </w:pPr>
      <w:r>
        <w:rPr>
          <w:rFonts w:hint="eastAsia" w:ascii="宋体" w:hAnsi="宋体"/>
          <w:bCs/>
          <w:color w:val="FF0000"/>
          <w:sz w:val="24"/>
          <w:szCs w:val="24"/>
        </w:rPr>
        <w:t>备注：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a、不接受联合体投标的项目，本表中第2项、第3项情形不适用。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b、小型和微型企业产品包括货物及其提供的服务与工程。</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d、残疾人福利性单位属于小型、微型企业的，不重复享受政策。</w:t>
      </w:r>
    </w:p>
    <w:p>
      <w:pPr>
        <w:pStyle w:val="29"/>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（7）</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29"/>
        <w:spacing w:line="360" w:lineRule="auto"/>
        <w:contextualSpacing/>
        <w:jc w:val="center"/>
        <w:rPr>
          <w:rFonts w:hint="eastAsia" w:ascii="宋体" w:hAnsi="宋体" w:eastAsia="宋体" w:cs="宋体"/>
          <w:b/>
          <w:kern w:val="0"/>
          <w:sz w:val="36"/>
          <w:szCs w:val="36"/>
        </w:rPr>
      </w:pPr>
    </w:p>
    <w:p>
      <w:pPr>
        <w:pStyle w:val="29"/>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29"/>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8"/>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29"/>
        <w:widowControl w:val="0"/>
        <w:wordWrap/>
        <w:snapToGrid/>
        <w:spacing w:before="0" w:after="0" w:line="440" w:lineRule="exact"/>
        <w:ind w:left="0" w:leftChars="0" w:right="0"/>
        <w:contextualSpacing/>
        <w:jc w:val="both"/>
        <w:textAlignment w:val="auto"/>
        <w:outlineLvl w:val="9"/>
        <w:rPr>
          <w:rFonts w:ascii="宋体" w:hAnsi="宋体" w:eastAsia="宋体" w:cs="宋体"/>
          <w:b/>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29"/>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29"/>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86274126"/>
      <w:bookmarkStart w:id="2" w:name="_Toc184023138"/>
      <w:bookmarkStart w:id="3" w:name="_Toc174185203"/>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48"/>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29"/>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29"/>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9"/>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9"/>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4"/>
            <w:vAlign w:val="center"/>
          </w:tcPr>
          <w:p>
            <w:pPr>
              <w:pStyle w:val="29"/>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color w:val="000000"/>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29"/>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29"/>
              <w:kinsoku w:val="0"/>
              <w:overflowPunct w:val="0"/>
              <w:autoSpaceDE w:val="0"/>
              <w:autoSpaceDN w:val="0"/>
              <w:spacing w:line="320" w:lineRule="exact"/>
              <w:rPr>
                <w:rFonts w:ascii="宋体" w:hAnsi="宋体" w:eastAsia="宋体" w:cs="宋体"/>
                <w:bCs/>
                <w:szCs w:val="24"/>
                <w:lang w:val="zh-CN"/>
              </w:rPr>
            </w:pP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29"/>
        <w:spacing w:line="360" w:lineRule="auto"/>
        <w:jc w:val="both"/>
        <w:rPr>
          <w:rFonts w:ascii="宋体" w:hAnsi="宋体" w:eastAsia="宋体"/>
          <w:b/>
          <w:snapToGrid w:val="0"/>
          <w:kern w:val="0"/>
          <w:sz w:val="36"/>
          <w:szCs w:val="36"/>
        </w:rPr>
      </w:pPr>
    </w:p>
    <w:p>
      <w:pPr>
        <w:pStyle w:val="29"/>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18"/>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cs="黑体"/>
          <w:b/>
          <w:bCs/>
          <w:sz w:val="44"/>
          <w:szCs w:val="44"/>
          <w:lang w:val="zh-CN"/>
        </w:rPr>
        <w:t>三、资格审查证明材料</w:t>
      </w:r>
    </w:p>
    <w:p>
      <w:pPr>
        <w:pStyle w:val="29"/>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29"/>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（项目名称、招标编号）招标文件的全部内容。</w:t>
      </w:r>
    </w:p>
    <w:p>
      <w:pPr>
        <w:pStyle w:val="29"/>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6"/>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三、我方明白并同意，在规定的开标日之后，投标有效期之内撤销投标的，则贵方将不予退还投标保证金。</w:t>
      </w:r>
    </w:p>
    <w:p>
      <w:pPr>
        <w:pStyle w:val="36"/>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36"/>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36"/>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六、我方如果中标，将保证履行招标文件及其澄清、修改文件（如果有）中的全部责任和义务，按质、按量、按期完成《项目需求》及《合同书》中的全部任务。</w:t>
      </w:r>
    </w:p>
    <w:p>
      <w:pPr>
        <w:pStyle w:val="36"/>
        <w:adjustRightInd w:val="0"/>
        <w:spacing w:line="360" w:lineRule="auto"/>
        <w:ind w:firstLine="480" w:firstLineChars="200"/>
        <w:contextualSpacing/>
        <w:rPr>
          <w:rFonts w:ascii="宋体" w:hAnsi="宋体" w:eastAsia="宋体" w:cs="宋体"/>
        </w:rPr>
      </w:pPr>
      <w:r>
        <w:rPr>
          <w:rFonts w:hint="eastAsia" w:ascii="宋体" w:hAnsi="宋体" w:eastAsia="宋体" w:cs="Courier New"/>
        </w:rPr>
        <w:t>七、我方在此保证所提交的所有文件和全部说明是真实的和正确的。</w:t>
      </w:r>
    </w:p>
    <w:p>
      <w:pPr>
        <w:pStyle w:val="29"/>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9"/>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29"/>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9"/>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29"/>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29"/>
        <w:adjustRightInd w:val="0"/>
        <w:snapToGrid w:val="0"/>
        <w:spacing w:line="360" w:lineRule="auto"/>
        <w:rPr>
          <w:rFonts w:ascii="宋体" w:hAnsi="宋体" w:eastAsia="宋体"/>
          <w:szCs w:val="24"/>
        </w:rPr>
      </w:pPr>
    </w:p>
    <w:p>
      <w:pPr>
        <w:pStyle w:val="29"/>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eastAsia="宋体"/>
          <w:b/>
          <w:bCs/>
          <w:color w:val="000000"/>
          <w:sz w:val="36"/>
          <w:szCs w:val="36"/>
        </w:rPr>
      </w:pPr>
    </w:p>
    <w:p>
      <w:pP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3.2 法定代表人</w:t>
      </w:r>
      <w:r>
        <w:rPr>
          <w:rFonts w:ascii="宋体" w:hAnsi="宋体" w:eastAsia="宋体"/>
          <w:b/>
          <w:bCs/>
          <w:color w:val="000000"/>
          <w:sz w:val="36"/>
          <w:szCs w:val="36"/>
        </w:rPr>
        <w:t>资</w:t>
      </w:r>
      <w:r>
        <w:rPr>
          <w:rFonts w:hint="eastAsia" w:ascii="宋体" w:hAnsi="宋体" w:eastAsia="宋体"/>
          <w:b/>
          <w:bCs/>
          <w:color w:val="000000"/>
          <w:sz w:val="36"/>
          <w:szCs w:val="36"/>
        </w:rPr>
        <w:t>格</w:t>
      </w:r>
      <w:r>
        <w:rPr>
          <w:rFonts w:ascii="宋体" w:hAnsi="宋体" w:eastAsia="宋体"/>
          <w:b/>
          <w:bCs/>
          <w:color w:val="000000"/>
          <w:sz w:val="36"/>
          <w:szCs w:val="36"/>
        </w:rPr>
        <w:t>证</w:t>
      </w:r>
      <w:r>
        <w:rPr>
          <w:rFonts w:hint="eastAsia" w:ascii="宋体" w:hAnsi="宋体" w:eastAsia="宋体"/>
          <w:b/>
          <w:bCs/>
          <w:color w:val="000000"/>
          <w:sz w:val="36"/>
          <w:szCs w:val="36"/>
        </w:rPr>
        <w:t>明</w:t>
      </w:r>
      <w:r>
        <w:rPr>
          <w:rFonts w:ascii="宋体" w:hAnsi="宋体" w:eastAsia="宋体"/>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42"/>
        <w:spacing w:line="480" w:lineRule="auto"/>
        <w:ind w:firstLine="540" w:firstLineChars="225"/>
        <w:jc w:val="left"/>
        <w:rPr>
          <w:rFonts w:ascii="宋体" w:hAnsi="宋体"/>
          <w:color w:val="000000"/>
          <w:szCs w:val="24"/>
        </w:rPr>
      </w:pPr>
      <w:r>
        <w:rPr>
          <w:rFonts w:ascii="宋体" w:hAnsi="宋体"/>
          <w:color w:val="000000"/>
          <w:szCs w:val="24"/>
        </w:rPr>
        <w:t>单</w:t>
      </w:r>
      <w:r>
        <w:rPr>
          <w:rFonts w:hint="eastAsia" w:ascii="宋体" w:hAnsi="宋体"/>
          <w:color w:val="000000"/>
          <w:szCs w:val="24"/>
        </w:rPr>
        <w:t>位名</w:t>
      </w:r>
      <w:r>
        <w:rPr>
          <w:rFonts w:ascii="宋体" w:hAnsi="宋体"/>
          <w:color w:val="000000"/>
          <w:szCs w:val="24"/>
        </w:rPr>
        <w:t>称</w:t>
      </w:r>
      <w:r>
        <w:rPr>
          <w:rFonts w:hint="eastAsia" w:ascii="宋体" w:hAnsi="宋体"/>
          <w:color w:val="000000"/>
          <w:szCs w:val="24"/>
        </w:rPr>
        <w:t>：</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地址：</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姓名：       性</w:t>
      </w:r>
      <w:r>
        <w:rPr>
          <w:rFonts w:ascii="宋体" w:hAnsi="宋体"/>
          <w:color w:val="000000"/>
          <w:szCs w:val="24"/>
        </w:rPr>
        <w:t>别</w:t>
      </w:r>
      <w:r>
        <w:rPr>
          <w:rFonts w:hint="eastAsia" w:ascii="宋体" w:hAnsi="宋体"/>
          <w:color w:val="000000"/>
          <w:szCs w:val="24"/>
        </w:rPr>
        <w:t>：     年</w:t>
      </w:r>
      <w:r>
        <w:rPr>
          <w:rFonts w:ascii="宋体" w:hAnsi="宋体"/>
          <w:color w:val="000000"/>
          <w:szCs w:val="24"/>
        </w:rPr>
        <w:t>龄</w:t>
      </w:r>
      <w:r>
        <w:rPr>
          <w:rFonts w:hint="eastAsia" w:ascii="宋体" w:hAnsi="宋体"/>
          <w:color w:val="000000"/>
          <w:szCs w:val="24"/>
        </w:rPr>
        <w:t>：</w:t>
      </w:r>
      <w:r>
        <w:rPr>
          <w:rFonts w:ascii="宋体" w:hAnsi="宋体"/>
          <w:color w:val="000000"/>
          <w:szCs w:val="24"/>
        </w:rPr>
        <w:t xml:space="preserve">     职务</w:t>
      </w:r>
      <w:r>
        <w:rPr>
          <w:rFonts w:hint="eastAsia" w:ascii="宋体" w:hAnsi="宋体"/>
          <w:color w:val="000000"/>
          <w:szCs w:val="24"/>
        </w:rPr>
        <w:t xml:space="preserve">：        </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本人系</w:t>
      </w:r>
      <w:r>
        <w:rPr>
          <w:rFonts w:hint="eastAsia" w:ascii="宋体" w:hAnsi="宋体"/>
          <w:color w:val="000000"/>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color w:val="000000"/>
          <w:szCs w:val="24"/>
        </w:rPr>
        <w:t>的法定代表人。就</w:t>
      </w:r>
      <w:r>
        <w:rPr>
          <w:rFonts w:ascii="宋体" w:hAnsi="宋体"/>
          <w:color w:val="000000"/>
          <w:szCs w:val="24"/>
        </w:rPr>
        <w:t>参</w:t>
      </w:r>
      <w:r>
        <w:rPr>
          <w:rFonts w:hint="eastAsia" w:ascii="宋体" w:hAnsi="宋体"/>
          <w:color w:val="000000"/>
          <w:szCs w:val="24"/>
        </w:rPr>
        <w:t>加贵方招</w:t>
      </w:r>
      <w:r>
        <w:rPr>
          <w:rFonts w:ascii="宋体" w:hAnsi="宋体"/>
          <w:color w:val="000000"/>
          <w:szCs w:val="24"/>
        </w:rPr>
        <w:t>标编号为</w:t>
      </w:r>
      <w:r>
        <w:rPr>
          <w:rFonts w:hint="eastAsia" w:ascii="宋体" w:hAnsi="宋体"/>
          <w:color w:val="000000"/>
          <w:szCs w:val="24"/>
          <w:u w:val="single"/>
        </w:rPr>
        <w:t xml:space="preserve">  </w:t>
      </w:r>
      <w:r>
        <w:rPr>
          <w:rFonts w:ascii="宋体" w:hAnsi="宋体"/>
          <w:i/>
          <w:color w:val="000000"/>
          <w:szCs w:val="24"/>
          <w:u w:val="single"/>
        </w:rPr>
        <w:t>项目编号</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的</w:t>
      </w:r>
      <w:r>
        <w:rPr>
          <w:rFonts w:hint="eastAsia" w:ascii="宋体" w:hAnsi="宋体"/>
          <w:color w:val="000000"/>
          <w:szCs w:val="24"/>
          <w:u w:val="single"/>
        </w:rPr>
        <w:t xml:space="preserve">  </w:t>
      </w:r>
      <w:r>
        <w:rPr>
          <w:rFonts w:ascii="宋体" w:hAnsi="宋体"/>
          <w:i/>
          <w:color w:val="000000"/>
          <w:szCs w:val="24"/>
          <w:u w:val="single"/>
        </w:rPr>
        <w:t>项目</w:t>
      </w:r>
      <w:r>
        <w:rPr>
          <w:rFonts w:hint="eastAsia" w:ascii="宋体" w:hAnsi="宋体"/>
          <w:i/>
          <w:color w:val="000000"/>
          <w:szCs w:val="24"/>
          <w:u w:val="single"/>
        </w:rPr>
        <w:t>名</w:t>
      </w:r>
      <w:r>
        <w:rPr>
          <w:rFonts w:ascii="宋体" w:hAnsi="宋体"/>
          <w:i/>
          <w:color w:val="000000"/>
          <w:szCs w:val="24"/>
          <w:u w:val="single"/>
        </w:rPr>
        <w:t>称</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公</w:t>
      </w:r>
      <w:r>
        <w:rPr>
          <w:rFonts w:ascii="宋体" w:hAnsi="宋体"/>
          <w:color w:val="000000"/>
          <w:szCs w:val="24"/>
        </w:rPr>
        <w:t>开</w:t>
      </w:r>
      <w:r>
        <w:rPr>
          <w:rFonts w:hint="eastAsia" w:ascii="宋体" w:hAnsi="宋体"/>
          <w:color w:val="000000"/>
          <w:szCs w:val="24"/>
        </w:rPr>
        <w:t>招</w:t>
      </w:r>
      <w:r>
        <w:rPr>
          <w:rFonts w:ascii="宋体" w:hAnsi="宋体"/>
          <w:color w:val="000000"/>
          <w:szCs w:val="24"/>
        </w:rPr>
        <w:t>标项目</w:t>
      </w:r>
      <w:r>
        <w:rPr>
          <w:rFonts w:hint="eastAsia" w:ascii="宋体" w:hAnsi="宋体"/>
          <w:color w:val="000000"/>
          <w:szCs w:val="24"/>
        </w:rPr>
        <w:t>的投</w:t>
      </w:r>
      <w:r>
        <w:rPr>
          <w:rFonts w:ascii="宋体" w:hAnsi="宋体"/>
          <w:color w:val="000000"/>
          <w:szCs w:val="24"/>
        </w:rPr>
        <w:t>标报价</w:t>
      </w:r>
      <w:r>
        <w:rPr>
          <w:rFonts w:hint="eastAsia" w:ascii="宋体" w:hAnsi="宋体"/>
          <w:color w:val="000000"/>
          <w:szCs w:val="24"/>
        </w:rPr>
        <w:t>，</w:t>
      </w:r>
      <w:r>
        <w:rPr>
          <w:rFonts w:ascii="宋体" w:hAnsi="宋体"/>
          <w:color w:val="000000"/>
          <w:szCs w:val="24"/>
        </w:rPr>
        <w:t>签</w:t>
      </w:r>
      <w:r>
        <w:rPr>
          <w:rFonts w:hint="eastAsia" w:ascii="宋体" w:hAnsi="宋体"/>
          <w:color w:val="000000"/>
          <w:szCs w:val="24"/>
        </w:rPr>
        <w:t>署上</w:t>
      </w:r>
      <w:r>
        <w:rPr>
          <w:rFonts w:ascii="宋体" w:hAnsi="宋体"/>
          <w:color w:val="000000"/>
          <w:szCs w:val="24"/>
        </w:rPr>
        <w:t>述项目</w:t>
      </w:r>
      <w:r>
        <w:rPr>
          <w:rFonts w:hint="eastAsia" w:ascii="宋体" w:hAnsi="宋体"/>
          <w:color w:val="000000"/>
          <w:szCs w:val="24"/>
        </w:rPr>
        <w:t>的投</w:t>
      </w:r>
      <w:r>
        <w:rPr>
          <w:rFonts w:ascii="宋体" w:hAnsi="宋体"/>
          <w:color w:val="000000"/>
          <w:szCs w:val="24"/>
        </w:rPr>
        <w:t>标</w:t>
      </w:r>
      <w:r>
        <w:rPr>
          <w:rFonts w:hint="eastAsia" w:ascii="宋体" w:hAnsi="宋体"/>
          <w:color w:val="000000"/>
          <w:szCs w:val="24"/>
        </w:rPr>
        <w:t>文件及合同的</w:t>
      </w:r>
      <w:r>
        <w:rPr>
          <w:rFonts w:ascii="宋体" w:hAnsi="宋体"/>
          <w:color w:val="000000"/>
          <w:szCs w:val="24"/>
        </w:rPr>
        <w:t>执</w:t>
      </w:r>
      <w:r>
        <w:rPr>
          <w:rFonts w:hint="eastAsia" w:ascii="宋体" w:hAnsi="宋体"/>
          <w:color w:val="000000"/>
          <w:szCs w:val="24"/>
        </w:rPr>
        <w:t>行、完成、服</w:t>
      </w:r>
      <w:r>
        <w:rPr>
          <w:rFonts w:ascii="宋体" w:hAnsi="宋体"/>
          <w:color w:val="000000"/>
          <w:szCs w:val="24"/>
        </w:rPr>
        <w:t>务</w:t>
      </w:r>
      <w:r>
        <w:rPr>
          <w:rFonts w:hint="eastAsia" w:ascii="宋体" w:hAnsi="宋体"/>
          <w:color w:val="000000"/>
          <w:szCs w:val="24"/>
        </w:rPr>
        <w:t>和保修，</w:t>
      </w:r>
      <w:r>
        <w:rPr>
          <w:rFonts w:ascii="宋体" w:hAnsi="宋体"/>
          <w:color w:val="000000"/>
          <w:szCs w:val="24"/>
        </w:rPr>
        <w:t>签</w:t>
      </w:r>
      <w:r>
        <w:rPr>
          <w:rFonts w:hint="eastAsia" w:ascii="宋体" w:hAnsi="宋体"/>
          <w:color w:val="000000"/>
          <w:szCs w:val="24"/>
        </w:rPr>
        <w:t>署合同和</w:t>
      </w:r>
      <w:r>
        <w:rPr>
          <w:rFonts w:ascii="宋体" w:hAnsi="宋体"/>
          <w:color w:val="000000"/>
          <w:szCs w:val="24"/>
        </w:rPr>
        <w:t>处</w:t>
      </w:r>
      <w:r>
        <w:rPr>
          <w:rFonts w:hint="eastAsia" w:ascii="宋体" w:hAnsi="宋体"/>
          <w:color w:val="000000"/>
          <w:szCs w:val="24"/>
        </w:rPr>
        <w:t>理与之有</w:t>
      </w:r>
      <w:r>
        <w:rPr>
          <w:rFonts w:ascii="宋体" w:hAnsi="宋体"/>
          <w:color w:val="000000"/>
          <w:szCs w:val="24"/>
        </w:rPr>
        <w:t>关的</w:t>
      </w:r>
      <w:r>
        <w:rPr>
          <w:rFonts w:hint="eastAsia" w:ascii="宋体" w:hAnsi="宋体"/>
          <w:color w:val="000000"/>
          <w:szCs w:val="24"/>
        </w:rPr>
        <w:t>一切事</w:t>
      </w:r>
      <w:r>
        <w:rPr>
          <w:rFonts w:ascii="宋体" w:hAnsi="宋体"/>
          <w:color w:val="000000"/>
          <w:szCs w:val="24"/>
        </w:rPr>
        <w:t>务</w:t>
      </w:r>
      <w:r>
        <w:rPr>
          <w:rFonts w:hint="eastAsia" w:ascii="宋体" w:hAnsi="宋体"/>
          <w:color w:val="000000"/>
          <w:szCs w:val="24"/>
        </w:rPr>
        <w:t>。</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特此</w:t>
      </w:r>
      <w:r>
        <w:rPr>
          <w:rFonts w:ascii="宋体" w:hAnsi="宋体"/>
          <w:color w:val="000000"/>
          <w:szCs w:val="24"/>
        </w:rPr>
        <w:t>证</w:t>
      </w:r>
      <w:r>
        <w:rPr>
          <w:rFonts w:hint="eastAsia" w:ascii="宋体" w:hAnsi="宋体"/>
          <w:color w:val="000000"/>
          <w:szCs w:val="24"/>
        </w:rPr>
        <w:t>明。</w:t>
      </w:r>
    </w:p>
    <w:p>
      <w:pPr>
        <w:pStyle w:val="42"/>
        <w:spacing w:line="480" w:lineRule="auto"/>
        <w:ind w:firstLine="540" w:firstLineChars="225"/>
        <w:jc w:val="left"/>
        <w:rPr>
          <w:rFonts w:ascii="宋体" w:hAnsi="宋体"/>
          <w:color w:val="000000"/>
          <w:szCs w:val="24"/>
        </w:rPr>
      </w:pPr>
    </w:p>
    <w:p>
      <w:pPr>
        <w:pStyle w:val="42"/>
        <w:spacing w:line="480" w:lineRule="auto"/>
        <w:ind w:firstLine="540" w:firstLineChars="225"/>
        <w:jc w:val="left"/>
        <w:rPr>
          <w:rFonts w:ascii="宋体" w:hAnsi="宋体"/>
          <w:color w:val="000000"/>
          <w:szCs w:val="24"/>
        </w:rPr>
      </w:pPr>
    </w:p>
    <w:p>
      <w:pPr>
        <w:pStyle w:val="42"/>
        <w:spacing w:line="480" w:lineRule="auto"/>
        <w:ind w:left="-538" w:leftChars="-256" w:firstLine="616" w:firstLineChars="257"/>
        <w:jc w:val="center"/>
        <w:rPr>
          <w:rFonts w:ascii="宋体" w:hAnsi="宋体"/>
          <w:bCs/>
          <w:color w:val="000000"/>
          <w:szCs w:val="24"/>
        </w:rPr>
      </w:pPr>
      <w:r>
        <w:rPr>
          <w:rFonts w:hint="eastAsia" w:ascii="宋体" w:hAnsi="宋体"/>
          <w:bCs/>
          <w:color w:val="000000"/>
          <w:szCs w:val="24"/>
        </w:rPr>
        <w:t>【此</w:t>
      </w:r>
      <w:r>
        <w:rPr>
          <w:rFonts w:ascii="宋体" w:hAnsi="宋体"/>
          <w:bCs/>
          <w:color w:val="000000"/>
          <w:szCs w:val="24"/>
        </w:rPr>
        <w:t>处请</w:t>
      </w:r>
      <w:r>
        <w:rPr>
          <w:rFonts w:hint="eastAsia" w:ascii="宋体" w:hAnsi="宋体"/>
          <w:bCs/>
          <w:color w:val="000000"/>
          <w:szCs w:val="24"/>
        </w:rPr>
        <w:t>粘</w:t>
      </w:r>
      <w:r>
        <w:rPr>
          <w:rFonts w:ascii="宋体" w:hAnsi="宋体"/>
          <w:bCs/>
          <w:color w:val="000000"/>
          <w:szCs w:val="24"/>
        </w:rPr>
        <w:t>贴</w:t>
      </w:r>
      <w:r>
        <w:rPr>
          <w:rFonts w:hint="eastAsia" w:ascii="宋体" w:hAnsi="宋体"/>
          <w:bCs/>
          <w:color w:val="000000"/>
          <w:szCs w:val="24"/>
        </w:rPr>
        <w:t>法定代表人身份</w:t>
      </w:r>
      <w:r>
        <w:rPr>
          <w:rFonts w:ascii="宋体" w:hAnsi="宋体"/>
          <w:bCs/>
          <w:color w:val="000000"/>
          <w:szCs w:val="24"/>
        </w:rPr>
        <w:t>证复</w:t>
      </w:r>
      <w:r>
        <w:rPr>
          <w:rFonts w:hint="eastAsia" w:ascii="宋体" w:hAnsi="宋体"/>
          <w:bCs/>
          <w:color w:val="000000"/>
          <w:szCs w:val="24"/>
        </w:rPr>
        <w:t>印件，需清晰反映身份证有效期限】</w:t>
      </w:r>
    </w:p>
    <w:p>
      <w:pPr>
        <w:pStyle w:val="42"/>
        <w:spacing w:line="480" w:lineRule="auto"/>
        <w:ind w:left="-538" w:leftChars="-256" w:firstLine="616" w:firstLineChars="257"/>
        <w:jc w:val="center"/>
        <w:rPr>
          <w:rFonts w:ascii="宋体"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4"/>
        <w:spacing w:before="60" w:line="480" w:lineRule="auto"/>
        <w:ind w:firstLine="3900" w:firstLineChars="1625"/>
        <w:rPr>
          <w:rFonts w:ascii="宋体" w:hAnsi="宋体" w:eastAsia="宋体" w:cs="Arial"/>
          <w:color w:val="000000"/>
          <w:szCs w:val="24"/>
        </w:rPr>
      </w:pPr>
      <w:r>
        <w:rPr>
          <w:rFonts w:hint="eastAsia" w:ascii="宋体" w:hAnsi="宋体" w:eastAsia="宋体" w:cs="Arial"/>
          <w:color w:val="000000"/>
          <w:szCs w:val="24"/>
        </w:rPr>
        <w:t>签署日期：   年   月  日</w:t>
      </w:r>
    </w:p>
    <w:p>
      <w:pPr>
        <w:pStyle w:val="43"/>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日期：     年    月    日</w:t>
      </w:r>
      <w:r>
        <w:rPr>
          <w:rFonts w:hint="eastAsia" w:ascii="宋体" w:hAnsi="宋体" w:cs="宋体"/>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投标人（公章）：</w:t>
      </w: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eastAsia="zh-CN"/>
        </w:rPr>
        <w:t>日期：     年    月    日</w:t>
      </w:r>
      <w:r>
        <w:rPr>
          <w:rFonts w:hint="eastAsia" w:ascii="宋体" w:hAnsi="宋体" w:cs="宋体"/>
          <w:sz w:val="24"/>
          <w:szCs w:val="24"/>
          <w:lang w:val="en-US" w:eastAsia="zh-CN"/>
        </w:rPr>
        <w:t xml:space="preserve"> </w:t>
      </w: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8"/>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8"/>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6"/>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6"/>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6"/>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6"/>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bookmarkEnd w:id="7"/>
      <w:bookmarkEnd w:id="8"/>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w:rPr>
        <w:rFonts w:ascii="Calibri" w:hAnsi="Calibri" w:eastAsia="宋体" w:cs="黑体"/>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E"/>
    <w:multiLevelType w:val="singleLevel"/>
    <w:tmpl w:val="0000000E"/>
    <w:lvl w:ilvl="0" w:tentative="0">
      <w:start w:val="1"/>
      <w:numFmt w:val="chineseCounting"/>
      <w:pStyle w:val="48"/>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166D57"/>
    <w:rsid w:val="17D52DA7"/>
    <w:rsid w:val="315E3513"/>
    <w:rsid w:val="32510F5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22"/>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4">
    <w:name w:val="Default Paragraph Font"/>
    <w:uiPriority w:val="0"/>
  </w:style>
  <w:style w:type="table" w:default="1" w:styleId="18">
    <w:name w:val="Normal Table"/>
    <w:semiHidden/>
    <w:uiPriority w:val="0"/>
    <w:tblPr>
      <w:tblLayout w:type="fixed"/>
      <w:tblCellMar>
        <w:top w:w="0" w:type="dxa"/>
        <w:left w:w="108" w:type="dxa"/>
        <w:bottom w:w="0" w:type="dxa"/>
        <w:right w:w="108" w:type="dxa"/>
      </w:tblCellMar>
    </w:tblPr>
  </w:style>
  <w:style w:type="paragraph" w:styleId="6">
    <w:name w:val="caption"/>
    <w:basedOn w:val="1"/>
    <w:next w:val="1"/>
    <w:uiPriority w:val="0"/>
    <w:rPr>
      <w:rFonts w:ascii="Arial" w:hAnsi="Arial" w:eastAsia="黑体" w:cs="Arial"/>
      <w:sz w:val="20"/>
      <w:szCs w:val="20"/>
    </w:rPr>
  </w:style>
  <w:style w:type="paragraph" w:styleId="7">
    <w:name w:val="annotation text"/>
    <w:basedOn w:val="1"/>
    <w:uiPriority w:val="0"/>
  </w:style>
  <w:style w:type="paragraph" w:styleId="8">
    <w:name w:val="Body Text"/>
    <w:basedOn w:val="1"/>
    <w:link w:val="24"/>
    <w:qFormat/>
    <w:uiPriority w:val="0"/>
    <w:pPr>
      <w:spacing w:after="120"/>
    </w:pPr>
  </w:style>
  <w:style w:type="paragraph" w:styleId="9">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0">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character" w:styleId="15">
    <w:name w:val="Strong"/>
    <w:basedOn w:val="14"/>
    <w:qFormat/>
    <w:uiPriority w:val="0"/>
    <w:rPr>
      <w:b/>
      <w:bCs/>
    </w:rPr>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customStyle="1" w:styleId="19">
    <w:name w:val="标题 1 Char"/>
    <w:basedOn w:val="14"/>
    <w:link w:val="2"/>
    <w:semiHidden/>
    <w:qFormat/>
    <w:uiPriority w:val="0"/>
    <w:rPr>
      <w:rFonts w:ascii="Calibri" w:hAnsi="Calibri" w:eastAsia="宋体" w:cs="Times New Roman"/>
      <w:b/>
      <w:bCs/>
      <w:kern w:val="44"/>
      <w:sz w:val="44"/>
      <w:szCs w:val="44"/>
    </w:rPr>
  </w:style>
  <w:style w:type="character" w:customStyle="1" w:styleId="20">
    <w:name w:val="标题 2 Char"/>
    <w:basedOn w:val="14"/>
    <w:link w:val="3"/>
    <w:semiHidden/>
    <w:uiPriority w:val="0"/>
    <w:rPr>
      <w:rFonts w:ascii="Arial" w:hAnsi="Arial" w:eastAsia="黑体" w:cs="Times New Roman"/>
      <w:b/>
      <w:bCs/>
      <w:kern w:val="0"/>
      <w:sz w:val="32"/>
      <w:szCs w:val="32"/>
    </w:rPr>
  </w:style>
  <w:style w:type="character" w:customStyle="1" w:styleId="21">
    <w:name w:val="标题 3 Char"/>
    <w:basedOn w:val="14"/>
    <w:link w:val="4"/>
    <w:semiHidden/>
    <w:qFormat/>
    <w:uiPriority w:val="0"/>
    <w:rPr>
      <w:rFonts w:ascii="宋体" w:hAnsi="宋体" w:eastAsia="宋体" w:cs="Times New Roman"/>
      <w:b/>
      <w:color w:val="000000"/>
      <w:kern w:val="0"/>
      <w:sz w:val="24"/>
      <w:szCs w:val="20"/>
    </w:rPr>
  </w:style>
  <w:style w:type="character" w:customStyle="1" w:styleId="22">
    <w:name w:val="标题 4 Char"/>
    <w:basedOn w:val="14"/>
    <w:link w:val="5"/>
    <w:semiHidden/>
    <w:uiPriority w:val="0"/>
    <w:rPr>
      <w:rFonts w:ascii="Arial" w:hAnsi="Arial" w:eastAsia="黑体" w:cs="Times New Roman"/>
      <w:b/>
      <w:bCs/>
      <w:kern w:val="0"/>
      <w:sz w:val="28"/>
      <w:szCs w:val="28"/>
    </w:rPr>
  </w:style>
  <w:style w:type="character" w:customStyle="1" w:styleId="23">
    <w:name w:val="正文首行缩进 Char"/>
    <w:basedOn w:val="24"/>
    <w:link w:val="25"/>
    <w:semiHidden/>
    <w:qFormat/>
    <w:uiPriority w:val="0"/>
    <w:rPr>
      <w:rFonts w:ascii="宋体" w:hAnsi="Times New Roman" w:eastAsia="宋体" w:cs="Times New Roman"/>
      <w:kern w:val="0"/>
      <w:sz w:val="34"/>
      <w:szCs w:val="20"/>
    </w:rPr>
  </w:style>
  <w:style w:type="character" w:customStyle="1" w:styleId="24">
    <w:name w:val="正文文本 Char"/>
    <w:basedOn w:val="14"/>
    <w:link w:val="8"/>
    <w:semiHidden/>
    <w:qFormat/>
    <w:uiPriority w:val="0"/>
  </w:style>
  <w:style w:type="paragraph" w:customStyle="1" w:styleId="25">
    <w:name w:val="Body Text First Indent"/>
    <w:basedOn w:val="8"/>
    <w:link w:val="23"/>
    <w:qFormat/>
    <w:uiPriority w:val="0"/>
    <w:pPr>
      <w:ind w:firstLine="420" w:firstLineChars="100"/>
    </w:pPr>
    <w:rPr>
      <w:rFonts w:ascii="宋体" w:hAnsi="Times New Roman" w:eastAsia="宋体" w:cs="Times New Roman"/>
      <w:kern w:val="0"/>
      <w:sz w:val="34"/>
      <w:szCs w:val="20"/>
    </w:rPr>
  </w:style>
  <w:style w:type="character" w:customStyle="1" w:styleId="26">
    <w:name w:val="正文文本 3 Char"/>
    <w:basedOn w:val="14"/>
    <w:link w:val="27"/>
    <w:semiHidden/>
    <w:qFormat/>
    <w:uiPriority w:val="0"/>
    <w:rPr>
      <w:rFonts w:ascii="Times New Roman" w:hAnsi="Times New Roman" w:eastAsia="宋体" w:cs="Times New Roman"/>
      <w:color w:val="FF0000"/>
      <w:sz w:val="24"/>
      <w:szCs w:val="24"/>
    </w:rPr>
  </w:style>
  <w:style w:type="paragraph" w:customStyle="1" w:styleId="27">
    <w:name w:val="Body Text 3"/>
    <w:basedOn w:val="1"/>
    <w:link w:val="26"/>
    <w:uiPriority w:val="0"/>
    <w:rPr>
      <w:rFonts w:ascii="Times New Roman" w:hAnsi="Times New Roman" w:eastAsia="宋体" w:cs="Times New Roman"/>
      <w:color w:val="FF0000"/>
      <w:sz w:val="24"/>
      <w:szCs w:val="24"/>
    </w:rPr>
  </w:style>
  <w:style w:type="character" w:customStyle="1" w:styleId="28">
    <w:name w:val="纯文本 Char"/>
    <w:basedOn w:val="14"/>
    <w:link w:val="29"/>
    <w:semiHidden/>
    <w:uiPriority w:val="0"/>
    <w:rPr>
      <w:rFonts w:eastAsia="宋体"/>
      <w:sz w:val="24"/>
    </w:rPr>
  </w:style>
  <w:style w:type="paragraph" w:customStyle="1" w:styleId="29">
    <w:name w:val="Plain Text"/>
    <w:basedOn w:val="1"/>
    <w:link w:val="28"/>
    <w:qFormat/>
    <w:uiPriority w:val="0"/>
    <w:rPr>
      <w:rFonts w:eastAsia="宋体"/>
      <w:sz w:val="24"/>
    </w:rPr>
  </w:style>
  <w:style w:type="character" w:customStyle="1" w:styleId="30">
    <w:name w:val="日期 Char"/>
    <w:basedOn w:val="14"/>
    <w:link w:val="31"/>
    <w:semiHidden/>
    <w:uiPriority w:val="0"/>
  </w:style>
  <w:style w:type="paragraph" w:customStyle="1" w:styleId="31">
    <w:name w:val="Date"/>
    <w:basedOn w:val="1"/>
    <w:next w:val="1"/>
    <w:link w:val="30"/>
    <w:qFormat/>
    <w:uiPriority w:val="0"/>
    <w:pPr>
      <w:ind w:left="100" w:leftChars="2500"/>
    </w:pPr>
  </w:style>
  <w:style w:type="character" w:customStyle="1" w:styleId="32">
    <w:name w:val="页脚 Char"/>
    <w:basedOn w:val="14"/>
    <w:link w:val="11"/>
    <w:semiHidden/>
    <w:uiPriority w:val="0"/>
    <w:rPr>
      <w:sz w:val="18"/>
      <w:szCs w:val="18"/>
    </w:rPr>
  </w:style>
  <w:style w:type="character" w:customStyle="1" w:styleId="33">
    <w:name w:val="页眉 Char"/>
    <w:basedOn w:val="14"/>
    <w:link w:val="12"/>
    <w:semiHidden/>
    <w:uiPriority w:val="0"/>
    <w:rPr>
      <w:sz w:val="18"/>
      <w:szCs w:val="18"/>
    </w:rPr>
  </w:style>
  <w:style w:type="character" w:customStyle="1" w:styleId="34">
    <w:name w:val="HTML 预设格式 Char"/>
    <w:basedOn w:val="14"/>
    <w:link w:val="35"/>
    <w:semiHidden/>
    <w:qFormat/>
    <w:uiPriority w:val="0"/>
    <w:rPr>
      <w:rFonts w:ascii="宋体" w:hAnsi="宋体" w:eastAsia="宋体" w:cs="宋体"/>
      <w:kern w:val="0"/>
      <w:sz w:val="24"/>
      <w:szCs w:val="24"/>
    </w:rPr>
  </w:style>
  <w:style w:type="paragraph" w:customStyle="1" w:styleId="35">
    <w:name w:val="HTML Preformatted"/>
    <w:basedOn w:val="1"/>
    <w:link w:val="3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6">
    <w:name w:val="Normal (Web)"/>
    <w:basedOn w:val="1"/>
    <w:qFormat/>
    <w:uiPriority w:val="0"/>
    <w:rPr>
      <w:rFonts w:ascii="Calibri" w:hAnsi="Calibri" w:eastAsia="宋体" w:cs="Times New Roman"/>
      <w:sz w:val="24"/>
      <w:szCs w:val="24"/>
    </w:rPr>
  </w:style>
  <w:style w:type="paragraph" w:customStyle="1" w:styleId="37">
    <w:name w:val="Normal Indent"/>
    <w:basedOn w:val="1"/>
    <w:qFormat/>
    <w:uiPriority w:val="0"/>
    <w:pPr>
      <w:ind w:firstLine="425"/>
    </w:pPr>
    <w:rPr>
      <w:rFonts w:ascii="Times New Roman" w:hAnsi="Times New Roman" w:eastAsia="宋体" w:cs="Times New Roman"/>
      <w:szCs w:val="20"/>
    </w:rPr>
  </w:style>
  <w:style w:type="paragraph" w:customStyle="1" w:styleId="3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0">
    <w:name w:val="列出段落1"/>
    <w:basedOn w:val="1"/>
    <w:uiPriority w:val="0"/>
    <w:pPr>
      <w:ind w:firstLine="420" w:firstLineChars="200"/>
    </w:pPr>
  </w:style>
  <w:style w:type="paragraph" w:customStyle="1" w:styleId="41">
    <w:name w:val="List Paragraph"/>
    <w:basedOn w:val="1"/>
    <w:qFormat/>
    <w:uiPriority w:val="0"/>
    <w:pPr>
      <w:ind w:firstLine="420" w:firstLineChars="200"/>
    </w:pPr>
  </w:style>
  <w:style w:type="paragraph" w:customStyle="1" w:styleId="42">
    <w:name w:val="正文文本缩进1"/>
    <w:basedOn w:val="1"/>
    <w:link w:val="50"/>
    <w:qFormat/>
    <w:uiPriority w:val="0"/>
    <w:pPr>
      <w:spacing w:line="360" w:lineRule="auto"/>
      <w:ind w:firstLine="480" w:firstLineChars="200"/>
    </w:pPr>
    <w:rPr>
      <w:rFonts w:ascii="宋体"/>
      <w:sz w:val="24"/>
    </w:rPr>
  </w:style>
  <w:style w:type="paragraph" w:customStyle="1" w:styleId="43">
    <w:name w:val="日期1"/>
    <w:basedOn w:val="1"/>
    <w:next w:val="1"/>
    <w:link w:val="51"/>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纯文本 Char1"/>
    <w:uiPriority w:val="0"/>
    <w:rPr>
      <w:rFonts w:eastAsia="宋体"/>
      <w:sz w:val="24"/>
    </w:rPr>
  </w:style>
  <w:style w:type="character" w:customStyle="1" w:styleId="50">
    <w:name w:val="正文文本缩进 Char Char"/>
    <w:link w:val="42"/>
    <w:semiHidden/>
    <w:qFormat/>
    <w:uiPriority w:val="0"/>
    <w:rPr>
      <w:rFonts w:ascii="宋体"/>
      <w:sz w:val="24"/>
    </w:rPr>
  </w:style>
  <w:style w:type="character" w:customStyle="1" w:styleId="51">
    <w:name w:val="日期 Char Char"/>
    <w:link w:val="43"/>
    <w:semiHidden/>
    <w:qFormat/>
    <w:uiPriority w:val="0"/>
    <w:rPr>
      <w:sz w:val="24"/>
    </w:rPr>
  </w:style>
  <w:style w:type="character" w:customStyle="1" w:styleId="52">
    <w:name w:val="edittexttarea"/>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2018-05-14T17:56:00Z</dcterms:created>
  <dc:creator>许昌市公共资源交易中心:孟莉</dc:creator>
  <cp:lastModifiedBy>aaa</cp:lastModifiedBy>
  <dcterms:modified xsi:type="dcterms:W3CDTF">2018-12-13T04:21:02Z</dcterms:modified>
  <dc:title>吉旦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