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2018035</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“曹魏古城一期景区物业服务”</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8010</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8125</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十二</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（一）项目名称：曹魏古城一期景区物业服务</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WZCG-G2018</w:t>
      </w:r>
      <w:r>
        <w:rPr>
          <w:rFonts w:hint="eastAsia" w:ascii="宋体" w:hAnsi="宋体" w:eastAsia="宋体" w:cs="仿宋_GB2312"/>
          <w:color w:val="auto"/>
          <w:shd w:val="clear" w:color="auto" w:fill="FFFFFF"/>
          <w:lang w:val="en-US" w:eastAsia="zh-CN"/>
        </w:rPr>
        <w:t>010</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JZFCG-G2018</w:t>
      </w:r>
      <w:r>
        <w:rPr>
          <w:rFonts w:hint="eastAsia" w:ascii="宋体" w:hAnsi="宋体" w:eastAsia="宋体" w:cs="仿宋_GB2312"/>
          <w:color w:val="auto"/>
          <w:shd w:val="clear" w:color="auto" w:fill="FFFFFF"/>
          <w:lang w:val="en-US" w:eastAsia="zh-CN"/>
        </w:rPr>
        <w:t>125</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四）项目主要内容、数量及要求：街区道路，房屋廊道、公共卫生间、垃圾箱、地下停车场等公用区域及设施卫生清洁，街区的安保执勤、消防火灾防范及施救、维持公共秩序。南大街中轴街区：位于许昌市魏都区南大街内，街内面积  约10000平方米，垃圾箱  38 个，高石灯108个，低石灯66个标牌10个，公厕1座，消防洒水车2辆，灭火器28个，街区安全消防栓等。南城门地下车库：位于许昌市魏都区南城门地下室，地下面积约5000平方米，车位 83个以保证曹魏古城南大街正常运营，保持景区干净，卫生，保证景区公共秩序良好</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w:t>
      </w:r>
      <w:r>
        <w:rPr>
          <w:rFonts w:hint="eastAsia" w:ascii="宋体" w:hAnsi="宋体" w:eastAsia="宋体" w:cs="仿宋_GB2312"/>
          <w:color w:val="auto"/>
          <w:shd w:val="clear" w:color="auto" w:fill="FFFFFF"/>
          <w:lang w:val="en-US" w:eastAsia="zh-CN"/>
        </w:rPr>
        <w:t>3600000</w:t>
      </w:r>
      <w:r>
        <w:rPr>
          <w:rFonts w:hint="eastAsia" w:ascii="宋体" w:hAnsi="宋体" w:eastAsia="宋体" w:cs="仿宋_GB2312"/>
          <w:color w:val="auto"/>
          <w:shd w:val="clear" w:color="auto" w:fill="FFFFFF"/>
        </w:rPr>
        <w:t>元。最高限价：</w:t>
      </w:r>
      <w:r>
        <w:rPr>
          <w:rFonts w:hint="eastAsia" w:ascii="宋体" w:hAnsi="宋体" w:eastAsia="宋体" w:cs="仿宋_GB2312"/>
          <w:color w:val="auto"/>
          <w:shd w:val="clear" w:color="auto" w:fill="FFFFFF"/>
          <w:lang w:val="en-US" w:eastAsia="zh-CN"/>
        </w:rPr>
        <w:t>3600000</w:t>
      </w:r>
      <w:r>
        <w:rPr>
          <w:rFonts w:hint="eastAsia" w:ascii="宋体" w:hAnsi="宋体" w:eastAsia="宋体" w:cs="仿宋_GB2312"/>
          <w:color w:val="auto"/>
          <w:shd w:val="clear" w:color="auto" w:fill="FFFFFF"/>
        </w:rPr>
        <w:t>元。</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（六）交付（服务、完工）时间：服务期限两年</w:t>
      </w:r>
      <w:r>
        <w:rPr>
          <w:rFonts w:hint="eastAsia" w:ascii="宋体" w:hAnsi="宋体" w:eastAsia="宋体" w:cs="仿宋_GB2312"/>
          <w:color w:val="auto"/>
          <w:shd w:val="clear" w:color="auto" w:fill="FFFFFF"/>
          <w:lang w:val="en-US"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（七）交付（服务、完工）地点：南大街中轴街区(西大街-建设路段)、南城门地下停车场</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8"/>
        <w:widowControl/>
        <w:shd w:val="clear" w:color="auto" w:fill="FFFFFF"/>
        <w:spacing w:line="360" w:lineRule="auto"/>
        <w:ind w:firstLine="480" w:firstLineChars="20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eastAsia="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 “国家企业信用公示系统”网站（www.gsxt.gov.cn）严重违法失信企业名单（黑名单）的投标人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eastAsia="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1</w:t>
      </w:r>
      <w:r>
        <w:rPr>
          <w:rFonts w:hint="eastAsia" w:ascii="宋体" w:hAnsi="宋体" w:eastAsia="宋体" w:cs="仿宋_GB2312"/>
          <w:color w:val="auto"/>
          <w:u w:val="single"/>
        </w:rPr>
        <w:t xml:space="preserve"> </w:t>
      </w:r>
      <w:r>
        <w:rPr>
          <w:rFonts w:hint="eastAsia" w:ascii="宋体" w:hAnsi="宋体" w:eastAsia="宋体" w:cs="仿宋_GB2312"/>
          <w:color w:val="auto"/>
        </w:rPr>
        <w:t>月</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10</w:t>
      </w:r>
      <w:r>
        <w:rPr>
          <w:rFonts w:hint="eastAsia" w:ascii="宋体" w:hAnsi="宋体" w:eastAsia="宋体" w:cs="仿宋_GB2312"/>
          <w:color w:val="auto"/>
          <w:u w:val="single"/>
        </w:rPr>
        <w:t xml:space="preserve"> </w:t>
      </w:r>
      <w:r>
        <w:rPr>
          <w:rFonts w:hint="eastAsia" w:ascii="宋体" w:hAnsi="宋体" w:eastAsia="宋体" w:cs="仿宋_GB2312"/>
          <w:color w:val="auto"/>
        </w:rPr>
        <w:t>日</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9</w:t>
      </w:r>
      <w:r>
        <w:rPr>
          <w:rFonts w:hint="eastAsia" w:ascii="宋体" w:hAnsi="宋体" w:eastAsia="宋体" w:cs="仿宋_GB2312"/>
          <w:color w:val="auto"/>
          <w:u w:val="single"/>
        </w:rPr>
        <w:t xml:space="preserve"> </w:t>
      </w:r>
      <w:r>
        <w:rPr>
          <w:rFonts w:hint="eastAsia" w:ascii="宋体" w:hAnsi="宋体" w:eastAsia="宋体" w:cs="仿宋_GB2312"/>
          <w:color w:val="auto"/>
        </w:rPr>
        <w:t>时</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30</w:t>
      </w:r>
      <w:r>
        <w:rPr>
          <w:rFonts w:hint="eastAsia" w:ascii="宋体" w:hAnsi="宋体" w:eastAsia="宋体" w:cs="仿宋_GB2312"/>
          <w:color w:val="auto"/>
          <w:u w:val="single"/>
        </w:rPr>
        <w:t xml:space="preserve"> </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三</w:t>
      </w:r>
      <w:r>
        <w:rPr>
          <w:rFonts w:hint="eastAsia" w:ascii="宋体" w:hAnsi="宋体" w:eastAsia="宋体" w:cs="仿宋_GB2312"/>
          <w:color w:val="auto"/>
          <w:u w:val="single"/>
        </w:rPr>
        <w:t xml:space="preserve">  </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二〇一八年</w:t>
      </w:r>
      <w:r>
        <w:rPr>
          <w:rFonts w:hint="eastAsia" w:ascii="宋体" w:hAnsi="宋体" w:cs="仿宋_GB2312"/>
          <w:color w:val="auto"/>
          <w:sz w:val="24"/>
          <w:szCs w:val="24"/>
          <w:lang w:eastAsia="zh-CN"/>
        </w:rPr>
        <w:t>十二</w:t>
      </w:r>
      <w:r>
        <w:rPr>
          <w:rFonts w:hint="eastAsia" w:ascii="宋体" w:hAnsi="宋体" w:cs="仿宋_GB2312"/>
          <w:color w:val="auto"/>
          <w:sz w:val="24"/>
          <w:szCs w:val="24"/>
        </w:rPr>
        <w:t>月</w:t>
      </w:r>
      <w:r>
        <w:rPr>
          <w:rFonts w:hint="eastAsia" w:ascii="宋体" w:hAnsi="宋体" w:cs="仿宋_GB2312"/>
          <w:color w:val="auto"/>
          <w:sz w:val="24"/>
          <w:szCs w:val="24"/>
          <w:lang w:eastAsia="zh-CN"/>
        </w:rPr>
        <w:t>十三</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南大街中轴街区：位于许昌市魏都区南大街内，街内面积  约10000平方米 ，垃圾箱  38 个，高石灯108个，低石灯66个标牌 10 个，公厕 1 座。</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南城门地下车库：位于许昌市魏都区南城门地下室，地下面积约5000平方米 ，车位 83 个对于景区内路面、石灯柱、标牌、公厕及街区（及地下停车场）安保和保洁等内容，预计投入180万元，以保证曹魏古城南大街正常运营，保持景区干净，卫生，保证景区公共秩序良好，将以优秀的服务品质为许昌建设旅游城市打下良好的基础。</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9"/>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652"/>
        <w:gridCol w:w="5252"/>
        <w:gridCol w:w="66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b/>
                <w:color w:val="auto"/>
                <w:sz w:val="18"/>
                <w:szCs w:val="18"/>
                <w:shd w:val="clear" w:color="auto" w:fill="FFFFFF"/>
              </w:rPr>
              <w:t>序号</w:t>
            </w:r>
          </w:p>
        </w:tc>
        <w:tc>
          <w:tcPr>
            <w:tcW w:w="1652"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b/>
                <w:color w:val="auto"/>
                <w:sz w:val="18"/>
                <w:szCs w:val="18"/>
                <w:shd w:val="clear" w:color="auto" w:fill="FFFFFF"/>
              </w:rPr>
              <w:t>货物名称</w:t>
            </w:r>
          </w:p>
        </w:tc>
        <w:tc>
          <w:tcPr>
            <w:tcW w:w="5252"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b/>
                <w:color w:val="auto"/>
                <w:sz w:val="18"/>
                <w:szCs w:val="18"/>
                <w:shd w:val="clear" w:color="auto" w:fill="FFFFFF"/>
              </w:rPr>
              <w:t>技术规格及主要参数</w:t>
            </w:r>
          </w:p>
        </w:tc>
        <w:tc>
          <w:tcPr>
            <w:tcW w:w="662"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b/>
                <w:color w:val="auto"/>
                <w:sz w:val="18"/>
                <w:szCs w:val="18"/>
                <w:shd w:val="clear" w:color="auto" w:fill="FFFFFF"/>
              </w:rPr>
              <w:t>单位</w:t>
            </w:r>
          </w:p>
        </w:tc>
        <w:tc>
          <w:tcPr>
            <w:tcW w:w="752"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b/>
                <w:color w:val="auto"/>
                <w:sz w:val="18"/>
                <w:szCs w:val="18"/>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1</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管理人员</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含工资保险等费用</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2</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安保人员</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工具、服装、保险等</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3</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保洁人员</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工具、服装、保险等</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4</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水电维修人员</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工具、服装、保险等</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5</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高压冲洗车（小）</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含工资、车辆折旧、使用</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台/月 </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6</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垃圾清运车</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车辆折旧、使用</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7</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灭火器</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35公斤灭火器14个，4公斤灭火器14个，按使用率折合价计算</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8</w:t>
            </w:r>
          </w:p>
        </w:tc>
        <w:tc>
          <w:tcPr>
            <w:tcW w:w="16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消耗品</w:t>
            </w:r>
          </w:p>
        </w:tc>
        <w:tc>
          <w:tcPr>
            <w:tcW w:w="52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含洗洁精、垃圾袋、垃圾桶等消耗品</w:t>
            </w:r>
          </w:p>
        </w:tc>
        <w:tc>
          <w:tcPr>
            <w:tcW w:w="66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2" w:type="dxa"/>
            <w:shd w:val="solid" w:color="FFFFFF" w:fill="auto"/>
            <w:tcMar>
              <w:top w:w="0" w:type="dxa"/>
              <w:left w:w="105" w:type="dxa"/>
              <w:bottom w:w="0" w:type="dxa"/>
              <w:right w:w="105"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r>
    </w:tbl>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1.服务期限：两年。</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2.中标人需自备管理服务等项目所需的物资装备。如：公共卫生、公共秩序、公共维修所需设施设备及日常办公用品。办公用品应由乙方提供，甲方提供办公管理用房</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管理人员有较高的政治思想素养和业务水平，受过专门的物业管理培训。中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4.中标人须定期对管理服务人员进行岗位再培训。</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5.保洁期间管理服务人员对于突发事件必须能够在第一时间进行现场处置。</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6.服务质量要求具体如下：</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6.1质量保证</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6.1.1 要求满足国家、行业及我公司相关安全及文明施工管理要求，进场人员及机械服从相关管理制度。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6.1.2 中标单位认真完成工作标准规定的作业项目，确保卫生质量，达到采购单位满意。</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6.1.3中标单位物业劳务人员数量应按采购单位的要求，定人定岗。</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6.1.4 中标单位员工在工作期间不得随意离开工作岗位，若中标单位主管责任人不在现场，中标单位临时负责人应接受采购单位主管负责人的监督指导，并按采购单位的工作标准进行检查。</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6.1.5中标单位派出一名项目负责人工作质量检查和紧急情况的处理，及时应对水、电出现的突发事件，及时采取有效措施并报告，因处置不当、不及时造成的严重后果的，中标单位应承担责任。</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6.1.6中标单位在作业中应严格要求工作人员，做好各种防护措施，不得擅自挪用采购单位的物品，中标单位应加强管理，安全工作。</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6.1.7采购单位承担本物业管理项目所需能源费用，中标单位服从采购单位能源节约要求。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6.2公共区域</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6.2.1定人定岗，全天候景区道路不间断保洁，做到地面清洁、干净无污迹。</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6.2.2 石灯柱、座椅等硬件设施保持干净，无垃圾。</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6.2.3 垃圾桶保持干净；四周无散积垃圾，无异味。</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6.2.4 走道设施、通风口，保持干净。</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6.2.5 场地的台阶及地面，做到无垃圾、无烟蒂、无纸屑，广场处感到宽广、舒畅。</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6.3.水电维护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6.3.1负责服务范围内水、电等维护工作，及时检查是否完好，始终保持正常状态，坚决杜绝事故发生。</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6.3.2日常维修及特殊、重大维修，中标单位可配合甲方出具维修建议书。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6.3.3公共区域的亮化工作应按照采购单位相关规定开启和关闭，保证景区的亮化效果。</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6.3.4关键岗位中标单位应坚持值班制度，不得脱岗漏岗，随时处置突发事件。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6.4 消防工作</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6.4.1认真学习国家制定的消防法规，提高消防安全意识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6.4.2、对现场的消防设施（灭火器、消防栓、消防车）等要定时检查、保养，及时更换。</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6.4.3对于突发消防安全事件，应及时报警，在救援来之前 应积极采取措施应对现场，待救援来后，应听从指挥，积极配合有关部门疏散现场人群，协助救援，维持现场公共秩序，尽最大努力减少人身安全财产损失。</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6.5公厕</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6.5.1每天早班、中班必须全面清洁洗公厕、厕位、面盆、托把池，地面应定期清洗，保持卫生间无积尘、杂物、污渍。</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6.5.2公厕内的垃圾桶、纸桶、当天清理，保持桶内无垃圾，桶外地面无垃圾。</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6.5.3便池樟脑丸须及时补充。</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6.6垃圾清运要求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6.6.1每天分上午下午对垃圾清理两遍。</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6.6.2上午9：00分之前清理完毕，下午14：00分之前清理完毕，如特殊情况时需调整清运时间的根据需要随时清理。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6.6.3按照要求将垃圾分类清运到相应的垃圾中转站或存放点。严禁随处倾倒或随处存放垃圾。</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6.6.4清运车辆要封闭，严禁垃圾在运输过程中撒落造成二次污染。</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6.6.5定期对垃圾箱内外进行清洗。5月—10月份每周清洗两遍，11月—次年4月份每周清洗一遍。如遇重特殊情况时根据需要随时清洗。</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五</w:t>
      </w:r>
      <w:r>
        <w:rPr>
          <w:rFonts w:hint="eastAsia" w:ascii="宋体" w:hAnsi="宋体" w:eastAsia="宋体" w:cs="黑体"/>
          <w:b/>
          <w:bCs/>
          <w:color w:val="auto"/>
          <w:shd w:val="clear" w:color="auto" w:fill="FFFFFF"/>
        </w:rPr>
        <w:t>、本项目预算金额</w:t>
      </w:r>
      <w:r>
        <w:rPr>
          <w:rFonts w:hint="eastAsia" w:ascii="宋体" w:hAnsi="宋体" w:eastAsia="宋体" w:cs="黑体"/>
          <w:b/>
          <w:bCs/>
          <w:color w:val="auto"/>
          <w:shd w:val="clear" w:color="auto" w:fill="FFFFFF"/>
          <w:lang w:val="en-US" w:eastAsia="zh-CN"/>
        </w:rPr>
        <w:t>3600000</w:t>
      </w:r>
      <w:r>
        <w:rPr>
          <w:rFonts w:hint="eastAsia" w:ascii="宋体" w:hAnsi="宋体" w:eastAsia="宋体" w:cs="黑体"/>
          <w:b/>
          <w:bCs/>
          <w:color w:val="auto"/>
          <w:shd w:val="clear" w:color="auto" w:fill="FFFFFF"/>
        </w:rPr>
        <w:t>元。最高限价</w:t>
      </w:r>
      <w:r>
        <w:rPr>
          <w:rFonts w:hint="eastAsia" w:ascii="宋体" w:hAnsi="宋体" w:eastAsia="宋体" w:cs="黑体"/>
          <w:b/>
          <w:bCs/>
          <w:color w:val="auto"/>
          <w:shd w:val="clear" w:color="auto" w:fill="FFFFFF"/>
          <w:lang w:val="en-US" w:eastAsia="zh-CN"/>
        </w:rPr>
        <w:t>3600000</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六</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2、支付时间及条件：服务期限两年，自进场当日算起，每季度末支付一次物业管理费，共支付八次。</w:t>
      </w: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曹魏古城一期景区物业服务</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WZCG-G2018010号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JZFCG-G2018</w:t>
            </w:r>
            <w:r>
              <w:rPr>
                <w:rFonts w:hint="eastAsia" w:ascii="宋体" w:hAnsi="宋体" w:cs="仿宋_GB2312"/>
                <w:color w:val="auto"/>
                <w:sz w:val="24"/>
                <w:szCs w:val="24"/>
                <w:lang w:val="en-US" w:eastAsia="zh-CN"/>
              </w:rPr>
              <w:t>125</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项目内容：曹魏古城一期景区物业服务</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项目地址：南大街中轴街区(西大街-建设路段)、南城门地下停车场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联系人：李晶               联系电话：0374-6060619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ind w:firstLine="482" w:firstLineChars="200"/>
              <w:contextualSpacing/>
              <w:jc w:val="left"/>
              <w:rPr>
                <w:rFonts w:ascii="宋体" w:hAnsi="宋体" w:cs="宋体"/>
                <w:b/>
                <w:bCs/>
                <w:color w:val="auto"/>
                <w:kern w:val="0"/>
                <w:sz w:val="24"/>
                <w:szCs w:val="24"/>
              </w:rPr>
            </w:pPr>
            <w:r>
              <w:rPr>
                <w:rFonts w:hint="eastAsia" w:ascii="宋体" w:hAnsi="宋体" w:cs="宋体"/>
                <w:b/>
                <w:bCs/>
                <w:color w:val="auto"/>
                <w:sz w:val="24"/>
                <w:szCs w:val="24"/>
                <w:lang w:val="zh-CN"/>
              </w:rPr>
              <w:t>七、</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b/>
                <w:bCs/>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w:t>
            </w:r>
            <w:bookmarkStart w:id="9" w:name="_GoBack"/>
            <w:bookmarkEnd w:id="9"/>
            <w:r>
              <w:rPr>
                <w:rFonts w:hint="eastAsia" w:ascii="宋体" w:hAnsi="宋体" w:cs="宋体"/>
                <w:color w:val="auto"/>
                <w:kern w:val="0"/>
                <w:sz w:val="24"/>
                <w:szCs w:val="24"/>
              </w:rPr>
              <w:t>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1</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10</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u w:val="single"/>
                <w:lang w:val="zh-CN" w:eastAsia="zh-CN"/>
              </w:rPr>
              <w:t>三</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金额：柒万贰仟元整（¥</w:t>
            </w:r>
            <w:r>
              <w:rPr>
                <w:rFonts w:hint="eastAsia" w:ascii="宋体" w:hAnsi="宋体" w:cs="仿宋_GB2312"/>
                <w:color w:val="auto"/>
                <w:sz w:val="24"/>
                <w:szCs w:val="24"/>
                <w:lang w:val="en-US" w:eastAsia="zh-CN"/>
              </w:rPr>
              <w:t>72000元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u w:val="single"/>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14.1 投标有效期从提交投标文件的截止之日起算。本项目投标有效期详</w:t>
      </w:r>
      <w:r>
        <w:rPr>
          <w:rFonts w:hint="eastAsia" w:ascii="宋体" w:hAnsi="宋体" w:cs="仿宋_GB2312"/>
          <w:color w:val="auto"/>
          <w:sz w:val="24"/>
          <w:szCs w:val="24"/>
          <w:lang w:val="zh-CN"/>
        </w:rPr>
        <w:t>见投标人须知前附表。</w:t>
      </w:r>
      <w:r>
        <w:rPr>
          <w:rFonts w:hint="eastAsia" w:ascii="宋体" w:hAnsi="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w:t>
      </w:r>
      <w:r>
        <w:rPr>
          <w:rFonts w:hint="eastAsia" w:ascii="宋体" w:hAnsi="宋体" w:cs="宋体"/>
          <w:color w:val="auto"/>
          <w:kern w:val="0"/>
          <w:sz w:val="24"/>
          <w:szCs w:val="24"/>
        </w:rPr>
        <w:t xml:space="preserve"> </w:t>
      </w:r>
      <w:r>
        <w:rPr>
          <w:rFonts w:hint="eastAsia" w:ascii="宋体" w:hAnsi="宋体" w:cs="宋体"/>
          <w:b/>
          <w:color w:val="auto"/>
          <w:kern w:val="0"/>
          <w:sz w:val="24"/>
          <w:szCs w:val="24"/>
        </w:rPr>
        <w:t>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17.1投标保证金的缴纳</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5.1 投标人网上下载招标文件后</w:t>
      </w:r>
      <w:r>
        <w:rPr>
          <w:rFonts w:hint="eastAsia" w:ascii="宋体" w:hAnsi="宋体" w:cs="仿宋_GB2312"/>
          <w:color w:val="auto"/>
          <w:sz w:val="24"/>
          <w:szCs w:val="24"/>
        </w:rPr>
        <w:t>，</w:t>
      </w:r>
      <w:r>
        <w:rPr>
          <w:rFonts w:hint="eastAsia" w:ascii="宋体" w:hAnsi="宋体" w:cs="仿宋_GB2312"/>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rPr>
        <w:t>http://221.14.6.70:8088/ggzy</w:t>
      </w:r>
      <w:r>
        <w:rPr>
          <w:rFonts w:hint="eastAsia" w:ascii="宋体" w:hAnsi="宋体" w:cs="仿宋_GB2312"/>
          <w:color w:val="auto"/>
          <w:sz w:val="24"/>
          <w:szCs w:val="24"/>
        </w:rPr>
        <w:fldChar w:fldCharType="end"/>
      </w:r>
      <w:r>
        <w:rPr>
          <w:rFonts w:hint="eastAsia" w:ascii="宋体" w:hAnsi="宋体" w:cs="仿宋_GB2312"/>
          <w:color w:val="auto"/>
          <w:sz w:val="24"/>
          <w:szCs w:val="24"/>
          <w:lang w:val="zh-CN"/>
        </w:rPr>
        <w:t>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费用缴纳说明</w:t>
      </w:r>
      <w:r>
        <w:rPr>
          <w:rFonts w:hint="eastAsia" w:ascii="宋体" w:hAnsi="宋体" w:cs="仿宋_GB2312"/>
          <w:color w:val="auto"/>
          <w:sz w:val="24"/>
          <w:szCs w:val="24"/>
        </w:rPr>
        <w:t>”→“</w:t>
      </w:r>
      <w:r>
        <w:rPr>
          <w:rFonts w:hint="eastAsia" w:ascii="宋体" w:hAnsi="宋体" w:cs="仿宋_GB2312"/>
          <w:color w:val="auto"/>
          <w:sz w:val="24"/>
          <w:szCs w:val="24"/>
          <w:lang w:val="zh-CN"/>
        </w:rPr>
        <w:t>保证金缴纳说明单</w:t>
      </w:r>
      <w:r>
        <w:rPr>
          <w:rFonts w:hint="eastAsia" w:ascii="宋体" w:hAnsi="宋体" w:cs="仿宋_GB2312"/>
          <w:color w:val="auto"/>
          <w:sz w:val="24"/>
          <w:szCs w:val="24"/>
        </w:rPr>
        <w:t>”，</w:t>
      </w:r>
      <w:r>
        <w:rPr>
          <w:rFonts w:hint="eastAsia" w:ascii="宋体" w:hAnsi="宋体" w:cs="仿宋_GB2312"/>
          <w:color w:val="auto"/>
          <w:sz w:val="24"/>
          <w:szCs w:val="24"/>
          <w:lang w:val="zh-CN"/>
        </w:rPr>
        <w:t>获取缴费说明单</w:t>
      </w:r>
      <w:r>
        <w:rPr>
          <w:rFonts w:hint="eastAsia" w:ascii="宋体" w:hAnsi="宋体" w:cs="仿宋_GB2312"/>
          <w:color w:val="auto"/>
          <w:sz w:val="24"/>
          <w:szCs w:val="24"/>
        </w:rPr>
        <w:t>，</w:t>
      </w:r>
      <w:r>
        <w:rPr>
          <w:rFonts w:hint="eastAsia" w:ascii="宋体" w:hAnsi="宋体" w:cs="仿宋_GB2312"/>
          <w:color w:val="auto"/>
          <w:sz w:val="24"/>
          <w:szCs w:val="24"/>
          <w:lang w:val="zh-CN"/>
        </w:rPr>
        <w:t>根据每个标段的缴纳说明单在缴纳截止时间前缴纳</w:t>
      </w:r>
      <w:r>
        <w:rPr>
          <w:rFonts w:hint="eastAsia" w:ascii="宋体" w:hAnsi="宋体" w:cs="仿宋_GB2312"/>
          <w:color w:val="auto"/>
          <w:sz w:val="24"/>
          <w:szCs w:val="24"/>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5.2 成功缴纳后重新登录前述系统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保证金绑定</w:t>
      </w:r>
      <w:r>
        <w:rPr>
          <w:rFonts w:hint="eastAsia" w:ascii="宋体" w:hAnsi="宋体" w:cs="仿宋_GB2312"/>
          <w:color w:val="auto"/>
          <w:sz w:val="24"/>
          <w:szCs w:val="24"/>
        </w:rPr>
        <w:t>”→“</w:t>
      </w:r>
      <w:r>
        <w:rPr>
          <w:rFonts w:hint="eastAsia" w:ascii="宋体" w:hAnsi="宋体" w:cs="仿宋_GB2312"/>
          <w:color w:val="auto"/>
          <w:sz w:val="24"/>
          <w:szCs w:val="24"/>
          <w:lang w:val="zh-CN"/>
        </w:rPr>
        <w:t>绑定</w:t>
      </w:r>
      <w:r>
        <w:rPr>
          <w:rFonts w:hint="eastAsia" w:ascii="宋体" w:hAnsi="宋体" w:cs="仿宋_GB2312"/>
          <w:color w:val="auto"/>
          <w:sz w:val="24"/>
          <w:szCs w:val="24"/>
        </w:rPr>
        <w:t>”</w:t>
      </w:r>
      <w:r>
        <w:rPr>
          <w:rFonts w:hint="eastAsia" w:ascii="宋体" w:hAnsi="宋体" w:cs="仿宋_GB2312"/>
          <w:color w:val="auto"/>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3</w:t>
      </w:r>
      <w:r>
        <w:rPr>
          <w:rFonts w:hint="eastAsia" w:ascii="宋体" w:hAnsi="宋体" w:cs="仿宋_GB2312"/>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4</w:t>
      </w:r>
      <w:r>
        <w:rPr>
          <w:rFonts w:hint="eastAsia" w:ascii="宋体" w:hAnsi="宋体" w:cs="仿宋_GB2312"/>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1.9</w:t>
      </w:r>
      <w:r>
        <w:rPr>
          <w:rFonts w:hint="eastAsia" w:ascii="宋体" w:hAnsi="宋体" w:cs="仿宋_GB2312"/>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 xml:space="preserve">17.1.10 </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宋体"/>
          <w:b/>
          <w:color w:val="auto"/>
          <w:kern w:val="0"/>
          <w:sz w:val="24"/>
          <w:szCs w:val="24"/>
        </w:rPr>
        <w:t>17.2 投标保证金的退还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2.1 </w:t>
      </w:r>
      <w:r>
        <w:rPr>
          <w:rFonts w:hint="eastAsia" w:ascii="宋体" w:hAnsi="宋体" w:cs="仿宋_GB2312"/>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2.1.1</w:t>
      </w:r>
      <w:r>
        <w:rPr>
          <w:rFonts w:hint="eastAsia" w:ascii="宋体" w:hAnsi="宋体" w:cs="仿宋_GB2312"/>
          <w:color w:val="auto"/>
          <w:sz w:val="24"/>
          <w:szCs w:val="24"/>
          <w:lang w:val="zh-CN"/>
        </w:rPr>
        <w:t xml:space="preserve"> 自中标通知书发出之日起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2.1.2</w:t>
      </w:r>
      <w:r>
        <w:rPr>
          <w:rFonts w:hint="eastAsia" w:ascii="宋体" w:hAnsi="宋体" w:cs="仿宋_GB2312"/>
          <w:color w:val="auto"/>
          <w:sz w:val="24"/>
          <w:szCs w:val="24"/>
          <w:lang w:val="zh-CN"/>
        </w:rPr>
        <w:t xml:space="preserve"> 自采购合同签订之日起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color w:val="auto"/>
          <w:sz w:val="24"/>
          <w:szCs w:val="24"/>
          <w:lang w:eastAsia="zh-CN"/>
        </w:rPr>
        <w:t>一</w:t>
      </w:r>
      <w:r>
        <w:rPr>
          <w:rFonts w:hint="eastAsia" w:ascii="宋体" w:hAnsi="宋体" w:cs="仿宋_GB2312"/>
          <w:color w:val="auto"/>
          <w:sz w:val="24"/>
          <w:szCs w:val="24"/>
        </w:rPr>
        <w:t>楼交易见证部办理退款手续（0374-2968027）。</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w:t>
      </w:r>
      <w:r>
        <w:rPr>
          <w:rFonts w:hint="eastAsia" w:ascii="宋体" w:hAnsi="宋体" w:cs="仿宋_GB2312"/>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2.2.1 </w:t>
      </w:r>
      <w:r>
        <w:rPr>
          <w:rFonts w:hint="eastAsia" w:ascii="宋体" w:hAnsi="宋体" w:cs="仿宋_GB2312"/>
          <w:color w:val="auto"/>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2.2.2 </w:t>
      </w:r>
      <w:r>
        <w:rPr>
          <w:rFonts w:hint="eastAsia" w:ascii="宋体" w:hAnsi="宋体" w:cs="仿宋_GB2312"/>
          <w:color w:val="auto"/>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17.3 </w:t>
      </w:r>
      <w:r>
        <w:rPr>
          <w:rFonts w:hint="eastAsia" w:ascii="宋体" w:hAnsi="宋体" w:cs="仿宋_GB2312"/>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19</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rPr>
        <w:t>20</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 xml:space="preserve">20.3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21</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2</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.4  </w:t>
      </w:r>
      <w:r>
        <w:rPr>
          <w:rFonts w:hint="eastAsia" w:ascii="宋体" w:hAnsi="宋体" w:cs="宋体"/>
          <w:color w:val="auto"/>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4</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5</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7</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9</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30.投标无效情形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30.1.1 未按照招标文件的规定提交投标保证金的；</w:t>
      </w:r>
      <w:r>
        <w:rPr>
          <w:rFonts w:ascii="宋体" w:hAnsi="宋体" w:cs="仿宋_GB2312"/>
          <w:color w:val="auto"/>
          <w:sz w:val="24"/>
          <w:szCs w:val="24"/>
          <w:lang w:val="zh-CN"/>
        </w:rPr>
        <w:t xml:space="preserve">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30.1.5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30.5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color w:val="auto"/>
          <w:sz w:val="24"/>
          <w:szCs w:val="24"/>
          <w:lang w:val="zh-CN"/>
        </w:rPr>
        <w:t>31.</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32</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33.评标方法、评标标准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33</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rPr>
        <w:t>4</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5</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6</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7</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8</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 xml:space="preserve">38.3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41.履约保证金</w:t>
      </w:r>
    </w:p>
    <w:p>
      <w:pPr>
        <w:tabs>
          <w:tab w:val="left" w:pos="1260"/>
        </w:tabs>
        <w:autoSpaceDE w:val="0"/>
        <w:autoSpaceDN w:val="0"/>
        <w:spacing w:line="360" w:lineRule="auto"/>
        <w:contextualSpacing/>
        <w:jc w:val="left"/>
        <w:rPr>
          <w:rFonts w:ascii="宋体" w:hAnsi="宋体" w:eastAsia="宋体" w:cs="宋体"/>
          <w:b/>
          <w:color w:val="auto"/>
          <w:kern w:val="0"/>
          <w:sz w:val="36"/>
          <w:szCs w:val="36"/>
        </w:rPr>
      </w:pPr>
      <w:r>
        <w:rPr>
          <w:rFonts w:hint="eastAsia" w:ascii="宋体" w:hAnsi="宋体" w:cs="宋体"/>
          <w:color w:val="auto"/>
          <w:kern w:val="0"/>
          <w:sz w:val="24"/>
          <w:szCs w:val="24"/>
        </w:rPr>
        <w:t>“投标人须知前附表”中规定</w:t>
      </w:r>
      <w:r>
        <w:rPr>
          <w:rFonts w:hint="eastAsia" w:ascii="宋体" w:hAnsi="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29"/>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29"/>
        <w:spacing w:line="360" w:lineRule="auto"/>
        <w:contextualSpacing/>
        <w:rPr>
          <w:rFonts w:ascii="宋体" w:hAnsi="宋体" w:cs="仿宋_GB2312"/>
          <w:color w:val="auto"/>
          <w:lang w:val="zh-CN"/>
        </w:rPr>
      </w:pPr>
    </w:p>
    <w:p>
      <w:pPr>
        <w:pStyle w:val="29"/>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ind w:firstLine="482" w:firstLineChars="200"/>
              <w:contextualSpacing/>
              <w:jc w:val="left"/>
              <w:rPr>
                <w:rFonts w:ascii="宋体" w:hAnsi="宋体"/>
                <w:b/>
                <w:bCs/>
                <w:color w:val="auto"/>
                <w:sz w:val="24"/>
                <w:szCs w:val="24"/>
              </w:rPr>
            </w:pPr>
            <w:r>
              <w:rPr>
                <w:rFonts w:hint="eastAsia" w:ascii="宋体" w:hAnsi="宋体"/>
                <w:b/>
                <w:bCs/>
                <w:color w:val="auto"/>
                <w:sz w:val="24"/>
                <w:szCs w:val="24"/>
              </w:rPr>
              <w:t>8、</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hd w:val="clear" w:color="auto" w:fill="FFFFFF"/>
              </w:rPr>
              <w:t>”</w:t>
            </w:r>
            <w:r>
              <w:rPr>
                <w:rFonts w:ascii="宋体" w:hAnsi="宋体" w:cs="仿宋_GB2312"/>
                <w:b/>
                <w:color w:val="auto"/>
                <w:shd w:val="clear" w:color="auto" w:fill="FFFFFF"/>
              </w:rPr>
              <w:t xml:space="preserve"> </w:t>
            </w:r>
            <w:r>
              <w:rPr>
                <w:rFonts w:ascii="宋体" w:hAnsi="宋体" w:cs="仿宋_GB2312"/>
                <w:b/>
                <w:color w:val="auto"/>
                <w:sz w:val="24"/>
                <w:szCs w:val="24"/>
                <w:shd w:val="clear" w:color="auto" w:fill="FFFFFF"/>
              </w:rPr>
              <w:t>(www.ccgp.gov.cn)政府采购严重违法失信行为记录名单的投标人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color w:val="auto"/>
                <w:shd w:val="clear" w:color="auto" w:fill="FFFFFF"/>
              </w:rPr>
              <w:t xml:space="preserve"> “国家企业信用公示系统”网站（www.gsxt.gov.cn）严重违法失信企业名单（黑名单）的投标人</w:t>
            </w:r>
            <w:r>
              <w:rPr>
                <w:rFonts w:hint="eastAsia" w:ascii="宋体" w:hAnsi="宋体"/>
                <w:b/>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w:t>
            </w:r>
            <w:r>
              <w:rPr>
                <w:rFonts w:ascii="宋体" w:hAnsi="宋体"/>
                <w:bCs/>
                <w:color w:val="auto"/>
                <w:sz w:val="24"/>
                <w:szCs w:val="24"/>
              </w:rPr>
              <w:t>政府采购严重违法失信名单</w:t>
            </w:r>
            <w:r>
              <w:rPr>
                <w:rFonts w:hint="eastAsia" w:ascii="宋体" w:hAnsi="宋体"/>
                <w:bCs/>
                <w:color w:val="auto"/>
                <w:sz w:val="24"/>
                <w:szCs w:val="24"/>
              </w:rPr>
              <w:t>、政府采购严重违法失信行为记录名单（联合体形式投标的，联合体成员存在不良信用记录，视同联合体存在不良信用记录）。</w:t>
            </w:r>
          </w:p>
          <w:p>
            <w:pPr>
              <w:pStyle w:val="38"/>
              <w:widowControl/>
              <w:shd w:val="clear" w:color="auto" w:fill="FFFFFF"/>
              <w:spacing w:line="360" w:lineRule="auto"/>
              <w:ind w:firstLine="480" w:firstLineChars="200"/>
              <w:contextualSpacing/>
              <w:jc w:val="left"/>
              <w:rPr>
                <w:rFonts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和</w:t>
            </w:r>
            <w:r>
              <w:rPr>
                <w:rFonts w:hint="eastAsia" w:ascii="宋体" w:hAnsi="宋体" w:eastAsia="宋体" w:cs="仿宋_GB2312"/>
                <w:color w:val="auto"/>
                <w:shd w:val="clear" w:color="auto" w:fill="FFFFFF"/>
              </w:rPr>
              <w:t xml:space="preserve"> “国家企业信用公示系统”网站（www.gsxt.gov.cn）</w:t>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auto"/>
                <w:sz w:val="24"/>
                <w:szCs w:val="24"/>
              </w:rPr>
            </w:pPr>
            <w:r>
              <w:rPr>
                <w:rFonts w:hint="eastAsia" w:ascii="宋体" w:hAnsi="宋体"/>
                <w:b/>
                <w:color w:val="auto"/>
                <w:sz w:val="24"/>
                <w:szCs w:val="24"/>
              </w:rPr>
              <w:t>11、投标保证金</w:t>
            </w:r>
          </w:p>
          <w:p>
            <w:pPr>
              <w:spacing w:line="360" w:lineRule="auto"/>
              <w:rPr>
                <w:rFonts w:ascii="宋体" w:hAns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12、法定代表人身份证明或提供法定代表人授权委托书及被授权人身份证明。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color w:val="auto"/>
          <w:szCs w:val="24"/>
          <w:lang w:val="zh-CN"/>
        </w:rPr>
      </w:pPr>
    </w:p>
    <w:p>
      <w:pPr>
        <w:pStyle w:val="29"/>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19"/>
        <w:tblW w:w="8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分值构成</w:t>
            </w:r>
          </w:p>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价格分值：</w:t>
            </w:r>
            <w:r>
              <w:rPr>
                <w:rFonts w:hint="eastAsia" w:ascii="宋体" w:hAnsi="宋体"/>
                <w:b/>
                <w:bCs/>
                <w:color w:val="auto"/>
                <w:sz w:val="24"/>
                <w:szCs w:val="24"/>
                <w:u w:val="single"/>
                <w:shd w:val="clear" w:color="auto" w:fill="FFFFFF"/>
              </w:rPr>
              <w:t>25</w:t>
            </w:r>
            <w:r>
              <w:rPr>
                <w:rFonts w:hint="eastAsia" w:ascii="宋体" w:hAnsi="宋体"/>
                <w:b/>
                <w:bCs/>
                <w:color w:val="auto"/>
                <w:sz w:val="24"/>
                <w:szCs w:val="24"/>
                <w:shd w:val="clear" w:color="auto" w:fill="FFFFFF"/>
              </w:rPr>
              <w:t>分</w:t>
            </w:r>
          </w:p>
          <w:p>
            <w:pPr>
              <w:autoSpaceDE w:val="0"/>
              <w:autoSpaceDN w:val="0"/>
              <w:adjustRightInd w:val="0"/>
              <w:spacing w:line="300" w:lineRule="exact"/>
              <w:jc w:val="center"/>
              <w:rPr>
                <w:rFonts w:hint="eastAsia" w:ascii="宋体" w:hAnsi="宋体"/>
                <w:b/>
                <w:bCs/>
                <w:color w:val="auto"/>
                <w:sz w:val="24"/>
                <w:szCs w:val="24"/>
                <w:shd w:val="clear" w:color="auto" w:fill="FFFFFF"/>
              </w:rPr>
            </w:pPr>
            <w:r>
              <w:rPr>
                <w:rFonts w:hint="eastAsia" w:ascii="宋体" w:hAnsi="宋体"/>
                <w:b/>
                <w:bCs/>
                <w:color w:val="auto"/>
                <w:sz w:val="24"/>
                <w:szCs w:val="24"/>
                <w:shd w:val="clear" w:color="auto" w:fill="FFFFFF"/>
              </w:rPr>
              <w:t>商务部分：</w:t>
            </w:r>
            <w:r>
              <w:rPr>
                <w:rFonts w:hint="eastAsia" w:ascii="宋体" w:hAnsi="宋体"/>
                <w:b/>
                <w:bCs/>
                <w:color w:val="auto"/>
                <w:sz w:val="24"/>
                <w:szCs w:val="24"/>
                <w:u w:val="single"/>
                <w:shd w:val="clear" w:color="auto" w:fill="FFFFFF"/>
              </w:rPr>
              <w:t>40</w:t>
            </w:r>
            <w:r>
              <w:rPr>
                <w:rFonts w:hint="eastAsia" w:ascii="宋体" w:hAnsi="宋体"/>
                <w:b/>
                <w:bCs/>
                <w:color w:val="auto"/>
                <w:sz w:val="24"/>
                <w:szCs w:val="24"/>
                <w:shd w:val="clear" w:color="auto" w:fill="FFFFFF"/>
              </w:rPr>
              <w:t>分</w:t>
            </w:r>
          </w:p>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b/>
                <w:bCs/>
                <w:color w:val="auto"/>
                <w:sz w:val="24"/>
                <w:szCs w:val="24"/>
                <w:shd w:val="clear" w:color="auto" w:fill="FFFFFF"/>
              </w:rPr>
              <w:t>技术部分：</w:t>
            </w:r>
            <w:r>
              <w:rPr>
                <w:rFonts w:hint="eastAsia" w:ascii="宋体" w:hAnsi="宋体"/>
                <w:b/>
                <w:bCs/>
                <w:color w:val="auto"/>
                <w:sz w:val="24"/>
                <w:szCs w:val="24"/>
                <w:u w:val="single"/>
                <w:shd w:val="clear" w:color="auto" w:fill="FFFFFF"/>
              </w:rPr>
              <w:t>35</w:t>
            </w:r>
            <w:r>
              <w:rPr>
                <w:rFonts w:hint="eastAsia" w:ascii="宋体" w:hAnsi="宋体"/>
                <w:b/>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b/>
                <w:bCs/>
                <w:color w:val="auto"/>
                <w:sz w:val="24"/>
                <w:szCs w:val="24"/>
                <w:shd w:val="clear" w:color="auto" w:fill="FFFFFF"/>
              </w:rPr>
              <w:t>价格部分（满分25分）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firstLine="482" w:firstLineChars="200"/>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投标报价</w:t>
            </w:r>
          </w:p>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b/>
                <w:bCs/>
                <w:color w:val="auto"/>
                <w:sz w:val="24"/>
                <w:szCs w:val="24"/>
                <w:shd w:val="clear" w:color="auto" w:fill="FFFFFF"/>
              </w:rPr>
              <w:t>评标基准价</w:t>
            </w:r>
            <w:r>
              <w:rPr>
                <w:rFonts w:hint="eastAsia" w:ascii="宋体" w:hAnsi="宋体"/>
                <w:color w:val="auto"/>
                <w:sz w:val="24"/>
                <w:szCs w:val="24"/>
                <w:shd w:val="clear" w:color="auto" w:fill="FFFFFF"/>
              </w:rPr>
              <w:t>：满足招标文件要求的有效投标报价中，最低的投标报价为评标基准价。</w:t>
            </w:r>
          </w:p>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 xml:space="preserve">投标报价得分=（评标基准价/投标报价）×25  </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u w:val="single"/>
              </w:rPr>
              <w:t xml:space="preserve"> 25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b/>
                <w:bCs/>
                <w:color w:val="auto"/>
                <w:sz w:val="24"/>
                <w:szCs w:val="24"/>
                <w:shd w:val="clear" w:color="auto" w:fill="FFFFFF"/>
              </w:rPr>
              <w:t>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firstLine="482" w:firstLineChars="200"/>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40" w:firstLineChars="100"/>
              <w:jc w:val="center"/>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firstLine="240" w:firstLineChars="100"/>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1、投标人提供企业所在地税务主管部门出具的纳税情况证明等信用情况（加盖企业所在地税务主管部门公章），无不良信息者得2分，满分2分，未提供或有不良信息者不得分。</w:t>
            </w:r>
          </w:p>
        </w:tc>
        <w:tc>
          <w:tcPr>
            <w:tcW w:w="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firstLine="240" w:firstLineChars="100"/>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40" w:firstLineChars="100"/>
              <w:jc w:val="center"/>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投标人自2015年1月1日以来，具有物业管理项目或市政设施维修项目的，每个得3分，满分9分。（以合同或中标通知书为准）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40" w:firstLineChars="100"/>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1、自2015年1月1日以来企业获得过市级荣誉的得3分，省级荣誉的得6分，本项最高得6分。未提供者不得分（以证书和同级奖励文件为准，时间以证书发证时间为准）。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2、投标人提供质量管理体系认证、环境管理体系认证、职业健康安全管理体系认证。三证缺一不得分，满分3分。未提供者不得分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3、投标人提供信用评估机构出具的企业信用报告及信用等级证书，信用评定等级为AAA得2分，未提供者不得分。</w:t>
            </w:r>
          </w:p>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4、投标企业所管理的物业管理项目或市政设施维修项目2015年1月1日以来获得省级荣誉者得6分，国家级荣誉者得12分，满分12分。未提供者不得分（以证书和同级奖励文件为准，时间以证书发证时间为准）。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项目负责人</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2015年1月1日以来项目负责人获得市级及以上党政群机关颁发的先进奖励（包括：岗位标兵、岗位能手、五一劳动奖章）者得6分。（需提供证书和同级奖励文件，时间以证书发证时间为准，需提供投标截止时间前三个月本单位为其缴纳社会保险的证明材料《企业职工基本养老保险个人账户查询单》，未提供者不得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firstLine="482" w:firstLineChars="200"/>
              <w:jc w:val="center"/>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59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投标文件的规范程度</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1、投标文件的编制符合招标文件的规定，投标文件编制规范的，得2分，未提供者不得分。</w:t>
            </w: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24"/>
                <w:szCs w:val="24"/>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ascii="宋体" w:hAnsi="宋体"/>
                <w:color w:val="auto"/>
                <w:sz w:val="24"/>
                <w:szCs w:val="24"/>
                <w:shd w:val="clear" w:color="auto" w:fill="FFFFFF"/>
              </w:rPr>
            </w:pPr>
            <w:r>
              <w:rPr>
                <w:rFonts w:hint="eastAsia" w:ascii="宋体" w:hAnsi="宋体"/>
                <w:color w:val="auto"/>
                <w:sz w:val="24"/>
                <w:szCs w:val="24"/>
                <w:shd w:val="clear" w:color="auto" w:fill="FFFFFF"/>
              </w:rPr>
              <w:t>2、投标人编制投标文件逻辑严紧、条理清楚、无文字错误的，得2分，未提供者不得分。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7" w:type="dxa"/>
            <w:tcBorders>
              <w:top w:val="nil"/>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对招标文件的响应程度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1.员工培训方案科学全面者得5分；有提供的得4分，未提供者不得分。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2.具体服务方案全面合理者得5分；有提供的得4分，未提供的不得分。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3.档案资料管理措施合理完善得5分；有提供的得4分，未提供的不得分。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4.各类规章制度健全者得5分；有提供的得4分，未提供的不得分。</w:t>
            </w:r>
          </w:p>
          <w:p>
            <w:pPr>
              <w:autoSpaceDE w:val="0"/>
              <w:autoSpaceDN w:val="0"/>
              <w:adjustRightInd w:val="0"/>
              <w:spacing w:line="300" w:lineRule="exac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5.应急情况处理预案合理全面者得5分；有提供的得4分，未提供的不得分。</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sz w:val="24"/>
                <w:szCs w:val="24"/>
              </w:rPr>
            </w:pPr>
            <w:r>
              <w:rPr>
                <w:rFonts w:hint="eastAsia" w:ascii="宋体" w:hAnsi="宋体"/>
                <w:color w:val="auto"/>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40" w:firstLineChars="100"/>
              <w:jc w:val="center"/>
              <w:rPr>
                <w:rFonts w:ascii="宋体" w:hAnsi="宋体"/>
                <w:color w:val="auto"/>
                <w:sz w:val="24"/>
                <w:szCs w:val="24"/>
                <w:shd w:val="clear" w:color="auto" w:fill="FFFFFF"/>
              </w:rPr>
            </w:pPr>
            <w:r>
              <w:rPr>
                <w:rFonts w:hint="eastAsia" w:ascii="宋体" w:hAnsi="宋体"/>
                <w:color w:val="auto"/>
                <w:sz w:val="24"/>
                <w:szCs w:val="24"/>
                <w:shd w:val="clear" w:color="auto" w:fill="FFFFFF"/>
              </w:rPr>
              <w:t>服务承诺</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rPr>
                <w:color w:val="auto"/>
                <w:sz w:val="24"/>
                <w:szCs w:val="24"/>
              </w:rPr>
            </w:pPr>
            <w:r>
              <w:rPr>
                <w:rFonts w:hint="eastAsia"/>
                <w:color w:val="auto"/>
                <w:sz w:val="24"/>
                <w:szCs w:val="24"/>
              </w:rPr>
              <w:t>全面满足项目管理需求。下列每具有一项得1分，共6分，</w:t>
            </w:r>
            <w:r>
              <w:rPr>
                <w:rFonts w:hint="eastAsia" w:ascii="宋体" w:hAnsi="宋体"/>
                <w:color w:val="auto"/>
                <w:sz w:val="24"/>
                <w:szCs w:val="24"/>
                <w:shd w:val="clear" w:color="auto" w:fill="FFFFFF"/>
              </w:rPr>
              <w:t>未提供者不得分</w:t>
            </w:r>
            <w:r>
              <w:rPr>
                <w:rFonts w:hint="eastAsia"/>
                <w:color w:val="auto"/>
                <w:sz w:val="24"/>
                <w:szCs w:val="24"/>
              </w:rPr>
              <w:t>。</w:t>
            </w:r>
            <w:r>
              <w:rPr>
                <w:color w:val="auto"/>
                <w:sz w:val="24"/>
                <w:szCs w:val="24"/>
              </w:rPr>
              <w:t xml:space="preserve"> </w:t>
            </w:r>
          </w:p>
          <w:p>
            <w:pPr>
              <w:autoSpaceDE w:val="0"/>
              <w:autoSpaceDN w:val="0"/>
              <w:adjustRightInd w:val="0"/>
              <w:spacing w:line="300" w:lineRule="exact"/>
              <w:ind w:firstLine="240" w:firstLineChars="100"/>
              <w:rPr>
                <w:rFonts w:hint="eastAsia"/>
                <w:color w:val="auto"/>
                <w:sz w:val="24"/>
                <w:szCs w:val="24"/>
              </w:rPr>
            </w:pPr>
            <w:r>
              <w:rPr>
                <w:rFonts w:hint="eastAsia"/>
                <w:color w:val="auto"/>
                <w:sz w:val="24"/>
                <w:szCs w:val="24"/>
              </w:rPr>
              <w:t>1、承诺管理文明规范、清洁安全。</w:t>
            </w:r>
          </w:p>
          <w:p>
            <w:pPr>
              <w:autoSpaceDE w:val="0"/>
              <w:autoSpaceDN w:val="0"/>
              <w:adjustRightInd w:val="0"/>
              <w:spacing w:line="300" w:lineRule="exact"/>
              <w:ind w:firstLine="240" w:firstLineChars="100"/>
              <w:rPr>
                <w:rFonts w:hint="eastAsia"/>
                <w:color w:val="auto"/>
                <w:sz w:val="24"/>
                <w:szCs w:val="24"/>
              </w:rPr>
            </w:pPr>
            <w:r>
              <w:rPr>
                <w:rFonts w:hint="eastAsia"/>
                <w:color w:val="auto"/>
                <w:sz w:val="24"/>
                <w:szCs w:val="24"/>
              </w:rPr>
              <w:t>2、承诺定期进行安全检查，并对聘用人员进行安全培训。</w:t>
            </w:r>
          </w:p>
          <w:p>
            <w:pPr>
              <w:autoSpaceDE w:val="0"/>
              <w:autoSpaceDN w:val="0"/>
              <w:adjustRightInd w:val="0"/>
              <w:spacing w:line="300" w:lineRule="exact"/>
              <w:ind w:firstLine="240" w:firstLineChars="100"/>
              <w:rPr>
                <w:rFonts w:hint="eastAsia"/>
                <w:color w:val="auto"/>
                <w:sz w:val="24"/>
                <w:szCs w:val="24"/>
              </w:rPr>
            </w:pPr>
            <w:r>
              <w:rPr>
                <w:rFonts w:hint="eastAsia"/>
                <w:color w:val="auto"/>
                <w:sz w:val="24"/>
                <w:szCs w:val="24"/>
              </w:rPr>
              <w:t>3、承诺服务行为规范，服务质量优良，定期收集业主单位意见和建议。</w:t>
            </w:r>
          </w:p>
          <w:p>
            <w:pPr>
              <w:autoSpaceDE w:val="0"/>
              <w:autoSpaceDN w:val="0"/>
              <w:adjustRightInd w:val="0"/>
              <w:spacing w:line="300" w:lineRule="exact"/>
              <w:ind w:firstLine="240" w:firstLineChars="100"/>
              <w:rPr>
                <w:rFonts w:hint="eastAsia"/>
                <w:color w:val="auto"/>
                <w:sz w:val="24"/>
                <w:szCs w:val="24"/>
              </w:rPr>
            </w:pPr>
            <w:r>
              <w:rPr>
                <w:rFonts w:hint="eastAsia"/>
                <w:color w:val="auto"/>
                <w:sz w:val="24"/>
                <w:szCs w:val="24"/>
              </w:rPr>
              <w:t>4、承诺按照招标文件要求足额配齐工作人员，基本工资不得低于许昌市最低工资标准，确保工作人员待遇。</w:t>
            </w:r>
          </w:p>
          <w:p>
            <w:pPr>
              <w:autoSpaceDE w:val="0"/>
              <w:autoSpaceDN w:val="0"/>
              <w:adjustRightInd w:val="0"/>
              <w:spacing w:line="300" w:lineRule="exact"/>
              <w:ind w:firstLine="240" w:firstLineChars="100"/>
              <w:rPr>
                <w:rFonts w:hint="eastAsia"/>
                <w:color w:val="auto"/>
                <w:sz w:val="24"/>
                <w:szCs w:val="24"/>
              </w:rPr>
            </w:pPr>
            <w:r>
              <w:rPr>
                <w:rFonts w:hint="eastAsia"/>
                <w:color w:val="auto"/>
                <w:sz w:val="24"/>
                <w:szCs w:val="24"/>
              </w:rPr>
              <w:t>5、承诺广场动态管理符合实际情况并及时上报采购单位，服从采购单位管理、监督、验收考核，遵守各项管理制度。</w:t>
            </w:r>
          </w:p>
          <w:p>
            <w:pPr>
              <w:autoSpaceDE w:val="0"/>
              <w:autoSpaceDN w:val="0"/>
              <w:adjustRightInd w:val="0"/>
              <w:spacing w:line="300" w:lineRule="exact"/>
              <w:ind w:firstLine="240" w:firstLineChars="100"/>
              <w:rPr>
                <w:color w:val="auto"/>
                <w:sz w:val="24"/>
                <w:szCs w:val="24"/>
              </w:rPr>
            </w:pPr>
            <w:r>
              <w:rPr>
                <w:rFonts w:hint="eastAsia"/>
                <w:color w:val="auto"/>
                <w:sz w:val="24"/>
                <w:szCs w:val="24"/>
              </w:rPr>
              <w:t>6、投标人承诺承担总承包责任，不得转包。</w:t>
            </w:r>
          </w:p>
        </w:tc>
        <w:tc>
          <w:tcPr>
            <w:tcW w:w="96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 w:val="24"/>
                <w:szCs w:val="24"/>
              </w:rPr>
            </w:pPr>
            <w:r>
              <w:rPr>
                <w:rFonts w:hint="eastAsia" w:ascii="宋体" w:hAnsi="宋体"/>
                <w:color w:val="auto"/>
                <w:sz w:val="24"/>
                <w:szCs w:val="24"/>
              </w:rPr>
              <w:t>6分</w:t>
            </w:r>
          </w:p>
        </w:tc>
      </w:tr>
    </w:tbl>
    <w:p>
      <w:pPr>
        <w:spacing w:line="360" w:lineRule="auto"/>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29"/>
        <w:spacing w:line="360" w:lineRule="auto"/>
        <w:contextualSpacing/>
        <w:jc w:val="center"/>
        <w:rPr>
          <w:rFonts w:hint="eastAsia" w:ascii="宋体" w:hAnsi="宋体" w:eastAsia="宋体" w:cs="宋体"/>
          <w:b/>
          <w:color w:val="auto"/>
          <w:kern w:val="0"/>
          <w:sz w:val="36"/>
          <w:szCs w:val="36"/>
        </w:rPr>
      </w:pP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9"/>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4023138"/>
      <w:bookmarkStart w:id="2" w:name="_Toc186274126"/>
      <w:bookmarkStart w:id="3" w:name="_Toc174185203"/>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29"/>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29"/>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29"/>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14</w:t>
            </w:r>
          </w:p>
        </w:tc>
        <w:tc>
          <w:tcPr>
            <w:tcW w:w="3751" w:type="dxa"/>
            <w:gridSpan w:val="3"/>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19</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20</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21</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22</w:t>
            </w: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29"/>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29"/>
        <w:spacing w:line="360" w:lineRule="auto"/>
        <w:jc w:val="both"/>
        <w:rPr>
          <w:rFonts w:ascii="宋体" w:hAnsi="宋体" w:eastAsia="宋体"/>
          <w:b/>
          <w:snapToGrid w:val="0"/>
          <w:color w:val="auto"/>
          <w:kern w:val="0"/>
          <w:sz w:val="36"/>
          <w:szCs w:val="36"/>
        </w:rPr>
      </w:pP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color w:val="auto"/>
        </w:rPr>
      </w:pPr>
      <w:r>
        <w:rPr>
          <w:rFonts w:hint="eastAsia" w:ascii="宋体" w:hAnsi="宋体" w:eastAsia="宋体" w:cs="Courier New"/>
          <w:color w:val="auto"/>
        </w:rPr>
        <w:t>七、我方在此保证所提交的所有文件和全部说明是真实的和正确的。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九、我方具备《政府采购法》第二十二条规定的条件；承诺如下：</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十、我方具备履行合同所必需的设备和专业技术能力。</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十一、</w:t>
      </w:r>
      <w:r>
        <w:rPr>
          <w:rFonts w:hint="eastAsia" w:ascii="宋体" w:hAnsi="宋体" w:eastAsia="宋体"/>
          <w:color w:val="auto"/>
          <w:szCs w:val="24"/>
        </w:rPr>
        <w:t>我方对在本函及投标文件中所作的所有承诺承担法律责任。</w:t>
      </w:r>
    </w:p>
    <w:p>
      <w:pPr>
        <w:pStyle w:val="29"/>
        <w:adjustRightInd w:val="0"/>
        <w:snapToGrid w:val="0"/>
        <w:spacing w:line="360" w:lineRule="auto"/>
        <w:rPr>
          <w:rFonts w:ascii="宋体" w:hAnsi="宋体" w:eastAsia="宋体"/>
          <w:color w:val="auto"/>
          <w:szCs w:val="24"/>
        </w:rPr>
      </w:pPr>
    </w:p>
    <w:p>
      <w:pPr>
        <w:pStyle w:val="29"/>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2"/>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2"/>
        <w:spacing w:line="480" w:lineRule="auto"/>
        <w:ind w:firstLine="540" w:firstLineChars="225"/>
        <w:jc w:val="left"/>
        <w:rPr>
          <w:rFonts w:ascii="宋体" w:hAnsi="宋体"/>
          <w:color w:val="auto"/>
          <w:szCs w:val="24"/>
        </w:rPr>
      </w:pPr>
    </w:p>
    <w:p>
      <w:pPr>
        <w:pStyle w:val="42"/>
        <w:spacing w:line="480" w:lineRule="auto"/>
        <w:ind w:firstLine="540" w:firstLineChars="225"/>
        <w:jc w:val="left"/>
        <w:rPr>
          <w:rFonts w:ascii="宋体" w:hAnsi="宋体"/>
          <w:color w:val="auto"/>
          <w:szCs w:val="24"/>
        </w:rPr>
      </w:pPr>
    </w:p>
    <w:p>
      <w:pPr>
        <w:pStyle w:val="42"/>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2"/>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4"/>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3"/>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autoSpaceDE w:val="0"/>
        <w:autoSpaceDN w:val="0"/>
        <w:adjustRightInd w:val="0"/>
        <w:spacing w:line="360" w:lineRule="auto"/>
        <w:jc w:val="center"/>
        <w:outlineLvl w:val="0"/>
        <w:rPr>
          <w:rFonts w:hint="eastAsia" w:ascii="宋体" w:hAnsi="宋体"/>
          <w:b/>
          <w:bCs/>
          <w:color w:val="auto"/>
          <w:sz w:val="36"/>
          <w:szCs w:val="36"/>
        </w:rPr>
      </w:pPr>
    </w:p>
    <w:p>
      <w:pPr>
        <w:autoSpaceDE w:val="0"/>
        <w:autoSpaceDN w:val="0"/>
        <w:adjustRightInd w:val="0"/>
        <w:spacing w:line="360" w:lineRule="auto"/>
        <w:jc w:val="center"/>
        <w:outlineLvl w:val="0"/>
        <w:rPr>
          <w:rFonts w:hint="eastAsia" w:hAnsi="宋体" w:eastAsia="宋体"/>
          <w:b/>
          <w:snapToGrid w:val="0"/>
          <w:color w:val="auto"/>
          <w:kern w:val="0"/>
          <w:sz w:val="36"/>
          <w:szCs w:val="36"/>
          <w:lang w:eastAsia="zh-CN"/>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9"/>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2910"/>
        <w:gridCol w:w="1035"/>
        <w:gridCol w:w="1125"/>
        <w:gridCol w:w="1365"/>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291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内容</w:t>
            </w:r>
          </w:p>
        </w:tc>
        <w:tc>
          <w:tcPr>
            <w:tcW w:w="103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112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36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29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29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2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3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9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291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2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3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9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4.</w:t>
      </w:r>
      <w:r>
        <w:rPr>
          <w:rFonts w:hint="eastAsia" w:ascii="宋体" w:hAnsi="宋体"/>
          <w:b/>
          <w:bCs/>
          <w:color w:val="auto"/>
          <w:sz w:val="36"/>
          <w:szCs w:val="36"/>
          <w:lang w:val="en-US" w:eastAsia="zh-CN"/>
        </w:rPr>
        <w:t>2</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3</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b/>
          <w:bCs/>
          <w:color w:val="auto"/>
          <w:sz w:val="36"/>
          <w:szCs w:val="36"/>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4</w:t>
      </w:r>
      <w:r>
        <w:rPr>
          <w:rFonts w:hint="eastAsia" w:ascii="宋体" w:hAnsi="宋体"/>
          <w:b/>
          <w:bCs/>
          <w:color w:val="auto"/>
          <w:sz w:val="36"/>
          <w:szCs w:val="36"/>
        </w:rPr>
        <w:t xml:space="preserve">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5</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olor w:val="auto"/>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color w:val="auto"/>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8"/>
    <w:multiLevelType w:val="multilevel"/>
    <w:tmpl w:val="00000008"/>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singleLevel"/>
    <w:tmpl w:val="0000000A"/>
    <w:lvl w:ilvl="0" w:tentative="0">
      <w:start w:val="1"/>
      <w:numFmt w:val="chineseCounting"/>
      <w:pStyle w:val="48"/>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3E071D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1"/>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3"/>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qFormat/>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w:basedOn w:val="3"/>
    <w:link w:val="24"/>
    <w:uiPriority w:val="0"/>
    <w:pPr>
      <w:ind w:firstLine="420" w:firstLineChars="100"/>
    </w:pPr>
    <w:rPr>
      <w:rFonts w:ascii="宋体" w:hAnsi="Times New Roman" w:eastAsia="宋体" w:cs="Times New Roman"/>
      <w:kern w:val="0"/>
      <w:sz w:val="34"/>
      <w:szCs w:val="20"/>
    </w:rPr>
  </w:style>
  <w:style w:type="paragraph" w:styleId="3">
    <w:name w:val="Body Text"/>
    <w:basedOn w:val="1"/>
    <w:link w:val="25"/>
    <w:qFormat/>
    <w:uiPriority w:val="0"/>
    <w:pPr>
      <w:spacing w:after="120"/>
    </w:pPr>
  </w:style>
  <w:style w:type="paragraph" w:styleId="8">
    <w:name w:val="caption"/>
    <w:basedOn w:val="1"/>
    <w:next w:val="1"/>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character" w:customStyle="1" w:styleId="20">
    <w:name w:val="标题 1 Char"/>
    <w:basedOn w:val="15"/>
    <w:link w:val="4"/>
    <w:semiHidden/>
    <w:qFormat/>
    <w:uiPriority w:val="0"/>
    <w:rPr>
      <w:rFonts w:ascii="Calibri" w:hAnsi="Calibri" w:eastAsia="宋体" w:cs="Times New Roman"/>
      <w:b/>
      <w:bCs/>
      <w:kern w:val="44"/>
      <w:sz w:val="44"/>
      <w:szCs w:val="44"/>
    </w:rPr>
  </w:style>
  <w:style w:type="character" w:customStyle="1" w:styleId="21">
    <w:name w:val="标题 2 Char"/>
    <w:basedOn w:val="15"/>
    <w:link w:val="5"/>
    <w:semiHidden/>
    <w:uiPriority w:val="0"/>
    <w:rPr>
      <w:rFonts w:ascii="Arial" w:hAnsi="Arial" w:eastAsia="黑体" w:cs="Times New Roman"/>
      <w:b/>
      <w:bCs/>
      <w:kern w:val="0"/>
      <w:sz w:val="32"/>
      <w:szCs w:val="32"/>
    </w:rPr>
  </w:style>
  <w:style w:type="character" w:customStyle="1" w:styleId="22">
    <w:name w:val="标题 3 Char"/>
    <w:basedOn w:val="15"/>
    <w:link w:val="6"/>
    <w:semiHidden/>
    <w:qFormat/>
    <w:uiPriority w:val="0"/>
    <w:rPr>
      <w:rFonts w:ascii="宋体" w:hAnsi="宋体" w:eastAsia="宋体" w:cs="Times New Roman"/>
      <w:b/>
      <w:color w:val="000000"/>
      <w:kern w:val="0"/>
      <w:sz w:val="24"/>
      <w:szCs w:val="20"/>
    </w:rPr>
  </w:style>
  <w:style w:type="character" w:customStyle="1" w:styleId="23">
    <w:name w:val="标题 4 Char"/>
    <w:basedOn w:val="15"/>
    <w:link w:val="7"/>
    <w:semiHidden/>
    <w:qFormat/>
    <w:uiPriority w:val="0"/>
    <w:rPr>
      <w:rFonts w:ascii="Arial" w:hAnsi="Arial" w:eastAsia="黑体" w:cs="Times New Roman"/>
      <w:b/>
      <w:bCs/>
      <w:kern w:val="0"/>
      <w:sz w:val="28"/>
      <w:szCs w:val="28"/>
    </w:rPr>
  </w:style>
  <w:style w:type="character" w:customStyle="1" w:styleId="24">
    <w:name w:val="正文首行缩进 Char"/>
    <w:basedOn w:val="25"/>
    <w:link w:val="2"/>
    <w:semiHidden/>
    <w:qFormat/>
    <w:uiPriority w:val="0"/>
    <w:rPr>
      <w:rFonts w:ascii="宋体" w:hAnsi="Times New Roman" w:eastAsia="宋体" w:cs="Times New Roman"/>
      <w:kern w:val="0"/>
      <w:sz w:val="34"/>
      <w:szCs w:val="20"/>
    </w:rPr>
  </w:style>
  <w:style w:type="character" w:customStyle="1" w:styleId="25">
    <w:name w:val="正文文本 Char"/>
    <w:basedOn w:val="15"/>
    <w:link w:val="3"/>
    <w:semiHidden/>
    <w:qFormat/>
    <w:uiPriority w:val="0"/>
  </w:style>
  <w:style w:type="character" w:customStyle="1" w:styleId="26">
    <w:name w:val="正文文本 3 Char"/>
    <w:basedOn w:val="15"/>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uiPriority w:val="0"/>
    <w:rPr>
      <w:rFonts w:ascii="Times New Roman" w:hAnsi="Times New Roman" w:eastAsia="宋体" w:cs="Times New Roman"/>
      <w:color w:val="FF0000"/>
      <w:sz w:val="24"/>
      <w:szCs w:val="24"/>
    </w:rPr>
  </w:style>
  <w:style w:type="character" w:customStyle="1" w:styleId="28">
    <w:name w:val="纯文本 Char"/>
    <w:basedOn w:val="15"/>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5"/>
    <w:link w:val="31"/>
    <w:semiHidden/>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5"/>
    <w:link w:val="12"/>
    <w:semiHidden/>
    <w:uiPriority w:val="0"/>
    <w:rPr>
      <w:sz w:val="18"/>
      <w:szCs w:val="18"/>
    </w:rPr>
  </w:style>
  <w:style w:type="character" w:customStyle="1" w:styleId="33">
    <w:name w:val="页眉 Char"/>
    <w:basedOn w:val="15"/>
    <w:link w:val="13"/>
    <w:semiHidden/>
    <w:uiPriority w:val="0"/>
    <w:rPr>
      <w:sz w:val="18"/>
      <w:szCs w:val="18"/>
    </w:rPr>
  </w:style>
  <w:style w:type="character" w:customStyle="1" w:styleId="34">
    <w:name w:val="HTML 预设格式 Char"/>
    <w:basedOn w:val="15"/>
    <w:link w:val="35"/>
    <w:semiHidden/>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Indent"/>
    <w:basedOn w:val="1"/>
    <w:qFormat/>
    <w:uiPriority w:val="0"/>
    <w:pPr>
      <w:ind w:firstLine="425"/>
    </w:pPr>
    <w:rPr>
      <w:rFonts w:ascii="Times New Roman" w:hAnsi="Times New Roman" w:eastAsia="宋体" w:cs="Times New Roman"/>
      <w:szCs w:val="20"/>
    </w:rPr>
  </w:style>
  <w:style w:type="paragraph" w:customStyle="1" w:styleId="37">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2018-05-15T01:56:00Z</dcterms:created>
  <dc:creator>许昌市公共资源交易中心:孟莉</dc:creator>
  <cp:lastModifiedBy>aaa</cp:lastModifiedBy>
  <cp:lastPrinted>2018-12-01T00:10:00Z</cp:lastPrinted>
  <dcterms:modified xsi:type="dcterms:W3CDTF">2018-12-13T04:14:18Z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