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r>
        <w:rPr>
          <w:rFonts w:hint="eastAsia"/>
        </w:rPr>
        <w:t>报价一览表</w:t>
      </w:r>
    </w:p>
    <w:tbl>
      <w:tblPr>
        <w:tblStyle w:val="14"/>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项目名称</w:t>
            </w:r>
          </w:p>
        </w:tc>
        <w:tc>
          <w:tcPr>
            <w:tcW w:w="7082" w:type="dxa"/>
            <w:noWrap w:val="0"/>
            <w:vAlign w:val="center"/>
          </w:tcPr>
          <w:p>
            <w:pPr>
              <w:spacing w:line="500" w:lineRule="exact"/>
              <w:rPr>
                <w:rFonts w:hint="eastAsia" w:ascii="宋体" w:hAnsi="宋体" w:eastAsia="宋体" w:cs="宋体"/>
                <w:sz w:val="24"/>
                <w:szCs w:val="24"/>
              </w:rPr>
            </w:pPr>
            <w:r>
              <w:rPr>
                <w:rFonts w:hint="eastAsia" w:ascii="宋体" w:hAnsi="宋体" w:eastAsia="宋体" w:cs="宋体"/>
                <w:sz w:val="24"/>
                <w:szCs w:val="24"/>
              </w:rPr>
              <w:t>禹州市体育服务中心体育健身器材采购项目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采购编号</w:t>
            </w:r>
          </w:p>
        </w:tc>
        <w:tc>
          <w:tcPr>
            <w:tcW w:w="7082" w:type="dxa"/>
            <w:noWrap w:val="0"/>
            <w:vAlign w:val="center"/>
          </w:tcPr>
          <w:p>
            <w:pPr>
              <w:spacing w:line="500" w:lineRule="exact"/>
              <w:rPr>
                <w:rFonts w:hint="eastAsia" w:ascii="宋体" w:hAnsi="宋体" w:eastAsia="宋体" w:cs="宋体"/>
                <w:sz w:val="24"/>
                <w:szCs w:val="24"/>
              </w:rPr>
            </w:pPr>
            <w:r>
              <w:rPr>
                <w:rFonts w:hint="eastAsia" w:ascii="宋体" w:hAnsi="宋体" w:eastAsia="宋体" w:cs="宋体"/>
                <w:sz w:val="24"/>
                <w:szCs w:val="24"/>
                <w:lang w:eastAsia="zh-CN"/>
              </w:rPr>
              <w:t>YZCG-T2018198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谈判总报价</w:t>
            </w:r>
          </w:p>
        </w:tc>
        <w:tc>
          <w:tcPr>
            <w:tcW w:w="7082" w:type="dxa"/>
            <w:noWrap w:val="0"/>
            <w:vAlign w:val="center"/>
          </w:tcPr>
          <w:p>
            <w:pPr>
              <w:spacing w:line="500" w:lineRule="exact"/>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 565380 \* CHINESENUM4 \* MERGEFORMAT </w:instrText>
            </w:r>
            <w:r>
              <w:rPr>
                <w:rFonts w:hint="eastAsia" w:ascii="宋体" w:hAnsi="宋体" w:eastAsia="宋体" w:cs="宋体"/>
                <w:sz w:val="24"/>
                <w:szCs w:val="24"/>
                <w:lang w:val="en-US" w:eastAsia="zh-CN"/>
              </w:rPr>
              <w:fldChar w:fldCharType="separate"/>
            </w:r>
            <w:r>
              <w:rPr>
                <w:rFonts w:hint="eastAsia" w:eastAsia="宋体"/>
                <w:sz w:val="24"/>
                <w:szCs w:val="24"/>
                <w:lang w:eastAsia="zh-CN"/>
              </w:rPr>
              <w:t>伍拾伍万陆仟柒佰元整</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rPr>
              <w:t xml:space="preserve"> </w:t>
            </w:r>
          </w:p>
          <w:p>
            <w:pPr>
              <w:spacing w:line="500" w:lineRule="exact"/>
              <w:rPr>
                <w:rFonts w:hint="eastAsia" w:ascii="宋体" w:hAnsi="宋体" w:eastAsia="宋体" w:cs="宋体"/>
                <w:sz w:val="24"/>
                <w:szCs w:val="24"/>
              </w:rPr>
            </w:pPr>
            <w:r>
              <w:rPr>
                <w:rFonts w:hint="eastAsia" w:ascii="宋体" w:hAnsi="宋体" w:eastAsia="宋体" w:cs="宋体"/>
                <w:sz w:val="24"/>
                <w:szCs w:val="24"/>
              </w:rPr>
              <w:t>小写：</w:t>
            </w:r>
            <w:r>
              <w:rPr>
                <w:rFonts w:hint="eastAsia" w:ascii="宋体" w:hAnsi="宋体" w:eastAsia="宋体" w:cs="宋体"/>
                <w:sz w:val="24"/>
                <w:szCs w:val="24"/>
                <w:lang w:val="en-US" w:eastAsia="zh-CN"/>
              </w:rPr>
              <w:t>556700.00元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交货期</w:t>
            </w:r>
          </w:p>
        </w:tc>
        <w:tc>
          <w:tcPr>
            <w:tcW w:w="7082" w:type="dxa"/>
            <w:noWrap w:val="0"/>
            <w:vAlign w:val="center"/>
          </w:tcPr>
          <w:p>
            <w:pPr>
              <w:spacing w:line="500" w:lineRule="exact"/>
              <w:rPr>
                <w:rFonts w:hint="eastAsia" w:ascii="宋体" w:hAnsi="宋体" w:eastAsia="宋体" w:cs="宋体"/>
                <w:sz w:val="24"/>
                <w:szCs w:val="24"/>
              </w:rPr>
            </w:pPr>
            <w:r>
              <w:rPr>
                <w:rFonts w:hint="eastAsia" w:ascii="宋体" w:hAnsi="宋体" w:eastAsia="宋体" w:cs="宋体"/>
                <w:color w:val="000000"/>
                <w:kern w:val="0"/>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备注</w:t>
            </w:r>
          </w:p>
        </w:tc>
        <w:tc>
          <w:tcPr>
            <w:tcW w:w="7082" w:type="dxa"/>
            <w:noWrap w:val="0"/>
            <w:vAlign w:val="center"/>
          </w:tcPr>
          <w:p>
            <w:pPr>
              <w:spacing w:line="50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无</w:t>
            </w:r>
          </w:p>
        </w:tc>
      </w:tr>
    </w:tbl>
    <w:p>
      <w:pPr>
        <w:spacing w:line="500" w:lineRule="exact"/>
        <w:rPr>
          <w:rFonts w:hint="eastAsia" w:ascii="宋体" w:hAnsi="宋体" w:eastAsia="宋体" w:cs="宋体"/>
          <w:sz w:val="24"/>
          <w:szCs w:val="24"/>
        </w:rPr>
      </w:pPr>
      <w:r>
        <w:rPr>
          <w:rFonts w:hint="eastAsia" w:ascii="宋体" w:hAnsi="宋体" w:eastAsia="宋体" w:cs="宋体"/>
          <w:sz w:val="24"/>
          <w:szCs w:val="24"/>
        </w:rPr>
        <w:t>供应商名称（公章）：</w:t>
      </w:r>
      <w:r>
        <w:rPr>
          <w:rFonts w:hint="eastAsia" w:ascii="宋体" w:hAnsi="宋体" w:eastAsia="宋体" w:cs="宋体"/>
          <w:sz w:val="24"/>
          <w:szCs w:val="24"/>
          <w:lang w:val="zh-CN"/>
        </w:rPr>
        <w:t>沧州鑫龙教学设备制造股份有限公司</w:t>
      </w:r>
    </w:p>
    <w:p>
      <w:pPr>
        <w:spacing w:line="500" w:lineRule="exact"/>
        <w:rPr>
          <w:rFonts w:hint="eastAsia" w:ascii="宋体" w:hAnsi="宋体" w:eastAsia="宋体" w:cs="宋体"/>
          <w:sz w:val="24"/>
          <w:szCs w:val="24"/>
        </w:rPr>
      </w:pPr>
      <w:r>
        <w:rPr>
          <w:rFonts w:hint="eastAsia" w:ascii="宋体" w:hAnsi="宋体" w:eastAsia="宋体" w:cs="宋体"/>
          <w:sz w:val="24"/>
          <w:szCs w:val="24"/>
        </w:rPr>
        <w:t>法定代表人 （或授权代表）签字：</w:t>
      </w:r>
    </w:p>
    <w:p>
      <w:pPr>
        <w:widowControl/>
        <w:spacing w:line="500" w:lineRule="exact"/>
        <w:jc w:val="left"/>
        <w:rPr>
          <w:rFonts w:hint="eastAsia" w:ascii="宋体" w:hAnsi="宋体" w:eastAsia="宋体" w:cs="宋体"/>
          <w:sz w:val="24"/>
        </w:rPr>
      </w:pPr>
      <w:r>
        <w:rPr>
          <w:rFonts w:hint="eastAsia" w:ascii="宋体" w:hAnsi="宋体" w:eastAsia="宋体" w:cs="宋体"/>
          <w:sz w:val="24"/>
        </w:rPr>
        <w:t xml:space="preserve">                                              </w:t>
      </w:r>
    </w:p>
    <w:p>
      <w:pPr>
        <w:widowControl/>
        <w:spacing w:line="500" w:lineRule="exact"/>
        <w:jc w:val="left"/>
        <w:rPr>
          <w:rFonts w:hint="eastAsia" w:ascii="宋体" w:hAnsi="宋体" w:eastAsia="宋体" w:cs="宋体"/>
          <w:sz w:val="24"/>
        </w:rPr>
      </w:pPr>
    </w:p>
    <w:p>
      <w:pPr>
        <w:widowControl/>
        <w:spacing w:line="500" w:lineRule="exact"/>
        <w:jc w:val="left"/>
        <w:rPr>
          <w:rFonts w:hint="eastAsia" w:ascii="宋体" w:hAnsi="宋体" w:eastAsia="宋体" w:cs="宋体"/>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rPr>
        <w:t xml:space="preserve">                                                      </w:t>
      </w:r>
      <w:r>
        <w:rPr>
          <w:rFonts w:hint="eastAsia" w:ascii="宋体" w:hAnsi="宋体" w:eastAsia="宋体" w:cs="宋体"/>
          <w:sz w:val="24"/>
          <w:lang w:val="en-US" w:eastAsia="zh-CN"/>
        </w:rPr>
        <w:t>2019</w:t>
      </w:r>
      <w:r>
        <w:rPr>
          <w:rFonts w:hint="eastAsia" w:ascii="宋体" w:hAnsi="宋体" w:eastAsia="宋体" w:cs="宋体"/>
          <w:sz w:val="24"/>
        </w:rPr>
        <w:t>年</w:t>
      </w:r>
      <w:r>
        <w:rPr>
          <w:rFonts w:hint="eastAsia" w:ascii="宋体" w:hAnsi="宋体" w:eastAsia="宋体" w:cs="宋体"/>
          <w:sz w:val="24"/>
          <w:lang w:val="en-US" w:eastAsia="zh-CN"/>
        </w:rPr>
        <w:t>1</w:t>
      </w:r>
      <w:r>
        <w:rPr>
          <w:rFonts w:hint="eastAsia" w:ascii="宋体" w:hAnsi="宋体" w:eastAsia="宋体" w:cs="宋体"/>
          <w:sz w:val="24"/>
        </w:rPr>
        <w:t>月</w:t>
      </w:r>
      <w:r>
        <w:rPr>
          <w:rFonts w:hint="eastAsia" w:ascii="宋体" w:hAnsi="宋体" w:eastAsia="宋体" w:cs="宋体"/>
          <w:sz w:val="24"/>
          <w:lang w:val="en-US" w:eastAsia="zh-CN"/>
        </w:rPr>
        <w:t>9</w:t>
      </w:r>
      <w:r>
        <w:rPr>
          <w:rFonts w:hint="eastAsia" w:ascii="宋体" w:hAnsi="宋体" w:eastAsia="宋体" w:cs="宋体"/>
          <w:sz w:val="24"/>
        </w:rPr>
        <w:t>日</w:t>
      </w:r>
    </w:p>
    <w:p>
      <w:pPr>
        <w:pStyle w:val="2"/>
        <w:rPr>
          <w:rFonts w:hint="eastAsia" w:ascii="宋体" w:hAnsi="宋体" w:eastAsia="宋体" w:cs="宋体"/>
          <w:lang w:val="zh-CN"/>
        </w:rPr>
      </w:pPr>
      <w:bookmarkStart w:id="0" w:name="_Toc12594"/>
      <w:r>
        <w:rPr>
          <w:rFonts w:hint="eastAsia" w:ascii="宋体" w:hAnsi="宋体" w:eastAsia="宋体" w:cs="宋体"/>
          <w:lang w:val="zh-CN"/>
        </w:rPr>
        <w:t>投标分项报价</w:t>
      </w:r>
      <w:r>
        <w:rPr>
          <w:rFonts w:hint="eastAsia" w:ascii="宋体" w:hAnsi="宋体" w:eastAsia="宋体" w:cs="宋体"/>
        </w:rPr>
        <w:t>一</w:t>
      </w:r>
      <w:r>
        <w:rPr>
          <w:rFonts w:hint="eastAsia" w:ascii="宋体" w:hAnsi="宋体" w:eastAsia="宋体" w:cs="宋体"/>
          <w:lang w:val="zh-CN"/>
        </w:rPr>
        <w:t>览表</w:t>
      </w:r>
      <w:bookmarkEnd w:id="0"/>
    </w:p>
    <w:p>
      <w:pPr>
        <w:autoSpaceDE w:val="0"/>
        <w:autoSpaceDN w:val="0"/>
        <w:adjustRightInd w:val="0"/>
        <w:spacing w:line="140" w:lineRule="exact"/>
        <w:rPr>
          <w:rFonts w:hint="eastAsia" w:ascii="宋体" w:hAnsi="宋体" w:eastAsia="宋体" w:cs="宋体"/>
          <w:b/>
          <w:bCs/>
          <w:sz w:val="24"/>
          <w:szCs w:val="24"/>
          <w:lang w:val="zh-CN"/>
        </w:rPr>
      </w:pPr>
    </w:p>
    <w:tbl>
      <w:tblPr>
        <w:tblStyle w:val="14"/>
        <w:tblW w:w="14176" w:type="dxa"/>
        <w:tblInd w:w="0" w:type="dxa"/>
        <w:tblLayout w:type="fixed"/>
        <w:tblCellMar>
          <w:top w:w="0" w:type="dxa"/>
          <w:left w:w="108" w:type="dxa"/>
          <w:bottom w:w="0" w:type="dxa"/>
          <w:right w:w="108" w:type="dxa"/>
        </w:tblCellMar>
      </w:tblPr>
      <w:tblGrid>
        <w:gridCol w:w="548"/>
        <w:gridCol w:w="795"/>
        <w:gridCol w:w="2190"/>
        <w:gridCol w:w="5850"/>
        <w:gridCol w:w="714"/>
        <w:gridCol w:w="660"/>
        <w:gridCol w:w="1080"/>
        <w:gridCol w:w="1260"/>
        <w:gridCol w:w="1079"/>
      </w:tblGrid>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序号</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名 称</w:t>
            </w:r>
          </w:p>
        </w:tc>
        <w:tc>
          <w:tcPr>
            <w:tcW w:w="21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hint="eastAsia" w:ascii="宋体" w:hAnsi="宋体" w:eastAsia="宋体" w:cs="宋体"/>
                <w:sz w:val="24"/>
                <w:szCs w:val="24"/>
                <w:lang w:val="zh-CN"/>
              </w:rPr>
            </w:pPr>
            <w:r>
              <w:rPr>
                <w:rFonts w:hint="eastAsia" w:ascii="宋体" w:hAnsi="宋体" w:eastAsia="宋体" w:cs="宋体"/>
                <w:sz w:val="24"/>
                <w:szCs w:val="24"/>
                <w:lang w:val="zh-CN"/>
              </w:rPr>
              <w:t>品牌、规格及型号</w:t>
            </w:r>
          </w:p>
        </w:tc>
        <w:tc>
          <w:tcPr>
            <w:tcW w:w="5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技术参数</w:t>
            </w:r>
          </w:p>
        </w:tc>
        <w:tc>
          <w:tcPr>
            <w:tcW w:w="7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单位</w:t>
            </w:r>
          </w:p>
        </w:tc>
        <w:tc>
          <w:tcPr>
            <w:tcW w:w="6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数量</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单价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hint="eastAsia" w:ascii="宋体" w:hAnsi="宋体" w:eastAsia="宋体" w:cs="宋体"/>
                <w:sz w:val="24"/>
                <w:szCs w:val="24"/>
                <w:lang w:val="zh-CN"/>
              </w:rPr>
            </w:pPr>
            <w:r>
              <w:rPr>
                <w:rFonts w:hint="eastAsia" w:ascii="宋体" w:hAnsi="宋体" w:eastAsia="宋体" w:cs="宋体"/>
                <w:sz w:val="24"/>
                <w:szCs w:val="24"/>
                <w:lang w:val="zh-CN"/>
              </w:rPr>
              <w:t>总价</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ind w:left="120" w:hanging="120"/>
              <w:jc w:val="center"/>
              <w:rPr>
                <w:rFonts w:hint="eastAsia" w:ascii="宋体" w:hAnsi="宋体" w:eastAsia="宋体" w:cs="宋体"/>
                <w:sz w:val="24"/>
                <w:szCs w:val="24"/>
                <w:lang w:val="zh-CN"/>
              </w:rPr>
            </w:pPr>
            <w:r>
              <w:rPr>
                <w:rFonts w:hint="eastAsia" w:ascii="宋体" w:hAnsi="宋体" w:eastAsia="宋体" w:cs="宋体"/>
                <w:sz w:val="24"/>
                <w:szCs w:val="24"/>
                <w:lang w:val="zh-CN"/>
              </w:rPr>
              <w:t>产地及</w:t>
            </w:r>
          </w:p>
          <w:p>
            <w:pPr>
              <w:autoSpaceDE w:val="0"/>
              <w:autoSpaceDN w:val="0"/>
              <w:adjustRightInd w:val="0"/>
              <w:spacing w:line="240" w:lineRule="auto"/>
              <w:ind w:left="120" w:hanging="120"/>
              <w:jc w:val="center"/>
              <w:rPr>
                <w:rFonts w:hint="eastAsia" w:ascii="宋体" w:hAnsi="宋体" w:eastAsia="宋体" w:cs="宋体"/>
                <w:sz w:val="24"/>
                <w:szCs w:val="24"/>
                <w:lang w:val="zh-CN"/>
              </w:rPr>
            </w:pPr>
            <w:r>
              <w:rPr>
                <w:rFonts w:hint="eastAsia" w:ascii="宋体" w:hAnsi="宋体" w:eastAsia="宋体" w:cs="宋体"/>
                <w:sz w:val="24"/>
                <w:szCs w:val="24"/>
                <w:lang w:val="zh-CN"/>
              </w:rPr>
              <w:t>厂家</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双杠</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2050*720*1350mm</w:t>
            </w:r>
          </w:p>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XLLJ024</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2050*720*1350mm</w:t>
            </w:r>
          </w:p>
          <w:p>
            <w:pPr>
              <w:jc w:val="left"/>
              <w:rPr>
                <w:rFonts w:hint="eastAsia" w:ascii="宋体" w:hAnsi="宋体" w:eastAsia="宋体" w:cs="宋体"/>
                <w:sz w:val="24"/>
                <w:szCs w:val="24"/>
              </w:rPr>
            </w:pPr>
            <w:r>
              <w:rPr>
                <w:rFonts w:hint="eastAsia" w:ascii="宋体" w:hAnsi="宋体" w:eastAsia="宋体" w:cs="宋体"/>
                <w:kern w:val="0"/>
                <w:sz w:val="24"/>
                <w:szCs w:val="24"/>
              </w:rPr>
              <w:t>两杠内侧距离为480mm，杠长20</w:t>
            </w:r>
            <w:r>
              <w:rPr>
                <w:rFonts w:hint="eastAsia" w:ascii="宋体" w:hAnsi="宋体" w:eastAsia="宋体" w:cs="宋体"/>
                <w:kern w:val="0"/>
                <w:sz w:val="24"/>
                <w:szCs w:val="24"/>
                <w:lang w:val="en-US" w:eastAsia="zh-CN"/>
              </w:rPr>
              <w:t>50</w:t>
            </w:r>
            <w:r>
              <w:rPr>
                <w:rFonts w:hint="eastAsia" w:ascii="宋体" w:hAnsi="宋体" w:eastAsia="宋体" w:cs="宋体"/>
                <w:kern w:val="0"/>
                <w:sz w:val="24"/>
                <w:szCs w:val="24"/>
              </w:rPr>
              <w:t>mm、纵向立柱中心距为1500mm，杠面高度1350mm；钢管立柱规格φ114mm×3mm，杠面规格φ48mm×3mm，且杠面端部采用球面封堵处理；立柱内侧距离大于杠面内侧距离，杠面外侧与立柱外侧水平距离100mm。采用直埋式结构；</w:t>
            </w:r>
            <w:r>
              <w:rPr>
                <w:rFonts w:hint="eastAsia" w:ascii="宋体" w:hAnsi="宋体" w:eastAsia="宋体" w:cs="宋体"/>
                <w:bCs/>
                <w:kern w:val="0"/>
                <w:sz w:val="24"/>
                <w:szCs w:val="20"/>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2850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51300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2</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单杠</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2750*115*2100mm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XLLJ058</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2750*115*2100mm</w:t>
            </w:r>
          </w:p>
          <w:p>
            <w:pPr>
              <w:jc w:val="left"/>
              <w:rPr>
                <w:rFonts w:hint="eastAsia" w:ascii="宋体" w:hAnsi="宋体" w:eastAsia="宋体" w:cs="宋体"/>
                <w:sz w:val="24"/>
                <w:szCs w:val="24"/>
              </w:rPr>
            </w:pPr>
            <w:r>
              <w:rPr>
                <w:rFonts w:hint="eastAsia" w:ascii="宋体" w:hAnsi="宋体" w:eastAsia="宋体" w:cs="宋体"/>
                <w:kern w:val="0"/>
                <w:sz w:val="24"/>
                <w:szCs w:val="24"/>
              </w:rPr>
              <w:t>每运动位使用宽度1200mm，杠面高度为2100mm，横杠外径φ28mm；钢管立柱规格φ114mm×3mm，立柱顶部</w:t>
            </w:r>
            <w:r>
              <w:rPr>
                <w:rFonts w:hint="eastAsia" w:ascii="宋体" w:hAnsi="宋体" w:eastAsia="宋体" w:cs="宋体"/>
                <w:kern w:val="0"/>
                <w:sz w:val="24"/>
                <w:szCs w:val="24"/>
                <w:lang w:eastAsia="zh-CN"/>
              </w:rPr>
              <w:t>低于</w:t>
            </w:r>
            <w:r>
              <w:rPr>
                <w:rFonts w:hint="eastAsia" w:ascii="宋体" w:hAnsi="宋体" w:eastAsia="宋体" w:cs="宋体"/>
                <w:kern w:val="0"/>
                <w:sz w:val="24"/>
                <w:szCs w:val="24"/>
              </w:rPr>
              <w:t>横杠。采用直埋式结构；</w:t>
            </w:r>
            <w:r>
              <w:rPr>
                <w:rFonts w:hint="eastAsia" w:ascii="宋体" w:hAnsi="宋体" w:eastAsia="宋体" w:cs="宋体"/>
                <w:bCs/>
                <w:kern w:val="0"/>
                <w:sz w:val="24"/>
                <w:szCs w:val="20"/>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2500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45000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3</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太空漫步机</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鑫鹤、</w:t>
            </w:r>
          </w:p>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1920*540*1205mm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XLLJ005</w:t>
            </w:r>
          </w:p>
        </w:tc>
        <w:tc>
          <w:tcPr>
            <w:tcW w:w="5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1920*540*1205mm</w:t>
            </w:r>
          </w:p>
          <w:p>
            <w:pPr>
              <w:jc w:val="left"/>
              <w:rPr>
                <w:rFonts w:hint="eastAsia" w:ascii="宋体" w:hAnsi="宋体" w:eastAsia="宋体" w:cs="宋体"/>
                <w:sz w:val="24"/>
                <w:szCs w:val="24"/>
              </w:rPr>
            </w:pPr>
            <w:r>
              <w:rPr>
                <w:rFonts w:hint="eastAsia" w:ascii="宋体" w:hAnsi="宋体" w:eastAsia="宋体" w:cs="宋体"/>
                <w:kern w:val="0"/>
                <w:sz w:val="24"/>
                <w:szCs w:val="24"/>
              </w:rPr>
              <w:t>摆杆应有可靠限位装置，且单侧摆动幅度65°，摆杆选用φ60mm×3mm或等强度规格的管材，扶手管材实际壁厚3mm；主立柱壁厚3mm，立柱直径114mm，主要承载钢管42mm×3mm；摆杆与主立柱内侧的最小距离6</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mm；踏板的主运动方向和易滑脱方向应设置高度</w:t>
            </w:r>
            <w:r>
              <w:rPr>
                <w:rFonts w:hint="eastAsia" w:ascii="宋体" w:hAnsi="宋体" w:eastAsia="宋体" w:cs="宋体"/>
                <w:kern w:val="0"/>
                <w:sz w:val="24"/>
                <w:szCs w:val="24"/>
                <w:lang w:val="en-US" w:eastAsia="zh-CN"/>
              </w:rPr>
              <w:t>30</w:t>
            </w:r>
            <w:r>
              <w:rPr>
                <w:rFonts w:hint="eastAsia" w:ascii="宋体" w:hAnsi="宋体" w:eastAsia="宋体" w:cs="宋体"/>
                <w:kern w:val="0"/>
                <w:sz w:val="24"/>
                <w:szCs w:val="24"/>
              </w:rPr>
              <w:t>mm、长度大于踏板周长2/3的防滑脱的凸台；凸台顶部棱边R弧</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2mm；脚踏部位应有防滑措施，站立使用的单脚防滑面（3×104）mm²，摩擦系数应0.5；摆动部件下缘距地面或底面最小高度应8</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mm；相邻运动的两踏板的间距应10</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mm；转轴直径25mm并辅以调质热处理；轴承座最薄处壁厚6mm，轴承选用6205承载能力的深沟球轴；踏板前后应采取防止碰撞第三者的缓冲措施；不存在衣服、头发钩挂或缠绕危险。</w:t>
            </w:r>
            <w:r>
              <w:rPr>
                <w:rFonts w:hint="eastAsia" w:ascii="宋体" w:hAnsi="宋体" w:eastAsia="宋体" w:cs="宋体"/>
                <w:bCs/>
                <w:kern w:val="0"/>
                <w:sz w:val="24"/>
                <w:szCs w:val="20"/>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3350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60300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4</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双位腹肌板</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1796*1320*557mm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XLLJ081</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外形尺寸（长×宽×高）：</w:t>
            </w:r>
            <w:r>
              <w:rPr>
                <w:rFonts w:hint="eastAsia" w:ascii="宋体" w:hAnsi="宋体" w:eastAsia="宋体" w:cs="宋体"/>
                <w:sz w:val="24"/>
                <w:szCs w:val="24"/>
                <w:lang w:val="en-US" w:eastAsia="zh-CN"/>
              </w:rPr>
              <w:t>1796*1320*557mm</w:t>
            </w:r>
          </w:p>
          <w:p>
            <w:pPr>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主立柱：φ114×3mm；主横梁φ114×3mm</w:t>
            </w:r>
          </w:p>
          <w:p>
            <w:pPr>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采用整体式板面，板面厚度2mm；</w:t>
            </w:r>
          </w:p>
          <w:p>
            <w:pPr>
              <w:jc w:val="left"/>
              <w:rPr>
                <w:rFonts w:hint="eastAsia" w:ascii="宋体" w:hAnsi="宋体" w:eastAsia="宋体" w:cs="宋体"/>
                <w:sz w:val="24"/>
                <w:szCs w:val="24"/>
              </w:rPr>
            </w:pPr>
            <w:r>
              <w:rPr>
                <w:rFonts w:hint="eastAsia" w:ascii="宋体" w:hAnsi="宋体" w:eastAsia="宋体" w:cs="宋体"/>
                <w:kern w:val="0"/>
                <w:sz w:val="24"/>
                <w:szCs w:val="24"/>
              </w:rPr>
              <w:t>有勾腿结构设计，使用起来更舒适</w:t>
            </w:r>
            <w:r>
              <w:rPr>
                <w:rFonts w:hint="eastAsia" w:ascii="宋体" w:hAnsi="宋体" w:eastAsia="宋体" w:cs="宋体"/>
                <w:bCs/>
                <w:kern w:val="0"/>
                <w:sz w:val="24"/>
                <w:szCs w:val="20"/>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3250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58500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5</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三人扭腰器</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鑫鹤、</w:t>
            </w:r>
          </w:p>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kern w:val="0"/>
                <w:sz w:val="24"/>
                <w:szCs w:val="24"/>
              </w:rPr>
              <w:t>φ</w:t>
            </w:r>
            <w:r>
              <w:rPr>
                <w:rFonts w:hint="eastAsia" w:ascii="宋体" w:hAnsi="宋体" w:eastAsia="宋体" w:cs="宋体"/>
                <w:sz w:val="24"/>
                <w:szCs w:val="24"/>
                <w:lang w:val="en-US" w:eastAsia="zh-CN"/>
              </w:rPr>
              <w:t>1700*1250mm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XLLJ044</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外形尺寸（长×宽×高）：φ</w:t>
            </w:r>
            <w:r>
              <w:rPr>
                <w:rFonts w:hint="eastAsia" w:ascii="宋体" w:hAnsi="宋体" w:eastAsia="宋体" w:cs="宋体"/>
                <w:sz w:val="24"/>
                <w:szCs w:val="24"/>
                <w:lang w:val="en-US" w:eastAsia="zh-CN"/>
              </w:rPr>
              <w:t>1700*1250mm</w:t>
            </w:r>
          </w:p>
          <w:p>
            <w:pPr>
              <w:jc w:val="left"/>
              <w:rPr>
                <w:rFonts w:hint="eastAsia" w:ascii="宋体" w:hAnsi="宋体" w:eastAsia="宋体" w:cs="宋体"/>
                <w:sz w:val="24"/>
                <w:szCs w:val="24"/>
              </w:rPr>
            </w:pPr>
            <w:r>
              <w:rPr>
                <w:rFonts w:hint="eastAsia" w:ascii="宋体" w:hAnsi="宋体" w:eastAsia="宋体" w:cs="宋体"/>
                <w:kern w:val="0"/>
                <w:sz w:val="24"/>
                <w:szCs w:val="24"/>
              </w:rPr>
              <w:t>主立柱规格φ114mm×3mm,主要承载钢管32×3mm；其他管材壁厚3mm；转动部位采用深沟球轴承+推力球轴承；深沟球轴承选用6205承载能力的深沟球轴；推力球轴承选用51105承载能力的推力球轴承； 扭腰盘扭腰盘采用4mm优质钢板冲压制作；扭腰盘上表面边缘应以R</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3mm的圆弧过渡；扭腰盘下部棱边应以R</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2mm；脚踏部位应有防滑措施，双脚站立防滑面（6×104）mm²，摩擦系数应0.5；具有符合人体生物学规律的阻尼结构。</w:t>
            </w:r>
            <w:r>
              <w:rPr>
                <w:rFonts w:hint="eastAsia" w:ascii="宋体" w:hAnsi="宋体" w:eastAsia="宋体" w:cs="宋体"/>
                <w:bCs/>
                <w:kern w:val="0"/>
                <w:sz w:val="24"/>
                <w:szCs w:val="24"/>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2650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47700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6</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肋木架</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2541*114*2300mm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XLLJ037</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2541*114*2300mm</w:t>
            </w:r>
          </w:p>
          <w:p>
            <w:pPr>
              <w:jc w:val="left"/>
              <w:rPr>
                <w:rFonts w:hint="eastAsia" w:ascii="宋体" w:hAnsi="宋体" w:eastAsia="宋体" w:cs="宋体"/>
                <w:sz w:val="24"/>
                <w:szCs w:val="24"/>
              </w:rPr>
            </w:pPr>
            <w:r>
              <w:rPr>
                <w:rFonts w:hint="eastAsia" w:ascii="宋体" w:hAnsi="宋体" w:eastAsia="宋体" w:cs="宋体"/>
                <w:kern w:val="0"/>
                <w:sz w:val="24"/>
                <w:szCs w:val="24"/>
              </w:rPr>
              <w:t>主立柱规格φ114×3mm标准管材；主要承载钢管32×3mm；横管间距为300mm；立柱顶部</w:t>
            </w:r>
            <w:r>
              <w:rPr>
                <w:rFonts w:hint="eastAsia" w:ascii="宋体" w:hAnsi="宋体" w:eastAsia="宋体" w:cs="宋体"/>
                <w:kern w:val="0"/>
                <w:sz w:val="24"/>
                <w:szCs w:val="24"/>
                <w:lang w:eastAsia="zh-CN"/>
              </w:rPr>
              <w:t>低于</w:t>
            </w:r>
            <w:r>
              <w:rPr>
                <w:rFonts w:hint="eastAsia" w:ascii="宋体" w:hAnsi="宋体" w:eastAsia="宋体" w:cs="宋体"/>
                <w:kern w:val="0"/>
                <w:sz w:val="24"/>
                <w:szCs w:val="24"/>
              </w:rPr>
              <w:t>横管。</w:t>
            </w:r>
            <w:r>
              <w:rPr>
                <w:rFonts w:hint="eastAsia" w:ascii="宋体" w:hAnsi="宋体" w:eastAsia="宋体" w:cs="宋体"/>
                <w:bCs/>
                <w:kern w:val="0"/>
                <w:sz w:val="24"/>
                <w:szCs w:val="24"/>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3200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57600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7</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伸腰展背器</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鑫鹤、</w:t>
            </w:r>
          </w:p>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1215*590*980mm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XLLJ101</w:t>
            </w:r>
          </w:p>
        </w:tc>
        <w:tc>
          <w:tcPr>
            <w:tcW w:w="5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1215*590*980mm</w:t>
            </w:r>
          </w:p>
          <w:p>
            <w:pPr>
              <w:jc w:val="left"/>
              <w:rPr>
                <w:rFonts w:hint="eastAsia" w:ascii="宋体" w:hAnsi="宋体" w:eastAsia="宋体" w:cs="宋体"/>
                <w:sz w:val="24"/>
                <w:szCs w:val="24"/>
              </w:rPr>
            </w:pPr>
            <w:r>
              <w:rPr>
                <w:rFonts w:hint="eastAsia" w:ascii="宋体" w:hAnsi="宋体" w:eastAsia="宋体" w:cs="宋体"/>
                <w:kern w:val="0"/>
                <w:sz w:val="24"/>
                <w:szCs w:val="24"/>
              </w:rPr>
              <w:t>立柱规格：φ114x3mm，其他管材壁厚3mm；采用整体式板面，板面厚度为2mm；采用直埋结构；闭合开口、不完全闭合开口符合GB 19272-2011的要求；</w:t>
            </w:r>
            <w:r>
              <w:rPr>
                <w:rFonts w:hint="eastAsia" w:ascii="宋体" w:hAnsi="宋体" w:eastAsia="宋体" w:cs="宋体"/>
                <w:bCs/>
                <w:kern w:val="0"/>
                <w:sz w:val="24"/>
                <w:szCs w:val="24"/>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2680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48240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8</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腰背按摩拉伸器</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1038*704*1918mm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XLLJ105</w:t>
            </w:r>
          </w:p>
        </w:tc>
        <w:tc>
          <w:tcPr>
            <w:tcW w:w="5850"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rPr>
              <w:t>1.规格：</w:t>
            </w:r>
            <w:r>
              <w:rPr>
                <w:rFonts w:hint="eastAsia" w:ascii="宋体" w:hAnsi="宋体" w:eastAsia="宋体" w:cs="宋体"/>
                <w:sz w:val="24"/>
                <w:szCs w:val="24"/>
                <w:lang w:val="en-US" w:eastAsia="zh-CN"/>
              </w:rPr>
              <w:t>1038*704*1918mm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2.主立柱：φ114×3mm；主横梁：φ42×3mm，□60×40×3；</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3.背部拉伸背板为整体板面冲压而成，带凸点，板面厚度2mm。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4.腰按摩处扶手管直径为φ32mm防滑花纹管，把手端部采用φ51焊接帽。</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5.按摩棒直径75mm，长度</w:t>
            </w:r>
            <w:r>
              <w:rPr>
                <w:rFonts w:hint="eastAsia" w:ascii="宋体" w:hAnsi="宋体" w:eastAsia="宋体" w:cs="宋体"/>
                <w:kern w:val="0"/>
                <w:sz w:val="24"/>
                <w:szCs w:val="24"/>
                <w:lang w:val="en-US" w:eastAsia="zh-CN"/>
              </w:rPr>
              <w:t>450</w:t>
            </w:r>
            <w:r>
              <w:rPr>
                <w:rFonts w:hint="eastAsia" w:ascii="宋体" w:hAnsi="宋体" w:eastAsia="宋体" w:cs="宋体"/>
                <w:kern w:val="0"/>
                <w:sz w:val="24"/>
                <w:szCs w:val="24"/>
              </w:rPr>
              <w:t>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6.器械支承表面的棱角和尖角半径R</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7.不存在衣服、头发钩挂或缠绕危险；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8.立柱采用外扣式钢制封头，可防止雨水流入；</w:t>
            </w:r>
            <w:r>
              <w:rPr>
                <w:rFonts w:hint="eastAsia" w:ascii="宋体" w:hAnsi="宋体" w:eastAsia="宋体" w:cs="宋体"/>
                <w:kern w:val="0"/>
                <w:sz w:val="24"/>
                <w:szCs w:val="24"/>
              </w:rPr>
              <w:br w:type="textWrapping"/>
            </w:r>
            <w:r>
              <w:rPr>
                <w:rFonts w:hint="eastAsia" w:ascii="宋体" w:hAnsi="宋体" w:eastAsia="宋体" w:cs="宋体"/>
                <w:kern w:val="0"/>
                <w:sz w:val="24"/>
                <w:szCs w:val="24"/>
              </w:rPr>
              <w:t>9.安装方式：直埋式；</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10.器材符合GB19272-2011《室外健身器材的通用 安全要求》中的规定要求，且获得NSCC认证。</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2880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51840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9</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直埋篮球架</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2635*1800*3940mm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XLL016</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2635*1800*3940mm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1、主架、连接杆（板）均采用优质高强度钢材制作，并采用合理的连接结构，确保使用安全及良好的耐久性。</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2、其中主架采用∮165*4mm定制的优质圆钢管弯制而成。</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3、篮板采用SMC片状模塑料，由不饱和树脂材料、引发剂、增稠剂、地收缩添加剂、脱模剂、着色剂、胶联剂组成，整体高温一次成型.符合1800*1050mm国家标准，不变形，不开裂，不损坏。篮板周边四角圆弧R10（毫米），面板厚度5mm，翻边宽度50mm，翻边厚度7.5mm，背面采用“井”字形+放射形双加强筋结构（放射形筋为中间固定部分向四周辐射），加强筋厚度4mm，加强筋高度尺寸45mm，且加强筋最大网格尺寸250×210mm。篮架支点与篮板结合处设有570×150×5mm的优质钢板加固。篮板与拉杆连接处所用螺母均作预埋处理，强度8.8级，增强稳定性。篮板板面平整光滑，且防水、防锈、防晒、不变形、不变色、不剥离。</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4、篮圈采用优质弹簧钢制作，满足高强度冲击无永久变形，配备尼仑篮网。</w:t>
            </w:r>
          </w:p>
          <w:p>
            <w:pPr>
              <w:jc w:val="left"/>
              <w:rPr>
                <w:rFonts w:hint="eastAsia" w:ascii="宋体" w:hAnsi="宋体" w:eastAsia="宋体" w:cs="宋体"/>
                <w:sz w:val="24"/>
                <w:szCs w:val="24"/>
              </w:rPr>
            </w:pPr>
            <w:r>
              <w:rPr>
                <w:rFonts w:hint="eastAsia" w:ascii="宋体" w:hAnsi="宋体" w:eastAsia="宋体" w:cs="宋体"/>
                <w:kern w:val="0"/>
                <w:sz w:val="24"/>
                <w:szCs w:val="24"/>
              </w:rPr>
              <w:t>5、连接部位采用特制钢夹环连接，螺钉、螺母为不锈钢件，具有防盗功能。</w:t>
            </w:r>
            <w:r>
              <w:rPr>
                <w:rFonts w:hint="eastAsia" w:ascii="宋体" w:hAnsi="宋体" w:eastAsia="宋体" w:cs="宋体"/>
                <w:bCs/>
                <w:kern w:val="0"/>
                <w:sz w:val="24"/>
                <w:szCs w:val="24"/>
              </w:rPr>
              <w:t>产品符合GB19272-2011《室外健身器材的安全通用要求》，执行标准且具有NSCC国体认证证书</w:t>
            </w:r>
            <w:r>
              <w:rPr>
                <w:rFonts w:hint="eastAsia" w:ascii="宋体" w:hAnsi="宋体" w:eastAsia="宋体" w:cs="宋体"/>
                <w:kern w:val="0"/>
                <w:sz w:val="24"/>
                <w:szCs w:val="24"/>
              </w:rPr>
              <w:t xml:space="preserve"> </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2700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48600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10</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室外乒乓球台</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2740*1525*912mm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XLPP004</w:t>
            </w:r>
          </w:p>
        </w:tc>
        <w:tc>
          <w:tcPr>
            <w:tcW w:w="5850"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外形尺寸（长×宽×高）：</w:t>
            </w:r>
            <w:r>
              <w:rPr>
                <w:rFonts w:hint="eastAsia" w:ascii="宋体" w:hAnsi="宋体" w:eastAsia="宋体" w:cs="宋体"/>
                <w:sz w:val="24"/>
                <w:szCs w:val="24"/>
                <w:lang w:val="en-US" w:eastAsia="zh-CN"/>
              </w:rPr>
              <w:t>2740*1525*912mm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1.主要承载立柱尺寸φ60mm×3mm；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2.乒乓球台面符合GB 19272-2011中5.12.1.4的要求：台面尺寸：2740×1525×91</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（mm）；台高：</w:t>
            </w:r>
            <w:r>
              <w:rPr>
                <w:rFonts w:hint="eastAsia" w:ascii="宋体" w:hAnsi="宋体" w:eastAsia="宋体" w:cs="宋体"/>
                <w:kern w:val="0"/>
                <w:sz w:val="24"/>
                <w:szCs w:val="24"/>
                <w:lang w:val="en-US" w:eastAsia="zh-CN"/>
              </w:rPr>
              <w:t>912</w:t>
            </w:r>
            <w:r>
              <w:rPr>
                <w:rFonts w:hint="eastAsia" w:ascii="宋体" w:hAnsi="宋体" w:eastAsia="宋体" w:cs="宋体"/>
                <w:kern w:val="0"/>
                <w:sz w:val="24"/>
                <w:szCs w:val="24"/>
              </w:rPr>
              <w:t>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
                <w:bCs/>
                <w:kern w:val="0"/>
                <w:sz w:val="24"/>
                <w:szCs w:val="24"/>
              </w:rPr>
              <w:t>台面支撑框规格3</w:t>
            </w:r>
            <w:r>
              <w:rPr>
                <w:rFonts w:hint="eastAsia" w:ascii="宋体" w:hAnsi="宋体" w:eastAsia="宋体" w:cs="宋体"/>
                <w:b/>
                <w:bCs/>
                <w:kern w:val="0"/>
                <w:sz w:val="24"/>
                <w:szCs w:val="24"/>
                <w:lang w:val="en-US" w:eastAsia="zh-CN"/>
              </w:rPr>
              <w:t>2</w:t>
            </w:r>
            <w:r>
              <w:rPr>
                <w:rFonts w:hint="eastAsia" w:ascii="宋体" w:hAnsi="宋体" w:eastAsia="宋体" w:cs="宋体"/>
                <w:b/>
                <w:bCs/>
                <w:kern w:val="0"/>
                <w:sz w:val="24"/>
                <w:szCs w:val="24"/>
              </w:rPr>
              <w:t>mm×</w:t>
            </w:r>
            <w:r>
              <w:rPr>
                <w:rFonts w:hint="eastAsia" w:ascii="宋体" w:hAnsi="宋体" w:eastAsia="宋体" w:cs="宋体"/>
                <w:b/>
                <w:bCs/>
                <w:kern w:val="0"/>
                <w:sz w:val="24"/>
                <w:szCs w:val="24"/>
                <w:lang w:val="en-US" w:eastAsia="zh-CN"/>
              </w:rPr>
              <w:t>3</w:t>
            </w:r>
            <w:r>
              <w:rPr>
                <w:rFonts w:hint="eastAsia" w:ascii="宋体" w:hAnsi="宋体" w:eastAsia="宋体" w:cs="宋体"/>
                <w:b/>
                <w:bCs/>
                <w:kern w:val="0"/>
                <w:sz w:val="24"/>
                <w:szCs w:val="24"/>
              </w:rPr>
              <w:t>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台面采用SMC片状模塑料，整体高温模压一次成型。台面面板厚度4.5 mm，翻边宽度50mm，翻边厚度7mm。面板背面必须采用“井”字形加强筋并在内部预埋螺丝，加强筋厚度4mm，“井”字形加强筋呈小长方形均匀排列，每个小长方形尺寸160 mm×140mm。球台与支撑框架安装位置应符合GB9272-2011中图22的尺寸要求，两块台板与主架的连接均采用四角连接；</w:t>
            </w:r>
          </w:p>
          <w:p>
            <w:pPr>
              <w:jc w:val="left"/>
              <w:rPr>
                <w:rFonts w:hint="eastAsia" w:ascii="宋体" w:hAnsi="宋体" w:eastAsia="宋体" w:cs="宋体"/>
                <w:sz w:val="24"/>
                <w:szCs w:val="24"/>
              </w:rPr>
            </w:pPr>
            <w:r>
              <w:rPr>
                <w:rFonts w:hint="eastAsia" w:ascii="宋体" w:hAnsi="宋体" w:eastAsia="宋体" w:cs="宋体"/>
                <w:kern w:val="0"/>
                <w:sz w:val="24"/>
                <w:szCs w:val="24"/>
              </w:rPr>
              <w:t>采用预埋式结构，埋入深度400mm，地埋尺寸400mm×400mm×500mm。</w:t>
            </w:r>
            <w:r>
              <w:rPr>
                <w:rFonts w:hint="eastAsia" w:ascii="宋体" w:hAnsi="宋体" w:eastAsia="宋体" w:cs="宋体"/>
                <w:bCs/>
                <w:kern w:val="0"/>
                <w:sz w:val="24"/>
                <w:szCs w:val="24"/>
              </w:rPr>
              <w:t>产品符合GB19272-2011《室外健身器材的安全通用要求》，执行标准且具有NSCC国体认证证书</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2117.77</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38119.86</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c>
          <w:tcPr>
            <w:tcW w:w="548"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11</w:t>
            </w:r>
          </w:p>
        </w:tc>
        <w:tc>
          <w:tcPr>
            <w:tcW w:w="795"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室内乒乓球台</w:t>
            </w:r>
          </w:p>
        </w:tc>
        <w:tc>
          <w:tcPr>
            <w:tcW w:w="219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鑫鹤、</w:t>
            </w:r>
            <w:r>
              <w:rPr>
                <w:rFonts w:hint="eastAsia" w:ascii="宋体" w:hAnsi="宋体" w:eastAsia="宋体" w:cs="宋体"/>
                <w:sz w:val="24"/>
                <w:szCs w:val="24"/>
                <w:lang w:val="en-US" w:eastAsia="zh-CN"/>
              </w:rPr>
              <w:t>2740*1525*912mm</w:t>
            </w:r>
          </w:p>
          <w:p>
            <w:pPr>
              <w:autoSpaceDE w:val="0"/>
              <w:autoSpaceDN w:val="0"/>
              <w:adjustRightInd w:val="0"/>
              <w:spacing w:line="480" w:lineRule="exact"/>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XLPP001</w:t>
            </w:r>
          </w:p>
        </w:tc>
        <w:tc>
          <w:tcPr>
            <w:tcW w:w="5850"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rPr>
              <w:t>1.规格：</w:t>
            </w:r>
            <w:r>
              <w:rPr>
                <w:rFonts w:hint="eastAsia" w:ascii="宋体" w:hAnsi="宋体" w:eastAsia="宋体" w:cs="宋体"/>
                <w:sz w:val="24"/>
                <w:szCs w:val="24"/>
                <w:lang w:val="en-US" w:eastAsia="zh-CN"/>
              </w:rPr>
              <w:t>2740*1525*912mm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主要承载立柱为40×40×1.5mm；主要承载横梁为40×20×1.5mm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2.台面厚度18mm；半张台面对角线之差为1mm；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3.端边线宽度为20mm，中线宽度为3mm；中线与网间距离为45mm；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4.球台脚架体外侧距离球台端线外侧220mm；球台脚架体外侧距离球台边线外侧215mm；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5.球台端线位置下面的脚架体横撑离地高度为355mm，球台边线位置下面的脚架体横撑离地高度为455mm；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6.脚轮直径为75mm，脚轮宽度为20mm；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7.球网组件连接区的自由空间宽度为100mm，深度10</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mm；</w:t>
            </w:r>
            <w:r>
              <w:rPr>
                <w:rFonts w:hint="eastAsia" w:ascii="宋体" w:hAnsi="宋体" w:eastAsia="宋体" w:cs="宋体"/>
                <w:kern w:val="0"/>
                <w:sz w:val="24"/>
                <w:szCs w:val="24"/>
              </w:rPr>
              <w:br w:type="textWrapping"/>
            </w:r>
            <w:r>
              <w:rPr>
                <w:rFonts w:hint="eastAsia" w:ascii="宋体" w:hAnsi="宋体" w:eastAsia="宋体" w:cs="宋体"/>
                <w:kern w:val="0"/>
                <w:sz w:val="24"/>
                <w:szCs w:val="24"/>
              </w:rPr>
              <w:t>8.器材符合QB/T2700-2005《中华人民共和国轻工行业标准 乒乓球台》中的规定要求，且获得NSCC认证。</w:t>
            </w:r>
          </w:p>
        </w:tc>
        <w:tc>
          <w:tcPr>
            <w:tcW w:w="714"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台</w:t>
            </w:r>
          </w:p>
        </w:tc>
        <w:tc>
          <w:tcPr>
            <w:tcW w:w="66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18</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2750</w:t>
            </w:r>
          </w:p>
        </w:tc>
        <w:tc>
          <w:tcPr>
            <w:tcW w:w="126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i w:val="0"/>
                <w:color w:val="000000"/>
                <w:kern w:val="0"/>
                <w:sz w:val="24"/>
                <w:szCs w:val="24"/>
                <w:u w:val="none"/>
                <w:lang w:val="en-US" w:eastAsia="zh-CN" w:bidi="ar"/>
              </w:rPr>
              <w:t>49500</w:t>
            </w:r>
          </w:p>
        </w:tc>
        <w:tc>
          <w:tcPr>
            <w:tcW w:w="10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lang w:eastAsia="zh-CN"/>
              </w:rPr>
              <w:t>河北盐山县、沧州鑫龙教学设备制造股份有限公司</w:t>
            </w:r>
          </w:p>
        </w:tc>
      </w:tr>
      <w:tr>
        <w:tblPrEx>
          <w:tblLayout w:type="fixed"/>
          <w:tblCellMar>
            <w:top w:w="0" w:type="dxa"/>
            <w:left w:w="108" w:type="dxa"/>
            <w:bottom w:w="0" w:type="dxa"/>
            <w:right w:w="108" w:type="dxa"/>
          </w:tblCellMar>
        </w:tblPrEx>
        <w:trPr>
          <w:trHeight w:val="645" w:hRule="atLeast"/>
        </w:trPr>
        <w:tc>
          <w:tcPr>
            <w:tcW w:w="1343" w:type="dxa"/>
            <w:gridSpan w:val="2"/>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center"/>
              <w:rPr>
                <w:rFonts w:hint="eastAsia" w:ascii="宋体" w:hAnsi="宋体" w:eastAsia="宋体" w:cs="宋体"/>
                <w:sz w:val="24"/>
                <w:szCs w:val="24"/>
              </w:rPr>
            </w:pPr>
            <w:r>
              <w:rPr>
                <w:rFonts w:hint="eastAsia" w:ascii="宋体" w:hAnsi="宋体" w:eastAsia="宋体" w:cs="宋体"/>
                <w:sz w:val="24"/>
                <w:szCs w:val="24"/>
                <w:lang w:val="zh-CN"/>
              </w:rPr>
              <w:t>合</w:t>
            </w:r>
            <w:r>
              <w:rPr>
                <w:rFonts w:hint="eastAsia" w:ascii="宋体" w:hAnsi="宋体" w:eastAsia="宋体" w:cs="宋体"/>
                <w:sz w:val="24"/>
                <w:szCs w:val="24"/>
              </w:rPr>
              <w:t xml:space="preserve">  </w:t>
            </w:r>
            <w:r>
              <w:rPr>
                <w:rFonts w:hint="eastAsia" w:ascii="宋体" w:hAnsi="宋体" w:eastAsia="宋体" w:cs="宋体"/>
                <w:sz w:val="24"/>
                <w:szCs w:val="24"/>
                <w:lang w:val="zh-CN"/>
              </w:rPr>
              <w:t>计</w:t>
            </w:r>
          </w:p>
        </w:tc>
        <w:tc>
          <w:tcPr>
            <w:tcW w:w="12833"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zh-CN"/>
              </w:rPr>
              <w:t>大写：</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 565380 \* CHINESENUM4 \* MERGEFORMAT </w:instrText>
            </w:r>
            <w:r>
              <w:rPr>
                <w:rFonts w:hint="eastAsia" w:ascii="宋体" w:hAnsi="宋体" w:eastAsia="宋体" w:cs="宋体"/>
                <w:sz w:val="24"/>
                <w:szCs w:val="24"/>
                <w:lang w:val="en-US" w:eastAsia="zh-CN"/>
              </w:rPr>
              <w:fldChar w:fldCharType="separate"/>
            </w:r>
            <w:r>
              <w:rPr>
                <w:rFonts w:hint="eastAsia" w:eastAsia="宋体"/>
                <w:sz w:val="24"/>
                <w:szCs w:val="24"/>
                <w:lang w:eastAsia="zh-CN"/>
              </w:rPr>
              <w:t>伍拾伍万陆仟柒佰元整</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rPr>
              <w:t xml:space="preserve">           </w:t>
            </w:r>
            <w:r>
              <w:rPr>
                <w:rFonts w:hint="eastAsia" w:ascii="宋体" w:hAnsi="宋体" w:eastAsia="宋体" w:cs="宋体"/>
                <w:sz w:val="24"/>
                <w:szCs w:val="24"/>
                <w:lang w:val="zh-CN"/>
              </w:rPr>
              <w:t>小写：</w:t>
            </w:r>
            <w:r>
              <w:rPr>
                <w:rFonts w:hint="eastAsia" w:ascii="宋体" w:hAnsi="宋体" w:eastAsia="宋体" w:cs="宋体"/>
                <w:sz w:val="24"/>
                <w:szCs w:val="24"/>
                <w:lang w:val="en-US" w:eastAsia="zh-CN"/>
              </w:rPr>
              <w:t>556700.00元</w:t>
            </w:r>
          </w:p>
        </w:tc>
      </w:tr>
    </w:tbl>
    <w:p>
      <w:pPr>
        <w:autoSpaceDE w:val="0"/>
        <w:autoSpaceDN w:val="0"/>
        <w:adjustRightInd w:val="0"/>
        <w:spacing w:line="360" w:lineRule="auto"/>
        <w:rPr>
          <w:rFonts w:hint="eastAsia" w:ascii="宋体" w:hAnsi="宋体" w:eastAsia="宋体" w:cs="宋体"/>
          <w:sz w:val="24"/>
          <w:szCs w:val="24"/>
          <w:lang w:val="zh-CN"/>
        </w:rPr>
      </w:pPr>
    </w:p>
    <w:p>
      <w:pPr>
        <w:autoSpaceDE w:val="0"/>
        <w:autoSpaceDN w:val="0"/>
        <w:adjustRightInd w:val="0"/>
        <w:spacing w:line="360" w:lineRule="auto"/>
        <w:rPr>
          <w:rFonts w:hint="eastAsia" w:asciiTheme="majorEastAsia" w:hAnsiTheme="majorEastAsia" w:eastAsiaTheme="majorEastAsia" w:cstheme="majorEastAsia"/>
          <w:sz w:val="24"/>
          <w:szCs w:val="24"/>
          <w:lang w:val="zh-CN"/>
        </w:rPr>
      </w:pPr>
      <w:r>
        <w:rPr>
          <w:rFonts w:hint="eastAsia" w:asciiTheme="majorEastAsia" w:hAnsiTheme="majorEastAsia" w:eastAsiaTheme="majorEastAsia" w:cstheme="majorEastAsia"/>
          <w:sz w:val="24"/>
          <w:szCs w:val="24"/>
          <w:lang w:val="zh-CN"/>
        </w:rPr>
        <w:t>供应商名称（公章）：</w:t>
      </w:r>
      <w:r>
        <w:rPr>
          <w:rFonts w:hint="eastAsia" w:ascii="宋体" w:hAnsi="宋体" w:eastAsia="宋体" w:cs="宋体"/>
          <w:sz w:val="24"/>
          <w:szCs w:val="24"/>
          <w:lang w:eastAsia="zh-CN"/>
        </w:rPr>
        <w:t>沧州鑫龙教学设备制造股份有限公司</w:t>
      </w:r>
    </w:p>
    <w:p>
      <w:pPr>
        <w:autoSpaceDE w:val="0"/>
        <w:autoSpaceDN w:val="0"/>
        <w:adjustRightInd w:val="0"/>
        <w:spacing w:line="360" w:lineRule="auto"/>
        <w:rPr>
          <w:rFonts w:hint="eastAsia" w:asciiTheme="majorEastAsia" w:hAnsiTheme="majorEastAsia" w:eastAsiaTheme="majorEastAsia" w:cstheme="majorEastAsia"/>
          <w:sz w:val="24"/>
          <w:szCs w:val="24"/>
          <w:lang w:val="zh-CN"/>
        </w:rPr>
      </w:pPr>
      <w:r>
        <w:rPr>
          <w:rFonts w:hint="eastAsia" w:asciiTheme="majorEastAsia" w:hAnsiTheme="majorEastAsia" w:eastAsiaTheme="majorEastAsia" w:cstheme="majorEastAsia"/>
          <w:sz w:val="24"/>
          <w:szCs w:val="24"/>
          <w:lang w:val="zh-CN"/>
        </w:rPr>
        <w:t>投标人法定代表人 （或授权代表）签字：</w:t>
      </w:r>
    </w:p>
    <w:p>
      <w:pPr>
        <w:sectPr>
          <w:pgSz w:w="16838" w:h="11906" w:orient="landscape"/>
          <w:pgMar w:top="1803" w:right="1440" w:bottom="1803" w:left="1440" w:header="851" w:footer="992" w:gutter="0"/>
          <w:paperSrc/>
          <w:cols w:space="0" w:num="1"/>
          <w:rtlGutter w:val="0"/>
          <w:docGrid w:type="lines" w:linePitch="319" w:charSpace="0"/>
        </w:sectPr>
      </w:pPr>
    </w:p>
    <w:p>
      <w:pPr>
        <w:pStyle w:val="2"/>
        <w:rPr>
          <w:rFonts w:hint="eastAsia" w:ascii="宋体" w:hAnsi="宋体" w:eastAsia="宋体" w:cs="宋体"/>
          <w:lang w:val="zh-CN"/>
        </w:rPr>
      </w:pPr>
      <w:r>
        <w:rPr>
          <w:rFonts w:hint="eastAsia" w:ascii="宋体" w:hAnsi="宋体" w:eastAsia="宋体" w:cs="宋体"/>
          <w:lang w:val="zh-CN"/>
        </w:rPr>
        <w:t>售后服务承诺</w:t>
      </w:r>
    </w:p>
    <w:p>
      <w:pPr>
        <w:pStyle w:val="3"/>
        <w:rPr>
          <w:rFonts w:hint="eastAsia" w:ascii="宋体" w:hAnsi="宋体" w:eastAsia="宋体" w:cs="宋体"/>
        </w:rPr>
      </w:pPr>
      <w:bookmarkStart w:id="3" w:name="_GoBack"/>
      <w:bookmarkEnd w:id="3"/>
      <w:bookmarkStart w:id="1" w:name="_Toc12966"/>
      <w:bookmarkStart w:id="2" w:name="_Toc18779"/>
      <w:r>
        <w:rPr>
          <w:rFonts w:hint="eastAsia" w:ascii="宋体" w:hAnsi="宋体" w:eastAsia="宋体" w:cs="宋体"/>
        </w:rPr>
        <w:t>售后服务的内容、形式</w:t>
      </w:r>
      <w:bookmarkEnd w:id="1"/>
      <w:bookmarkEnd w:id="2"/>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b w:val="0"/>
          <w:bCs w:val="0"/>
          <w:color w:val="000000"/>
          <w:sz w:val="28"/>
          <w:szCs w:val="28"/>
          <w:highlight w:val="none"/>
        </w:rPr>
      </w:pPr>
      <w:r>
        <w:rPr>
          <w:rFonts w:hint="eastAsia" w:ascii="宋体" w:hAnsi="宋体" w:eastAsia="宋体" w:cs="宋体"/>
          <w:color w:val="000000"/>
          <w:sz w:val="28"/>
          <w:szCs w:val="28"/>
          <w:highlight w:val="none"/>
        </w:rPr>
        <w:t>经过数年的发展，沧州鑫龙教学设备制造股份有限公司的市场网络日益壮大，目前在每个省级单位都设有办事处及服务网点，作为当地售后服务的网点的管理机构。沧州鑫龙教学设备制造股份有限公司的经营服务网点30多个，遍步全国二十多个省市，所有产品的质量按国家相关标准执行，对最终用户现场进行详细勘察，免费送货，免费安装，实施规范的“交钥匙工程”。器材交付使用时，提供备品备件明细表，各项手续齐全，使用前用户管理人员能自行验收和科学使用。</w:t>
      </w:r>
      <w:r>
        <w:rPr>
          <w:rFonts w:hint="eastAsia" w:ascii="宋体" w:hAnsi="宋体" w:eastAsia="宋体" w:cs="宋体"/>
          <w:b w:val="0"/>
          <w:bCs w:val="0"/>
          <w:color w:val="000000"/>
          <w:sz w:val="28"/>
          <w:szCs w:val="28"/>
          <w:highlight w:val="none"/>
          <w:lang w:eastAsia="zh-CN"/>
        </w:rPr>
        <w:t>我公司保证针对此次项目所提供的产品必须全部为近期</w:t>
      </w:r>
      <w:r>
        <w:rPr>
          <w:rFonts w:hint="eastAsia" w:ascii="宋体" w:hAnsi="宋体" w:eastAsia="宋体" w:cs="宋体"/>
          <w:b w:val="0"/>
          <w:bCs w:val="0"/>
          <w:color w:val="000000"/>
          <w:sz w:val="28"/>
          <w:szCs w:val="28"/>
          <w:highlight w:val="none"/>
          <w:lang w:val="en-US" w:eastAsia="zh-CN"/>
        </w:rPr>
        <w:t>生产的全新产品。</w:t>
      </w:r>
    </w:p>
    <w:p>
      <w:pPr>
        <w:pStyle w:val="8"/>
        <w:keepLines/>
        <w:pageBreakBefore w:val="0"/>
        <w:widowControl/>
        <w:tabs>
          <w:tab w:val="left" w:pos="425"/>
        </w:tabs>
        <w:kinsoku/>
        <w:wordWrap/>
        <w:overflowPunct/>
        <w:topLinePunct w:val="0"/>
        <w:bidi w:val="0"/>
        <w:adjustRightInd/>
        <w:snapToGrid w:val="0"/>
        <w:spacing w:line="500" w:lineRule="exact"/>
        <w:ind w:firstLine="562" w:firstLineChars="200"/>
        <w:textAlignment w:val="auto"/>
        <w:outlineLvl w:val="9"/>
        <w:rPr>
          <w:rFonts w:hint="eastAsia" w:ascii="宋体" w:hAnsi="宋体" w:eastAsia="宋体" w:cs="宋体"/>
          <w:b/>
          <w:color w:val="000000"/>
          <w:sz w:val="28"/>
          <w:szCs w:val="28"/>
          <w:highlight w:val="none"/>
        </w:rPr>
      </w:pPr>
      <w:r>
        <w:rPr>
          <w:rFonts w:hint="eastAsia" w:ascii="宋体" w:hAnsi="宋体" w:eastAsia="宋体" w:cs="宋体"/>
          <w:b/>
          <w:bCs/>
          <w:color w:val="000000"/>
          <w:sz w:val="28"/>
          <w:szCs w:val="28"/>
          <w:highlight w:val="none"/>
        </w:rPr>
        <w:t>保修服务计划</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w:t>
      </w:r>
      <w:r>
        <w:rPr>
          <w:rFonts w:hint="eastAsia" w:ascii="宋体" w:hAnsi="宋体" w:eastAsia="宋体" w:cs="宋体"/>
          <w:b/>
          <w:color w:val="000000"/>
          <w:sz w:val="28"/>
          <w:szCs w:val="28"/>
          <w:highlight w:val="none"/>
        </w:rPr>
        <w:t>沧州鑫龙教学设备制造股份有限公司</w:t>
      </w:r>
      <w:r>
        <w:rPr>
          <w:rFonts w:hint="eastAsia" w:ascii="宋体" w:hAnsi="宋体" w:eastAsia="宋体" w:cs="宋体"/>
          <w:b/>
          <w:color w:val="000000"/>
          <w:sz w:val="28"/>
          <w:szCs w:val="28"/>
          <w:highlight w:val="none"/>
          <w:lang w:eastAsia="zh-CN"/>
        </w:rPr>
        <w:t>针</w:t>
      </w:r>
      <w:r>
        <w:rPr>
          <w:rFonts w:hint="eastAsia" w:ascii="宋体" w:hAnsi="宋体" w:eastAsia="宋体" w:cs="宋体"/>
          <w:b/>
          <w:color w:val="000000"/>
          <w:sz w:val="28"/>
          <w:szCs w:val="28"/>
          <w:highlight w:val="none"/>
        </w:rPr>
        <w:t>对本次投标产品提供</w:t>
      </w:r>
      <w:r>
        <w:rPr>
          <w:rFonts w:hint="eastAsia" w:ascii="宋体" w:hAnsi="宋体" w:eastAsia="宋体" w:cs="宋体"/>
          <w:b/>
          <w:color w:val="000000"/>
          <w:sz w:val="28"/>
          <w:szCs w:val="28"/>
          <w:highlight w:val="none"/>
          <w:u w:val="single"/>
          <w:lang w:eastAsia="zh-CN"/>
        </w:rPr>
        <w:t>八（</w:t>
      </w:r>
      <w:r>
        <w:rPr>
          <w:rFonts w:hint="eastAsia" w:ascii="宋体" w:hAnsi="宋体" w:eastAsia="宋体" w:cs="宋体"/>
          <w:b/>
          <w:color w:val="000000"/>
          <w:sz w:val="28"/>
          <w:szCs w:val="28"/>
          <w:highlight w:val="none"/>
          <w:u w:val="single"/>
          <w:lang w:val="en-US" w:eastAsia="zh-CN"/>
        </w:rPr>
        <w:t>8</w:t>
      </w:r>
      <w:r>
        <w:rPr>
          <w:rFonts w:hint="eastAsia" w:ascii="宋体" w:hAnsi="宋体" w:eastAsia="宋体" w:cs="宋体"/>
          <w:b/>
          <w:color w:val="000000"/>
          <w:sz w:val="28"/>
          <w:szCs w:val="28"/>
          <w:highlight w:val="none"/>
          <w:u w:val="single"/>
          <w:lang w:eastAsia="zh-CN"/>
        </w:rPr>
        <w:t>）</w:t>
      </w:r>
      <w:r>
        <w:rPr>
          <w:rFonts w:hint="eastAsia" w:ascii="宋体" w:hAnsi="宋体" w:eastAsia="宋体" w:cs="宋体"/>
          <w:b/>
          <w:color w:val="000000"/>
          <w:sz w:val="28"/>
          <w:szCs w:val="28"/>
          <w:highlight w:val="none"/>
          <w:u w:val="single"/>
        </w:rPr>
        <w:t>年</w:t>
      </w:r>
      <w:r>
        <w:rPr>
          <w:rFonts w:hint="eastAsia" w:ascii="宋体" w:hAnsi="宋体" w:eastAsia="宋体" w:cs="宋体"/>
          <w:b/>
          <w:color w:val="000000" w:themeColor="text1"/>
          <w:sz w:val="28"/>
          <w:szCs w:val="28"/>
          <w:highlight w:val="none"/>
          <w14:textFill>
            <w14:solidFill>
              <w14:schemeClr w14:val="tx1"/>
            </w14:solidFill>
          </w14:textFill>
        </w:rPr>
        <w:t>质量保证</w:t>
      </w:r>
      <w:r>
        <w:rPr>
          <w:rFonts w:hint="eastAsia" w:ascii="宋体" w:hAnsi="宋体" w:eastAsia="宋体" w:cs="宋体"/>
          <w:b/>
          <w:color w:val="000000" w:themeColor="text1"/>
          <w:sz w:val="28"/>
          <w:szCs w:val="28"/>
          <w:highlight w:val="none"/>
          <w:lang w:eastAsia="zh-CN"/>
          <w14:textFill>
            <w14:solidFill>
              <w14:schemeClr w14:val="tx1"/>
            </w14:solidFill>
          </w14:textFill>
        </w:rPr>
        <w:t>，免费包修期八年</w:t>
      </w:r>
      <w:r>
        <w:rPr>
          <w:rFonts w:hint="eastAsia" w:ascii="宋体" w:hAnsi="宋体" w:eastAsia="宋体" w:cs="宋体"/>
          <w:b/>
          <w:bCs/>
          <w:color w:val="000000" w:themeColor="text1"/>
          <w:sz w:val="28"/>
          <w:szCs w:val="28"/>
          <w14:textFill>
            <w14:solidFill>
              <w14:schemeClr w14:val="tx1"/>
            </w14:solidFill>
          </w14:textFill>
        </w:rPr>
        <w:t>在免费包修期内，同一质量问题连续两次维修仍无法正常使用，予以更换同品牌、同型号的全新产品，超过保修期发生故障，维修费不超过市场平均价格。</w:t>
      </w:r>
    </w:p>
    <w:p>
      <w:pPr>
        <w:pageBreakBefore w:val="0"/>
        <w:widowControl/>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w:t>
      </w:r>
      <w:r>
        <w:rPr>
          <w:rFonts w:hint="eastAsia" w:ascii="宋体" w:hAnsi="宋体" w:eastAsia="宋体" w:cs="宋体"/>
          <w:b/>
          <w:color w:val="000000"/>
          <w:sz w:val="28"/>
          <w:szCs w:val="28"/>
          <w:highlight w:val="none"/>
        </w:rPr>
        <w:t xml:space="preserve">沧州鑫龙教学设备制造股份有限公司保证在接到用户故障通知后： </w:t>
      </w:r>
      <w:r>
        <w:rPr>
          <w:rFonts w:hint="eastAsia" w:ascii="宋体" w:hAnsi="宋体" w:eastAsia="宋体" w:cs="宋体"/>
          <w:b/>
          <w:color w:val="000000"/>
          <w:sz w:val="28"/>
          <w:szCs w:val="28"/>
          <w:highlight w:val="none"/>
          <w:lang w:val="en-US" w:eastAsia="zh-CN"/>
        </w:rPr>
        <w:t>1小时</w:t>
      </w:r>
      <w:r>
        <w:rPr>
          <w:rFonts w:hint="eastAsia" w:ascii="宋体" w:hAnsi="宋体" w:eastAsia="宋体" w:cs="宋体"/>
          <w:b/>
          <w:color w:val="000000"/>
          <w:sz w:val="28"/>
          <w:szCs w:val="28"/>
          <w:highlight w:val="none"/>
        </w:rPr>
        <w:t>内响应，</w:t>
      </w:r>
      <w:r>
        <w:rPr>
          <w:rFonts w:hint="eastAsia" w:ascii="宋体" w:hAnsi="宋体" w:eastAsia="宋体" w:cs="宋体"/>
          <w:b/>
          <w:color w:val="000000"/>
          <w:sz w:val="28"/>
          <w:szCs w:val="28"/>
          <w:highlight w:val="none"/>
          <w:lang w:val="en-US" w:eastAsia="zh-CN"/>
        </w:rPr>
        <w:t>6</w:t>
      </w:r>
      <w:r>
        <w:rPr>
          <w:rFonts w:hint="eastAsia" w:ascii="宋体" w:hAnsi="宋体" w:eastAsia="宋体" w:cs="宋体"/>
          <w:b/>
          <w:color w:val="000000"/>
          <w:sz w:val="28"/>
          <w:szCs w:val="28"/>
          <w:highlight w:val="none"/>
        </w:rPr>
        <w:t>小时内到达现场，1</w:t>
      </w:r>
      <w:r>
        <w:rPr>
          <w:rFonts w:hint="eastAsia" w:ascii="宋体" w:hAnsi="宋体" w:eastAsia="宋体" w:cs="宋体"/>
          <w:b/>
          <w:color w:val="000000"/>
          <w:sz w:val="28"/>
          <w:szCs w:val="28"/>
          <w:highlight w:val="none"/>
          <w:lang w:val="en-US" w:eastAsia="zh-CN"/>
        </w:rPr>
        <w:t>2</w:t>
      </w:r>
      <w:r>
        <w:rPr>
          <w:rFonts w:hint="eastAsia" w:ascii="宋体" w:hAnsi="宋体" w:eastAsia="宋体" w:cs="宋体"/>
          <w:b/>
          <w:color w:val="000000"/>
          <w:sz w:val="28"/>
          <w:szCs w:val="28"/>
          <w:highlight w:val="none"/>
        </w:rPr>
        <w:t>小时内解决问题。如当场不能及时解决实际</w:t>
      </w:r>
      <w:r>
        <w:rPr>
          <w:rFonts w:hint="eastAsia" w:ascii="宋体" w:hAnsi="宋体" w:eastAsia="宋体" w:cs="宋体"/>
          <w:b/>
          <w:color w:val="000000"/>
          <w:sz w:val="28"/>
          <w:szCs w:val="28"/>
          <w:highlight w:val="none"/>
          <w:lang w:eastAsia="zh-CN"/>
        </w:rPr>
        <w:t>使用</w:t>
      </w:r>
      <w:r>
        <w:rPr>
          <w:rFonts w:hint="eastAsia" w:ascii="宋体" w:hAnsi="宋体" w:eastAsia="宋体" w:cs="宋体"/>
          <w:b/>
          <w:color w:val="000000"/>
          <w:sz w:val="28"/>
          <w:szCs w:val="28"/>
          <w:highlight w:val="none"/>
        </w:rPr>
        <w:t>中出现的问题，</w:t>
      </w:r>
      <w:r>
        <w:rPr>
          <w:rFonts w:hint="eastAsia" w:ascii="宋体" w:hAnsi="宋体" w:eastAsia="宋体" w:cs="宋体"/>
          <w:b/>
          <w:bCs/>
          <w:color w:val="FF0000"/>
          <w:sz w:val="28"/>
          <w:szCs w:val="28"/>
        </w:rPr>
        <w:t>更换同品牌、同型号的全新产品</w:t>
      </w:r>
      <w:r>
        <w:rPr>
          <w:rFonts w:hint="eastAsia" w:ascii="宋体" w:hAnsi="宋体" w:eastAsia="宋体" w:cs="宋体"/>
          <w:color w:val="000000"/>
          <w:sz w:val="28"/>
          <w:szCs w:val="28"/>
          <w:highlight w:val="none"/>
        </w:rPr>
        <w:t>。</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3．保修期内承诺：在器材验收合格之日起</w:t>
      </w:r>
      <w:r>
        <w:rPr>
          <w:rFonts w:hint="eastAsia" w:ascii="宋体" w:hAnsi="宋体" w:eastAsia="宋体" w:cs="宋体"/>
          <w:b/>
          <w:color w:val="000000"/>
          <w:sz w:val="28"/>
          <w:szCs w:val="28"/>
          <w:highlight w:val="none"/>
          <w:u w:val="single"/>
          <w:lang w:val="en-US" w:eastAsia="zh-CN"/>
        </w:rPr>
        <w:t>8</w:t>
      </w:r>
      <w:r>
        <w:rPr>
          <w:rFonts w:hint="eastAsia" w:ascii="宋体" w:hAnsi="宋体" w:eastAsia="宋体" w:cs="宋体"/>
          <w:b/>
          <w:color w:val="000000"/>
          <w:sz w:val="28"/>
          <w:szCs w:val="28"/>
          <w:highlight w:val="none"/>
          <w:u w:val="single"/>
        </w:rPr>
        <w:t>年内全免费质保，</w:t>
      </w:r>
      <w:r>
        <w:rPr>
          <w:rFonts w:hint="eastAsia" w:ascii="宋体" w:hAnsi="宋体" w:eastAsia="宋体" w:cs="宋体"/>
          <w:color w:val="000000"/>
          <w:sz w:val="28"/>
          <w:szCs w:val="28"/>
          <w:highlight w:val="none"/>
        </w:rPr>
        <w:t>期间沧州鑫龙教学设备制造股份有限公司除消耗品以外的所有设备等。在质保期内，如果系统发生故障，我公司调查故障原因并修复直至满足最终验收指标和性能的要求，或者更换整个或部分有缺陷的材料。质保期内除消耗品外其余服务都是免费的。因产品本身质量问题（包括设施基础原因等）给用户造成伤害的，沧州鑫龙教学设备制造股份有限公司将负责对器材保养、提供配件和人工维修，</w:t>
      </w:r>
      <w:r>
        <w:rPr>
          <w:rFonts w:hint="eastAsia" w:ascii="宋体" w:hAnsi="宋体" w:eastAsia="宋体" w:cs="宋体"/>
          <w:color w:val="000000"/>
          <w:sz w:val="28"/>
          <w:szCs w:val="28"/>
          <w:highlight w:val="none"/>
          <w:u w:val="single"/>
        </w:rPr>
        <w:t>不收取任何费用。我公司也将实施三包服务。</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4．沧州鑫龙教学设备制造股份有限公司保证：</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b/>
          <w:bCs/>
          <w:color w:val="000000"/>
          <w:sz w:val="28"/>
          <w:szCs w:val="28"/>
          <w:highlight w:val="none"/>
        </w:rPr>
      </w:pPr>
      <w:r>
        <w:rPr>
          <w:rFonts w:hint="eastAsia" w:ascii="宋体" w:hAnsi="宋体" w:eastAsia="宋体" w:cs="宋体"/>
          <w:color w:val="000000"/>
          <w:sz w:val="28"/>
          <w:szCs w:val="28"/>
          <w:highlight w:val="none"/>
          <w:lang w:val="en-US" w:eastAsia="zh-CN"/>
        </w:rPr>
        <w:t>4.1</w:t>
      </w:r>
      <w:r>
        <w:rPr>
          <w:rFonts w:hint="eastAsia" w:ascii="宋体" w:hAnsi="宋体" w:eastAsia="宋体" w:cs="宋体"/>
          <w:b/>
          <w:bCs/>
          <w:color w:val="000000"/>
          <w:sz w:val="28"/>
          <w:szCs w:val="28"/>
          <w:highlight w:val="none"/>
          <w:lang w:eastAsia="zh-CN"/>
        </w:rPr>
        <w:t>交货及安装地点：</w:t>
      </w:r>
      <w:r>
        <w:rPr>
          <w:rFonts w:hint="eastAsia" w:ascii="宋体" w:hAnsi="宋体" w:eastAsia="宋体" w:cs="宋体"/>
          <w:sz w:val="28"/>
          <w:szCs w:val="28"/>
        </w:rPr>
        <w:t>供应商负责将货物运到采购人指定地点、供应商负责办理运输和装卸等、费用由供应商负责、采购人组织验收、检验不合格或不符合质量要求、供应商除无条件退货、返工外、还应承担采购人的一切损失。</w:t>
      </w:r>
    </w:p>
    <w:p>
      <w:pPr>
        <w:pageBreakBefore w:val="0"/>
        <w:kinsoku/>
        <w:wordWrap/>
        <w:overflowPunct/>
        <w:topLinePunct w:val="0"/>
        <w:bidi w:val="0"/>
        <w:adjustRightInd/>
        <w:spacing w:line="500" w:lineRule="exact"/>
        <w:ind w:firstLine="562" w:firstLineChars="200"/>
        <w:textAlignment w:val="auto"/>
        <w:outlineLvl w:val="9"/>
        <w:rPr>
          <w:rFonts w:hint="eastAsia" w:ascii="宋体" w:hAnsi="宋体" w:eastAsia="宋体" w:cs="宋体"/>
          <w:color w:val="000000"/>
          <w:sz w:val="28"/>
          <w:szCs w:val="28"/>
          <w:highlight w:val="none"/>
          <w:lang w:val="en-US" w:eastAsia="zh-CN"/>
        </w:rPr>
      </w:pPr>
      <w:r>
        <w:rPr>
          <w:rFonts w:hint="eastAsia" w:ascii="宋体" w:hAnsi="宋体" w:eastAsia="宋体" w:cs="宋体"/>
          <w:b/>
          <w:bCs/>
          <w:color w:val="000000"/>
          <w:sz w:val="28"/>
          <w:szCs w:val="28"/>
          <w:highlight w:val="none"/>
          <w:lang w:val="en-US" w:eastAsia="zh-CN"/>
        </w:rPr>
        <w:t xml:space="preserve">   </w:t>
      </w:r>
      <w:r>
        <w:rPr>
          <w:rFonts w:hint="eastAsia" w:ascii="宋体" w:hAnsi="宋体" w:eastAsia="宋体" w:cs="宋体"/>
          <w:b/>
          <w:bCs/>
          <w:color w:val="000000"/>
          <w:sz w:val="28"/>
          <w:szCs w:val="28"/>
          <w:highlight w:val="none"/>
          <w:lang w:eastAsia="zh-CN"/>
        </w:rPr>
        <w:t>交货</w:t>
      </w:r>
      <w:r>
        <w:rPr>
          <w:rFonts w:hint="eastAsia" w:ascii="宋体" w:hAnsi="宋体" w:eastAsia="宋体" w:cs="宋体"/>
          <w:b/>
          <w:bCs/>
          <w:color w:val="000000" w:themeColor="text1"/>
          <w:sz w:val="28"/>
          <w:szCs w:val="28"/>
          <w:highlight w:val="none"/>
          <w:lang w:eastAsia="zh-CN"/>
          <w14:textFill>
            <w14:solidFill>
              <w14:schemeClr w14:val="tx1"/>
            </w14:solidFill>
          </w14:textFill>
        </w:rPr>
        <w:t>时间：</w:t>
      </w:r>
      <w:r>
        <w:rPr>
          <w:rFonts w:hint="eastAsia" w:ascii="宋体" w:hAnsi="宋体" w:eastAsia="宋体" w:cs="宋体"/>
          <w:color w:val="000000"/>
          <w:kern w:val="0"/>
          <w:sz w:val="28"/>
          <w:szCs w:val="28"/>
        </w:rPr>
        <w:t>以签订合同为准</w:t>
      </w:r>
    </w:p>
    <w:p>
      <w:pPr>
        <w:keepNext w:val="0"/>
        <w:pageBreakBefore w:val="0"/>
        <w:kinsoku/>
        <w:wordWrap/>
        <w:overflowPunct/>
        <w:topLinePunct w:val="0"/>
        <w:autoSpaceDE/>
        <w:autoSpaceDN/>
        <w:bidi w:val="0"/>
        <w:adjustRightInd/>
        <w:spacing w:line="500" w:lineRule="exact"/>
        <w:ind w:left="0" w:leftChars="0" w:right="0" w:rightChars="0" w:firstLine="560" w:firstLineChars="200"/>
        <w:jc w:val="both"/>
        <w:textAlignment w:val="auto"/>
        <w:rPr>
          <w:rFonts w:hint="eastAsia" w:ascii="宋体" w:hAnsi="宋体" w:eastAsia="宋体" w:cs="宋体"/>
          <w:sz w:val="28"/>
          <w:szCs w:val="28"/>
        </w:rPr>
      </w:pPr>
      <w:r>
        <w:rPr>
          <w:rFonts w:hint="eastAsia" w:ascii="宋体" w:hAnsi="宋体" w:eastAsia="宋体" w:cs="宋体"/>
          <w:color w:val="000000"/>
          <w:sz w:val="28"/>
          <w:szCs w:val="28"/>
          <w:highlight w:val="none"/>
        </w:rPr>
        <w:t>5．</w:t>
      </w:r>
      <w:r>
        <w:rPr>
          <w:rFonts w:hint="eastAsia" w:ascii="宋体" w:hAnsi="宋体" w:eastAsia="宋体" w:cs="宋体"/>
          <w:color w:val="000000"/>
          <w:sz w:val="28"/>
          <w:szCs w:val="28"/>
          <w:highlight w:val="none"/>
          <w:lang w:val="zh-CN"/>
        </w:rPr>
        <w:t>提供定期检测、故障排查和维修时间：每周（7）*（24）小时服务。</w:t>
      </w:r>
      <w:r>
        <w:rPr>
          <w:rFonts w:hint="eastAsia" w:ascii="宋体" w:hAnsi="宋体" w:eastAsia="宋体" w:cs="宋体"/>
          <w:sz w:val="28"/>
          <w:szCs w:val="28"/>
        </w:rPr>
        <w:t>质量保证期内，配合市全民健身工程质量督查指导组，每年不少</w:t>
      </w:r>
      <w:r>
        <w:rPr>
          <w:rFonts w:hint="eastAsia" w:ascii="宋体" w:hAnsi="宋体" w:eastAsia="宋体" w:cs="宋体"/>
          <w:sz w:val="28"/>
          <w:szCs w:val="28"/>
          <w:lang w:eastAsia="zh-CN"/>
        </w:rPr>
        <w:t>于</w:t>
      </w:r>
      <w:r>
        <w:rPr>
          <w:rFonts w:hint="eastAsia" w:ascii="宋体" w:hAnsi="宋体" w:eastAsia="宋体" w:cs="宋体"/>
          <w:sz w:val="28"/>
          <w:szCs w:val="28"/>
        </w:rPr>
        <w:t>两次巡回检查。</w:t>
      </w:r>
    </w:p>
    <w:p>
      <w:pPr>
        <w:pStyle w:val="8"/>
        <w:keepNext w:val="0"/>
        <w:keepLines/>
        <w:pageBreakBefore w:val="0"/>
        <w:widowControl/>
        <w:tabs>
          <w:tab w:val="left" w:pos="425"/>
        </w:tabs>
        <w:kinsoku/>
        <w:wordWrap/>
        <w:overflowPunct/>
        <w:topLinePunct w:val="0"/>
        <w:autoSpaceDE/>
        <w:autoSpaceDN/>
        <w:bidi w:val="0"/>
        <w:adjustRightInd/>
        <w:snapToGrid w:val="0"/>
        <w:spacing w:line="500" w:lineRule="exact"/>
        <w:ind w:left="0" w:leftChars="0" w:right="0" w:rightChars="0" w:firstLine="560" w:firstLineChars="200"/>
        <w:jc w:val="both"/>
        <w:textAlignment w:val="auto"/>
        <w:outlineLvl w:val="9"/>
        <w:rPr>
          <w:rFonts w:hint="eastAsia" w:ascii="宋体" w:hAnsi="宋体" w:eastAsia="宋体" w:cs="宋体"/>
          <w:b/>
          <w:color w:val="000000"/>
          <w:sz w:val="28"/>
          <w:szCs w:val="28"/>
          <w:highlight w:val="none"/>
        </w:rPr>
      </w:pPr>
      <w:r>
        <w:rPr>
          <w:rFonts w:hint="eastAsia" w:ascii="宋体" w:hAnsi="宋体" w:eastAsia="宋体" w:cs="宋体"/>
          <w:color w:val="000000"/>
          <w:sz w:val="28"/>
          <w:szCs w:val="28"/>
          <w:highlight w:val="none"/>
        </w:rPr>
        <w:t>6．</w:t>
      </w:r>
      <w:r>
        <w:rPr>
          <w:rFonts w:hint="eastAsia" w:ascii="宋体" w:hAnsi="宋体" w:eastAsia="宋体" w:cs="宋体"/>
          <w:b/>
          <w:color w:val="000000"/>
          <w:sz w:val="28"/>
          <w:szCs w:val="28"/>
          <w:highlight w:val="none"/>
        </w:rPr>
        <w:t>保修期后的每年服务费</w:t>
      </w:r>
      <w:r>
        <w:rPr>
          <w:rFonts w:hint="eastAsia" w:ascii="宋体" w:hAnsi="宋体" w:eastAsia="宋体" w:cs="宋体"/>
          <w:b/>
          <w:color w:val="000000"/>
          <w:sz w:val="28"/>
          <w:szCs w:val="28"/>
          <w:highlight w:val="none"/>
          <w:lang w:eastAsia="zh-CN"/>
        </w:rPr>
        <w:t>用</w:t>
      </w:r>
      <w:r>
        <w:rPr>
          <w:rFonts w:hint="eastAsia" w:ascii="宋体" w:hAnsi="宋体" w:eastAsia="宋体" w:cs="宋体"/>
          <w:b/>
          <w:color w:val="000000"/>
          <w:sz w:val="28"/>
          <w:szCs w:val="28"/>
          <w:highlight w:val="none"/>
        </w:rPr>
        <w:t>：</w:t>
      </w:r>
    </w:p>
    <w:p>
      <w:pPr>
        <w:pStyle w:val="8"/>
        <w:keepNext w:val="0"/>
        <w:keepLines/>
        <w:pageBreakBefore w:val="0"/>
        <w:widowControl/>
        <w:tabs>
          <w:tab w:val="left" w:pos="425"/>
        </w:tabs>
        <w:kinsoku/>
        <w:wordWrap/>
        <w:overflowPunct/>
        <w:topLinePunct w:val="0"/>
        <w:autoSpaceDE/>
        <w:autoSpaceDN/>
        <w:bidi w:val="0"/>
        <w:adjustRightInd/>
        <w:snapToGrid w:val="0"/>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保修期过后，如出现质量问题，沧州鑫龙教学设备制造股份有限公司仍将积极协助解决，终身维护保养，负责对器材的正常维护及故障修复，并保证在维修时不收取任何费用。</w:t>
      </w:r>
    </w:p>
    <w:p>
      <w:pPr>
        <w:pStyle w:val="8"/>
        <w:keepLines/>
        <w:pageBreakBefore w:val="0"/>
        <w:widowControl/>
        <w:tabs>
          <w:tab w:val="left" w:pos="425"/>
        </w:tabs>
        <w:kinsoku/>
        <w:wordWrap/>
        <w:overflowPunct/>
        <w:topLinePunct w:val="0"/>
        <w:bidi w:val="0"/>
        <w:adjustRightInd/>
        <w:snapToGrid w:val="0"/>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7．服务及扩充计划：</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7.1免费提供安装方案及各种技术支持。</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7.2定期上门维护，</w:t>
      </w:r>
      <w:r>
        <w:rPr>
          <w:rFonts w:hint="eastAsia" w:ascii="宋体" w:hAnsi="宋体" w:eastAsia="宋体" w:cs="宋体"/>
          <w:sz w:val="28"/>
          <w:szCs w:val="28"/>
        </w:rPr>
        <w:t>质保期内、每年免费维护保养</w:t>
      </w:r>
      <w:r>
        <w:rPr>
          <w:rFonts w:hint="eastAsia" w:ascii="宋体" w:hAnsi="宋体" w:eastAsia="宋体" w:cs="宋体"/>
          <w:sz w:val="28"/>
          <w:szCs w:val="28"/>
          <w:u w:val="single"/>
        </w:rPr>
        <w:t>1</w:t>
      </w:r>
      <w:r>
        <w:rPr>
          <w:rFonts w:hint="eastAsia" w:ascii="宋体" w:hAnsi="宋体" w:eastAsia="宋体" w:cs="宋体"/>
          <w:sz w:val="28"/>
          <w:szCs w:val="28"/>
        </w:rPr>
        <w:t>次</w:t>
      </w:r>
      <w:r>
        <w:rPr>
          <w:rFonts w:hint="eastAsia" w:ascii="宋体" w:hAnsi="宋体" w:eastAsia="宋体" w:cs="宋体"/>
          <w:sz w:val="28"/>
          <w:szCs w:val="28"/>
          <w:lang w:eastAsia="zh-CN"/>
        </w:rPr>
        <w:t>，</w:t>
      </w:r>
      <w:r>
        <w:rPr>
          <w:rFonts w:hint="eastAsia" w:ascii="宋体" w:hAnsi="宋体" w:eastAsia="宋体" w:cs="宋体"/>
          <w:color w:val="000000"/>
          <w:sz w:val="28"/>
          <w:szCs w:val="28"/>
          <w:highlight w:val="none"/>
        </w:rPr>
        <w:t>发现问题及时解决。</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7.3建立用户和产品档案，终身跟踪服务。</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b/>
          <w:color w:val="000000"/>
          <w:sz w:val="28"/>
          <w:szCs w:val="28"/>
          <w:highlight w:val="none"/>
        </w:rPr>
      </w:pPr>
      <w:r>
        <w:rPr>
          <w:rFonts w:hint="eastAsia" w:ascii="宋体" w:hAnsi="宋体" w:eastAsia="宋体" w:cs="宋体"/>
          <w:color w:val="000000"/>
          <w:sz w:val="28"/>
          <w:szCs w:val="28"/>
          <w:highlight w:val="none"/>
        </w:rPr>
        <w:t>8</w:t>
      </w:r>
      <w:r>
        <w:rPr>
          <w:rFonts w:hint="eastAsia" w:ascii="宋体" w:hAnsi="宋体" w:eastAsia="宋体" w:cs="宋体"/>
          <w:b/>
          <w:color w:val="000000"/>
          <w:sz w:val="28"/>
          <w:szCs w:val="28"/>
          <w:highlight w:val="none"/>
        </w:rPr>
        <w:t>．售后服务管理</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沧州鑫龙教学设备制造股份有限公司售后服务工作的原则：坚决拥护和贯彻执行国家有关法律法规，执行国家部分商品修理更换退货责任规定，按照沧州鑫龙教学设备制造股份有限公司优质服务条例，遵循“质量问题不分大小，用户永远是对的”，实行“周到、快捷、终身服务”的原则，为广大的沧州鑫龙教学设备制造股份有限公司用户提供尽善尽美的服务。</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鑫龙</w:t>
      </w:r>
      <w:r>
        <w:rPr>
          <w:rFonts w:hint="eastAsia" w:ascii="宋体" w:hAnsi="宋体" w:eastAsia="宋体" w:cs="宋体"/>
          <w:color w:val="000000"/>
          <w:sz w:val="28"/>
          <w:szCs w:val="28"/>
          <w:highlight w:val="none"/>
        </w:rPr>
        <w:t>公司负责对售后服务工作进行总体策划，对质量服务部的工作进行检查、监督、评价并给予指导。质量服务部负责公司售后服务工作的日常管理，对公司售后服务工作质量负责；编制备件需求计划，安排各网点售后服务工作，并验证用户对公司服务质量的满意程度，检查评价服务人员工作是否满足规定要求；负责全国各地服务质量信息和产品质量信息的收集、整理、分析并做出评价，提出产品开发和改进建议。各营销服务中心、特许服务点人员接受公司质量服务部的领导，负责本区域售后服务工作的日常管理，对本区域售后服务质量负责；建立本区域联修网，协调监督各网点的售后服务工作，使本区域的顾客能得到优质服务；建立售后服务档案，对售后服务工作进行动态管理；负责本区域客户对产品质量信息的收集、整理、分析和反馈；负责本区域用户对产品质量保养和处理，对用户投诉给企业造成的损失负责；负责建立区域的零配件专柜，并负责配件的日常管理。</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服务部或服务网点接到用户报修电话或信件后，业务员详细询问用户姓名、地址、电话、购买日期、质量问题并填写用户报修登记表，及时通知服务部或网点负责人，安排服务人员上门服务。服务结束后将处理结构按规定填写用户报修处理结构登记表，记入维修服务台帐并归档。</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服务部或各地服务网点建立服务档案（一般用户、特殊用户、集团用户、新产品用户）定期进行跟踪服务。采取主动上门或通过电话、函调等形式了解用户对产品的意见，建议和产品使用中出现的质量问题，并做好记录，每月进行整理分析后报总经理、主管厂长及技术、生产、质量部门。</w:t>
      </w:r>
    </w:p>
    <w:p>
      <w:pPr>
        <w:pageBreakBefore w:val="0"/>
        <w:kinsoku/>
        <w:wordWrap/>
        <w:overflowPunct/>
        <w:topLinePunct w:val="0"/>
        <w:bidi w:val="0"/>
        <w:adjustRightInd/>
        <w:spacing w:line="500" w:lineRule="exact"/>
        <w:ind w:firstLine="560" w:firstLineChars="200"/>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对顾客产品的抱怨，无论情节轻重、问题大小，该区域的分管服务人员都须亲自前往，必要时各办事处主任或经销商、专卖店负责人会同服务人员前往处理，使用户满意为止。</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对用户的建议和抱怨处理后，各网点将定期与用户保持联络并跟踪服务，服务部将对各网点的服务质量实施监督，并协调有关事宜。</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b/>
          <w:color w:val="000000"/>
          <w:sz w:val="28"/>
          <w:szCs w:val="28"/>
          <w:highlight w:val="none"/>
        </w:rPr>
      </w:pPr>
      <w:r>
        <w:rPr>
          <w:rFonts w:hint="eastAsia" w:ascii="宋体" w:hAnsi="宋体" w:eastAsia="宋体" w:cs="宋体"/>
          <w:color w:val="000000"/>
          <w:sz w:val="28"/>
          <w:szCs w:val="28"/>
          <w:highlight w:val="none"/>
        </w:rPr>
        <w:t>9．伴随服务</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9．1投标商负责将货物运至用户指定地点。</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9．2提供一套完整的中文技术资料：包括操作手册、使用说明、维修保养手册、安装手册、产品合格证等。</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9．3凡需要现场安装、装配、校验、启动测试的设备需提前7天通知用户。</w:t>
      </w:r>
    </w:p>
    <w:p>
      <w:pPr>
        <w:keepNext w:val="0"/>
        <w:keepLines w:val="0"/>
        <w:pageBreakBefore w:val="0"/>
        <w:widowControl w:val="0"/>
        <w:kinsoku/>
        <w:wordWrap/>
        <w:overflowPunct/>
        <w:topLinePunct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9．4我公司在用户所在地设有</w:t>
      </w:r>
      <w:r>
        <w:rPr>
          <w:rFonts w:hint="eastAsia" w:ascii="宋体" w:hAnsi="宋体" w:eastAsia="宋体" w:cs="宋体"/>
          <w:color w:val="000000"/>
          <w:sz w:val="28"/>
          <w:szCs w:val="28"/>
          <w:highlight w:val="none"/>
          <w:lang w:eastAsia="zh-CN"/>
        </w:rPr>
        <w:t>售后</w:t>
      </w:r>
      <w:r>
        <w:rPr>
          <w:rFonts w:hint="eastAsia" w:ascii="宋体" w:hAnsi="宋体" w:eastAsia="宋体" w:cs="宋体"/>
          <w:color w:val="000000"/>
          <w:sz w:val="28"/>
          <w:szCs w:val="28"/>
          <w:highlight w:val="none"/>
        </w:rPr>
        <w:t xml:space="preserve">维修中心，并提供地址、电话、联系人姓名。 </w:t>
      </w:r>
    </w:p>
    <w:p>
      <w:pPr>
        <w:keepNext w:val="0"/>
        <w:keepLines w:val="0"/>
        <w:pageBreakBefore w:val="0"/>
        <w:widowControl w:val="0"/>
        <w:tabs>
          <w:tab w:val="left" w:pos="975"/>
        </w:tabs>
        <w:kinsoku/>
        <w:wordWrap/>
        <w:overflowPunct/>
        <w:topLinePunct w:val="0"/>
        <w:autoSpaceDE w:val="0"/>
        <w:autoSpaceDN w:val="0"/>
        <w:bidi w:val="0"/>
        <w:adjustRightInd/>
        <w:snapToGrid/>
        <w:spacing w:line="500" w:lineRule="exact"/>
        <w:ind w:left="0" w:leftChars="0" w:right="0" w:rightChars="0" w:firstLine="560" w:firstLineChars="200"/>
        <w:jc w:val="both"/>
        <w:textAlignment w:val="auto"/>
        <w:outlineLvl w:val="9"/>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9．5投标货物相关设备的基本操作原理、调试、操作使用和保养维修等有关内容的培训。培训合格的标准为要能依据操作的基本规则对设备进行正常工作使用条件和任务下的独立操作。</w:t>
      </w:r>
    </w:p>
    <w:p>
      <w:pPr>
        <w:keepNext w:val="0"/>
        <w:keepLines w:val="0"/>
        <w:pageBreakBefore w:val="0"/>
        <w:widowControl w:val="0"/>
        <w:kinsoku/>
        <w:wordWrap/>
        <w:overflowPunct/>
        <w:topLinePunct w:val="0"/>
        <w:bidi w:val="0"/>
        <w:adjustRightInd/>
        <w:spacing w:line="500" w:lineRule="exact"/>
        <w:ind w:left="0" w:lef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color w:val="000000"/>
          <w:sz w:val="28"/>
          <w:szCs w:val="28"/>
          <w:highlight w:val="none"/>
          <w:lang w:val="en-US" w:eastAsia="zh-CN"/>
        </w:rPr>
        <w:t>10、</w:t>
      </w:r>
      <w:r>
        <w:rPr>
          <w:rFonts w:hint="eastAsia" w:ascii="宋体" w:hAnsi="宋体" w:eastAsia="宋体" w:cs="宋体"/>
          <w:b/>
          <w:bCs/>
          <w:sz w:val="28"/>
          <w:szCs w:val="28"/>
          <w:lang w:val="en-US" w:eastAsia="zh-CN"/>
        </w:rPr>
        <w:t>售后维修网点</w:t>
      </w:r>
    </w:p>
    <w:tbl>
      <w:tblPr>
        <w:tblStyle w:val="14"/>
        <w:tblW w:w="94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2182"/>
        <w:gridCol w:w="1911"/>
        <w:gridCol w:w="1212"/>
        <w:gridCol w:w="1951"/>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8"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城市</w:t>
            </w:r>
          </w:p>
        </w:tc>
        <w:tc>
          <w:tcPr>
            <w:tcW w:w="218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b w:val="0"/>
                <w:bCs w:val="0"/>
                <w:sz w:val="28"/>
                <w:szCs w:val="28"/>
                <w:lang w:val="en-US" w:eastAsia="zh-CN"/>
              </w:rPr>
              <w:t>维修网点</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地址</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负责人及联系人</w:t>
            </w:r>
          </w:p>
        </w:tc>
        <w:tc>
          <w:tcPr>
            <w:tcW w:w="195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电话</w:t>
            </w:r>
          </w:p>
        </w:tc>
        <w:tc>
          <w:tcPr>
            <w:tcW w:w="1556"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维修能力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8"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全国</w:t>
            </w:r>
          </w:p>
        </w:tc>
        <w:tc>
          <w:tcPr>
            <w:tcW w:w="218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沧州鑫龙教学设备制造股份有限公司</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盐山县马村工业园区</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王美兰</w:t>
            </w:r>
          </w:p>
        </w:tc>
        <w:tc>
          <w:tcPr>
            <w:tcW w:w="195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0317-6193928</w:t>
            </w:r>
          </w:p>
        </w:tc>
        <w:tc>
          <w:tcPr>
            <w:tcW w:w="1556"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所有器材维修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jc w:val="center"/>
        </w:trPr>
        <w:tc>
          <w:tcPr>
            <w:tcW w:w="618"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河南</w:t>
            </w:r>
          </w:p>
        </w:tc>
        <w:tc>
          <w:tcPr>
            <w:tcW w:w="218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沧州鑫龙教学设备制造股份有限公司郑州分公司</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郑州市二七区兴隆铺路18号8号楼</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杜小涛</w:t>
            </w:r>
          </w:p>
        </w:tc>
        <w:tc>
          <w:tcPr>
            <w:tcW w:w="1951"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15378768187</w:t>
            </w:r>
          </w:p>
        </w:tc>
        <w:tc>
          <w:tcPr>
            <w:tcW w:w="1556" w:type="dxa"/>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所有器材维修</w:t>
            </w:r>
          </w:p>
        </w:tc>
      </w:tr>
    </w:tbl>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幼圆">
    <w:altName w:val="宋体"/>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幼圆" w:eastAsia="幼圆"/>
        <w:b/>
        <w:sz w:val="21"/>
        <w:lang w:eastAsia="zh-CN"/>
      </w:rPr>
      <w:drawing>
        <wp:anchor distT="0" distB="0" distL="114300" distR="114300" simplePos="0" relativeHeight="251663360" behindDoc="1" locked="0" layoutInCell="1" allowOverlap="1">
          <wp:simplePos x="0" y="0"/>
          <wp:positionH relativeFrom="column">
            <wp:posOffset>1786255</wp:posOffset>
          </wp:positionH>
          <wp:positionV relativeFrom="paragraph">
            <wp:posOffset>-45720</wp:posOffset>
          </wp:positionV>
          <wp:extent cx="2216150" cy="321945"/>
          <wp:effectExtent l="0" t="0" r="12700" b="1905"/>
          <wp:wrapNone/>
          <wp:docPr id="115" name="图片 2049" descr="鑫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2049" descr="鑫龙Logo"/>
                  <pic:cNvPicPr>
                    <a:picLocks noChangeAspect="1"/>
                  </pic:cNvPicPr>
                </pic:nvPicPr>
                <pic:blipFill>
                  <a:blip r:embed="rId1"/>
                  <a:srcRect b="36146"/>
                  <a:stretch>
                    <a:fillRect/>
                  </a:stretch>
                </pic:blipFill>
                <pic:spPr>
                  <a:xfrm>
                    <a:off x="0" y="0"/>
                    <a:ext cx="2216150" cy="321945"/>
                  </a:xfrm>
                  <a:prstGeom prst="rect">
                    <a:avLst/>
                  </a:prstGeom>
                  <a:noFill/>
                  <a:ln w="9525">
                    <a:noFill/>
                  </a:ln>
                </pic:spPr>
              </pic:pic>
            </a:graphicData>
          </a:graphic>
        </wp:anchor>
      </w:drawing>
    </w:r>
  </w:p>
  <w:p>
    <w:pPr>
      <w:pStyle w:val="10"/>
      <w:pBdr>
        <w:bottom w:val="single" w:color="auto" w:sz="4"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0321AB"/>
    <w:rsid w:val="0046702C"/>
    <w:rsid w:val="00882C52"/>
    <w:rsid w:val="00B91AD8"/>
    <w:rsid w:val="00EB5603"/>
    <w:rsid w:val="01A87224"/>
    <w:rsid w:val="02045A74"/>
    <w:rsid w:val="028116C9"/>
    <w:rsid w:val="02D10823"/>
    <w:rsid w:val="03E17548"/>
    <w:rsid w:val="042B585C"/>
    <w:rsid w:val="0588265F"/>
    <w:rsid w:val="05B05BA0"/>
    <w:rsid w:val="05DE080C"/>
    <w:rsid w:val="06296884"/>
    <w:rsid w:val="07562D10"/>
    <w:rsid w:val="086D22D9"/>
    <w:rsid w:val="09E3194A"/>
    <w:rsid w:val="0A98268C"/>
    <w:rsid w:val="0C0D3050"/>
    <w:rsid w:val="0DA96C47"/>
    <w:rsid w:val="0E12070D"/>
    <w:rsid w:val="0E9E7BF8"/>
    <w:rsid w:val="0EF73B90"/>
    <w:rsid w:val="0EF76626"/>
    <w:rsid w:val="0F3850AD"/>
    <w:rsid w:val="100262E1"/>
    <w:rsid w:val="111B7ECA"/>
    <w:rsid w:val="12C33955"/>
    <w:rsid w:val="14462666"/>
    <w:rsid w:val="147F00F9"/>
    <w:rsid w:val="152951B0"/>
    <w:rsid w:val="15572FE2"/>
    <w:rsid w:val="159D70E9"/>
    <w:rsid w:val="17CC4BF4"/>
    <w:rsid w:val="19FB15C0"/>
    <w:rsid w:val="1C9A565D"/>
    <w:rsid w:val="1D107812"/>
    <w:rsid w:val="1DB151DA"/>
    <w:rsid w:val="1E0E0B67"/>
    <w:rsid w:val="1F6B39BF"/>
    <w:rsid w:val="21465F6F"/>
    <w:rsid w:val="22735EA4"/>
    <w:rsid w:val="22E30A4E"/>
    <w:rsid w:val="238A274C"/>
    <w:rsid w:val="23BB233F"/>
    <w:rsid w:val="24E31A39"/>
    <w:rsid w:val="259E1665"/>
    <w:rsid w:val="25FC548F"/>
    <w:rsid w:val="2621560B"/>
    <w:rsid w:val="262F1CF4"/>
    <w:rsid w:val="26B73E43"/>
    <w:rsid w:val="286D2DAE"/>
    <w:rsid w:val="28AB6C60"/>
    <w:rsid w:val="28FD4D23"/>
    <w:rsid w:val="2A843888"/>
    <w:rsid w:val="2B396B07"/>
    <w:rsid w:val="2BC968D7"/>
    <w:rsid w:val="2C0F54F4"/>
    <w:rsid w:val="2D0F7DDD"/>
    <w:rsid w:val="2E3D3EEF"/>
    <w:rsid w:val="2E785B1C"/>
    <w:rsid w:val="2F980319"/>
    <w:rsid w:val="3122100F"/>
    <w:rsid w:val="313E328C"/>
    <w:rsid w:val="318A37B4"/>
    <w:rsid w:val="326A432C"/>
    <w:rsid w:val="33A53B14"/>
    <w:rsid w:val="340B61D1"/>
    <w:rsid w:val="343855BF"/>
    <w:rsid w:val="34634979"/>
    <w:rsid w:val="34A7177F"/>
    <w:rsid w:val="357C6C60"/>
    <w:rsid w:val="37260155"/>
    <w:rsid w:val="37DF6569"/>
    <w:rsid w:val="389D5243"/>
    <w:rsid w:val="3A31088C"/>
    <w:rsid w:val="3B3A5AAA"/>
    <w:rsid w:val="3B5456FB"/>
    <w:rsid w:val="3BD8603A"/>
    <w:rsid w:val="3BDB1E3F"/>
    <w:rsid w:val="3C726F24"/>
    <w:rsid w:val="3E3B7C35"/>
    <w:rsid w:val="3ED61904"/>
    <w:rsid w:val="3EF66E5D"/>
    <w:rsid w:val="407F333E"/>
    <w:rsid w:val="40EE0D30"/>
    <w:rsid w:val="413B350C"/>
    <w:rsid w:val="41BC227B"/>
    <w:rsid w:val="425858A8"/>
    <w:rsid w:val="43506D95"/>
    <w:rsid w:val="4564638C"/>
    <w:rsid w:val="473C0DAD"/>
    <w:rsid w:val="499E640F"/>
    <w:rsid w:val="4A8F5E5E"/>
    <w:rsid w:val="4B162F78"/>
    <w:rsid w:val="4B9220C4"/>
    <w:rsid w:val="4C03309F"/>
    <w:rsid w:val="4D6C2980"/>
    <w:rsid w:val="4DFC3CC9"/>
    <w:rsid w:val="4F8A7A64"/>
    <w:rsid w:val="4FE70EFC"/>
    <w:rsid w:val="50103B4D"/>
    <w:rsid w:val="502869C0"/>
    <w:rsid w:val="50C3725E"/>
    <w:rsid w:val="512B0361"/>
    <w:rsid w:val="51C80916"/>
    <w:rsid w:val="51F32D40"/>
    <w:rsid w:val="522E31B4"/>
    <w:rsid w:val="553678C4"/>
    <w:rsid w:val="57532E1B"/>
    <w:rsid w:val="57B165E9"/>
    <w:rsid w:val="589659CA"/>
    <w:rsid w:val="5ABE263E"/>
    <w:rsid w:val="5C482B5A"/>
    <w:rsid w:val="5CFD1A5B"/>
    <w:rsid w:val="5D776807"/>
    <w:rsid w:val="60531667"/>
    <w:rsid w:val="62C37E88"/>
    <w:rsid w:val="640321AB"/>
    <w:rsid w:val="644F4956"/>
    <w:rsid w:val="647038AF"/>
    <w:rsid w:val="64791C90"/>
    <w:rsid w:val="647C58FE"/>
    <w:rsid w:val="677650CF"/>
    <w:rsid w:val="68E92DEC"/>
    <w:rsid w:val="69445A2D"/>
    <w:rsid w:val="69AE05BA"/>
    <w:rsid w:val="6B496E37"/>
    <w:rsid w:val="6C281281"/>
    <w:rsid w:val="6D1A63DB"/>
    <w:rsid w:val="7166375B"/>
    <w:rsid w:val="72C5242F"/>
    <w:rsid w:val="73AC7A78"/>
    <w:rsid w:val="744A4691"/>
    <w:rsid w:val="746C2C64"/>
    <w:rsid w:val="755A2489"/>
    <w:rsid w:val="75D25A0C"/>
    <w:rsid w:val="769F5879"/>
    <w:rsid w:val="77687D68"/>
    <w:rsid w:val="78766ADE"/>
    <w:rsid w:val="79474D8E"/>
    <w:rsid w:val="79492B4D"/>
    <w:rsid w:val="79F857D5"/>
    <w:rsid w:val="7A475EC1"/>
    <w:rsid w:val="7A541576"/>
    <w:rsid w:val="7CD21392"/>
    <w:rsid w:val="7EB77FA7"/>
    <w:rsid w:val="7F6E3A50"/>
    <w:rsid w:val="7F9F39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spacing w:before="340" w:after="330" w:line="578" w:lineRule="auto"/>
      <w:jc w:val="center"/>
      <w:outlineLvl w:val="0"/>
    </w:pPr>
    <w:rPr>
      <w:rFonts w:ascii="宋体" w:hAnsi="宋体" w:eastAsia="宋体" w:cs="宋体"/>
      <w:b/>
      <w:bCs/>
      <w:kern w:val="44"/>
      <w:sz w:val="36"/>
      <w:szCs w:val="36"/>
    </w:rPr>
  </w:style>
  <w:style w:type="paragraph" w:styleId="3">
    <w:name w:val="heading 2"/>
    <w:basedOn w:val="1"/>
    <w:next w:val="1"/>
    <w:link w:val="18"/>
    <w:unhideWhenUsed/>
    <w:qFormat/>
    <w:uiPriority w:val="0"/>
    <w:pPr>
      <w:spacing w:before="600" w:beforeAutospacing="1" w:after="600" w:afterAutospacing="1" w:line="240" w:lineRule="auto"/>
      <w:jc w:val="center"/>
      <w:outlineLvl w:val="1"/>
    </w:pPr>
    <w:rPr>
      <w:rFonts w:hint="eastAsia" w:ascii="宋体" w:hAnsi="宋体" w:eastAsia="宋体" w:cs="宋体"/>
      <w:b/>
      <w:kern w:val="0"/>
      <w:sz w:val="28"/>
      <w:szCs w:val="30"/>
      <w:lang w:bidi="ar"/>
    </w:rPr>
  </w:style>
  <w:style w:type="paragraph" w:styleId="4">
    <w:name w:val="heading 3"/>
    <w:basedOn w:val="1"/>
    <w:next w:val="1"/>
    <w:link w:val="16"/>
    <w:unhideWhenUsed/>
    <w:qFormat/>
    <w:uiPriority w:val="0"/>
    <w:pPr>
      <w:keepNext/>
      <w:keepLines/>
      <w:spacing w:before="260" w:after="260" w:line="240" w:lineRule="auto"/>
      <w:jc w:val="center"/>
      <w:outlineLvl w:val="2"/>
    </w:pPr>
    <w:rPr>
      <w:rFonts w:ascii="宋体" w:hAnsi="宋体" w:eastAsia="宋体" w:cs="宋体"/>
      <w:b/>
      <w:bCs/>
      <w:sz w:val="28"/>
      <w:szCs w:val="32"/>
    </w:rPr>
  </w:style>
  <w:style w:type="paragraph" w:styleId="5">
    <w:name w:val="heading 4"/>
    <w:basedOn w:val="1"/>
    <w:next w:val="1"/>
    <w:semiHidden/>
    <w:unhideWhenUsed/>
    <w:qFormat/>
    <w:uiPriority w:val="0"/>
    <w:pPr>
      <w:keepNext/>
      <w:keepLines/>
      <w:spacing w:before="280" w:beforeLines="0" w:after="290" w:afterLines="0" w:line="376" w:lineRule="atLeast"/>
      <w:jc w:val="center"/>
      <w:outlineLvl w:val="3"/>
    </w:pPr>
    <w:rPr>
      <w:rFonts w:ascii="Arial" w:hAnsi="Arial" w:eastAsia="宋体" w:cs="Times New Roman"/>
      <w:b/>
      <w:sz w:val="28"/>
      <w:szCs w:val="24"/>
    </w:rPr>
  </w:style>
  <w:style w:type="character" w:default="1" w:styleId="13">
    <w:name w:val="Default Paragraph Font"/>
    <w:unhideWhenUsed/>
    <w:uiPriority w:val="1"/>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toc 3"/>
    <w:basedOn w:val="1"/>
    <w:next w:val="1"/>
    <w:link w:val="17"/>
    <w:qFormat/>
    <w:uiPriority w:val="0"/>
    <w:pPr>
      <w:spacing w:line="360" w:lineRule="auto"/>
      <w:ind w:left="420" w:leftChars="200"/>
      <w:jc w:val="left"/>
      <w:outlineLvl w:val="2"/>
    </w:pPr>
    <w:rPr>
      <w:rFonts w:ascii="Times New Roman" w:hAnsi="Times New Roman" w:eastAsia="宋体"/>
      <w:sz w:val="21"/>
    </w:rPr>
  </w:style>
  <w:style w:type="paragraph" w:styleId="8">
    <w:name w:val="Plain Text"/>
    <w:basedOn w:val="1"/>
    <w:qFormat/>
    <w:uiPriority w:val="0"/>
    <w:rPr>
      <w:rFonts w:ascii="Courier New"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szCs w:val="22"/>
    </w:rPr>
  </w:style>
  <w:style w:type="paragraph" w:styleId="11">
    <w:name w:val="toc 2"/>
    <w:basedOn w:val="1"/>
    <w:next w:val="1"/>
    <w:qFormat/>
    <w:uiPriority w:val="0"/>
    <w:pPr>
      <w:ind w:left="420" w:leftChars="200"/>
    </w:pPr>
    <w:rPr>
      <w:rFonts w:ascii="宋体" w:hAnsi="宋体" w:eastAsia="宋体" w:cs="宋体"/>
      <w:sz w:val="21"/>
    </w:rPr>
  </w:style>
  <w:style w:type="paragraph" w:styleId="12">
    <w:name w:val="Title"/>
    <w:basedOn w:val="1"/>
    <w:next w:val="1"/>
    <w:qFormat/>
    <w:uiPriority w:val="0"/>
    <w:pPr>
      <w:spacing w:before="240" w:after="60"/>
      <w:jc w:val="center"/>
      <w:outlineLvl w:val="0"/>
    </w:pPr>
    <w:rPr>
      <w:rFonts w:ascii="宋体" w:hAnsi="宋体" w:cs="宋体" w:eastAsiaTheme="minorEastAsia"/>
      <w:b/>
      <w:bCs/>
      <w:sz w:val="32"/>
      <w:szCs w:val="32"/>
    </w:rPr>
  </w:style>
  <w:style w:type="character" w:customStyle="1" w:styleId="15">
    <w:name w:val="标题 1 Char"/>
    <w:basedOn w:val="13"/>
    <w:link w:val="2"/>
    <w:qFormat/>
    <w:uiPriority w:val="0"/>
    <w:rPr>
      <w:rFonts w:ascii="宋体" w:hAnsi="宋体" w:eastAsia="宋体" w:cs="宋体"/>
      <w:b/>
      <w:bCs/>
      <w:kern w:val="44"/>
      <w:sz w:val="36"/>
      <w:szCs w:val="36"/>
    </w:rPr>
  </w:style>
  <w:style w:type="character" w:customStyle="1" w:styleId="16">
    <w:name w:val="标题 3 Char"/>
    <w:link w:val="4"/>
    <w:qFormat/>
    <w:uiPriority w:val="0"/>
    <w:rPr>
      <w:rFonts w:ascii="宋体" w:hAnsi="宋体" w:eastAsia="宋体" w:cs="宋体"/>
      <w:b/>
      <w:bCs/>
      <w:kern w:val="2"/>
      <w:sz w:val="24"/>
      <w:szCs w:val="24"/>
    </w:rPr>
  </w:style>
  <w:style w:type="character" w:customStyle="1" w:styleId="17">
    <w:name w:val="目录 3 Char"/>
    <w:link w:val="7"/>
    <w:qFormat/>
    <w:uiPriority w:val="0"/>
    <w:rPr>
      <w:rFonts w:ascii="Times New Roman" w:hAnsi="Times New Roman" w:eastAsia="宋体"/>
      <w:sz w:val="21"/>
    </w:rPr>
  </w:style>
  <w:style w:type="character" w:customStyle="1" w:styleId="18">
    <w:name w:val="标题 2 Char"/>
    <w:link w:val="3"/>
    <w:qFormat/>
    <w:uiPriority w:val="0"/>
    <w:rPr>
      <w:rFonts w:ascii="宋体" w:hAnsi="宋体" w:eastAsia="宋体" w:cs="宋体"/>
      <w:b/>
      <w:bCs/>
      <w:sz w:val="30"/>
      <w:szCs w:val="3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2019-01-10T01:17:00Z</dcterms:created>
  <dc:creator>qzuser</dc:creator>
  <cp:lastModifiedBy>qzuser</cp:lastModifiedBy>
  <dcterms:modified xsi:type="dcterms:W3CDTF">2019-01-10T01:22:21Z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