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禹州市城乡规划局18个传统村落</w:t>
      </w:r>
    </w:p>
    <w:p>
      <w:pPr>
        <w:spacing w:line="600" w:lineRule="exact"/>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保护规划项目</w:t>
      </w:r>
    </w:p>
    <w:p>
      <w:pPr>
        <w:spacing w:line="600" w:lineRule="exact"/>
        <w:jc w:val="center"/>
        <w:rPr>
          <w:rFonts w:hint="eastAsia" w:ascii="黑体" w:hAnsi="黑体" w:eastAsia="黑体" w:cs="黑体"/>
          <w:b/>
          <w:bCs/>
          <w:sz w:val="44"/>
          <w:szCs w:val="44"/>
          <w:lang w:eastAsia="zh-CN"/>
        </w:rPr>
      </w:pPr>
    </w:p>
    <w:p>
      <w:pPr>
        <w:ind w:firstLine="1325" w:firstLineChars="300"/>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hint="eastAsia"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rPr>
        <w:t>采购单位：</w:t>
      </w:r>
      <w:r>
        <w:rPr>
          <w:rFonts w:hint="eastAsia" w:ascii="仿宋" w:hAnsi="仿宋" w:eastAsia="仿宋" w:cs="仿宋"/>
          <w:b/>
          <w:bCs/>
          <w:color w:val="000000"/>
          <w:sz w:val="32"/>
          <w:szCs w:val="32"/>
          <w:lang w:val="en-US" w:eastAsia="zh-CN"/>
        </w:rPr>
        <w:t>禹州市城乡规划局</w:t>
      </w:r>
    </w:p>
    <w:p>
      <w:pPr>
        <w:ind w:firstLine="1285" w:firstLineChars="4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eastAsia="zh-CN"/>
        </w:rPr>
        <w:t>采购</w:t>
      </w:r>
      <w:r>
        <w:rPr>
          <w:rFonts w:hint="eastAsia" w:ascii="仿宋" w:hAnsi="仿宋" w:eastAsia="仿宋" w:cs="仿宋"/>
          <w:b/>
          <w:bCs/>
          <w:color w:val="000000"/>
          <w:sz w:val="32"/>
          <w:szCs w:val="32"/>
        </w:rPr>
        <w:t>编号：</w:t>
      </w:r>
      <w:r>
        <w:rPr>
          <w:rFonts w:hint="eastAsia" w:ascii="仿宋" w:hAnsi="仿宋" w:eastAsia="仿宋" w:cs="仿宋"/>
          <w:b/>
          <w:bCs/>
          <w:color w:val="000000"/>
          <w:sz w:val="32"/>
          <w:szCs w:val="32"/>
          <w:lang w:val="en-US" w:eastAsia="zh-CN"/>
        </w:rPr>
        <w:t>YZCG-G2019004</w:t>
      </w:r>
    </w:p>
    <w:p>
      <w:pPr>
        <w:ind w:firstLine="1285" w:firstLineChars="4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代理机构：</w:t>
      </w:r>
      <w:r>
        <w:rPr>
          <w:rFonts w:hint="eastAsia" w:ascii="仿宋" w:hAnsi="仿宋" w:eastAsia="仿宋" w:cs="仿宋"/>
          <w:b/>
          <w:bCs/>
          <w:color w:val="000000"/>
          <w:sz w:val="32"/>
          <w:szCs w:val="32"/>
          <w:lang w:eastAsia="zh-CN"/>
        </w:rPr>
        <w:t>禹州</w:t>
      </w:r>
      <w:r>
        <w:rPr>
          <w:rFonts w:hint="eastAsia" w:ascii="仿宋" w:hAnsi="仿宋" w:eastAsia="仿宋" w:cs="仿宋"/>
          <w:b/>
          <w:bCs/>
          <w:color w:val="000000"/>
          <w:sz w:val="32"/>
          <w:szCs w:val="32"/>
        </w:rPr>
        <w:t>市政府采购中心</w:t>
      </w:r>
    </w:p>
    <w:p>
      <w:pP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891" w:firstLineChars="800"/>
        <w:jc w:val="both"/>
        <w:rPr>
          <w:rFonts w:asciiTheme="majorEastAsia" w:hAnsiTheme="majorEastAsia" w:eastAsiaTheme="majorEastAsia" w:cstheme="majorEastAsia"/>
          <w:b/>
          <w:bCs/>
          <w:color w:val="000000"/>
          <w:sz w:val="36"/>
          <w:szCs w:val="36"/>
        </w:rPr>
      </w:pPr>
      <w:r>
        <w:rPr>
          <w:rFonts w:hint="eastAsia" w:ascii="仿宋" w:hAnsi="仿宋" w:eastAsia="仿宋" w:cs="仿宋"/>
          <w:b/>
          <w:bCs/>
          <w:color w:val="000000"/>
          <w:sz w:val="36"/>
          <w:szCs w:val="36"/>
        </w:rPr>
        <w:t>二〇一</w:t>
      </w:r>
      <w:r>
        <w:rPr>
          <w:rFonts w:hint="eastAsia" w:ascii="仿宋" w:hAnsi="仿宋" w:eastAsia="仿宋" w:cs="仿宋"/>
          <w:b/>
          <w:bCs/>
          <w:color w:val="000000"/>
          <w:sz w:val="36"/>
          <w:szCs w:val="36"/>
          <w:lang w:val="en-US" w:eastAsia="zh-CN"/>
        </w:rPr>
        <w:t>九</w:t>
      </w:r>
      <w:r>
        <w:rPr>
          <w:rFonts w:hint="eastAsia" w:ascii="仿宋" w:hAnsi="仿宋" w:eastAsia="仿宋" w:cs="仿宋"/>
          <w:b/>
          <w:bCs/>
          <w:color w:val="000000"/>
          <w:sz w:val="36"/>
          <w:szCs w:val="36"/>
        </w:rPr>
        <w:t>年</w:t>
      </w:r>
      <w:r>
        <w:rPr>
          <w:rFonts w:hint="eastAsia" w:ascii="仿宋" w:hAnsi="仿宋" w:eastAsia="仿宋" w:cs="仿宋"/>
          <w:b/>
          <w:bCs/>
          <w:color w:val="000000"/>
          <w:sz w:val="36"/>
          <w:szCs w:val="36"/>
          <w:lang w:val="en-US" w:eastAsia="zh-CN"/>
        </w:rPr>
        <w:t>一</w:t>
      </w:r>
      <w:r>
        <w:rPr>
          <w:rFonts w:hint="eastAsia" w:ascii="仿宋" w:hAnsi="仿宋" w:eastAsia="仿宋" w:cs="仿宋"/>
          <w:b/>
          <w:bCs/>
          <w:color w:val="000000"/>
          <w:sz w:val="36"/>
          <w:szCs w:val="36"/>
        </w:rPr>
        <w:t>月</w:t>
      </w: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autoSpaceDE w:val="0"/>
        <w:autoSpaceDN w:val="0"/>
        <w:adjustRightInd w:val="0"/>
        <w:spacing w:line="700" w:lineRule="exact"/>
        <w:rPr>
          <w:rFonts w:cs="宋体" w:asciiTheme="majorEastAsia" w:hAnsiTheme="majorEastAsia" w:eastAsiaTheme="majorEastAsia"/>
          <w:b/>
          <w:kern w:val="0"/>
          <w:sz w:val="36"/>
          <w:szCs w:val="36"/>
        </w:rPr>
      </w:pPr>
    </w:p>
    <w:p>
      <w:pPr>
        <w:pStyle w:val="19"/>
        <w:widowControl/>
        <w:numPr>
          <w:ilvl w:val="0"/>
          <w:numId w:val="4"/>
        </w:numPr>
        <w:shd w:val="clear" w:color="auto" w:fill="FFFFFF"/>
        <w:spacing w:line="315" w:lineRule="atLeast"/>
        <w:jc w:val="center"/>
        <w:rPr>
          <w:rFonts w:hint="eastAsia"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19"/>
        <w:widowControl/>
        <w:numPr>
          <w:ilvl w:val="0"/>
          <w:numId w:val="0"/>
        </w:numPr>
        <w:shd w:val="clear" w:color="auto" w:fill="FFFFFF"/>
        <w:spacing w:line="315" w:lineRule="atLeast"/>
        <w:jc w:val="both"/>
        <w:rPr>
          <w:rFonts w:hint="eastAsia" w:ascii="宋体" w:hAnsi="宋体" w:cs="宋体"/>
          <w:b/>
          <w:color w:val="000000"/>
          <w:sz w:val="36"/>
          <w:szCs w:val="36"/>
          <w:shd w:val="clear" w:color="auto" w:fill="FFFFFF"/>
        </w:rPr>
      </w:pPr>
    </w:p>
    <w:p>
      <w:pPr>
        <w:spacing w:line="600" w:lineRule="exact"/>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禹州市城乡规划局18个传统村落保护规划项目</w:t>
      </w:r>
    </w:p>
    <w:p>
      <w:pPr>
        <w:spacing w:line="600" w:lineRule="exact"/>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eastAsia="zh-CN"/>
        </w:rPr>
        <w:t>招</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lang w:eastAsia="zh-CN"/>
        </w:rPr>
        <w:t>标</w:t>
      </w:r>
      <w:r>
        <w:rPr>
          <w:rFonts w:hint="eastAsia" w:ascii="仿宋" w:hAnsi="仿宋" w:eastAsia="仿宋" w:cs="仿宋"/>
          <w:b/>
          <w:bCs/>
          <w:sz w:val="36"/>
          <w:szCs w:val="36"/>
          <w:lang w:val="en-US" w:eastAsia="zh-CN"/>
        </w:rPr>
        <w:t xml:space="preserve">  邀  请  函</w:t>
      </w:r>
    </w:p>
    <w:p>
      <w:pPr>
        <w:keepNext w:val="0"/>
        <w:keepLines w:val="0"/>
        <w:pageBreakBefore w:val="0"/>
        <w:kinsoku/>
        <w:wordWrap/>
        <w:overflowPunct/>
        <w:topLinePunct w:val="0"/>
        <w:autoSpaceDE/>
        <w:autoSpaceDN/>
        <w:bidi w:val="0"/>
        <w:adjustRightInd/>
        <w:snapToGrid/>
        <w:spacing w:line="400" w:lineRule="exact"/>
        <w:ind w:right="0" w:rightChars="0" w:firstLine="640" w:firstLineChars="200"/>
        <w:jc w:val="left"/>
        <w:textAlignment w:val="auto"/>
        <w:outlineLvl w:val="9"/>
        <w:rPr>
          <w:rFonts w:hint="eastAsia" w:ascii="仿宋" w:hAnsi="仿宋" w:eastAsia="仿宋" w:cs="仿宋_GB2312"/>
          <w:sz w:val="32"/>
          <w:szCs w:val="32"/>
        </w:rPr>
      </w:pP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禹州市政府采购中心受</w:t>
      </w:r>
      <w:r>
        <w:rPr>
          <w:rFonts w:hint="eastAsia" w:ascii="仿宋" w:hAnsi="仿宋" w:eastAsia="仿宋" w:cs="仿宋"/>
          <w:sz w:val="24"/>
          <w:szCs w:val="24"/>
          <w:lang w:val="en-US" w:eastAsia="zh-CN"/>
        </w:rPr>
        <w:t>禹州市城乡规划局</w:t>
      </w:r>
      <w:r>
        <w:rPr>
          <w:rFonts w:hint="eastAsia" w:ascii="仿宋" w:hAnsi="仿宋" w:eastAsia="仿宋" w:cs="仿宋"/>
          <w:sz w:val="24"/>
          <w:szCs w:val="24"/>
        </w:rPr>
        <w:t>的委托，就“</w:t>
      </w:r>
      <w:r>
        <w:rPr>
          <w:rFonts w:hint="eastAsia" w:ascii="仿宋" w:hAnsi="仿宋" w:eastAsia="仿宋" w:cs="仿宋"/>
          <w:sz w:val="24"/>
          <w:szCs w:val="24"/>
          <w:lang w:val="en-US" w:eastAsia="zh-CN"/>
        </w:rPr>
        <w:t>禹州市城乡规划局18个传统村落保护规划项目</w:t>
      </w:r>
      <w:r>
        <w:rPr>
          <w:rFonts w:hint="eastAsia" w:ascii="仿宋" w:hAnsi="仿宋" w:eastAsia="仿宋" w:cs="仿宋"/>
          <w:sz w:val="24"/>
          <w:szCs w:val="24"/>
        </w:rPr>
        <w:t>”进行</w:t>
      </w:r>
      <w:r>
        <w:rPr>
          <w:rFonts w:hint="eastAsia" w:ascii="仿宋" w:hAnsi="仿宋" w:eastAsia="仿宋" w:cs="仿宋"/>
          <w:sz w:val="24"/>
          <w:szCs w:val="24"/>
          <w:lang w:eastAsia="zh-CN"/>
        </w:rPr>
        <w:t>公开招标</w:t>
      </w:r>
      <w:r>
        <w:rPr>
          <w:rFonts w:hint="eastAsia" w:ascii="仿宋" w:hAnsi="仿宋" w:eastAsia="仿宋" w:cs="仿宋"/>
          <w:sz w:val="24"/>
          <w:szCs w:val="24"/>
        </w:rPr>
        <w:t>，欢迎合格的投标人前来投标。</w:t>
      </w:r>
    </w:p>
    <w:p>
      <w:pPr>
        <w:keepNext w:val="0"/>
        <w:keepLines w:val="0"/>
        <w:pageBreakBefore w:val="0"/>
        <w:widowControl/>
        <w:numPr>
          <w:ilvl w:val="0"/>
          <w:numId w:val="5"/>
        </w:numPr>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项目基本情况</w:t>
      </w:r>
    </w:p>
    <w:p>
      <w:pPr>
        <w:keepNext w:val="0"/>
        <w:keepLines w:val="0"/>
        <w:pageBreakBefore w:val="0"/>
        <w:widowControl/>
        <w:numPr>
          <w:ilvl w:val="0"/>
          <w:numId w:val="6"/>
        </w:numPr>
        <w:shd w:val="clear" w:color="auto" w:fill="FFFFFF"/>
        <w:kinsoku/>
        <w:wordWrap/>
        <w:overflowPunct/>
        <w:topLinePunct w:val="0"/>
        <w:autoSpaceDE/>
        <w:autoSpaceDN/>
        <w:bidi w:val="0"/>
        <w:adjustRightInd/>
        <w:snapToGrid/>
        <w:spacing w:line="400" w:lineRule="exact"/>
        <w:ind w:left="481" w:leftChars="0" w:right="0" w:rightChars="0" w:firstLine="0" w:firstLineChars="0"/>
        <w:jc w:val="lef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val="en-US" w:eastAsia="zh-CN"/>
        </w:rPr>
        <w:t>采购人：禹州市城乡规划局</w:t>
      </w:r>
    </w:p>
    <w:p>
      <w:pPr>
        <w:keepNext w:val="0"/>
        <w:keepLines w:val="0"/>
        <w:pageBreakBefore w:val="0"/>
        <w:widowControl/>
        <w:numPr>
          <w:ilvl w:val="0"/>
          <w:numId w:val="6"/>
        </w:numPr>
        <w:shd w:val="clear" w:color="auto" w:fill="FFFFFF"/>
        <w:kinsoku/>
        <w:wordWrap/>
        <w:overflowPunct/>
        <w:topLinePunct w:val="0"/>
        <w:autoSpaceDE/>
        <w:autoSpaceDN/>
        <w:bidi w:val="0"/>
        <w:adjustRightInd/>
        <w:snapToGrid/>
        <w:spacing w:line="400" w:lineRule="exact"/>
        <w:ind w:left="481" w:leftChars="0" w:right="0" w:rightChars="0" w:firstLine="0" w:firstLineChars="0"/>
        <w:jc w:val="left"/>
        <w:textAlignment w:val="auto"/>
        <w:outlineLvl w:val="9"/>
        <w:rPr>
          <w:rFonts w:hint="eastAsia" w:ascii="仿宋" w:hAnsi="仿宋" w:eastAsia="仿宋" w:cs="仿宋"/>
          <w:sz w:val="24"/>
          <w:szCs w:val="24"/>
          <w:lang w:eastAsia="zh-CN"/>
        </w:rPr>
      </w:pPr>
      <w:r>
        <w:rPr>
          <w:rFonts w:hint="eastAsia" w:ascii="仿宋" w:hAnsi="仿宋" w:eastAsia="仿宋" w:cs="仿宋"/>
          <w:color w:val="000000"/>
          <w:kern w:val="0"/>
          <w:sz w:val="24"/>
          <w:szCs w:val="24"/>
        </w:rPr>
        <w:t>项目名称：</w:t>
      </w:r>
      <w:r>
        <w:rPr>
          <w:rFonts w:hint="eastAsia" w:ascii="仿宋" w:hAnsi="仿宋" w:eastAsia="仿宋" w:cs="仿宋"/>
          <w:color w:val="000000"/>
          <w:kern w:val="0"/>
          <w:sz w:val="24"/>
          <w:szCs w:val="24"/>
          <w:lang w:val="en-US" w:eastAsia="zh-CN"/>
        </w:rPr>
        <w:t>禹州市城乡规划局18个传统村落保护规划项目</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left="481" w:leftChars="0" w:right="0" w:rightChars="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、采购编号：</w:t>
      </w:r>
      <w:r>
        <w:rPr>
          <w:rFonts w:hint="eastAsia" w:ascii="仿宋" w:hAnsi="仿宋" w:eastAsia="仿宋" w:cs="仿宋"/>
          <w:sz w:val="24"/>
          <w:szCs w:val="24"/>
        </w:rPr>
        <w:t>YZCG-</w:t>
      </w:r>
      <w:r>
        <w:rPr>
          <w:rFonts w:hint="eastAsia" w:ascii="仿宋" w:hAnsi="仿宋" w:eastAsia="仿宋" w:cs="仿宋"/>
          <w:sz w:val="24"/>
          <w:szCs w:val="24"/>
          <w:lang w:val="en-US" w:eastAsia="zh-CN"/>
        </w:rPr>
        <w:t>G2019004</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、项目需求：</w:t>
      </w:r>
      <w:r>
        <w:rPr>
          <w:rFonts w:hint="eastAsia" w:ascii="仿宋" w:hAnsi="仿宋" w:eastAsia="仿宋" w:cs="仿宋"/>
          <w:color w:val="000000"/>
          <w:kern w:val="0"/>
          <w:sz w:val="24"/>
          <w:szCs w:val="24"/>
          <w:lang w:val="en-US" w:eastAsia="zh-CN"/>
        </w:rPr>
        <w:t>本项目分两个标段，一标段为无梁王家村等八个传统村落保护规划，二标段为磨街乡黄沟村等十个传统村落保护规划。</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rPr>
        <w:t>采购预算：</w:t>
      </w:r>
      <w:r>
        <w:rPr>
          <w:rFonts w:hint="eastAsia" w:ascii="仿宋" w:hAnsi="仿宋" w:eastAsia="仿宋" w:cs="仿宋"/>
          <w:color w:val="000000"/>
          <w:kern w:val="0"/>
          <w:sz w:val="24"/>
          <w:szCs w:val="24"/>
          <w:lang w:val="en-US" w:eastAsia="zh-CN"/>
        </w:rPr>
        <w:t>一标段：168万元；二标段：210万元</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6、采购限价：一标段：168万元；二标段：210万元</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354" w:firstLineChars="147"/>
        <w:jc w:val="left"/>
        <w:textAlignment w:val="auto"/>
        <w:outlineLvl w:val="9"/>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二、需要落实的政府采购政策</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本项目落实节约能源、保护环境、扶持不发达地区和少数民族地区、促进中小企业、监狱企业发展等政府采购政策。（详见谈判文件）</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left="482" w:leftChars="0" w:right="0" w:rightChars="0"/>
        <w:jc w:val="left"/>
        <w:textAlignment w:val="auto"/>
        <w:outlineLvl w:val="9"/>
        <w:rPr>
          <w:rFonts w:hint="eastAsia" w:ascii="仿宋" w:hAnsi="仿宋" w:eastAsia="仿宋" w:cs="仿宋"/>
          <w:b/>
          <w:color w:val="000000"/>
          <w:kern w:val="0"/>
          <w:sz w:val="24"/>
          <w:szCs w:val="24"/>
          <w:lang w:eastAsia="zh-CN"/>
        </w:rPr>
      </w:pPr>
      <w:r>
        <w:rPr>
          <w:rFonts w:hint="eastAsia" w:ascii="仿宋" w:hAnsi="仿宋" w:eastAsia="仿宋" w:cs="仿宋"/>
          <w:b/>
          <w:color w:val="000000"/>
          <w:kern w:val="0"/>
          <w:sz w:val="24"/>
          <w:szCs w:val="24"/>
          <w:lang w:eastAsia="zh-CN"/>
        </w:rPr>
        <w:t>三、</w:t>
      </w:r>
      <w:r>
        <w:rPr>
          <w:rFonts w:hint="eastAsia" w:ascii="仿宋" w:hAnsi="仿宋" w:eastAsia="仿宋" w:cs="仿宋"/>
          <w:b/>
          <w:color w:val="000000"/>
          <w:kern w:val="0"/>
          <w:sz w:val="24"/>
          <w:szCs w:val="24"/>
        </w:rPr>
        <w:t>供应商资格要求</w:t>
      </w:r>
      <w:r>
        <w:rPr>
          <w:rFonts w:hint="eastAsia" w:ascii="仿宋" w:hAnsi="仿宋" w:eastAsia="仿宋" w:cs="仿宋"/>
          <w:b/>
          <w:color w:val="000000"/>
          <w:kern w:val="0"/>
          <w:sz w:val="24"/>
          <w:szCs w:val="24"/>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1、符合《政府采购法》第二十二条之规定；</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2、投标人须具有独立法人资格，具备相应规划设计乙级以上资质（含乙级）,项目负责人职称为高级工程师及以上职称；</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3、被委托人是须是本单位职工，须提供公司为本人缴纳社会保险证明；</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4、本项目不接受联合体投标。</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lang w:eastAsia="zh-CN"/>
        </w:rPr>
        <w:t>四</w:t>
      </w:r>
      <w:r>
        <w:rPr>
          <w:rFonts w:hint="eastAsia" w:ascii="仿宋" w:hAnsi="仿宋" w:eastAsia="仿宋" w:cs="仿宋"/>
          <w:b/>
          <w:color w:val="000000"/>
          <w:kern w:val="0"/>
          <w:sz w:val="24"/>
          <w:szCs w:val="24"/>
        </w:rPr>
        <w:t>、获取</w:t>
      </w:r>
      <w:r>
        <w:rPr>
          <w:rFonts w:hint="eastAsia" w:ascii="仿宋" w:hAnsi="仿宋" w:eastAsia="仿宋" w:cs="仿宋"/>
          <w:b/>
          <w:color w:val="000000"/>
          <w:kern w:val="0"/>
          <w:sz w:val="24"/>
          <w:szCs w:val="24"/>
          <w:lang w:eastAsia="zh-CN"/>
        </w:rPr>
        <w:t>招标</w:t>
      </w:r>
      <w:r>
        <w:rPr>
          <w:rFonts w:hint="eastAsia" w:ascii="仿宋" w:hAnsi="仿宋" w:eastAsia="仿宋" w:cs="仿宋"/>
          <w:b/>
          <w:color w:val="000000"/>
          <w:kern w:val="0"/>
          <w:sz w:val="24"/>
          <w:szCs w:val="24"/>
        </w:rPr>
        <w:t>文件的方式、时间、地点</w:t>
      </w:r>
    </w:p>
    <w:p>
      <w:pPr>
        <w:keepNext w:val="0"/>
        <w:keepLines w:val="0"/>
        <w:pageBreakBefore w:val="0"/>
        <w:widowControl w:val="0"/>
        <w:kinsoku/>
        <w:wordWrap w:val="0"/>
        <w:overflowPunct/>
        <w:topLinePunct/>
        <w:bidi w:val="0"/>
        <w:snapToGrid w:val="0"/>
        <w:spacing w:line="400" w:lineRule="exact"/>
        <w:ind w:left="0" w:leftChars="0" w:right="0" w:rightChars="0" w:firstLine="480" w:firstLineChars="200"/>
        <w:jc w:val="both"/>
        <w:textAlignment w:val="auto"/>
        <w:outlineLvl w:val="9"/>
        <w:rPr>
          <w:rFonts w:hint="eastAsia" w:ascii="仿宋" w:hAnsi="仿宋" w:eastAsia="仿宋" w:cs="仿宋"/>
          <w:sz w:val="24"/>
          <w:szCs w:val="24"/>
          <w:lang w:val="zh-CN"/>
        </w:rPr>
      </w:pPr>
      <w:r>
        <w:rPr>
          <w:rFonts w:hint="eastAsia" w:ascii="仿宋" w:hAnsi="仿宋" w:eastAsia="仿宋" w:cs="仿宋"/>
          <w:sz w:val="24"/>
          <w:szCs w:val="24"/>
          <w:lang w:val="zh-CN"/>
        </w:rPr>
        <w:t>1、持CA数字认证证书，登录</w:t>
      </w:r>
      <w:r>
        <w:rPr>
          <w:rFonts w:hint="eastAsia" w:ascii="仿宋" w:hAnsi="仿宋" w:eastAsia="仿宋" w:cs="仿宋"/>
          <w:sz w:val="24"/>
          <w:szCs w:val="24"/>
          <w:lang w:val="zh-CN"/>
        </w:rPr>
        <w:fldChar w:fldCharType="begin"/>
      </w:r>
      <w:r>
        <w:rPr>
          <w:rFonts w:hint="eastAsia" w:ascii="仿宋" w:hAnsi="仿宋" w:eastAsia="仿宋" w:cs="仿宋"/>
          <w:sz w:val="24"/>
          <w:szCs w:val="24"/>
          <w:lang w:val="zh-CN"/>
        </w:rPr>
        <w:instrText xml:space="preserve">HYPERLINK "http://221.14.6.70:8088/ggzy/eps/public/RegistAllJcxx.html"</w:instrText>
      </w:r>
      <w:r>
        <w:rPr>
          <w:rFonts w:hint="eastAsia" w:ascii="仿宋" w:hAnsi="仿宋" w:eastAsia="仿宋" w:cs="仿宋"/>
          <w:sz w:val="24"/>
          <w:szCs w:val="24"/>
          <w:lang w:val="zh-CN"/>
        </w:rPr>
        <w:fldChar w:fldCharType="separate"/>
      </w:r>
      <w:r>
        <w:rPr>
          <w:rFonts w:hint="eastAsia" w:ascii="仿宋" w:hAnsi="仿宋" w:eastAsia="仿宋" w:cs="仿宋"/>
          <w:sz w:val="24"/>
          <w:szCs w:val="24"/>
          <w:lang w:val="zh-CN"/>
        </w:rPr>
        <w:t>http://221.14.6.70:8088/ggzy/eps/public/RegistAllJcxx.html</w:t>
      </w:r>
      <w:r>
        <w:rPr>
          <w:rFonts w:hint="eastAsia" w:ascii="仿宋" w:hAnsi="仿宋" w:eastAsia="仿宋" w:cs="仿宋"/>
          <w:sz w:val="24"/>
          <w:szCs w:val="24"/>
          <w:lang w:val="zh-CN"/>
        </w:rPr>
        <w:fldChar w:fldCharType="end"/>
      </w:r>
      <w:r>
        <w:rPr>
          <w:rFonts w:hint="eastAsia" w:ascii="仿宋" w:hAnsi="仿宋" w:eastAsia="仿宋" w:cs="仿宋"/>
          <w:sz w:val="24"/>
          <w:szCs w:val="24"/>
          <w:lang w:val="zh-CN"/>
        </w:rPr>
        <w:t>进行免费注册登记（详见全国公共资源交易平台（河南省·许昌市）“常见问题解答-诚信库网上注册相关资料下载”）；</w:t>
      </w:r>
    </w:p>
    <w:p>
      <w:pPr>
        <w:keepNext w:val="0"/>
        <w:keepLines w:val="0"/>
        <w:pageBreakBefore w:val="0"/>
        <w:widowControl w:val="0"/>
        <w:kinsoku/>
        <w:wordWrap w:val="0"/>
        <w:overflowPunct/>
        <w:topLinePunct/>
        <w:autoSpaceDE w:val="0"/>
        <w:autoSpaceDN w:val="0"/>
        <w:bidi w:val="0"/>
        <w:adjustRightInd w:val="0"/>
        <w:snapToGrid w:val="0"/>
        <w:spacing w:line="400" w:lineRule="exact"/>
        <w:ind w:left="0" w:leftChars="0" w:right="0" w:rightChars="0" w:firstLine="482"/>
        <w:jc w:val="both"/>
        <w:textAlignment w:val="auto"/>
        <w:outlineLvl w:val="9"/>
        <w:rPr>
          <w:rFonts w:hint="eastAsia" w:ascii="仿宋" w:hAnsi="仿宋" w:eastAsia="仿宋" w:cs="仿宋"/>
          <w:sz w:val="24"/>
          <w:szCs w:val="24"/>
          <w:lang w:val="zh-CN"/>
        </w:rPr>
      </w:pPr>
      <w:r>
        <w:rPr>
          <w:rFonts w:hint="eastAsia" w:ascii="仿宋" w:hAnsi="仿宋" w:eastAsia="仿宋" w:cs="仿宋"/>
          <w:sz w:val="24"/>
          <w:szCs w:val="24"/>
          <w:lang w:val="zh-CN"/>
        </w:rPr>
        <w:t>　2、在投标截止时间前登录</w:t>
      </w:r>
      <w:r>
        <w:rPr>
          <w:rFonts w:hint="eastAsia" w:ascii="仿宋" w:hAnsi="仿宋" w:eastAsia="仿宋" w:cs="仿宋"/>
          <w:sz w:val="24"/>
          <w:szCs w:val="24"/>
          <w:lang w:val="zh-CN"/>
        </w:rPr>
        <w:fldChar w:fldCharType="begin"/>
      </w:r>
      <w:r>
        <w:rPr>
          <w:rFonts w:hint="eastAsia" w:ascii="仿宋" w:hAnsi="仿宋" w:eastAsia="仿宋" w:cs="仿宋"/>
          <w:sz w:val="24"/>
          <w:szCs w:val="24"/>
          <w:lang w:val="zh-CN"/>
        </w:rPr>
        <w:instrText xml:space="preserve">HYPERLINK "http://221.14.6.70:8088/ggzy/"</w:instrText>
      </w:r>
      <w:r>
        <w:rPr>
          <w:rFonts w:hint="eastAsia" w:ascii="仿宋" w:hAnsi="仿宋" w:eastAsia="仿宋" w:cs="仿宋"/>
          <w:sz w:val="24"/>
          <w:szCs w:val="24"/>
          <w:lang w:val="zh-CN"/>
        </w:rPr>
        <w:fldChar w:fldCharType="separate"/>
      </w:r>
      <w:r>
        <w:rPr>
          <w:rFonts w:hint="eastAsia" w:ascii="仿宋" w:hAnsi="仿宋" w:eastAsia="仿宋" w:cs="仿宋"/>
          <w:sz w:val="24"/>
          <w:szCs w:val="24"/>
          <w:lang w:val="zh-CN"/>
        </w:rPr>
        <w:t>http://221.14.6.70:8088/ggzy/</w:t>
      </w:r>
      <w:r>
        <w:rPr>
          <w:rFonts w:hint="eastAsia" w:ascii="仿宋" w:hAnsi="仿宋" w:eastAsia="仿宋" w:cs="仿宋"/>
          <w:sz w:val="24"/>
          <w:szCs w:val="24"/>
          <w:lang w:val="zh-CN"/>
        </w:rPr>
        <w:fldChar w:fldCharType="end"/>
      </w:r>
      <w:r>
        <w:rPr>
          <w:rFonts w:hint="eastAsia" w:ascii="仿宋" w:hAnsi="仿宋" w:eastAsia="仿宋" w:cs="仿宋"/>
          <w:sz w:val="24"/>
          <w:szCs w:val="24"/>
          <w:lang w:val="zh-CN"/>
        </w:rPr>
        <w:t>，自行下载招标文件（详见全国公共资源交易平台（河南省·许昌市）“常见问题解答-交易系统操作手册”）。</w:t>
      </w:r>
    </w:p>
    <w:p>
      <w:pPr>
        <w:keepNext w:val="0"/>
        <w:keepLines w:val="0"/>
        <w:pageBreakBefore w:val="0"/>
        <w:widowControl w:val="0"/>
        <w:kinsoku/>
        <w:overflowPunct/>
        <w:bidi w:val="0"/>
        <w:spacing w:line="400" w:lineRule="exact"/>
        <w:ind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　　3</w:t>
      </w:r>
      <w:r>
        <w:rPr>
          <w:rFonts w:hint="eastAsia" w:ascii="仿宋" w:hAnsi="仿宋" w:eastAsia="仿宋" w:cs="仿宋"/>
          <w:sz w:val="24"/>
          <w:szCs w:val="24"/>
        </w:rPr>
        <w:t>、未通过全国公共资源交易平台（河南省·许昌市）下载招标文件的投标企业，拒收其递交的投标文件</w:t>
      </w:r>
      <w:r>
        <w:rPr>
          <w:rFonts w:hint="eastAsia" w:ascii="仿宋" w:hAnsi="仿宋" w:eastAsia="仿宋" w:cs="仿宋"/>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right="0" w:rightChars="0" w:firstLine="640"/>
        <w:textAlignment w:val="auto"/>
        <w:outlineLvl w:val="9"/>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eastAsia="zh-CN"/>
        </w:rPr>
        <w:t>招标</w:t>
      </w:r>
      <w:r>
        <w:rPr>
          <w:rFonts w:hint="eastAsia" w:ascii="仿宋" w:hAnsi="仿宋" w:eastAsia="仿宋" w:cs="仿宋"/>
          <w:sz w:val="24"/>
          <w:szCs w:val="24"/>
        </w:rPr>
        <w:t>文件每份售价人民币200元，于递交投标文件时缴纳给采购代理机构，售后不退。</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2"/>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五</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eastAsia="zh-CN"/>
        </w:rPr>
        <w:t>投标</w:t>
      </w:r>
      <w:r>
        <w:rPr>
          <w:rFonts w:hint="eastAsia" w:ascii="仿宋" w:hAnsi="仿宋" w:eastAsia="仿宋" w:cs="仿宋"/>
          <w:color w:val="000000"/>
          <w:kern w:val="0"/>
          <w:sz w:val="24"/>
          <w:szCs w:val="24"/>
        </w:rPr>
        <w:t>截止时间、</w:t>
      </w:r>
      <w:r>
        <w:rPr>
          <w:rFonts w:hint="eastAsia" w:ascii="仿宋" w:hAnsi="仿宋" w:eastAsia="仿宋" w:cs="仿宋"/>
          <w:color w:val="000000"/>
          <w:kern w:val="0"/>
          <w:sz w:val="24"/>
          <w:szCs w:val="24"/>
          <w:lang w:eastAsia="zh-CN"/>
        </w:rPr>
        <w:t>开标</w:t>
      </w:r>
      <w:r>
        <w:rPr>
          <w:rFonts w:hint="eastAsia" w:ascii="仿宋" w:hAnsi="仿宋" w:eastAsia="仿宋" w:cs="仿宋"/>
          <w:color w:val="000000"/>
          <w:kern w:val="0"/>
          <w:sz w:val="24"/>
          <w:szCs w:val="24"/>
        </w:rPr>
        <w:t>时间及地点：</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eastAsia="zh-CN"/>
        </w:rPr>
        <w:t>投标</w:t>
      </w:r>
      <w:r>
        <w:rPr>
          <w:rFonts w:hint="eastAsia" w:ascii="仿宋" w:hAnsi="仿宋" w:eastAsia="仿宋" w:cs="仿宋"/>
          <w:color w:val="000000"/>
          <w:kern w:val="0"/>
          <w:sz w:val="24"/>
          <w:szCs w:val="24"/>
        </w:rPr>
        <w:t>截止及</w:t>
      </w:r>
      <w:r>
        <w:rPr>
          <w:rFonts w:hint="eastAsia" w:ascii="仿宋" w:hAnsi="仿宋" w:eastAsia="仿宋" w:cs="仿宋"/>
          <w:color w:val="000000"/>
          <w:kern w:val="0"/>
          <w:sz w:val="24"/>
          <w:szCs w:val="24"/>
          <w:lang w:eastAsia="zh-CN"/>
        </w:rPr>
        <w:t>开标</w:t>
      </w:r>
      <w:r>
        <w:rPr>
          <w:rFonts w:hint="eastAsia" w:ascii="仿宋" w:hAnsi="仿宋" w:eastAsia="仿宋" w:cs="仿宋"/>
          <w:color w:val="000000"/>
          <w:kern w:val="0"/>
          <w:sz w:val="24"/>
          <w:szCs w:val="24"/>
        </w:rPr>
        <w:t>时间：</w:t>
      </w:r>
      <w:r>
        <w:rPr>
          <w:rFonts w:hint="eastAsia" w:ascii="仿宋" w:hAnsi="仿宋" w:eastAsia="仿宋" w:cs="仿宋"/>
          <w:color w:val="000000"/>
          <w:kern w:val="0"/>
          <w:sz w:val="24"/>
          <w:szCs w:val="24"/>
          <w:lang w:val="en-US" w:eastAsia="zh-CN"/>
        </w:rPr>
        <w:t>2019</w:t>
      </w:r>
      <w:r>
        <w:rPr>
          <w:rFonts w:hint="eastAsia" w:ascii="仿宋" w:hAnsi="仿宋" w:eastAsia="仿宋" w:cs="仿宋"/>
          <w:color w:val="000000"/>
          <w:kern w:val="0"/>
          <w:sz w:val="24"/>
          <w:szCs w:val="24"/>
        </w:rPr>
        <w:t>年</w:t>
      </w: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rPr>
        <w:t>月</w:t>
      </w:r>
      <w:r>
        <w:rPr>
          <w:rFonts w:hint="eastAsia" w:ascii="仿宋" w:hAnsi="仿宋" w:eastAsia="仿宋" w:cs="仿宋"/>
          <w:color w:val="000000"/>
          <w:kern w:val="0"/>
          <w:sz w:val="24"/>
          <w:szCs w:val="24"/>
          <w:lang w:val="en-US" w:eastAsia="zh-CN"/>
        </w:rPr>
        <w:t>30</w:t>
      </w:r>
      <w:r>
        <w:rPr>
          <w:rFonts w:hint="eastAsia" w:ascii="仿宋" w:hAnsi="仿宋" w:eastAsia="仿宋" w:cs="仿宋"/>
          <w:color w:val="000000"/>
          <w:kern w:val="0"/>
          <w:sz w:val="24"/>
          <w:szCs w:val="24"/>
        </w:rPr>
        <w:t>日</w:t>
      </w:r>
      <w:r>
        <w:rPr>
          <w:rFonts w:hint="eastAsia" w:ascii="仿宋" w:hAnsi="仿宋" w:eastAsia="仿宋" w:cs="仿宋"/>
          <w:color w:val="000000"/>
          <w:kern w:val="0"/>
          <w:sz w:val="24"/>
          <w:szCs w:val="24"/>
          <w:lang w:val="en-US" w:eastAsia="zh-CN"/>
        </w:rPr>
        <w:t>9:00</w:t>
      </w:r>
      <w:r>
        <w:rPr>
          <w:rFonts w:hint="eastAsia" w:ascii="仿宋" w:hAnsi="仿宋" w:eastAsia="仿宋" w:cs="仿宋"/>
          <w:color w:val="000000"/>
          <w:kern w:val="0"/>
          <w:sz w:val="24"/>
          <w:szCs w:val="24"/>
        </w:rPr>
        <w:t>（北京时间），逾期送达或不符合规定的投标文件不予接受。</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r>
        <w:rPr>
          <w:rFonts w:hint="eastAsia" w:ascii="仿宋" w:hAnsi="仿宋" w:eastAsia="仿宋" w:cs="仿宋"/>
          <w:color w:val="000000"/>
          <w:kern w:val="0"/>
          <w:sz w:val="24"/>
          <w:szCs w:val="24"/>
          <w:lang w:eastAsia="zh-CN"/>
        </w:rPr>
        <w:t>开标</w:t>
      </w:r>
      <w:r>
        <w:rPr>
          <w:rFonts w:hint="eastAsia" w:ascii="仿宋" w:hAnsi="仿宋" w:eastAsia="仿宋" w:cs="仿宋"/>
          <w:color w:val="000000"/>
          <w:kern w:val="0"/>
          <w:sz w:val="24"/>
          <w:szCs w:val="24"/>
        </w:rPr>
        <w:t>地点：</w:t>
      </w:r>
      <w:r>
        <w:rPr>
          <w:rFonts w:hint="eastAsia" w:ascii="仿宋" w:hAnsi="仿宋" w:eastAsia="仿宋" w:cs="仿宋"/>
          <w:sz w:val="24"/>
          <w:szCs w:val="24"/>
        </w:rPr>
        <w:t>禹州市公共资源交易中心第二开标室（禹州市行政服务中心楼9楼）</w:t>
      </w:r>
      <w:r>
        <w:rPr>
          <w:rFonts w:hint="eastAsia" w:ascii="仿宋" w:hAnsi="仿宋" w:eastAsia="仿宋" w:cs="仿宋"/>
          <w:color w:val="000000"/>
          <w:kern w:val="0"/>
          <w:sz w:val="24"/>
          <w:szCs w:val="24"/>
        </w:rPr>
        <w:t xml:space="preserve"> </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3、本项目为全流程电子化交易项目，投标人须提交电子投标文件和纸质投标文件。</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（1）加密电子投标文件（.file格式）须在投标截止时间（开标时间）前通过《全国公共资源交易平台(河南省▪许昌市)》公共资源交易系统成功上传。</w:t>
      </w:r>
    </w:p>
    <w:p>
      <w:pPr>
        <w:keepNext w:val="0"/>
        <w:keepLines w:val="0"/>
        <w:pageBreakBefore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六、本次招标公告同时在《中国政府采购网》、《河南省政府采购网》、《全国公共资源交易平台（河南省·许昌市）》发布等。</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七</w:t>
      </w:r>
      <w:r>
        <w:rPr>
          <w:rFonts w:hint="eastAsia" w:ascii="仿宋" w:hAnsi="仿宋" w:eastAsia="仿宋" w:cs="仿宋"/>
          <w:color w:val="000000"/>
          <w:kern w:val="0"/>
          <w:sz w:val="24"/>
          <w:szCs w:val="24"/>
        </w:rPr>
        <w:t>、代理机构及采购单位地址、联系人、联系电话</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（一）代理机构：禹州市政府采购中心</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地址：</w:t>
      </w:r>
      <w:r>
        <w:rPr>
          <w:rFonts w:hint="eastAsia" w:ascii="仿宋" w:hAnsi="仿宋" w:eastAsia="仿宋" w:cs="仿宋"/>
          <w:sz w:val="24"/>
          <w:szCs w:val="24"/>
        </w:rPr>
        <w:t>禹州市行政服务中心楼917房间</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联系人：</w:t>
      </w:r>
      <w:r>
        <w:rPr>
          <w:rFonts w:hint="eastAsia" w:ascii="仿宋" w:hAnsi="仿宋" w:eastAsia="仿宋" w:cs="仿宋"/>
          <w:color w:val="000000"/>
          <w:kern w:val="0"/>
          <w:sz w:val="24"/>
          <w:szCs w:val="24"/>
          <w:lang w:val="en-US" w:eastAsia="zh-CN"/>
        </w:rPr>
        <w:t>李女士</w:t>
      </w:r>
      <w:r>
        <w:rPr>
          <w:rFonts w:hint="eastAsia" w:ascii="仿宋" w:hAnsi="仿宋" w:eastAsia="仿宋" w:cs="仿宋"/>
          <w:color w:val="000000"/>
          <w:kern w:val="0"/>
          <w:sz w:val="24"/>
          <w:szCs w:val="24"/>
        </w:rPr>
        <w:t xml:space="preserve">  联系电话：0374-2077111</w:t>
      </w:r>
    </w:p>
    <w:p>
      <w:pPr>
        <w:keepNext w:val="0"/>
        <w:keepLines w:val="0"/>
        <w:pageBreakBefore w:val="0"/>
        <w:widowControl/>
        <w:numPr>
          <w:ilvl w:val="0"/>
          <w:numId w:val="7"/>
        </w:numPr>
        <w:shd w:val="clear" w:color="auto" w:fill="FFFFFF"/>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rPr>
        <w:t>采购单位：</w:t>
      </w:r>
      <w:r>
        <w:rPr>
          <w:rFonts w:hint="eastAsia" w:ascii="仿宋" w:hAnsi="仿宋" w:eastAsia="仿宋" w:cs="仿宋"/>
          <w:color w:val="000000"/>
          <w:kern w:val="0"/>
          <w:sz w:val="24"/>
          <w:szCs w:val="24"/>
          <w:lang w:val="en-US" w:eastAsia="zh-CN"/>
        </w:rPr>
        <w:t>禹州市城乡规划局</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地址：</w:t>
      </w:r>
      <w:r>
        <w:rPr>
          <w:rFonts w:hint="eastAsia" w:ascii="仿宋" w:hAnsi="仿宋" w:eastAsia="仿宋" w:cs="仿宋"/>
          <w:color w:val="000000"/>
          <w:kern w:val="0"/>
          <w:sz w:val="24"/>
          <w:szCs w:val="24"/>
          <w:lang w:val="en-US" w:eastAsia="zh-CN"/>
        </w:rPr>
        <w:t>禹州市行政南路</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right="0" w:rightChars="0" w:firstLine="641"/>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联系人：</w:t>
      </w:r>
      <w:r>
        <w:rPr>
          <w:rFonts w:hint="eastAsia" w:ascii="仿宋" w:hAnsi="仿宋" w:eastAsia="仿宋" w:cs="仿宋"/>
          <w:color w:val="000000"/>
          <w:kern w:val="0"/>
          <w:sz w:val="24"/>
          <w:szCs w:val="24"/>
          <w:lang w:val="en-US" w:eastAsia="zh-CN"/>
        </w:rPr>
        <w:t>李先生</w:t>
      </w:r>
      <w:r>
        <w:rPr>
          <w:rFonts w:hint="eastAsia" w:ascii="仿宋" w:hAnsi="仿宋" w:eastAsia="仿宋" w:cs="仿宋"/>
          <w:color w:val="000000"/>
          <w:kern w:val="0"/>
          <w:sz w:val="24"/>
          <w:szCs w:val="24"/>
        </w:rPr>
        <w:t xml:space="preserve">   联系电话</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13937427766</w:t>
      </w:r>
    </w:p>
    <w:p>
      <w:pPr>
        <w:keepNext w:val="0"/>
        <w:keepLines w:val="0"/>
        <w:pageBreakBefore w:val="0"/>
        <w:kinsoku/>
        <w:wordWrap/>
        <w:overflowPunct/>
        <w:topLinePunct w:val="0"/>
        <w:autoSpaceDE/>
        <w:autoSpaceDN/>
        <w:bidi w:val="0"/>
        <w:adjustRightInd/>
        <w:snapToGrid/>
        <w:spacing w:line="400" w:lineRule="exact"/>
        <w:ind w:right="0" w:rightChars="0" w:firstLine="4080" w:firstLineChars="17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ind w:right="0" w:rightChars="0" w:firstLine="4560" w:firstLineChars="1900"/>
        <w:textAlignment w:val="auto"/>
        <w:outlineLvl w:val="9"/>
        <w:rPr>
          <w:rFonts w:hint="eastAsia" w:ascii="仿宋" w:hAnsi="仿宋" w:eastAsia="仿宋" w:cs="仿宋"/>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ind w:right="0" w:rightChars="0" w:firstLine="4560" w:firstLineChars="19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201</w:t>
      </w:r>
      <w:r>
        <w:rPr>
          <w:rFonts w:hint="eastAsia" w:ascii="仿宋" w:hAnsi="仿宋" w:eastAsia="仿宋" w:cs="仿宋"/>
          <w:sz w:val="24"/>
          <w:szCs w:val="24"/>
          <w:lang w:val="en-US" w:eastAsia="zh-CN"/>
        </w:rPr>
        <w:t>9</w:t>
      </w:r>
      <w:r>
        <w:rPr>
          <w:rFonts w:hint="eastAsia" w:ascii="仿宋" w:hAnsi="仿宋" w:eastAsia="仿宋" w:cs="仿宋"/>
          <w:sz w:val="24"/>
          <w:szCs w:val="24"/>
        </w:rPr>
        <w:t>年</w:t>
      </w:r>
      <w:r>
        <w:rPr>
          <w:rFonts w:hint="eastAsia" w:ascii="仿宋" w:hAnsi="仿宋" w:eastAsia="仿宋" w:cs="仿宋"/>
          <w:sz w:val="24"/>
          <w:szCs w:val="24"/>
          <w:lang w:val="en-US" w:eastAsia="zh-CN"/>
        </w:rPr>
        <w:t>1</w:t>
      </w:r>
      <w:r>
        <w:rPr>
          <w:rFonts w:hint="eastAsia" w:ascii="仿宋" w:hAnsi="仿宋" w:eastAsia="仿宋" w:cs="仿宋"/>
          <w:sz w:val="24"/>
          <w:szCs w:val="24"/>
        </w:rPr>
        <w:t>月</w:t>
      </w:r>
      <w:r>
        <w:rPr>
          <w:rFonts w:hint="eastAsia" w:ascii="仿宋" w:hAnsi="仿宋" w:eastAsia="仿宋" w:cs="仿宋"/>
          <w:sz w:val="24"/>
          <w:szCs w:val="24"/>
          <w:lang w:val="en-US" w:eastAsia="zh-CN"/>
        </w:rPr>
        <w:t>10</w:t>
      </w:r>
      <w:r>
        <w:rPr>
          <w:rFonts w:hint="eastAsia" w:ascii="仿宋" w:hAnsi="仿宋" w:eastAsia="仿宋" w:cs="仿宋"/>
          <w:sz w:val="24"/>
          <w:szCs w:val="24"/>
        </w:rPr>
        <w:t>日</w:t>
      </w:r>
    </w:p>
    <w:p>
      <w:pPr>
        <w:pStyle w:val="19"/>
        <w:widowControl/>
        <w:shd w:val="clear" w:color="auto" w:fill="FFFFFF"/>
        <w:spacing w:line="315" w:lineRule="atLeast"/>
        <w:ind w:firstLine="420"/>
        <w:jc w:val="left"/>
        <w:rPr>
          <w:rFonts w:hint="eastAsia" w:ascii="仿宋" w:hAnsi="仿宋" w:eastAsia="仿宋" w:cs="仿宋"/>
          <w:color w:val="000000"/>
          <w:sz w:val="24"/>
          <w:szCs w:val="24"/>
          <w:shd w:val="clear" w:color="auto" w:fill="FFFFFF"/>
        </w:rPr>
      </w:pPr>
    </w:p>
    <w:p>
      <w:pPr>
        <w:spacing w:line="360" w:lineRule="auto"/>
        <w:rPr>
          <w:rFonts w:hAnsi="宋体"/>
          <w:b/>
          <w:sz w:val="28"/>
          <w:szCs w:val="28"/>
        </w:rPr>
      </w:pPr>
      <w:r>
        <w:rPr>
          <w:rFonts w:hint="eastAsia" w:ascii="黑体" w:hAnsi="黑体" w:eastAsia="黑体" w:cs="黑体"/>
          <w:bCs/>
          <w:color w:val="000000"/>
          <w:sz w:val="32"/>
          <w:szCs w:val="32"/>
          <w:shd w:val="clear" w:color="auto" w:fill="FFFFFF"/>
        </w:rPr>
        <w:t xml:space="preserve">   </w:t>
      </w:r>
      <w:r>
        <w:rPr>
          <w:rFonts w:hint="eastAsia" w:ascii="黑体" w:hAnsi="黑体" w:eastAsia="黑体" w:cs="黑体"/>
          <w:bCs/>
          <w:color w:val="000000"/>
          <w:shd w:val="clear" w:color="auto" w:fill="FFFFFF"/>
        </w:rPr>
        <w:t xml:space="preserve"> </w:t>
      </w:r>
    </w:p>
    <w:p>
      <w:pPr>
        <w:spacing w:line="360" w:lineRule="auto"/>
        <w:rPr>
          <w:rFonts w:hAnsi="宋体"/>
          <w:b/>
          <w:sz w:val="28"/>
          <w:szCs w:val="28"/>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7"/>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4"/>
          <w:rFonts w:hAnsi="宋体"/>
          <w:sz w:val="24"/>
          <w:szCs w:val="24"/>
        </w:rPr>
        <w:t>http://221.14.6.70:8088/ggzy/</w:t>
      </w:r>
      <w:r>
        <w:rPr>
          <w:rStyle w:val="24"/>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4"/>
          <w:rFonts w:hAnsi="宋体"/>
          <w:sz w:val="24"/>
          <w:szCs w:val="24"/>
        </w:rPr>
        <w:t>http://221.14.6.70:8088/ggzy/</w:t>
      </w:r>
      <w:r>
        <w:rPr>
          <w:rStyle w:val="24"/>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pStyle w:val="2"/>
      </w:pPr>
    </w:p>
    <w:p>
      <w:pPr>
        <w:numPr>
          <w:ilvl w:val="0"/>
          <w:numId w:val="8"/>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6"/>
          <w:szCs w:val="36"/>
        </w:rPr>
        <w:t>项目需求</w:t>
      </w:r>
    </w:p>
    <w:p>
      <w:pPr>
        <w:spacing w:line="440" w:lineRule="exact"/>
        <w:rPr>
          <w:rFonts w:hint="eastAsia" w:ascii="宋体" w:hAnsi="宋体" w:cs="宋体" w:eastAsiaTheme="minorEastAsia"/>
          <w:b/>
          <w:szCs w:val="21"/>
          <w:lang w:eastAsia="zh-CN"/>
        </w:rPr>
      </w:pPr>
      <w:r>
        <w:rPr>
          <w:rFonts w:hint="eastAsia" w:ascii="宋体" w:hAnsi="宋体" w:cs="宋体"/>
          <w:b/>
          <w:szCs w:val="21"/>
        </w:rPr>
        <w:t>一、</w:t>
      </w:r>
      <w:r>
        <w:rPr>
          <w:rFonts w:hint="eastAsia" w:ascii="宋体" w:hAnsi="宋体" w:cs="宋体"/>
          <w:b/>
          <w:szCs w:val="21"/>
          <w:lang w:eastAsia="zh-CN"/>
        </w:rPr>
        <w:t>项目概况</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本项目分两个标段：</w:t>
      </w:r>
    </w:p>
    <w:p>
      <w:pPr>
        <w:tabs>
          <w:tab w:val="left" w:pos="7095"/>
        </w:tabs>
        <w:spacing w:line="360" w:lineRule="auto"/>
        <w:ind w:firstLine="480" w:firstLineChars="200"/>
        <w:contextualSpacing/>
        <w:rPr>
          <w:rFonts w:hint="eastAsia" w:hAnsi="宋体"/>
          <w:color w:val="000000"/>
          <w:sz w:val="24"/>
          <w:szCs w:val="24"/>
          <w:lang w:eastAsia="zh-CN"/>
        </w:rPr>
      </w:pPr>
      <w:r>
        <w:rPr>
          <w:rFonts w:hint="eastAsia" w:hAnsi="宋体"/>
          <w:color w:val="000000"/>
          <w:sz w:val="24"/>
          <w:szCs w:val="24"/>
          <w:lang w:eastAsia="zh-CN"/>
        </w:rPr>
        <w:t>第一个标段为：无梁王家村、龙门村、张得张西村、无梁高垌村、方山镇方山村、鸠山镇天垌村、魏井村、古城镇狮子口村。</w:t>
      </w:r>
    </w:p>
    <w:p>
      <w:pPr>
        <w:tabs>
          <w:tab w:val="left" w:pos="7095"/>
        </w:tabs>
        <w:spacing w:line="360" w:lineRule="auto"/>
        <w:ind w:firstLine="480" w:firstLineChars="200"/>
        <w:contextualSpacing/>
        <w:rPr>
          <w:rFonts w:hint="eastAsia" w:hAnsi="宋体"/>
          <w:color w:val="000000"/>
          <w:sz w:val="24"/>
          <w:szCs w:val="24"/>
          <w:lang w:eastAsia="zh-CN"/>
        </w:rPr>
      </w:pPr>
      <w:r>
        <w:rPr>
          <w:rFonts w:hint="eastAsia" w:hAnsi="宋体"/>
          <w:color w:val="000000"/>
          <w:sz w:val="24"/>
          <w:szCs w:val="24"/>
          <w:lang w:eastAsia="zh-CN"/>
        </w:rPr>
        <w:t>第二标段为：磨街乡黄沟村、关庙村、青山岭村、苌庄乡莱沟村、五坪村、鸿畅镇冀村、山底吴村、朱阁镇大庙村、浅井镇麻地川村、神垕东大村。</w:t>
      </w:r>
    </w:p>
    <w:p>
      <w:pPr>
        <w:spacing w:line="440" w:lineRule="exact"/>
        <w:rPr>
          <w:rFonts w:hint="eastAsia" w:ascii="宋体" w:hAnsi="宋体" w:cs="宋体"/>
          <w:b/>
          <w:szCs w:val="21"/>
          <w:lang w:eastAsia="zh-CN"/>
        </w:rPr>
      </w:pPr>
      <w:r>
        <w:rPr>
          <w:rFonts w:hint="eastAsia" w:ascii="宋体" w:hAnsi="宋体" w:cs="宋体"/>
          <w:b/>
          <w:szCs w:val="21"/>
          <w:lang w:eastAsia="zh-CN"/>
        </w:rPr>
        <w:t>二、</w:t>
      </w:r>
      <w:r>
        <w:rPr>
          <w:rFonts w:hint="eastAsia" w:ascii="宋体" w:hAnsi="宋体" w:cs="宋体"/>
          <w:b/>
          <w:szCs w:val="21"/>
          <w:lang w:val="en-US" w:eastAsia="zh-CN"/>
        </w:rPr>
        <w:t>两个标段</w:t>
      </w:r>
      <w:r>
        <w:rPr>
          <w:rFonts w:hint="eastAsia" w:ascii="宋体" w:hAnsi="宋体" w:cs="宋体"/>
          <w:b/>
          <w:szCs w:val="21"/>
          <w:lang w:eastAsia="zh-CN"/>
        </w:rPr>
        <w:t>具体需求</w:t>
      </w:r>
    </w:p>
    <w:p>
      <w:pPr>
        <w:tabs>
          <w:tab w:val="left" w:pos="7095"/>
        </w:tabs>
        <w:spacing w:line="360" w:lineRule="auto"/>
        <w:ind w:firstLine="480" w:firstLineChars="200"/>
        <w:contextualSpacing/>
        <w:rPr>
          <w:rFonts w:hint="eastAsia" w:hAnsi="宋体"/>
          <w:color w:val="000000"/>
          <w:sz w:val="24"/>
          <w:szCs w:val="24"/>
          <w:lang w:eastAsia="zh-CN"/>
        </w:rPr>
      </w:pPr>
      <w:r>
        <w:rPr>
          <w:rFonts w:hint="eastAsia" w:hAnsi="宋体"/>
          <w:color w:val="000000"/>
          <w:sz w:val="24"/>
          <w:szCs w:val="24"/>
          <w:lang w:eastAsia="zh-CN"/>
        </w:rPr>
        <w:t>（一）本项目需实现的功能或者目标</w:t>
      </w:r>
    </w:p>
    <w:p>
      <w:pPr>
        <w:tabs>
          <w:tab w:val="left" w:pos="7095"/>
        </w:tabs>
        <w:spacing w:line="360" w:lineRule="auto"/>
        <w:ind w:firstLine="480" w:firstLineChars="200"/>
        <w:contextualSpacing/>
        <w:rPr>
          <w:rFonts w:hint="eastAsia" w:hAnsi="宋体"/>
          <w:color w:val="000000"/>
          <w:sz w:val="24"/>
          <w:szCs w:val="24"/>
          <w:lang w:eastAsia="zh-CN"/>
        </w:rPr>
      </w:pPr>
      <w:r>
        <w:rPr>
          <w:rFonts w:hint="eastAsia" w:hAnsi="宋体"/>
          <w:color w:val="000000"/>
          <w:sz w:val="24"/>
          <w:szCs w:val="24"/>
          <w:lang w:eastAsia="zh-CN"/>
        </w:rPr>
        <w:t>建设优秀文化传承体系，弘扬中华优秀传统文化的精神，改变目前传统村落日益衰败、甚至消失的情况，研究传统村落历史、文化、科学、艺术、社会、经济价值，保护农耕文明不可再生的文化遗产，使农村魅力全面提升。</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（二）本项目的执行标准：</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中华人民共和国城乡规划法》、《中华人民共和国文物保护法》、《中华人民共和国环境保护法》、《中华人民共和国非物质文化遗产》、《中华人民共和国文物保护法实施条例》、《传统村落保护发展规划编制基本要求》、《村镇规划标准》、《村镇规划建设管理办法》、《城市古树名木保护管理办法》（建设部令［2000］第192号）、《禹州市城乡总体规划》以及乡镇总体规划。</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（三）本项目必须完成的规划任务：</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调查村落传统资源，建立传统村落档案，确定保护对象，划定保护范围并制订保护管理规定，提出传统资源保护以及村落人居环境改善的措施。</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（四）对本项目进行特征分析与价值评价：</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对村落选址与自然景观环境特征、村落传统格局和整体风貌特征、传统建筑特征、历史环境要素特征、非物质文化遗产特征进行分析。通过与较大区域范围（地理区域、文化区域、民族区域）以及邻近区域内其他村落的比较，综合分析传统村落的特点，评估其历史、艺术、科学、社会等价值。对各种不利于传统资源保护的因素进行分析，并评估这些因素威胁传统村落的程度。</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（五）明确本项目的基本要求:</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　　1、明确保护对象</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　　依据传统村落调查与特征分析结果，明确传统资源保护对象，对各类各项传统资源分类分级进行保护。</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　　2、划定保护区划</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　　传统村落应整体进行保护，将村落及与其有重要视觉、文化关联的区域整体划为保护区加以保护；村域范围内的其他传统资源亦应划定相应的保护区；要针对不同范围的保护要求制订相应的保护管理规定。保护区划的划定方法与保护管理规定可参照《历史文化名城名镇名村保护规划编制要求（试行）》。</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　　3、明确保护措施</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　　明确村落自然景观环境保护要求，提出景观和生态修复措施，以及整改办法。明确村落传统格局与整体风貌保护要求，保护村落传统形态、公共空间和景观视廊等，并提出整治措施。保护传统建（构）筑物，参考《历史文化名城名镇名村保护规划编制要求（试行）》提出传统建（构）筑物分类及相应的保护措施。保护传承非物质文化遗产，提出对非物质文化遗产的传承人、场所与线路、有关实物与相关原材料的保护要求与措施，以及管理与扶持、研究与宣教等的规定与措施。</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　　4、提出规划实施建议</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　　提出保障保护规划实施的各项建议。</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　　5、确定保护项目</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明确 5 年内拟实施的保护项目、整治改造项目以及各项目的分年度实施计划和资金估算。提出远期实施的保护项目、整治改造项目以及各项目的分年度实施计划。</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（六）本项目的服务标准、期限、效率等要求。</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服务标准:根据采购要求、传统村落发展现状及国家、河南省传统村落保护发展规划编制要求，按时、保质、保量完成工作任务并按要求提供规划成果。</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传统村落保护发展规划成果基本要求如下:</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　　保护发展规划成果包括规划文本、规划图纸和附件、规划说明书、传统村落档案。其中规划文本、规划图纸和附件、规划说明书的具体要求参照《历史文化名城名镇名村保护规划编制要求（试行）》。保护发展规划图纸要求：</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　　1、现状分析图</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 xml:space="preserve">　　 </w:t>
      </w:r>
      <w:r>
        <w:rPr>
          <w:rFonts w:hint="eastAsia" w:hAnsi="宋体"/>
          <w:color w:val="000000"/>
          <w:sz w:val="24"/>
          <w:szCs w:val="24"/>
          <w:lang w:val="en-US" w:eastAsia="zh-CN"/>
        </w:rPr>
        <w:fldChar w:fldCharType="begin"/>
      </w:r>
      <w:r>
        <w:rPr>
          <w:rFonts w:hint="eastAsia" w:hAnsi="宋体"/>
          <w:color w:val="000000"/>
          <w:sz w:val="24"/>
          <w:szCs w:val="24"/>
          <w:lang w:val="en-US" w:eastAsia="zh-CN"/>
        </w:rPr>
        <w:instrText xml:space="preserve"> = 1 \* GB3 </w:instrText>
      </w:r>
      <w:r>
        <w:rPr>
          <w:rFonts w:hint="eastAsia" w:hAnsi="宋体"/>
          <w:color w:val="000000"/>
          <w:sz w:val="24"/>
          <w:szCs w:val="24"/>
          <w:lang w:val="en-US" w:eastAsia="zh-CN"/>
        </w:rPr>
        <w:fldChar w:fldCharType="separate"/>
      </w:r>
      <w:r>
        <w:rPr>
          <w:rFonts w:hint="eastAsia" w:hAnsi="宋体"/>
          <w:color w:val="000000"/>
          <w:sz w:val="24"/>
          <w:szCs w:val="24"/>
          <w:lang w:val="en-US" w:eastAsia="zh-CN"/>
        </w:rPr>
        <w:t>①</w:t>
      </w:r>
      <w:r>
        <w:rPr>
          <w:rFonts w:hint="eastAsia" w:hAnsi="宋体"/>
          <w:color w:val="000000"/>
          <w:sz w:val="24"/>
          <w:szCs w:val="24"/>
          <w:lang w:val="en-US" w:eastAsia="zh-CN"/>
        </w:rPr>
        <w:fldChar w:fldCharType="end"/>
      </w:r>
      <w:r>
        <w:rPr>
          <w:rFonts w:hint="eastAsia" w:hAnsi="宋体"/>
          <w:color w:val="000000"/>
          <w:sz w:val="24"/>
          <w:szCs w:val="24"/>
          <w:lang w:val="en-US" w:eastAsia="zh-CN"/>
        </w:rPr>
        <w:t>村落传统资源分布图。标明村落现状总平面，村落内各类有形传统资源的位置、范围，非物质文化遗产活动场所与线路，村落各主要视觉控制点上的整体风貌等。</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　　</w:t>
      </w:r>
      <w:r>
        <w:rPr>
          <w:rFonts w:hint="eastAsia" w:hAnsi="宋体"/>
          <w:color w:val="000000"/>
          <w:sz w:val="24"/>
          <w:szCs w:val="24"/>
          <w:lang w:val="en-US" w:eastAsia="zh-CN"/>
        </w:rPr>
        <w:fldChar w:fldCharType="begin"/>
      </w:r>
      <w:r>
        <w:rPr>
          <w:rFonts w:hint="eastAsia" w:hAnsi="宋体"/>
          <w:color w:val="000000"/>
          <w:sz w:val="24"/>
          <w:szCs w:val="24"/>
          <w:lang w:val="en-US" w:eastAsia="zh-CN"/>
        </w:rPr>
        <w:instrText xml:space="preserve"> = 2 \* GB3 </w:instrText>
      </w:r>
      <w:r>
        <w:rPr>
          <w:rFonts w:hint="eastAsia" w:hAnsi="宋体"/>
          <w:color w:val="000000"/>
          <w:sz w:val="24"/>
          <w:szCs w:val="24"/>
          <w:lang w:val="en-US" w:eastAsia="zh-CN"/>
        </w:rPr>
        <w:fldChar w:fldCharType="separate"/>
      </w:r>
      <w:r>
        <w:rPr>
          <w:rFonts w:hint="eastAsia" w:hAnsi="宋体"/>
          <w:color w:val="000000"/>
          <w:sz w:val="24"/>
          <w:szCs w:val="24"/>
          <w:lang w:val="en-US" w:eastAsia="zh-CN"/>
        </w:rPr>
        <w:t>②</w:t>
      </w:r>
      <w:r>
        <w:rPr>
          <w:rFonts w:hint="eastAsia" w:hAnsi="宋体"/>
          <w:color w:val="000000"/>
          <w:sz w:val="24"/>
          <w:szCs w:val="24"/>
          <w:lang w:val="en-US" w:eastAsia="zh-CN"/>
        </w:rPr>
        <w:fldChar w:fldCharType="end"/>
      </w:r>
      <w:r>
        <w:rPr>
          <w:rFonts w:hint="eastAsia" w:hAnsi="宋体"/>
          <w:color w:val="000000"/>
          <w:sz w:val="24"/>
          <w:szCs w:val="24"/>
          <w:lang w:val="en-US" w:eastAsia="zh-CN"/>
        </w:rPr>
        <w:t>格局风貌和历史街巷现状图。</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　</w:t>
      </w:r>
      <w:r>
        <w:rPr>
          <w:rFonts w:hint="eastAsia" w:hAnsi="宋体"/>
          <w:color w:val="000000"/>
          <w:sz w:val="24"/>
          <w:szCs w:val="24"/>
          <w:lang w:val="en-US" w:eastAsia="zh-CN"/>
        </w:rPr>
        <w:fldChar w:fldCharType="begin"/>
      </w:r>
      <w:r>
        <w:rPr>
          <w:rFonts w:hint="eastAsia" w:hAnsi="宋体"/>
          <w:color w:val="000000"/>
          <w:sz w:val="24"/>
          <w:szCs w:val="24"/>
          <w:lang w:val="en-US" w:eastAsia="zh-CN"/>
        </w:rPr>
        <w:instrText xml:space="preserve"> = 3 \* GB3 </w:instrText>
      </w:r>
      <w:r>
        <w:rPr>
          <w:rFonts w:hint="eastAsia" w:hAnsi="宋体"/>
          <w:color w:val="000000"/>
          <w:sz w:val="24"/>
          <w:szCs w:val="24"/>
          <w:lang w:val="en-US" w:eastAsia="zh-CN"/>
        </w:rPr>
        <w:fldChar w:fldCharType="separate"/>
      </w:r>
      <w:r>
        <w:rPr>
          <w:rFonts w:hint="eastAsia" w:hAnsi="宋体"/>
          <w:color w:val="000000"/>
          <w:sz w:val="24"/>
          <w:szCs w:val="24"/>
          <w:lang w:val="en-US" w:eastAsia="zh-CN"/>
        </w:rPr>
        <w:t>③</w:t>
      </w:r>
      <w:r>
        <w:rPr>
          <w:rFonts w:hint="eastAsia" w:hAnsi="宋体"/>
          <w:color w:val="000000"/>
          <w:sz w:val="24"/>
          <w:szCs w:val="24"/>
          <w:lang w:val="en-US" w:eastAsia="zh-CN"/>
        </w:rPr>
        <w:fldChar w:fldCharType="end"/>
      </w:r>
      <w:r>
        <w:rPr>
          <w:rFonts w:hint="eastAsia" w:hAnsi="宋体"/>
          <w:color w:val="000000"/>
          <w:sz w:val="24"/>
          <w:szCs w:val="24"/>
          <w:lang w:val="en-US" w:eastAsia="zh-CN"/>
        </w:rPr>
        <w:t>反映传统建筑年代、质量、风貌、高度等的现状图。</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　　</w:t>
      </w:r>
      <w:r>
        <w:rPr>
          <w:rFonts w:hint="eastAsia" w:hAnsi="宋体"/>
          <w:color w:val="000000"/>
          <w:sz w:val="24"/>
          <w:szCs w:val="24"/>
          <w:lang w:val="en-US" w:eastAsia="zh-CN"/>
        </w:rPr>
        <w:fldChar w:fldCharType="begin"/>
      </w:r>
      <w:r>
        <w:rPr>
          <w:rFonts w:hint="eastAsia" w:hAnsi="宋体"/>
          <w:color w:val="000000"/>
          <w:sz w:val="24"/>
          <w:szCs w:val="24"/>
          <w:lang w:val="en-US" w:eastAsia="zh-CN"/>
        </w:rPr>
        <w:instrText xml:space="preserve"> = 4 \* GB3 </w:instrText>
      </w:r>
      <w:r>
        <w:rPr>
          <w:rFonts w:hint="eastAsia" w:hAnsi="宋体"/>
          <w:color w:val="000000"/>
          <w:sz w:val="24"/>
          <w:szCs w:val="24"/>
          <w:lang w:val="en-US" w:eastAsia="zh-CN"/>
        </w:rPr>
        <w:fldChar w:fldCharType="separate"/>
      </w:r>
      <w:r>
        <w:rPr>
          <w:rFonts w:hint="eastAsia" w:hAnsi="宋体"/>
          <w:color w:val="000000"/>
          <w:sz w:val="24"/>
          <w:szCs w:val="24"/>
          <w:lang w:val="en-US" w:eastAsia="zh-CN"/>
        </w:rPr>
        <w:t>④</w:t>
      </w:r>
      <w:r>
        <w:rPr>
          <w:rFonts w:hint="eastAsia" w:hAnsi="宋体"/>
          <w:color w:val="000000"/>
          <w:sz w:val="24"/>
          <w:szCs w:val="24"/>
          <w:lang w:val="en-US" w:eastAsia="zh-CN"/>
        </w:rPr>
        <w:fldChar w:fldCharType="end"/>
      </w:r>
      <w:r>
        <w:rPr>
          <w:rFonts w:hint="eastAsia" w:hAnsi="宋体"/>
          <w:color w:val="000000"/>
          <w:sz w:val="24"/>
          <w:szCs w:val="24"/>
          <w:lang w:val="en-US" w:eastAsia="zh-CN"/>
        </w:rPr>
        <w:t xml:space="preserve"> 基础设施、公共安全设施及公共服务设施等现状图。</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　　2、保护规划图</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　　</w:t>
      </w:r>
      <w:r>
        <w:rPr>
          <w:rFonts w:hint="eastAsia" w:hAnsi="宋体"/>
          <w:color w:val="000000"/>
          <w:sz w:val="24"/>
          <w:szCs w:val="24"/>
          <w:lang w:val="en-US" w:eastAsia="zh-CN"/>
        </w:rPr>
        <w:fldChar w:fldCharType="begin"/>
      </w:r>
      <w:r>
        <w:rPr>
          <w:rFonts w:hint="eastAsia" w:hAnsi="宋体"/>
          <w:color w:val="000000"/>
          <w:sz w:val="24"/>
          <w:szCs w:val="24"/>
          <w:lang w:val="en-US" w:eastAsia="zh-CN"/>
        </w:rPr>
        <w:instrText xml:space="preserve"> = 5 \* GB3 </w:instrText>
      </w:r>
      <w:r>
        <w:rPr>
          <w:rFonts w:hint="eastAsia" w:hAnsi="宋体"/>
          <w:color w:val="000000"/>
          <w:sz w:val="24"/>
          <w:szCs w:val="24"/>
          <w:lang w:val="en-US" w:eastAsia="zh-CN"/>
        </w:rPr>
        <w:fldChar w:fldCharType="separate"/>
      </w:r>
      <w:r>
        <w:rPr>
          <w:rFonts w:hint="eastAsia" w:hAnsi="宋体"/>
          <w:color w:val="000000"/>
          <w:sz w:val="24"/>
          <w:szCs w:val="24"/>
          <w:lang w:val="en-US" w:eastAsia="zh-CN"/>
        </w:rPr>
        <w:t>⑤</w:t>
      </w:r>
      <w:r>
        <w:rPr>
          <w:rFonts w:hint="eastAsia" w:hAnsi="宋体"/>
          <w:color w:val="000000"/>
          <w:sz w:val="24"/>
          <w:szCs w:val="24"/>
          <w:lang w:val="en-US" w:eastAsia="zh-CN"/>
        </w:rPr>
        <w:fldChar w:fldCharType="end"/>
      </w:r>
      <w:r>
        <w:rPr>
          <w:rFonts w:hint="eastAsia" w:hAnsi="宋体"/>
          <w:color w:val="000000"/>
          <w:sz w:val="24"/>
          <w:szCs w:val="24"/>
          <w:lang w:val="en-US" w:eastAsia="zh-CN"/>
        </w:rPr>
        <w:t xml:space="preserve"> 村落保护区划总图。标绘保护范围及各类保护区和控制界线。</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　　</w:t>
      </w:r>
      <w:r>
        <w:rPr>
          <w:rFonts w:hint="eastAsia" w:hAnsi="宋体"/>
          <w:color w:val="000000"/>
          <w:sz w:val="24"/>
          <w:szCs w:val="24"/>
          <w:lang w:val="en-US" w:eastAsia="zh-CN"/>
        </w:rPr>
        <w:fldChar w:fldCharType="begin"/>
      </w:r>
      <w:r>
        <w:rPr>
          <w:rFonts w:hint="eastAsia" w:hAnsi="宋体"/>
          <w:color w:val="000000"/>
          <w:sz w:val="24"/>
          <w:szCs w:val="24"/>
          <w:lang w:val="en-US" w:eastAsia="zh-CN"/>
        </w:rPr>
        <w:instrText xml:space="preserve"> = 6 \* GB3 </w:instrText>
      </w:r>
      <w:r>
        <w:rPr>
          <w:rFonts w:hint="eastAsia" w:hAnsi="宋体"/>
          <w:color w:val="000000"/>
          <w:sz w:val="24"/>
          <w:szCs w:val="24"/>
          <w:lang w:val="en-US" w:eastAsia="zh-CN"/>
        </w:rPr>
        <w:fldChar w:fldCharType="separate"/>
      </w:r>
      <w:r>
        <w:rPr>
          <w:rFonts w:hint="eastAsia" w:hAnsi="宋体"/>
          <w:color w:val="000000"/>
          <w:sz w:val="24"/>
          <w:szCs w:val="24"/>
          <w:lang w:val="en-US" w:eastAsia="zh-CN"/>
        </w:rPr>
        <w:t>⑥</w:t>
      </w:r>
      <w:r>
        <w:rPr>
          <w:rFonts w:hint="eastAsia" w:hAnsi="宋体"/>
          <w:color w:val="000000"/>
          <w:sz w:val="24"/>
          <w:szCs w:val="24"/>
          <w:lang w:val="en-US" w:eastAsia="zh-CN"/>
        </w:rPr>
        <w:fldChar w:fldCharType="end"/>
      </w:r>
      <w:r>
        <w:rPr>
          <w:rFonts w:hint="eastAsia" w:hAnsi="宋体"/>
          <w:color w:val="000000"/>
          <w:sz w:val="24"/>
          <w:szCs w:val="24"/>
          <w:lang w:val="en-US" w:eastAsia="zh-CN"/>
        </w:rPr>
        <w:t xml:space="preserve"> 建筑分类保护规划图。标绘保护范围内文物保护单位、历史建筑、传统风貌建筑、其他建筑的分类保护措施。其中其他建筑要根据对历史风貌的影响程度进行细分。</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　　3、发展规划图</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　</w:t>
      </w:r>
      <w:r>
        <w:rPr>
          <w:rFonts w:hint="eastAsia" w:hAnsi="宋体"/>
          <w:color w:val="000000"/>
          <w:sz w:val="24"/>
          <w:szCs w:val="24"/>
          <w:lang w:val="en-US" w:eastAsia="zh-CN"/>
        </w:rPr>
        <w:fldChar w:fldCharType="begin"/>
      </w:r>
      <w:r>
        <w:rPr>
          <w:rFonts w:hint="eastAsia" w:hAnsi="宋体"/>
          <w:color w:val="000000"/>
          <w:sz w:val="24"/>
          <w:szCs w:val="24"/>
          <w:lang w:val="en-US" w:eastAsia="zh-CN"/>
        </w:rPr>
        <w:instrText xml:space="preserve"> = 7 \* GB3 </w:instrText>
      </w:r>
      <w:r>
        <w:rPr>
          <w:rFonts w:hint="eastAsia" w:hAnsi="宋体"/>
          <w:color w:val="000000"/>
          <w:sz w:val="24"/>
          <w:szCs w:val="24"/>
          <w:lang w:val="en-US" w:eastAsia="zh-CN"/>
        </w:rPr>
        <w:fldChar w:fldCharType="separate"/>
      </w:r>
      <w:r>
        <w:rPr>
          <w:rFonts w:hint="eastAsia" w:hAnsi="宋体"/>
          <w:color w:val="000000"/>
          <w:sz w:val="24"/>
          <w:szCs w:val="24"/>
          <w:lang w:val="en-US" w:eastAsia="zh-CN"/>
        </w:rPr>
        <w:t>⑦</w:t>
      </w:r>
      <w:r>
        <w:rPr>
          <w:rFonts w:hint="eastAsia" w:hAnsi="宋体"/>
          <w:color w:val="000000"/>
          <w:sz w:val="24"/>
          <w:szCs w:val="24"/>
          <w:lang w:val="en-US" w:eastAsia="zh-CN"/>
        </w:rPr>
        <w:fldChar w:fldCharType="end"/>
      </w:r>
      <w:r>
        <w:rPr>
          <w:rFonts w:hint="eastAsia" w:hAnsi="宋体"/>
          <w:color w:val="000000"/>
          <w:sz w:val="24"/>
          <w:szCs w:val="24"/>
          <w:lang w:val="en-US" w:eastAsia="zh-CN"/>
        </w:rPr>
        <w:t xml:space="preserve"> 道路交通规划图。提出村落路网、交通组织及管理、停车设施规划、公交车站设置、可能的旅游线路组织等。</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　</w:t>
      </w:r>
      <w:r>
        <w:rPr>
          <w:rFonts w:hint="eastAsia" w:hAnsi="宋体"/>
          <w:color w:val="000000"/>
          <w:sz w:val="24"/>
          <w:szCs w:val="24"/>
          <w:lang w:val="en-US" w:eastAsia="zh-CN"/>
        </w:rPr>
        <w:fldChar w:fldCharType="begin"/>
      </w:r>
      <w:r>
        <w:rPr>
          <w:rFonts w:hint="eastAsia" w:hAnsi="宋体"/>
          <w:color w:val="000000"/>
          <w:sz w:val="24"/>
          <w:szCs w:val="24"/>
          <w:lang w:val="en-US" w:eastAsia="zh-CN"/>
        </w:rPr>
        <w:instrText xml:space="preserve"> = 8 \* GB3 </w:instrText>
      </w:r>
      <w:r>
        <w:rPr>
          <w:rFonts w:hint="eastAsia" w:hAnsi="宋体"/>
          <w:color w:val="000000"/>
          <w:sz w:val="24"/>
          <w:szCs w:val="24"/>
          <w:lang w:val="en-US" w:eastAsia="zh-CN"/>
        </w:rPr>
        <w:fldChar w:fldCharType="separate"/>
      </w:r>
      <w:r>
        <w:rPr>
          <w:rFonts w:hint="eastAsia" w:hAnsi="宋体"/>
          <w:color w:val="000000"/>
          <w:sz w:val="24"/>
          <w:szCs w:val="24"/>
          <w:lang w:val="en-US" w:eastAsia="zh-CN"/>
        </w:rPr>
        <w:t>⑧</w:t>
      </w:r>
      <w:r>
        <w:rPr>
          <w:rFonts w:hint="eastAsia" w:hAnsi="宋体"/>
          <w:color w:val="000000"/>
          <w:sz w:val="24"/>
          <w:szCs w:val="24"/>
          <w:lang w:val="en-US" w:eastAsia="zh-CN"/>
        </w:rPr>
        <w:fldChar w:fldCharType="end"/>
      </w:r>
      <w:r>
        <w:rPr>
          <w:rFonts w:hint="eastAsia" w:hAnsi="宋体"/>
          <w:color w:val="000000"/>
          <w:sz w:val="24"/>
          <w:szCs w:val="24"/>
          <w:lang w:val="en-US" w:eastAsia="zh-CN"/>
        </w:rPr>
        <w:t>人居环境改善措施图。提出传统村落基础设施、公共服务设施、防灾减灾改善和提升的规划措施。</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　　各项图纸比例一般用 1/2000 ，也可用 1/500 或 1/5000 。地形图比例尺不足用时，应配合手绘图解进行标绘。</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服务期限：签订合同后90日内。</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服务效率：及时响应，按时、保质、保量完成服务任务。</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（七）本项目的验收标准：</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1、按照国家相关标准、行业标准、河南省地方标准和规范验收；</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2、按照招标文件要求、成交供应商的投标文件响应和承诺验收；</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3、按照本项目的采购需求进行验收；</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4、按合同书规定完成的规划设计任务进行验收；</w:t>
      </w:r>
    </w:p>
    <w:p>
      <w:pPr>
        <w:spacing w:line="440" w:lineRule="exact"/>
        <w:rPr>
          <w:rFonts w:hint="eastAsia" w:ascii="宋体" w:hAnsi="宋体" w:cs="宋体"/>
          <w:b/>
          <w:szCs w:val="21"/>
          <w:lang w:val="en-US" w:eastAsia="zh-CN"/>
        </w:rPr>
      </w:pPr>
      <w:r>
        <w:rPr>
          <w:rFonts w:hint="eastAsia" w:ascii="宋体" w:hAnsi="宋体" w:cs="宋体"/>
          <w:b/>
          <w:szCs w:val="21"/>
          <w:lang w:val="en-US" w:eastAsia="zh-CN"/>
        </w:rPr>
        <w:t>三、支付方式</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以签订合同为准</w:t>
      </w:r>
    </w:p>
    <w:p>
      <w:pPr>
        <w:spacing w:line="440" w:lineRule="exact"/>
        <w:rPr>
          <w:rFonts w:hint="eastAsia" w:ascii="宋体" w:hAnsi="宋体" w:cs="宋体"/>
          <w:b/>
          <w:szCs w:val="21"/>
          <w:lang w:val="zh-CN" w:eastAsia="zh-CN"/>
        </w:rPr>
      </w:pPr>
      <w:r>
        <w:rPr>
          <w:rFonts w:hint="eastAsia" w:ascii="宋体" w:hAnsi="宋体" w:cs="宋体"/>
          <w:b/>
          <w:szCs w:val="21"/>
          <w:lang w:val="en-US" w:eastAsia="zh-CN"/>
        </w:rPr>
        <w:t>四</w:t>
      </w:r>
      <w:r>
        <w:rPr>
          <w:rFonts w:hint="eastAsia" w:ascii="宋体" w:hAnsi="宋体" w:cs="宋体"/>
          <w:b/>
          <w:szCs w:val="21"/>
          <w:lang w:val="zh-CN" w:eastAsia="zh-CN"/>
        </w:rPr>
        <w:t>、其他要求</w:t>
      </w:r>
    </w:p>
    <w:p>
      <w:pPr>
        <w:tabs>
          <w:tab w:val="left" w:pos="7095"/>
        </w:tabs>
        <w:spacing w:line="360" w:lineRule="auto"/>
        <w:ind w:firstLine="480" w:firstLineChars="200"/>
        <w:contextualSpacing/>
        <w:rPr>
          <w:rFonts w:hint="eastAsia" w:hAnsi="宋体"/>
          <w:color w:val="000000"/>
          <w:sz w:val="24"/>
          <w:szCs w:val="24"/>
          <w:lang w:val="zh-CN"/>
        </w:rPr>
      </w:pPr>
      <w:r>
        <w:rPr>
          <w:rFonts w:hint="eastAsia" w:hAnsi="宋体"/>
          <w:color w:val="000000"/>
          <w:sz w:val="24"/>
          <w:szCs w:val="24"/>
          <w:lang w:val="en-US" w:eastAsia="zh-CN"/>
        </w:rPr>
        <w:t>1</w:t>
      </w:r>
      <w:r>
        <w:rPr>
          <w:rFonts w:hint="eastAsia" w:hAnsi="宋体"/>
          <w:color w:val="000000"/>
          <w:sz w:val="24"/>
          <w:szCs w:val="24"/>
          <w:lang w:val="zh-CN"/>
        </w:rPr>
        <w:t>、投标人应就该项目完整投标，否则为无效投标。</w:t>
      </w:r>
    </w:p>
    <w:p>
      <w:pPr>
        <w:tabs>
          <w:tab w:val="left" w:pos="7095"/>
        </w:tabs>
        <w:spacing w:line="360" w:lineRule="auto"/>
        <w:ind w:firstLine="480" w:firstLineChars="200"/>
        <w:contextualSpacing/>
        <w:rPr>
          <w:rFonts w:hint="eastAsia" w:hAnsi="宋体"/>
          <w:color w:val="000000"/>
          <w:sz w:val="24"/>
          <w:szCs w:val="24"/>
          <w:lang w:val="en-US" w:eastAsia="zh-CN"/>
        </w:rPr>
      </w:pPr>
      <w:r>
        <w:rPr>
          <w:rFonts w:hint="eastAsia" w:hAnsi="宋体"/>
          <w:color w:val="000000"/>
          <w:sz w:val="24"/>
          <w:szCs w:val="24"/>
          <w:lang w:val="en-US" w:eastAsia="zh-CN"/>
        </w:rPr>
        <w:t>2</w:t>
      </w:r>
      <w:r>
        <w:rPr>
          <w:rFonts w:hint="eastAsia" w:hAnsi="宋体"/>
          <w:color w:val="000000"/>
          <w:sz w:val="24"/>
          <w:szCs w:val="24"/>
          <w:lang w:val="zh-CN"/>
        </w:rPr>
        <w:t>、投标文件中须有详细的实施（技术）方案，否则为无效投标。</w:t>
      </w:r>
    </w:p>
    <w:p>
      <w:pPr>
        <w:tabs>
          <w:tab w:val="left" w:pos="7095"/>
        </w:tabs>
        <w:spacing w:line="360" w:lineRule="auto"/>
        <w:ind w:firstLine="480" w:firstLineChars="200"/>
        <w:contextualSpacing/>
        <w:rPr>
          <w:rFonts w:hint="eastAsia" w:hAnsi="宋体"/>
          <w:color w:val="000000"/>
          <w:sz w:val="24"/>
          <w:szCs w:val="24"/>
          <w:lang w:eastAsia="zh-CN"/>
        </w:rPr>
      </w:pPr>
    </w:p>
    <w:p>
      <w:pPr>
        <w:tabs>
          <w:tab w:val="left" w:pos="7095"/>
        </w:tabs>
        <w:spacing w:line="360" w:lineRule="auto"/>
        <w:ind w:firstLine="480" w:firstLineChars="200"/>
        <w:contextualSpacing/>
        <w:rPr>
          <w:rFonts w:hint="eastAsia" w:hAnsi="宋体"/>
          <w:color w:val="000000"/>
          <w:sz w:val="24"/>
          <w:szCs w:val="24"/>
          <w:lang w:eastAsia="zh-CN"/>
        </w:rPr>
      </w:pPr>
    </w:p>
    <w:p>
      <w:pPr>
        <w:tabs>
          <w:tab w:val="left" w:pos="7095"/>
        </w:tabs>
        <w:spacing w:line="360" w:lineRule="auto"/>
        <w:ind w:firstLine="480" w:firstLineChars="200"/>
        <w:contextualSpacing/>
        <w:rPr>
          <w:rFonts w:hint="eastAsia" w:hAnsi="宋体"/>
          <w:color w:val="000000"/>
          <w:sz w:val="24"/>
          <w:szCs w:val="24"/>
          <w:lang w:eastAsia="zh-CN"/>
        </w:rPr>
      </w:pPr>
    </w:p>
    <w:p>
      <w:pPr>
        <w:tabs>
          <w:tab w:val="left" w:pos="7095"/>
        </w:tabs>
        <w:spacing w:line="360" w:lineRule="auto"/>
        <w:ind w:firstLine="480" w:firstLineChars="200"/>
        <w:contextualSpacing/>
        <w:rPr>
          <w:rFonts w:hint="eastAsia" w:hAnsi="宋体"/>
          <w:color w:val="000000"/>
          <w:sz w:val="24"/>
          <w:szCs w:val="24"/>
          <w:lang w:eastAsia="zh-CN"/>
        </w:rPr>
      </w:pPr>
    </w:p>
    <w:p>
      <w:pPr>
        <w:tabs>
          <w:tab w:val="left" w:pos="7095"/>
        </w:tabs>
        <w:spacing w:line="360" w:lineRule="auto"/>
        <w:ind w:firstLine="480" w:firstLineChars="200"/>
        <w:contextualSpacing/>
        <w:rPr>
          <w:rFonts w:hint="eastAsia" w:hAnsi="宋体"/>
          <w:color w:val="000000"/>
          <w:sz w:val="24"/>
          <w:szCs w:val="24"/>
          <w:lang w:eastAsia="zh-CN"/>
        </w:rPr>
      </w:pPr>
    </w:p>
    <w:p>
      <w:pPr>
        <w:pStyle w:val="2"/>
        <w:rPr>
          <w:rFonts w:hint="eastAsia" w:hAnsi="宋体"/>
          <w:color w:val="000000"/>
          <w:sz w:val="24"/>
          <w:szCs w:val="24"/>
          <w:lang w:eastAsia="zh-CN"/>
        </w:rPr>
      </w:pPr>
    </w:p>
    <w:p>
      <w:pPr>
        <w:pStyle w:val="2"/>
        <w:rPr>
          <w:rFonts w:hint="eastAsia" w:hAnsi="宋体"/>
          <w:color w:val="000000"/>
          <w:sz w:val="24"/>
          <w:szCs w:val="24"/>
          <w:lang w:eastAsia="zh-CN"/>
        </w:rPr>
      </w:pPr>
    </w:p>
    <w:p>
      <w:pPr>
        <w:pStyle w:val="2"/>
        <w:rPr>
          <w:rFonts w:hint="eastAsia" w:hAnsi="宋体"/>
          <w:color w:val="000000"/>
          <w:sz w:val="24"/>
          <w:szCs w:val="24"/>
          <w:lang w:eastAsia="zh-CN"/>
        </w:rPr>
      </w:pPr>
    </w:p>
    <w:p>
      <w:pPr>
        <w:pStyle w:val="2"/>
        <w:rPr>
          <w:rFonts w:hint="eastAsia" w:hAnsi="宋体"/>
          <w:color w:val="000000"/>
          <w:sz w:val="24"/>
          <w:szCs w:val="24"/>
          <w:lang w:eastAsia="zh-CN"/>
        </w:rPr>
      </w:pPr>
    </w:p>
    <w:p>
      <w:pPr>
        <w:pStyle w:val="2"/>
        <w:rPr>
          <w:rFonts w:hint="eastAsia" w:hAnsi="宋体"/>
          <w:color w:val="000000"/>
          <w:sz w:val="24"/>
          <w:szCs w:val="24"/>
          <w:lang w:eastAsia="zh-CN"/>
        </w:rPr>
      </w:pPr>
    </w:p>
    <w:p>
      <w:pPr>
        <w:pStyle w:val="2"/>
        <w:rPr>
          <w:rFonts w:hint="eastAsia" w:hAnsi="宋体"/>
          <w:color w:val="000000"/>
          <w:sz w:val="24"/>
          <w:szCs w:val="24"/>
          <w:lang w:eastAsia="zh-CN"/>
        </w:rPr>
      </w:pPr>
    </w:p>
    <w:p>
      <w:pPr>
        <w:pStyle w:val="2"/>
        <w:rPr>
          <w:rFonts w:hint="eastAsia" w:hAnsi="宋体"/>
          <w:color w:val="000000"/>
          <w:sz w:val="24"/>
          <w:szCs w:val="24"/>
          <w:lang w:eastAsia="zh-CN"/>
        </w:rPr>
      </w:pPr>
    </w:p>
    <w:p>
      <w:pPr>
        <w:pStyle w:val="2"/>
        <w:rPr>
          <w:rFonts w:hint="eastAsia" w:hAnsi="宋体"/>
          <w:color w:val="000000"/>
          <w:sz w:val="24"/>
          <w:szCs w:val="24"/>
          <w:lang w:eastAsia="zh-CN"/>
        </w:rPr>
      </w:pPr>
    </w:p>
    <w:p>
      <w:pPr>
        <w:pStyle w:val="2"/>
        <w:rPr>
          <w:rFonts w:hint="eastAsia" w:hAnsi="宋体"/>
          <w:color w:val="000000"/>
          <w:sz w:val="24"/>
          <w:szCs w:val="24"/>
          <w:lang w:eastAsia="zh-CN"/>
        </w:rPr>
      </w:pPr>
    </w:p>
    <w:p>
      <w:pPr>
        <w:pStyle w:val="2"/>
        <w:rPr>
          <w:rFonts w:hint="eastAsia" w:hAnsi="宋体"/>
          <w:color w:val="000000"/>
          <w:sz w:val="24"/>
          <w:szCs w:val="24"/>
          <w:lang w:eastAsia="zh-CN"/>
        </w:rPr>
      </w:pPr>
    </w:p>
    <w:p>
      <w:pPr>
        <w:pStyle w:val="2"/>
        <w:rPr>
          <w:rFonts w:hint="eastAsia" w:hAnsi="宋体"/>
          <w:color w:val="000000"/>
          <w:sz w:val="24"/>
          <w:szCs w:val="24"/>
          <w:lang w:eastAsia="zh-CN"/>
        </w:rPr>
      </w:pPr>
    </w:p>
    <w:p>
      <w:pPr>
        <w:pStyle w:val="2"/>
        <w:rPr>
          <w:rFonts w:hint="eastAsia" w:hAnsi="宋体"/>
          <w:color w:val="000000"/>
          <w:sz w:val="24"/>
          <w:szCs w:val="24"/>
          <w:lang w:eastAsia="zh-CN"/>
        </w:rPr>
      </w:pPr>
    </w:p>
    <w:p>
      <w:pPr>
        <w:pStyle w:val="2"/>
        <w:rPr>
          <w:rFonts w:hint="eastAsia" w:hAnsi="宋体"/>
          <w:color w:val="000000"/>
          <w:sz w:val="24"/>
          <w:szCs w:val="24"/>
          <w:lang w:eastAsia="zh-CN"/>
        </w:rPr>
      </w:pPr>
    </w:p>
    <w:p>
      <w:pPr>
        <w:pStyle w:val="2"/>
        <w:rPr>
          <w:rFonts w:hint="eastAsia" w:hAnsi="宋体"/>
          <w:color w:val="000000"/>
          <w:sz w:val="24"/>
          <w:szCs w:val="24"/>
          <w:lang w:eastAsia="zh-CN"/>
        </w:rPr>
      </w:pPr>
    </w:p>
    <w:p>
      <w:pPr>
        <w:tabs>
          <w:tab w:val="left" w:pos="7095"/>
        </w:tabs>
        <w:spacing w:line="360" w:lineRule="auto"/>
        <w:ind w:firstLine="480" w:firstLineChars="200"/>
        <w:contextualSpacing/>
        <w:rPr>
          <w:rFonts w:hint="eastAsia" w:hAnsi="宋体"/>
          <w:color w:val="000000"/>
          <w:sz w:val="24"/>
          <w:szCs w:val="24"/>
          <w:lang w:eastAsia="zh-CN"/>
        </w:rPr>
      </w:pPr>
    </w:p>
    <w:p>
      <w:pPr>
        <w:tabs>
          <w:tab w:val="left" w:pos="7095"/>
        </w:tabs>
        <w:spacing w:line="360" w:lineRule="auto"/>
        <w:ind w:firstLine="880" w:firstLineChars="200"/>
        <w:contextualSpacing/>
        <w:jc w:val="center"/>
        <w:rPr>
          <w:rFonts w:hint="eastAsia" w:hAnsi="宋体"/>
          <w:color w:val="000000"/>
          <w:sz w:val="44"/>
          <w:szCs w:val="44"/>
        </w:rPr>
      </w:pPr>
      <w:r>
        <w:rPr>
          <w:rFonts w:hint="eastAsia" w:hAnsi="宋体"/>
          <w:color w:val="000000"/>
          <w:sz w:val="44"/>
          <w:szCs w:val="44"/>
          <w:lang w:eastAsia="zh-CN"/>
        </w:rPr>
        <w:t>第三章</w:t>
      </w:r>
      <w:r>
        <w:rPr>
          <w:rFonts w:hint="eastAsia" w:hAnsi="宋体"/>
          <w:color w:val="000000"/>
          <w:sz w:val="44"/>
          <w:szCs w:val="44"/>
          <w:lang w:val="en-US" w:eastAsia="zh-CN"/>
        </w:rPr>
        <w:t xml:space="preserve">   </w:t>
      </w:r>
      <w:r>
        <w:rPr>
          <w:rFonts w:hint="eastAsia" w:hAnsi="宋体"/>
          <w:color w:val="000000"/>
          <w:sz w:val="44"/>
          <w:szCs w:val="44"/>
        </w:rPr>
        <w:t>投标人须知前附表</w:t>
      </w:r>
    </w:p>
    <w:p>
      <w:pPr>
        <w:numPr>
          <w:ilvl w:val="0"/>
          <w:numId w:val="0"/>
        </w:numPr>
        <w:autoSpaceDE w:val="0"/>
        <w:autoSpaceDN w:val="0"/>
        <w:adjustRightInd w:val="0"/>
        <w:ind w:leftChars="0"/>
        <w:jc w:val="both"/>
        <w:rPr>
          <w:rFonts w:hint="eastAsia" w:cs="宋体" w:asciiTheme="majorEastAsia" w:hAnsiTheme="majorEastAsia" w:eastAsiaTheme="majorEastAsia"/>
          <w:b/>
          <w:kern w:val="0"/>
          <w:sz w:val="36"/>
          <w:szCs w:val="36"/>
        </w:rPr>
      </w:pP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color w:val="FF0000"/>
          <w:sz w:val="24"/>
          <w:szCs w:val="24"/>
        </w:rPr>
        <w:t>招标文件中凡标有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条款均为实质性要求条款，投标文件须完全响应，未实质响应的，按照无效投标处理。</w:t>
      </w:r>
    </w:p>
    <w:tbl>
      <w:tblPr>
        <w:tblStyle w:val="25"/>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spacing w:line="600" w:lineRule="exact"/>
              <w:jc w:val="both"/>
              <w:rPr>
                <w:rFonts w:cs="仿宋_GB2312" w:asciiTheme="minorEastAsia" w:hAnsiTheme="minorEastAsia"/>
                <w:sz w:val="24"/>
                <w:szCs w:val="24"/>
              </w:rPr>
            </w:pPr>
            <w:r>
              <w:rPr>
                <w:rFonts w:hint="eastAsia" w:cs="仿宋_GB2312" w:asciiTheme="minorEastAsia" w:hAnsiTheme="minorEastAsia"/>
                <w:sz w:val="24"/>
                <w:szCs w:val="24"/>
              </w:rPr>
              <w:t>项目名称：</w:t>
            </w:r>
            <w:r>
              <w:rPr>
                <w:rFonts w:hint="eastAsia" w:cs="仿宋_GB2312" w:asciiTheme="minorEastAsia" w:hAnsiTheme="minorEastAsia"/>
                <w:sz w:val="24"/>
                <w:szCs w:val="24"/>
                <w:lang w:val="en-US" w:eastAsia="zh-CN"/>
              </w:rPr>
              <w:t>禹州市城乡规划局18个传统村落保护规划项目</w:t>
            </w:r>
          </w:p>
          <w:p>
            <w:pPr>
              <w:autoSpaceDE w:val="0"/>
              <w:autoSpaceDN w:val="0"/>
              <w:adjustRightInd w:val="0"/>
              <w:spacing w:line="360" w:lineRule="auto"/>
              <w:jc w:val="left"/>
              <w:rPr>
                <w:rFonts w:cs="仿宋_GB2312" w:asciiTheme="minorEastAsia" w:hAnsiTheme="minorEastAsia"/>
                <w:sz w:val="24"/>
                <w:szCs w:val="24"/>
                <w:lang w:val="en-US"/>
              </w:rPr>
            </w:pPr>
            <w:r>
              <w:rPr>
                <w:rFonts w:hint="eastAsia" w:cs="仿宋_GB2312" w:asciiTheme="minorEastAsia" w:hAnsiTheme="minorEastAsia"/>
                <w:sz w:val="24"/>
                <w:szCs w:val="24"/>
              </w:rPr>
              <w:t>项目编号：</w:t>
            </w:r>
            <w:r>
              <w:rPr>
                <w:rFonts w:hint="eastAsia" w:cs="仿宋_GB2312" w:asciiTheme="minorEastAsia" w:hAnsiTheme="minorEastAsia"/>
                <w:sz w:val="24"/>
                <w:szCs w:val="24"/>
                <w:lang w:val="en-US" w:eastAsia="zh-CN"/>
              </w:rPr>
              <w:t>YZ</w:t>
            </w:r>
            <w:r>
              <w:rPr>
                <w:rFonts w:hint="eastAsia" w:cs="仿宋_GB2312" w:asciiTheme="minorEastAsia" w:hAnsiTheme="minorEastAsia"/>
                <w:sz w:val="24"/>
                <w:szCs w:val="24"/>
              </w:rPr>
              <w:t>CG-</w:t>
            </w:r>
            <w:r>
              <w:rPr>
                <w:rFonts w:hint="eastAsia" w:cs="仿宋_GB2312" w:asciiTheme="minorEastAsia" w:hAnsiTheme="minorEastAsia"/>
                <w:sz w:val="24"/>
                <w:szCs w:val="24"/>
                <w:lang w:val="en-US" w:eastAsia="zh-CN"/>
              </w:rPr>
              <w:t>G2019004</w:t>
            </w:r>
          </w:p>
          <w:p>
            <w:pPr>
              <w:autoSpaceDE w:val="0"/>
              <w:autoSpaceDN w:val="0"/>
              <w:adjustRightInd w:val="0"/>
              <w:spacing w:line="360" w:lineRule="auto"/>
              <w:jc w:val="left"/>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rPr>
              <w:t>项目内容：</w:t>
            </w:r>
            <w:r>
              <w:rPr>
                <w:rFonts w:hint="eastAsia" w:cs="仿宋_GB2312" w:asciiTheme="minorEastAsia" w:hAnsiTheme="minorEastAsia"/>
                <w:sz w:val="24"/>
                <w:szCs w:val="24"/>
                <w:lang w:val="en-US" w:eastAsia="zh-CN"/>
              </w:rPr>
              <w:t>本项目分两个标段，一标段为无梁王家村等八个传统村落保护规划，二标段为磨街乡黄沟村等十个传统村落保护规划。</w:t>
            </w:r>
          </w:p>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项目地址：</w:t>
            </w:r>
            <w:r>
              <w:rPr>
                <w:rFonts w:hint="eastAsia" w:cs="仿宋_GB2312" w:asciiTheme="minorEastAsia" w:hAnsiTheme="minorEastAsia"/>
                <w:sz w:val="24"/>
                <w:szCs w:val="24"/>
                <w:lang w:eastAsia="zh-CN"/>
              </w:rPr>
              <w:t>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sz w:val="24"/>
                <w:szCs w:val="24"/>
                <w:lang w:eastAsia="zh-CN"/>
              </w:rPr>
            </w:pPr>
            <w:r>
              <w:rPr>
                <w:rFonts w:hint="eastAsia" w:cs="仿宋_GB2312" w:asciiTheme="minorEastAsia" w:hAnsiTheme="minorEastAsia"/>
                <w:sz w:val="24"/>
                <w:szCs w:val="24"/>
              </w:rPr>
              <w:t>名称：</w:t>
            </w:r>
            <w:r>
              <w:rPr>
                <w:rFonts w:hint="eastAsia" w:cs="仿宋_GB2312" w:asciiTheme="minorEastAsia" w:hAnsiTheme="minorEastAsia"/>
                <w:sz w:val="24"/>
                <w:szCs w:val="24"/>
                <w:lang w:val="en-US" w:eastAsia="zh-CN"/>
              </w:rPr>
              <w:t>禹州市城乡规划局</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00" w:lineRule="exact"/>
              <w:ind w:right="0" w:rightChars="0"/>
              <w:jc w:val="left"/>
              <w:textAlignment w:val="auto"/>
              <w:outlineLvl w:val="9"/>
              <w:rPr>
                <w:rFonts w:hint="eastAsia" w:cs="仿宋_GB2312" w:asciiTheme="minorEastAsia" w:hAnsiTheme="minorEastAsia" w:eastAsiaTheme="minorEastAsia"/>
                <w:sz w:val="24"/>
                <w:szCs w:val="24"/>
                <w:lang w:eastAsia="zh-CN"/>
              </w:rPr>
            </w:pPr>
            <w:r>
              <w:rPr>
                <w:rFonts w:hint="eastAsia" w:cs="仿宋_GB2312" w:asciiTheme="minorEastAsia" w:hAnsiTheme="minorEastAsia"/>
                <w:sz w:val="24"/>
                <w:szCs w:val="24"/>
              </w:rPr>
              <w:t>地址：</w:t>
            </w:r>
            <w:r>
              <w:rPr>
                <w:rFonts w:hint="eastAsia" w:cs="仿宋_GB2312" w:asciiTheme="minorEastAsia" w:hAnsiTheme="minorEastAsia"/>
                <w:sz w:val="24"/>
                <w:szCs w:val="24"/>
                <w:lang w:val="en-US" w:eastAsia="zh-CN"/>
              </w:rPr>
              <w:t>禹州市行政南路</w:t>
            </w:r>
          </w:p>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val="en-US" w:eastAsia="zh-CN"/>
              </w:rPr>
              <w:t>李先生</w:t>
            </w:r>
            <w:r>
              <w:rPr>
                <w:rFonts w:hint="eastAsia" w:cs="仿宋_GB2312" w:asciiTheme="minorEastAsia" w:hAnsiTheme="minorEastAsia"/>
                <w:sz w:val="24"/>
                <w:szCs w:val="24"/>
              </w:rPr>
              <w:t xml:space="preserve">                    电话：</w:t>
            </w:r>
            <w:r>
              <w:rPr>
                <w:rFonts w:hint="eastAsia" w:cs="仿宋_GB2312" w:asciiTheme="minorEastAsia" w:hAnsiTheme="minorEastAsia"/>
                <w:sz w:val="24"/>
                <w:szCs w:val="24"/>
                <w:lang w:val="en-US" w:eastAsia="zh-CN"/>
              </w:rPr>
              <w:t>13937427766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w:t>
            </w:r>
            <w:r>
              <w:rPr>
                <w:rFonts w:hint="eastAsia" w:cs="仿宋_GB2312" w:asciiTheme="minorEastAsia" w:hAnsiTheme="minorEastAsia"/>
                <w:sz w:val="24"/>
                <w:szCs w:val="24"/>
                <w:lang w:eastAsia="zh-CN"/>
              </w:rPr>
              <w:t>禹州</w:t>
            </w:r>
            <w:r>
              <w:rPr>
                <w:rFonts w:hint="eastAsia" w:cs="仿宋_GB2312" w:asciiTheme="minorEastAsia" w:hAnsiTheme="minorEastAsia"/>
                <w:sz w:val="24"/>
                <w:szCs w:val="24"/>
              </w:rPr>
              <w:t>市政府采购中心</w:t>
            </w:r>
          </w:p>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地址：</w:t>
            </w:r>
            <w:r>
              <w:rPr>
                <w:rFonts w:hint="eastAsia" w:cs="仿宋_GB2312" w:asciiTheme="minorEastAsia" w:hAnsiTheme="minorEastAsia"/>
                <w:sz w:val="24"/>
                <w:szCs w:val="24"/>
                <w:lang w:eastAsia="zh-CN"/>
              </w:rPr>
              <w:t>禹州市行政服务中心楼</w:t>
            </w:r>
            <w:r>
              <w:rPr>
                <w:rFonts w:hint="eastAsia" w:cs="仿宋_GB2312" w:asciiTheme="minorEastAsia" w:hAnsiTheme="minorEastAsia"/>
                <w:sz w:val="24"/>
                <w:szCs w:val="24"/>
                <w:lang w:val="en-US" w:eastAsia="zh-CN"/>
              </w:rPr>
              <w:t>9楼</w:t>
            </w:r>
          </w:p>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val="en-US" w:eastAsia="zh-CN"/>
              </w:rPr>
              <w:t>李女士</w:t>
            </w:r>
            <w:r>
              <w:rPr>
                <w:rFonts w:hint="eastAsia" w:cs="仿宋_GB2312" w:asciiTheme="minorEastAsia" w:hAnsiTheme="minorEastAsia"/>
                <w:sz w:val="24"/>
                <w:szCs w:val="24"/>
              </w:rPr>
              <w:t xml:space="preserve">              电话：0374-</w:t>
            </w:r>
            <w:r>
              <w:rPr>
                <w:rFonts w:hint="eastAsia" w:cs="仿宋_GB2312" w:asciiTheme="minorEastAsia" w:hAnsiTheme="minorEastAsia"/>
                <w:sz w:val="24"/>
                <w:szCs w:val="24"/>
                <w:lang w:val="en-US" w:eastAsia="zh-CN"/>
              </w:rPr>
              <w:t>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1、上一</w:t>
            </w:r>
            <w:r>
              <w:rPr>
                <w:rFonts w:hint="eastAsia" w:cs="宋体" w:asciiTheme="minorEastAsia" w:hAnsiTheme="minorEastAsia"/>
                <w:bCs/>
                <w:sz w:val="24"/>
                <w:szCs w:val="24"/>
                <w:lang w:val="zh-CN"/>
              </w:rPr>
              <w:t>年度的财务报告；</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ind w:right="-11"/>
              <w:rPr>
                <w:rFonts w:hint="eastAsia" w:cs="宋体" w:asciiTheme="minorEastAsia" w:hAnsiTheme="minorEastAsia"/>
                <w:b/>
                <w:kern w:val="0"/>
                <w:sz w:val="24"/>
                <w:szCs w:val="24"/>
                <w:lang w:val="zh-CN"/>
              </w:rPr>
            </w:pPr>
            <w:r>
              <w:rPr>
                <w:rFonts w:hint="eastAsia" w:cs="宋体" w:asciiTheme="minorEastAsia" w:hAnsiTheme="minorEastAsia"/>
                <w:bCs/>
                <w:sz w:val="24"/>
                <w:szCs w:val="24"/>
                <w:lang w:val="zh-CN"/>
              </w:rPr>
              <w:t>相关设备的购置发票、专业技术人员职称证书、用工合同等或者投标人相关承诺函或声明。（格式自拟）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numPr>
                <w:ilvl w:val="0"/>
                <w:numId w:val="9"/>
              </w:numPr>
              <w:autoSpaceDE w:val="0"/>
              <w:autoSpaceDN w:val="0"/>
              <w:adjustRightInd w:val="0"/>
              <w:spacing w:line="360" w:lineRule="auto"/>
              <w:ind w:right="-11"/>
              <w:rPr>
                <w:rFonts w:hint="eastAsia" w:cs="宋体" w:asciiTheme="minorEastAsia" w:hAnsiTheme="minorEastAsia"/>
                <w:b/>
                <w:color w:val="FF0000"/>
                <w:kern w:val="0"/>
                <w:sz w:val="24"/>
                <w:szCs w:val="24"/>
                <w:lang w:val="zh-CN"/>
              </w:rPr>
            </w:pPr>
            <w:r>
              <w:rPr>
                <w:rFonts w:hint="eastAsia" w:cs="宋体" w:asciiTheme="minorEastAsia" w:hAnsiTheme="minorEastAsia"/>
                <w:b/>
                <w:color w:val="FF0000"/>
                <w:kern w:val="0"/>
                <w:sz w:val="24"/>
                <w:szCs w:val="24"/>
                <w:lang w:val="zh-CN"/>
              </w:rPr>
              <w:t>投标人资格条件</w:t>
            </w:r>
          </w:p>
          <w:p>
            <w:pPr>
              <w:autoSpaceDE w:val="0"/>
              <w:autoSpaceDN w:val="0"/>
              <w:adjustRightInd w:val="0"/>
              <w:spacing w:line="360" w:lineRule="auto"/>
              <w:ind w:right="-11"/>
              <w:rPr>
                <w:rFonts w:hint="eastAsia" w:cs="宋体" w:asciiTheme="minorEastAsia" w:hAnsiTheme="minorEastAsia"/>
                <w:bCs/>
                <w:sz w:val="24"/>
                <w:szCs w:val="24"/>
                <w:lang w:val="en-US" w:eastAsia="zh-CN"/>
              </w:rPr>
            </w:pPr>
            <w:r>
              <w:rPr>
                <w:rFonts w:hint="eastAsia" w:cs="宋体" w:asciiTheme="minorEastAsia" w:hAnsiTheme="minorEastAsia"/>
                <w:bCs/>
                <w:sz w:val="24"/>
                <w:szCs w:val="24"/>
                <w:lang w:val="en-US" w:eastAsia="zh-CN"/>
              </w:rPr>
              <w:t>1、符合《政府采购法》第二十二条之规定；</w:t>
            </w:r>
          </w:p>
          <w:p>
            <w:pPr>
              <w:autoSpaceDE w:val="0"/>
              <w:autoSpaceDN w:val="0"/>
              <w:adjustRightInd w:val="0"/>
              <w:spacing w:line="360" w:lineRule="auto"/>
              <w:ind w:right="-11"/>
              <w:rPr>
                <w:rFonts w:hint="eastAsia" w:cs="宋体" w:asciiTheme="minorEastAsia" w:hAnsiTheme="minorEastAsia"/>
                <w:bCs/>
                <w:sz w:val="24"/>
                <w:szCs w:val="24"/>
                <w:lang w:val="en-US" w:eastAsia="zh-CN"/>
              </w:rPr>
            </w:pPr>
            <w:r>
              <w:rPr>
                <w:rFonts w:hint="eastAsia" w:cs="宋体" w:asciiTheme="minorEastAsia" w:hAnsiTheme="minorEastAsia"/>
                <w:bCs/>
                <w:sz w:val="24"/>
                <w:szCs w:val="24"/>
                <w:lang w:val="en-US" w:eastAsia="zh-CN"/>
              </w:rPr>
              <w:t>2、投标人须具有独立法人资格，具备相应规划设计乙级以上资质（含乙级）,项目负责人职称为高级工程师及以上职称；</w:t>
            </w:r>
          </w:p>
          <w:p>
            <w:pPr>
              <w:autoSpaceDE w:val="0"/>
              <w:autoSpaceDN w:val="0"/>
              <w:adjustRightInd w:val="0"/>
              <w:spacing w:line="360" w:lineRule="auto"/>
              <w:ind w:right="-11"/>
              <w:rPr>
                <w:rFonts w:hint="eastAsia" w:cs="宋体" w:asciiTheme="minorEastAsia" w:hAnsiTheme="minorEastAsia"/>
                <w:bCs/>
                <w:sz w:val="24"/>
                <w:szCs w:val="24"/>
                <w:lang w:val="en-US" w:eastAsia="zh-CN"/>
              </w:rPr>
            </w:pPr>
            <w:r>
              <w:rPr>
                <w:rFonts w:hint="eastAsia" w:cs="宋体" w:asciiTheme="minorEastAsia" w:hAnsiTheme="minorEastAsia"/>
                <w:bCs/>
                <w:sz w:val="24"/>
                <w:szCs w:val="24"/>
                <w:lang w:val="en-US" w:eastAsia="zh-CN"/>
              </w:rPr>
              <w:t>3、被委托人是须是本单位职工，须提供公司为本人缴纳社会保险证明；</w:t>
            </w:r>
          </w:p>
          <w:p>
            <w:pPr>
              <w:autoSpaceDE w:val="0"/>
              <w:autoSpaceDN w:val="0"/>
              <w:adjustRightInd w:val="0"/>
              <w:spacing w:line="360" w:lineRule="auto"/>
              <w:ind w:right="-11"/>
              <w:rPr>
                <w:rFonts w:hint="eastAsia" w:cs="宋体" w:asciiTheme="minorEastAsia" w:hAnsiTheme="minorEastAsia"/>
                <w:bCs/>
                <w:sz w:val="24"/>
                <w:szCs w:val="24"/>
                <w:lang w:val="en-US" w:eastAsia="zh-CN"/>
              </w:rPr>
            </w:pPr>
            <w:r>
              <w:rPr>
                <w:rFonts w:hint="eastAsia" w:cs="宋体" w:asciiTheme="minorEastAsia" w:hAnsiTheme="minorEastAsia"/>
                <w:bCs/>
                <w:sz w:val="24"/>
                <w:szCs w:val="24"/>
                <w:lang w:val="en-US" w:eastAsia="zh-CN"/>
              </w:rPr>
              <w:t>4、本项目不接受联合体投标。</w:t>
            </w:r>
          </w:p>
          <w:p>
            <w:pPr>
              <w:autoSpaceDE w:val="0"/>
              <w:autoSpaceDN w:val="0"/>
              <w:adjustRightInd w:val="0"/>
              <w:spacing w:line="360" w:lineRule="auto"/>
              <w:ind w:right="-11"/>
              <w:rPr>
                <w:rFonts w:cs="宋体" w:asciiTheme="minorEastAsia" w:hAnsiTheme="minorEastAsia"/>
                <w:b/>
                <w:color w:val="FF0000"/>
                <w:kern w:val="0"/>
                <w:sz w:val="24"/>
                <w:szCs w:val="24"/>
                <w:lang w:val="zh-CN"/>
              </w:rPr>
            </w:pPr>
            <w:r>
              <w:rPr>
                <w:rFonts w:hint="eastAsia" w:cs="宋体" w:asciiTheme="minorEastAsia" w:hAnsiTheme="minorEastAsia"/>
                <w:b/>
                <w:color w:val="FF0000"/>
                <w:kern w:val="0"/>
                <w:sz w:val="24"/>
                <w:szCs w:val="24"/>
                <w:lang w:val="zh-CN"/>
              </w:rPr>
              <w:t>八、未被列入“信用中国”网站</w:t>
            </w:r>
            <w:r>
              <w:rPr>
                <w:rFonts w:cs="宋体" w:asciiTheme="minorEastAsia" w:hAnsiTheme="minorEastAsia"/>
                <w:b/>
                <w:color w:val="FF0000"/>
                <w:kern w:val="0"/>
                <w:sz w:val="24"/>
                <w:szCs w:val="24"/>
                <w:lang w:val="zh-CN"/>
              </w:rPr>
              <w:t>(www.creditchina.gov.cn)</w:t>
            </w:r>
            <w:r>
              <w:rPr>
                <w:rFonts w:hint="eastAsia" w:cs="宋体" w:asciiTheme="minorEastAsia" w:hAnsiTheme="minorEastAsia"/>
                <w:b/>
                <w:color w:val="FF0000"/>
                <w:kern w:val="0"/>
                <w:sz w:val="24"/>
                <w:szCs w:val="24"/>
                <w:lang w:val="zh-CN"/>
              </w:rPr>
              <w:t>失信被执行人、重大税收违法案件当事人名单、政府采购严重违法失信名单的投标人；“中国政府采购网”</w:t>
            </w:r>
            <w:r>
              <w:rPr>
                <w:rFonts w:cs="宋体" w:asciiTheme="minorEastAsia" w:hAnsiTheme="minorEastAsia"/>
                <w:b/>
                <w:color w:val="FF0000"/>
                <w:kern w:val="0"/>
                <w:sz w:val="24"/>
                <w:szCs w:val="24"/>
                <w:lang w:val="zh-CN"/>
              </w:rPr>
              <w:t xml:space="preserve"> (www.ccgp.gov.cn)</w:t>
            </w:r>
            <w:r>
              <w:rPr>
                <w:rFonts w:hint="eastAsia" w:cs="宋体" w:asciiTheme="minorEastAsia" w:hAnsiTheme="minorEastAsia"/>
                <w:b/>
                <w:color w:val="FF0000"/>
                <w:kern w:val="0"/>
                <w:sz w:val="24"/>
                <w:szCs w:val="24"/>
                <w:lang w:val="zh-CN"/>
              </w:rPr>
              <w:t>政府采购严重违法失信行为记录名单的投标人；“国家企业信用公示系统”网站（</w:t>
            </w:r>
            <w:r>
              <w:rPr>
                <w:rFonts w:cs="宋体" w:asciiTheme="minorEastAsia" w:hAnsiTheme="minorEastAsia"/>
                <w:b/>
                <w:color w:val="FF0000"/>
                <w:kern w:val="0"/>
                <w:sz w:val="24"/>
                <w:szCs w:val="24"/>
                <w:lang w:val="zh-CN"/>
              </w:rPr>
              <w:t>www.gsxt.gov.cn</w:t>
            </w:r>
            <w:r>
              <w:rPr>
                <w:rFonts w:hint="eastAsia" w:cs="宋体" w:asciiTheme="minorEastAsia" w:hAnsiTheme="minorEastAsia"/>
                <w:b/>
                <w:color w:val="FF0000"/>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1、查询渠道：“信用中国”网站（</w:t>
            </w:r>
            <w:r>
              <w:rPr>
                <w:rFonts w:cs="宋体" w:asciiTheme="minorEastAsia" w:hAnsiTheme="minorEastAsia"/>
                <w:color w:val="FF0000"/>
                <w:kern w:val="0"/>
                <w:sz w:val="24"/>
                <w:szCs w:val="24"/>
              </w:rPr>
              <w:t>www.creditchina.gov.cn</w:t>
            </w:r>
            <w:r>
              <w:rPr>
                <w:rFonts w:hint="eastAsia" w:cs="宋体" w:asciiTheme="minorEastAsia" w:hAnsiTheme="minorEastAsia"/>
                <w:color w:val="FF0000"/>
                <w:kern w:val="0"/>
                <w:sz w:val="24"/>
                <w:szCs w:val="24"/>
              </w:rPr>
              <w:t>）和“中国政府采购网”（</w:t>
            </w:r>
            <w:r>
              <w:rPr>
                <w:rFonts w:cs="宋体" w:asciiTheme="minorEastAsia" w:hAnsiTheme="minorEastAsia"/>
                <w:color w:val="FF0000"/>
                <w:kern w:val="0"/>
                <w:sz w:val="24"/>
                <w:szCs w:val="24"/>
              </w:rPr>
              <w:t>www.ccgp.gov.cn</w:t>
            </w:r>
            <w:r>
              <w:rPr>
                <w:rFonts w:hint="eastAsia" w:cs="宋体" w:asciiTheme="minorEastAsia" w:hAnsiTheme="minorEastAsia"/>
                <w:color w:val="FF0000"/>
                <w:kern w:val="0"/>
                <w:sz w:val="24"/>
                <w:szCs w:val="24"/>
              </w:rPr>
              <w:t>）；“国家企业信用公示系统”网站（</w:t>
            </w:r>
            <w:r>
              <w:rPr>
                <w:rFonts w:cs="宋体" w:asciiTheme="minorEastAsia" w:hAnsiTheme="minorEastAsia"/>
                <w:color w:val="FF0000"/>
                <w:kern w:val="0"/>
                <w:sz w:val="24"/>
                <w:szCs w:val="24"/>
              </w:rPr>
              <w:t>www.gsxt.gov.cn</w:t>
            </w:r>
            <w:r>
              <w:rPr>
                <w:rFonts w:hint="eastAsia" w:cs="宋体" w:asciiTheme="minorEastAsia" w:hAnsiTheme="minorEastAsia"/>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FF0000"/>
                <w:kern w:val="0"/>
                <w:sz w:val="24"/>
                <w:szCs w:val="24"/>
              </w:rPr>
            </w:pPr>
            <w:r>
              <w:rPr>
                <w:rFonts w:cs="宋体" w:asciiTheme="minorEastAsia" w:hAnsiTheme="minorEastAsia"/>
                <w:color w:val="FF0000"/>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eastAsia="zh-CN"/>
              </w:rPr>
              <w:t>一标段：</w:t>
            </w:r>
            <w:r>
              <w:rPr>
                <w:rFonts w:hint="eastAsia" w:cs="宋体" w:asciiTheme="minorEastAsia" w:hAnsiTheme="minorEastAsia"/>
                <w:bCs/>
                <w:sz w:val="24"/>
                <w:szCs w:val="24"/>
                <w:lang w:val="en-US" w:eastAsia="zh-CN"/>
              </w:rPr>
              <w:t>168</w:t>
            </w:r>
            <w:r>
              <w:rPr>
                <w:rFonts w:hint="eastAsia" w:cs="宋体" w:asciiTheme="minorEastAsia" w:hAnsiTheme="minorEastAsia"/>
                <w:bCs/>
                <w:sz w:val="24"/>
                <w:szCs w:val="24"/>
                <w:lang w:val="zh-CN" w:eastAsia="zh-CN"/>
              </w:rPr>
              <w:t>万元；二标段：</w:t>
            </w:r>
            <w:r>
              <w:rPr>
                <w:rFonts w:hint="eastAsia" w:cs="宋体" w:asciiTheme="minorEastAsia" w:hAnsiTheme="minorEastAsia"/>
                <w:bCs/>
                <w:sz w:val="24"/>
                <w:szCs w:val="24"/>
                <w:lang w:val="en-US" w:eastAsia="zh-CN"/>
              </w:rPr>
              <w:t>210</w:t>
            </w:r>
            <w:r>
              <w:rPr>
                <w:rFonts w:hint="eastAsia" w:cs="宋体" w:asciiTheme="minorEastAsia" w:hAnsiTheme="minorEastAsia"/>
                <w:bCs/>
                <w:sz w:val="24"/>
                <w:szCs w:val="24"/>
                <w:lang w:val="zh-CN" w:eastAsia="zh-CN"/>
              </w:rPr>
              <w:t>万元</w:t>
            </w:r>
            <w:r>
              <w:rPr>
                <w:rFonts w:hint="eastAsia" w:cs="宋体" w:asciiTheme="minorEastAsia" w:hAnsiTheme="minorEastAsia"/>
                <w:bCs/>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FF0000"/>
                <w:sz w:val="24"/>
                <w:szCs w:val="24"/>
              </w:rPr>
            </w:pPr>
            <w:r>
              <w:rPr>
                <w:rFonts w:hint="eastAsia" w:cs="仿宋_GB2312" w:asciiTheme="minorEastAsia" w:hAnsiTheme="minorEastAsia"/>
                <w:color w:val="FF0000"/>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2019</w:t>
            </w:r>
            <w:r>
              <w:rPr>
                <w:rFonts w:hint="eastAsia" w:cs="宋体" w:asciiTheme="minorEastAsia" w:hAnsiTheme="minorEastAsia"/>
                <w:bCs/>
                <w:sz w:val="24"/>
                <w:szCs w:val="24"/>
                <w:lang w:val="zh-CN"/>
              </w:rPr>
              <w:t>年</w:t>
            </w:r>
            <w:r>
              <w:rPr>
                <w:rFonts w:hint="eastAsia" w:cs="宋体" w:asciiTheme="minorEastAsia" w:hAnsiTheme="minorEastAsia"/>
                <w:bCs/>
                <w:sz w:val="24"/>
                <w:szCs w:val="24"/>
                <w:lang w:val="en-US" w:eastAsia="zh-CN"/>
              </w:rPr>
              <w:t>1</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30</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9:00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金额：</w:t>
            </w:r>
            <w:r>
              <w:rPr>
                <w:rFonts w:hint="eastAsia" w:cs="仿宋_GB2312" w:asciiTheme="minorEastAsia" w:hAnsiTheme="minorEastAsia"/>
                <w:sz w:val="24"/>
                <w:szCs w:val="24"/>
                <w:lang w:val="en-US" w:eastAsia="zh-CN"/>
              </w:rPr>
              <w:t>一标段：叁万</w:t>
            </w:r>
            <w:r>
              <w:rPr>
                <w:rFonts w:hint="eastAsia" w:cs="仿宋_GB2312" w:asciiTheme="minorEastAsia" w:hAnsiTheme="minorEastAsia"/>
                <w:sz w:val="24"/>
                <w:szCs w:val="24"/>
                <w:lang w:val="zh-CN"/>
              </w:rPr>
              <w:t>元（¥ ：</w:t>
            </w:r>
            <w:r>
              <w:rPr>
                <w:rFonts w:hint="eastAsia" w:cs="仿宋_GB2312" w:asciiTheme="minorEastAsia" w:hAnsiTheme="minorEastAsia"/>
                <w:sz w:val="24"/>
                <w:szCs w:val="24"/>
                <w:lang w:val="en-US" w:eastAsia="zh-CN"/>
              </w:rPr>
              <w:t>30000.00</w:t>
            </w:r>
            <w:r>
              <w:rPr>
                <w:rFonts w:hint="eastAsia" w:cs="仿宋_GB2312" w:asciiTheme="minorEastAsia" w:hAnsiTheme="minorEastAsia"/>
                <w:sz w:val="24"/>
                <w:szCs w:val="24"/>
                <w:lang w:val="zh-CN"/>
              </w:rPr>
              <w:t xml:space="preserve"> 元）</w:t>
            </w:r>
          </w:p>
          <w:p>
            <w:pPr>
              <w:pStyle w:val="2"/>
              <w:rPr>
                <w:rFonts w:hint="eastAsia" w:eastAsiaTheme="minorEastAsia"/>
                <w:lang w:val="en-US" w:eastAsia="zh-CN"/>
              </w:rPr>
            </w:pPr>
            <w:r>
              <w:rPr>
                <w:rFonts w:hint="eastAsia" w:cs="仿宋_GB2312" w:asciiTheme="minorEastAsia" w:hAnsiTheme="minorEastAsia"/>
                <w:sz w:val="24"/>
                <w:szCs w:val="24"/>
                <w:lang w:val="en-US" w:eastAsia="zh-CN"/>
              </w:rPr>
              <w:t xml:space="preserve">      二标段：叁万元（</w:t>
            </w:r>
            <w:r>
              <w:rPr>
                <w:rFonts w:hint="eastAsia" w:cs="仿宋_GB2312" w:asciiTheme="minorEastAsia" w:hAnsiTheme="minorEastAsia"/>
                <w:sz w:val="24"/>
                <w:szCs w:val="24"/>
                <w:lang w:val="zh-CN"/>
              </w:rPr>
              <w:t>¥ ：</w:t>
            </w:r>
            <w:r>
              <w:rPr>
                <w:rFonts w:hint="eastAsia" w:cs="仿宋_GB2312" w:asciiTheme="minorEastAsia" w:hAnsiTheme="minorEastAsia"/>
                <w:sz w:val="24"/>
                <w:szCs w:val="24"/>
                <w:lang w:val="en-US" w:eastAsia="zh-CN"/>
              </w:rPr>
              <w:t>30000.00</w:t>
            </w:r>
            <w:r>
              <w:rPr>
                <w:rFonts w:hint="eastAsia" w:cs="仿宋_GB2312" w:asciiTheme="minorEastAsia" w:hAnsiTheme="minorEastAsia"/>
                <w:sz w:val="24"/>
                <w:szCs w:val="24"/>
                <w:lang w:val="zh-CN"/>
              </w:rPr>
              <w:t xml:space="preserve"> 元</w:t>
            </w:r>
            <w:r>
              <w:rPr>
                <w:rFonts w:hint="eastAsia" w:cs="仿宋_GB2312" w:asciiTheme="minorEastAsia" w:hAnsiTheme="minorEastAsia"/>
                <w:sz w:val="24"/>
                <w:szCs w:val="24"/>
                <w:lang w:val="en-US" w:eastAsia="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w:t>
            </w:r>
            <w:r>
              <w:rPr>
                <w:rFonts w:hint="eastAsia" w:cs="仿宋_GB2312" w:asciiTheme="minorEastAsia" w:hAnsiTheme="minorEastAsia"/>
                <w:sz w:val="24"/>
                <w:szCs w:val="24"/>
                <w:lang w:val="en-US" w:eastAsia="zh-CN"/>
              </w:rPr>
              <w:t>禹州市</w:t>
            </w:r>
            <w:r>
              <w:rPr>
                <w:rFonts w:hint="eastAsia" w:cs="仿宋_GB2312" w:asciiTheme="minorEastAsia" w:hAnsiTheme="minorEastAsia"/>
                <w:sz w:val="24"/>
                <w:szCs w:val="24"/>
                <w:lang w:val="zh-CN"/>
              </w:rPr>
              <w:t>公共资源交易中心保证金缴纳回执”附于投标文件中，同时在开标现场提供一份“</w:t>
            </w:r>
            <w:r>
              <w:rPr>
                <w:rFonts w:hint="eastAsia" w:cs="仿宋_GB2312" w:asciiTheme="minorEastAsia" w:hAnsiTheme="minorEastAsia"/>
                <w:sz w:val="24"/>
                <w:szCs w:val="24"/>
                <w:lang w:val="en-US" w:eastAsia="zh-CN"/>
              </w:rPr>
              <w:t>禹州市</w:t>
            </w:r>
            <w:r>
              <w:rPr>
                <w:rFonts w:hint="eastAsia" w:cs="仿宋_GB2312" w:asciiTheme="minorEastAsia" w:hAnsiTheme="minorEastAsia"/>
                <w:sz w:val="24"/>
                <w:szCs w:val="24"/>
                <w:lang w:val="zh-CN"/>
              </w:rPr>
              <w:t>公共资源交易中心保证金缴纳回执”以备查询。</w:t>
            </w:r>
          </w:p>
          <w:p>
            <w:pPr>
              <w:tabs>
                <w:tab w:val="left" w:pos="1260"/>
              </w:tabs>
              <w:autoSpaceDE w:val="0"/>
              <w:autoSpaceDN w:val="0"/>
              <w:adjustRightInd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non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color w:val="7030A0"/>
                <w:sz w:val="24"/>
              </w:rPr>
              <w:fldChar w:fldCharType="begin"/>
            </w:r>
            <w:r>
              <w:rPr>
                <w:rFonts w:ascii="新宋体" w:hAnsi="新宋体" w:eastAsia="新宋体"/>
                <w:b/>
                <w:color w:val="7030A0"/>
                <w:sz w:val="24"/>
              </w:rPr>
              <w:instrText xml:space="preserve"> </w:instrText>
            </w:r>
            <w:r>
              <w:rPr>
                <w:rFonts w:hint="eastAsia" w:ascii="新宋体" w:hAnsi="新宋体" w:eastAsia="新宋体"/>
                <w:b/>
                <w:color w:val="7030A0"/>
                <w:sz w:val="24"/>
              </w:rPr>
              <w:instrText xml:space="preserve">eq \o\ac(□,√)</w:instrText>
            </w:r>
            <w:r>
              <w:rPr>
                <w:rFonts w:ascii="新宋体" w:hAnsi="新宋体" w:eastAsia="新宋体"/>
                <w:b/>
                <w:color w:val="7030A0"/>
                <w:sz w:val="24"/>
              </w:rPr>
              <w:fldChar w:fldCharType="end"/>
            </w:r>
            <w:r>
              <w:rPr>
                <w:rFonts w:hint="eastAsia" w:ascii="新宋体" w:hAnsi="新宋体" w:eastAsia="新宋体"/>
                <w:color w:val="7030A0"/>
                <w:sz w:val="24"/>
              </w:rPr>
              <w:t>纸质投标文件：投标文件封面加盖投标人公章（投标文件是指投标人电子投标文件制作完成后生成的后缀名为</w:t>
            </w:r>
            <w:r>
              <w:rPr>
                <w:rFonts w:hint="eastAsia" w:hAnsi="宋体"/>
                <w:color w:val="7030A0"/>
                <w:sz w:val="24"/>
                <w:szCs w:val="24"/>
              </w:rPr>
              <w:t>“.PDF”的文件</w:t>
            </w:r>
            <w:r>
              <w:rPr>
                <w:rFonts w:hint="eastAsia" w:ascii="新宋体" w:hAnsi="新宋体" w:eastAsia="新宋体"/>
                <w:color w:val="7030A0"/>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16"/>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lang w:val="en-US" w:eastAsia="zh-CN"/>
              </w:rPr>
              <w:t>10</w:t>
            </w:r>
            <w:r>
              <w:rPr>
                <w:rFonts w:hint="eastAsia" w:cs="宋体" w:asciiTheme="minorEastAsia" w:hAnsiTheme="minorEastAsia"/>
                <w:color w:val="333333"/>
                <w:sz w:val="24"/>
                <w:szCs w:val="24"/>
              </w:rPr>
              <w:t>%</w:t>
            </w:r>
            <w:r>
              <w:rPr>
                <w:rFonts w:hint="eastAsia" w:cs="宋体" w:asciiTheme="minorEastAsia" w:hAnsiTheme="minorEastAsia"/>
                <w:color w:val="333333"/>
                <w:sz w:val="24"/>
                <w:szCs w:val="24"/>
                <w:lang w:eastAsia="zh-CN"/>
              </w:rPr>
              <w:t>以下</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lang w:val="en-US" w:eastAsia="zh-CN"/>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lang w:val="en-US" w:eastAsia="zh-CN"/>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both"/>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lang w:val="en-US" w:eastAsia="zh-CN"/>
        </w:rPr>
        <w:t xml:space="preserve">               </w:t>
      </w: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3"/>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19"/>
        <w:widowControl/>
        <w:shd w:val="clear" w:color="auto" w:fill="FFFFFF"/>
        <w:spacing w:line="360" w:lineRule="auto"/>
        <w:contextualSpacing/>
        <w:jc w:val="left"/>
        <w:rPr>
          <w:rFonts w:cs="宋体" w:asciiTheme="minorEastAsia" w:hAnsiTheme="minorEastAsia"/>
          <w:b/>
          <w:color w:val="FF0000"/>
          <w:kern w:val="0"/>
        </w:rPr>
      </w:pPr>
      <w:r>
        <w:rPr>
          <w:rFonts w:cs="宋体" w:asciiTheme="minorEastAsia" w:hAnsiTheme="minorEastAsia"/>
          <w:color w:val="FF0000"/>
          <w:kern w:val="0"/>
        </w:rPr>
        <w:t>3.</w:t>
      </w:r>
      <w:r>
        <w:rPr>
          <w:rFonts w:hint="eastAsia" w:cs="宋体" w:asciiTheme="minorEastAsia" w:hAnsiTheme="minorEastAsia"/>
          <w:color w:val="FF0000"/>
          <w:kern w:val="0"/>
        </w:rPr>
        <w:t>3</w:t>
      </w:r>
      <w:r>
        <w:rPr>
          <w:rFonts w:cs="宋体" w:asciiTheme="minorEastAsia" w:hAnsiTheme="minorEastAsia"/>
          <w:color w:val="FF0000"/>
          <w:kern w:val="0"/>
        </w:rPr>
        <w:t xml:space="preserve"> </w:t>
      </w:r>
      <w:r>
        <w:rPr>
          <w:rFonts w:hint="eastAsia" w:cs="宋体" w:asciiTheme="minorEastAsia" w:hAnsiTheme="minorEastAsia"/>
          <w:color w:val="FF0000"/>
          <w:kern w:val="0"/>
        </w:rPr>
        <w:t>政府采购活动中查询及使用投标人信用记录的具体要求为：投标人未被列入失信被执行人、重大税收违法案件当事人名单、</w:t>
      </w:r>
      <w:r>
        <w:rPr>
          <w:rFonts w:cs="仿宋_GB2312" w:asciiTheme="minorEastAsia" w:hAnsiTheme="minorEastAsia"/>
          <w:color w:val="FF0000"/>
          <w:shd w:val="clear" w:color="auto" w:fill="FFFFFF"/>
        </w:rPr>
        <w:t>政府采购严重违法失信名单</w:t>
      </w:r>
      <w:r>
        <w:rPr>
          <w:rFonts w:hint="eastAsia" w:cs="仿宋_GB2312" w:asciiTheme="minorEastAsia" w:hAnsiTheme="minorEastAsia"/>
          <w:color w:val="FF0000"/>
          <w:shd w:val="clear" w:color="auto" w:fill="FFFFFF"/>
        </w:rPr>
        <w:t>、</w:t>
      </w:r>
      <w:r>
        <w:rPr>
          <w:rFonts w:hint="eastAsia" w:cs="宋体" w:asciiTheme="minorEastAsia" w:hAnsiTheme="minorEastAsia"/>
          <w:color w:val="FF0000"/>
          <w:kern w:val="0"/>
        </w:rPr>
        <w:t>政府采购严重违法失信行为记录名单、</w:t>
      </w:r>
      <w:r>
        <w:rPr>
          <w:rFonts w:hint="eastAsia" w:ascii="宋体" w:hAnsi="宋体" w:cs="仿宋_GB2312"/>
          <w:b/>
          <w:color w:val="FF0000"/>
          <w:shd w:val="clear" w:color="auto" w:fill="FFFFFF"/>
        </w:rPr>
        <w:t>严重违法失信企业名单（黑名单）</w:t>
      </w:r>
      <w:r>
        <w:rPr>
          <w:rFonts w:hint="eastAsia" w:cs="宋体" w:asciiTheme="minorEastAsia" w:hAnsiTheme="minorEastAsia"/>
          <w:color w:val="FF0000"/>
          <w:kern w:val="0"/>
        </w:rPr>
        <w:t>（联合体形式投标的，联合体成员存在不良信用记录，视同联合体存在不良信用记录）。</w:t>
      </w:r>
      <w:r>
        <w:rPr>
          <w:rFonts w:hint="eastAsia" w:cs="宋体" w:asciiTheme="minorEastAsia" w:hAnsiTheme="minorEastAsia"/>
          <w:b/>
          <w:color w:val="FF0000"/>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eastAsia="zh-CN"/>
        </w:rPr>
        <w:t>除标书</w:t>
      </w:r>
      <w:r>
        <w:rPr>
          <w:rFonts w:hint="eastAsia" w:cs="宋体" w:asciiTheme="minorEastAsia" w:hAnsiTheme="minorEastAsia"/>
          <w:kern w:val="0"/>
          <w:sz w:val="24"/>
          <w:szCs w:val="24"/>
        </w:rPr>
        <w:t>费用</w:t>
      </w:r>
      <w:r>
        <w:rPr>
          <w:rFonts w:hint="eastAsia" w:cs="宋体" w:asciiTheme="minorEastAsia" w:hAnsiTheme="minorEastAsia"/>
          <w:kern w:val="0"/>
          <w:sz w:val="24"/>
          <w:szCs w:val="24"/>
          <w:lang w:eastAsia="zh-CN"/>
        </w:rPr>
        <w:t>外，不收取费用</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7"/>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w:t>
      </w:r>
      <w:r>
        <w:rPr>
          <w:rFonts w:hint="eastAsia" w:cs="仿宋_GB2312" w:asciiTheme="minorEastAsia" w:hAnsiTheme="minorEastAsia"/>
          <w:sz w:val="24"/>
          <w:szCs w:val="24"/>
          <w:lang w:val="en-US" w:eastAsia="zh-CN"/>
        </w:rPr>
        <w:t>禹州</w:t>
      </w:r>
      <w:r>
        <w:rPr>
          <w:rFonts w:hint="eastAsia" w:cs="仿宋_GB2312" w:asciiTheme="minorEastAsia" w:hAnsiTheme="minorEastAsia"/>
          <w:sz w:val="24"/>
          <w:szCs w:val="24"/>
          <w:lang w:val="zh-CN"/>
        </w:rPr>
        <w:t>公共资源交易中心保证金缴纳回执”附于投标文件中，同时在开标现场提供一份“</w:t>
      </w:r>
      <w:r>
        <w:rPr>
          <w:rFonts w:hint="eastAsia" w:cs="仿宋_GB2312" w:asciiTheme="minorEastAsia" w:hAnsiTheme="minorEastAsia"/>
          <w:sz w:val="24"/>
          <w:szCs w:val="24"/>
          <w:lang w:val="en-US" w:eastAsia="zh-CN"/>
        </w:rPr>
        <w:t>禹州</w:t>
      </w:r>
      <w:r>
        <w:rPr>
          <w:rFonts w:hint="eastAsia" w:cs="仿宋_GB2312" w:asciiTheme="minorEastAsia" w:hAnsiTheme="minorEastAsia"/>
          <w:sz w:val="24"/>
          <w:szCs w:val="24"/>
          <w:lang w:val="zh-CN"/>
        </w:rPr>
        <w:t>公共资源交易中心保证金缴纳回执”以备查询。</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个工作日内退还未中标人的投标保证金。（电话：0374-</w:t>
      </w:r>
      <w:r>
        <w:rPr>
          <w:rFonts w:hint="eastAsia" w:cs="仿宋_GB2312" w:asciiTheme="minorEastAsia" w:hAnsiTheme="minorEastAsia"/>
          <w:sz w:val="24"/>
          <w:szCs w:val="24"/>
          <w:lang w:val="en-US" w:eastAsia="zh-CN"/>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w:t>
      </w:r>
      <w:r>
        <w:rPr>
          <w:rFonts w:hint="eastAsia" w:cs="仿宋_GB2312" w:asciiTheme="minorEastAsia" w:hAnsiTheme="minorEastAsia"/>
          <w:sz w:val="24"/>
          <w:szCs w:val="24"/>
          <w:lang w:val="zh-CN" w:eastAsia="zh-CN"/>
        </w:rPr>
        <w:t>并备案后</w:t>
      </w:r>
      <w:r>
        <w:rPr>
          <w:rFonts w:hint="eastAsia" w:cs="仿宋_GB2312" w:asciiTheme="minorEastAsia" w:hAnsiTheme="minorEastAsia"/>
          <w:sz w:val="24"/>
          <w:szCs w:val="24"/>
          <w:lang w:val="zh-CN"/>
        </w:rPr>
        <w:t>5个工作日内退还中标人的投标保证金（0374-</w:t>
      </w:r>
      <w:r>
        <w:rPr>
          <w:rFonts w:hint="eastAsia" w:cs="仿宋_GB2312" w:asciiTheme="minorEastAsia" w:hAnsiTheme="minorEastAsia"/>
          <w:sz w:val="24"/>
          <w:szCs w:val="24"/>
          <w:lang w:val="en-US" w:eastAsia="zh-CN"/>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w:t>
      </w:r>
      <w:r>
        <w:rPr>
          <w:rFonts w:hint="eastAsia" w:cs="仿宋_GB2312" w:asciiTheme="minorEastAsia" w:hAnsiTheme="minorEastAsia"/>
          <w:sz w:val="24"/>
          <w:szCs w:val="24"/>
          <w:lang w:eastAsia="zh-CN"/>
        </w:rPr>
        <w:t>禹州</w:t>
      </w:r>
      <w:r>
        <w:rPr>
          <w:rFonts w:hint="eastAsia" w:cs="仿宋_GB2312" w:asciiTheme="minorEastAsia" w:hAnsiTheme="minorEastAsia"/>
          <w:sz w:val="24"/>
          <w:szCs w:val="24"/>
        </w:rPr>
        <w:t>市</w:t>
      </w:r>
      <w:r>
        <w:rPr>
          <w:rFonts w:hint="eastAsia" w:cs="仿宋_GB2312" w:asciiTheme="minorEastAsia" w:hAnsiTheme="minorEastAsia"/>
          <w:sz w:val="24"/>
          <w:szCs w:val="24"/>
          <w:lang w:eastAsia="zh-CN"/>
        </w:rPr>
        <w:t>政府采购监督管理办公室办理</w:t>
      </w:r>
      <w:r>
        <w:rPr>
          <w:rFonts w:hint="eastAsia" w:cs="仿宋_GB2312" w:asciiTheme="minorEastAsia" w:hAnsiTheme="minorEastAsia"/>
          <w:sz w:val="24"/>
          <w:szCs w:val="24"/>
        </w:rPr>
        <w:t>退款手续</w:t>
      </w:r>
      <w:r>
        <w:rPr>
          <w:rFonts w:hint="eastAsia" w:cs="仿宋_GB2312" w:asciiTheme="minorEastAsia" w:hAnsiTheme="minorEastAsia"/>
          <w:sz w:val="24"/>
          <w:szCs w:val="24"/>
          <w:lang w:val="zh-CN"/>
        </w:rPr>
        <w:t>（电话：0374-</w:t>
      </w:r>
      <w:r>
        <w:rPr>
          <w:rFonts w:hint="eastAsia" w:cs="仿宋_GB2312" w:asciiTheme="minorEastAsia" w:hAnsiTheme="minorEastAsia"/>
          <w:sz w:val="24"/>
          <w:szCs w:val="24"/>
          <w:lang w:val="en-US" w:eastAsia="zh-CN"/>
        </w:rPr>
        <w:t>8112523</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3"/>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3"/>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3"/>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3"/>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3"/>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3"/>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3"/>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bookmarkStart w:id="9" w:name="_GoBack"/>
      <w:bookmarkEnd w:id="9"/>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7030A0"/>
          <w:szCs w:val="24"/>
        </w:rPr>
        <w:t>并加盖投标人公章的原件扫描件（或图片）</w:t>
      </w:r>
      <w:r>
        <w:rPr>
          <w:rFonts w:hint="eastAsia" w:cs="仿宋_GB2312" w:asciiTheme="minorEastAsia" w:hAnsiTheme="minorEastAsia" w:eastAsiaTheme="minorEastAsia"/>
          <w:color w:val="7030A0"/>
          <w:szCs w:val="24"/>
          <w:lang w:val="zh-CN"/>
        </w:rPr>
        <w:t>。投标人所投其他产品若属于“节能产品政府采购清单”优先采购产品，在同等条件下，优先采购清单中的产品。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5"/>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（1）上一年度的财务报告；</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r>
              <w:rPr>
                <w:rFonts w:hint="eastAsia" w:cs="宋体" w:asciiTheme="minorEastAsia" w:hAnsiTheme="minorEastAsia"/>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color w:val="FF0000"/>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color w:val="FF0000"/>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w:t>
            </w:r>
            <w:r>
              <w:rPr>
                <w:rFonts w:hint="eastAsia" w:asciiTheme="minorEastAsia" w:hAnsiTheme="minorEastAsia"/>
                <w:bCs/>
                <w:color w:val="FF0000"/>
                <w:sz w:val="24"/>
                <w:szCs w:val="24"/>
              </w:rPr>
              <w:t>信用信息的使用原则：经采购人认定的被列入失信被执行人、重大税收违法案件当事人名单、政府采购严重违法失信行为记录名单的投标人</w:t>
            </w:r>
            <w:r>
              <w:rPr>
                <w:rFonts w:hint="eastAsia" w:cs="宋体" w:asciiTheme="minorEastAsia" w:hAnsiTheme="minorEastAsia"/>
                <w:color w:val="FF0000"/>
                <w:kern w:val="0"/>
                <w:sz w:val="24"/>
                <w:szCs w:val="24"/>
              </w:rPr>
              <w:t>、严重违法失信企业名单（黑名单）的投标人，</w:t>
            </w:r>
            <w:r>
              <w:rPr>
                <w:rFonts w:hint="eastAsia" w:asciiTheme="minorEastAsia" w:hAnsiTheme="minorEastAsia"/>
                <w:bCs/>
                <w:color w:val="FF0000"/>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hint="eastAsia" w:cs="仿宋_GB2312" w:asciiTheme="minorEastAsia" w:hAnsiTheme="minorEastAsia"/>
                <w:b/>
                <w:sz w:val="24"/>
                <w:szCs w:val="24"/>
                <w:lang w:val="en-US" w:eastAsia="zh-CN"/>
              </w:rPr>
            </w:pPr>
            <w:r>
              <w:rPr>
                <w:rFonts w:hint="eastAsia" w:cs="仿宋_GB2312" w:asciiTheme="minorEastAsia" w:hAnsiTheme="minorEastAsia"/>
                <w:b/>
                <w:sz w:val="24"/>
                <w:szCs w:val="24"/>
                <w:lang w:val="en-US" w:eastAsia="zh-CN"/>
              </w:rPr>
              <w:t>9、资质证书及项目负责人证书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hint="eastAsia" w:cs="仿宋_GB2312" w:asciiTheme="minorEastAsia" w:hAnsiTheme="minorEastAsia"/>
                <w:b/>
                <w:sz w:val="24"/>
                <w:szCs w:val="24"/>
                <w:lang w:val="en-US" w:eastAsia="zh-CN"/>
              </w:rPr>
            </w:pPr>
            <w:r>
              <w:rPr>
                <w:rFonts w:hint="eastAsia" w:cs="仿宋_GB2312" w:asciiTheme="minorEastAsia" w:hAnsiTheme="minorEastAsia"/>
                <w:b/>
                <w:sz w:val="24"/>
                <w:szCs w:val="24"/>
                <w:lang w:val="en-US" w:eastAsia="zh-CN"/>
              </w:rPr>
              <w:t>10、被委托人社保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lang w:val="en-US" w:eastAsia="zh-CN"/>
              </w:rPr>
              <w:t>11</w:t>
            </w:r>
            <w:r>
              <w:rPr>
                <w:rFonts w:hint="eastAsia" w:asciiTheme="minorEastAsia" w:hAnsiTheme="minorEastAsia"/>
                <w:b/>
                <w:bCs/>
                <w:sz w:val="24"/>
                <w:szCs w:val="24"/>
              </w:rPr>
              <w:t>、</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w:t>
            </w:r>
            <w:r>
              <w:rPr>
                <w:rFonts w:hint="eastAsia" w:asciiTheme="minorEastAsia" w:hAnsiTheme="minorEastAsia"/>
                <w:b/>
                <w:bCs/>
                <w:sz w:val="24"/>
                <w:szCs w:val="24"/>
                <w:lang w:val="en-US" w:eastAsia="zh-CN"/>
              </w:rPr>
              <w:t>2</w:t>
            </w:r>
            <w:r>
              <w:rPr>
                <w:rFonts w:hint="eastAsia" w:asciiTheme="minorEastAsia" w:hAnsiTheme="minorEastAsia"/>
                <w:b/>
                <w:bCs/>
                <w:sz w:val="24"/>
                <w:szCs w:val="24"/>
              </w:rPr>
              <w:t>、联合体协议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w:t>
            </w:r>
            <w:r>
              <w:rPr>
                <w:rFonts w:hint="eastAsia" w:asciiTheme="minorEastAsia" w:hAnsiTheme="minorEastAsia"/>
                <w:b/>
                <w:sz w:val="24"/>
                <w:szCs w:val="24"/>
                <w:lang w:val="en-US" w:eastAsia="zh-CN"/>
              </w:rPr>
              <w:t>3</w:t>
            </w:r>
            <w:r>
              <w:rPr>
                <w:rFonts w:hint="eastAsia" w:asciiTheme="minorEastAsia" w:hAnsiTheme="minorEastAsia"/>
                <w:b/>
                <w:sz w:val="24"/>
                <w:szCs w:val="24"/>
              </w:rPr>
              <w:t>、投标保证金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w:t>
            </w:r>
            <w:r>
              <w:rPr>
                <w:rFonts w:hint="eastAsia" w:asciiTheme="minorEastAsia" w:hAnsiTheme="minorEastAsia"/>
                <w:b/>
                <w:sz w:val="24"/>
                <w:szCs w:val="24"/>
                <w:lang w:val="en-US" w:eastAsia="zh-CN"/>
              </w:rPr>
              <w:t>4</w:t>
            </w:r>
            <w:r>
              <w:rPr>
                <w:rFonts w:hint="eastAsia" w:asciiTheme="minorEastAsia" w:hAnsiTheme="minorEastAsia"/>
                <w:b/>
                <w:sz w:val="24"/>
                <w:szCs w:val="24"/>
              </w:rPr>
              <w:t>、法定代表人身份证明或提供法定代表人授权委托书及被授权人身份证明。</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jc w:val="left"/>
        <w:rPr>
          <w:rFonts w:hint="eastAsia"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color w:val="7030A0"/>
          <w:szCs w:val="24"/>
          <w:lang w:val="zh-CN"/>
        </w:rPr>
      </w:pPr>
      <w:r>
        <w:rPr>
          <w:rFonts w:hint="eastAsia" w:asciiTheme="minorEastAsia" w:hAnsiTheme="minorEastAsia" w:eastAsiaTheme="minorEastAsia"/>
          <w:b/>
          <w:color w:val="7030A0"/>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1）对《节能产品政府采购清单》所列的政府强制采购节能产品</w:t>
      </w:r>
      <w:r>
        <w:rPr>
          <w:rFonts w:hint="eastAsia" w:cs="仿宋_GB2312" w:asciiTheme="minorEastAsia" w:hAnsiTheme="minorEastAsia" w:eastAsiaTheme="minorEastAsia"/>
          <w:color w:val="7030A0"/>
          <w:szCs w:val="24"/>
        </w:rPr>
        <w:t>，</w:t>
      </w:r>
      <w:r>
        <w:rPr>
          <w:rFonts w:hint="eastAsia" w:cs="仿宋_GB2312" w:asciiTheme="minorEastAsia" w:hAnsiTheme="minorEastAsia" w:eastAsiaTheme="minorEastAsia"/>
          <w:color w:val="7030A0"/>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投标人所投其他产品若属于“节能产品政府采购清单”优先采购产品，</w:t>
      </w:r>
      <w:r>
        <w:rPr>
          <w:rFonts w:hint="eastAsia" w:cs="仿宋_GB2312" w:asciiTheme="minorEastAsia" w:hAnsiTheme="minorEastAsia"/>
          <w:color w:val="7030A0"/>
          <w:szCs w:val="24"/>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2）</w:t>
      </w:r>
      <w:r>
        <w:rPr>
          <w:rFonts w:hint="eastAsia" w:cs="仿宋_GB2312" w:asciiTheme="minorEastAsia" w:hAnsiTheme="minor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7030A0"/>
          <w:szCs w:val="24"/>
          <w:lang w:val="zh-CN"/>
        </w:rPr>
        <w:t>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color w:val="7030A0"/>
          <w:szCs w:val="24"/>
          <w:lang w:val="zh-CN"/>
        </w:rPr>
      </w:pPr>
      <w:r>
        <w:rPr>
          <w:rFonts w:hint="eastAsia" w:cs="仿宋_GB2312" w:asciiTheme="minorEastAsia" w:hAnsiTheme="minorEastAsia" w:eastAsiaTheme="minorEastAsia"/>
          <w:b/>
          <w:color w:val="7030A0"/>
          <w:szCs w:val="24"/>
          <w:lang w:val="zh-CN"/>
        </w:rPr>
        <w:t>（4）关于强制性产品认证</w:t>
      </w:r>
    </w:p>
    <w:p>
      <w:pPr>
        <w:spacing w:line="360" w:lineRule="auto"/>
        <w:ind w:firstLine="480" w:firstLineChars="200"/>
        <w:contextualSpacing/>
        <w:rPr>
          <w:rFonts w:cs="宋体" w:asciiTheme="minorEastAsia" w:hAnsiTheme="minorEastAsia"/>
          <w:color w:val="7030A0"/>
          <w:kern w:val="0"/>
          <w:sz w:val="24"/>
          <w:szCs w:val="24"/>
        </w:rPr>
      </w:pPr>
      <w:r>
        <w:rPr>
          <w:rFonts w:hint="eastAsia" w:cs="仿宋_GB2312" w:asciiTheme="minorEastAsia" w:hAnsiTheme="minorEastAsia"/>
          <w:color w:val="7030A0"/>
          <w:sz w:val="24"/>
          <w:szCs w:val="24"/>
          <w:lang w:val="zh-CN"/>
        </w:rPr>
        <w:t>1）如投标人所投产品属于“中国强制性产品认证”（3C认证）范围内,则必须承诺采用</w:t>
      </w:r>
      <w:r>
        <w:rPr>
          <w:rFonts w:cs="仿宋_GB2312" w:asciiTheme="minorEastAsia" w:hAnsiTheme="minorEastAsia"/>
          <w:color w:val="7030A0"/>
          <w:sz w:val="24"/>
          <w:szCs w:val="24"/>
          <w:lang w:val="zh-CN"/>
        </w:rPr>
        <w:t>《中华人民共和国实施强制性产品认证的产品目录》</w:t>
      </w:r>
      <w:r>
        <w:rPr>
          <w:rFonts w:hint="eastAsia" w:cs="仿宋_GB2312" w:asciiTheme="minorEastAsia" w:hAnsiTheme="minorEastAsia"/>
          <w:color w:val="7030A0"/>
          <w:sz w:val="24"/>
          <w:szCs w:val="24"/>
          <w:lang w:val="zh-CN"/>
        </w:rPr>
        <w:t>并在有效期内的产品，应在投标文件中提供</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所投产品符合国家强制性要求承诺函</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7030A0"/>
          <w:sz w:val="24"/>
          <w:szCs w:val="24"/>
          <w:lang w:val="zh-CN"/>
        </w:rPr>
      </w:pPr>
      <w:r>
        <w:rPr>
          <w:rFonts w:hint="eastAsia" w:cs="宋体" w:asciiTheme="minorEastAsia" w:hAnsiTheme="minorEastAsia"/>
          <w:color w:val="7030A0"/>
          <w:kern w:val="0"/>
          <w:sz w:val="24"/>
          <w:szCs w:val="24"/>
        </w:rPr>
        <w:t>2)投标人所投产品如被列入</w:t>
      </w:r>
      <w:r>
        <w:rPr>
          <w:rFonts w:cs="宋体" w:asciiTheme="minorEastAsia" w:hAnsiTheme="minorEastAsia"/>
          <w:color w:val="7030A0"/>
          <w:kern w:val="0"/>
          <w:sz w:val="24"/>
          <w:szCs w:val="24"/>
        </w:rPr>
        <w:t>《信息安全产品强制性认证目录》，</w:t>
      </w:r>
      <w:r>
        <w:rPr>
          <w:rFonts w:hint="eastAsia" w:cs="仿宋_GB2312" w:asciiTheme="minorEastAsia" w:hAnsiTheme="minorEastAsia"/>
          <w:color w:val="7030A0"/>
          <w:sz w:val="24"/>
          <w:szCs w:val="24"/>
          <w:lang w:val="zh-CN"/>
        </w:rPr>
        <w:t>则投标文件中应根据本项目招标文件“第二章 项目需求”</w:t>
      </w:r>
      <w:r>
        <w:rPr>
          <w:rFonts w:cs="仿宋_GB2312" w:asciiTheme="minorEastAsia" w:hAnsiTheme="minorEastAsia"/>
          <w:color w:val="7030A0"/>
          <w:sz w:val="24"/>
          <w:szCs w:val="24"/>
          <w:lang w:val="zh-CN"/>
        </w:rPr>
        <w:t>提供</w:t>
      </w:r>
      <w:r>
        <w:rPr>
          <w:rFonts w:hint="eastAsia" w:cs="仿宋_GB2312" w:asciiTheme="minorEastAsia" w:hAnsiTheme="minorEastAsia"/>
          <w:color w:val="7030A0"/>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color w:val="7030A0"/>
          <w:kern w:val="0"/>
          <w:sz w:val="24"/>
          <w:szCs w:val="24"/>
        </w:rPr>
        <w:t>中国信息安全认证中心官网（</w:t>
      </w:r>
      <w:r>
        <w:rPr>
          <w:rFonts w:cs="宋体" w:asciiTheme="minorEastAsia" w:hAnsiTheme="minorEastAsia"/>
          <w:color w:val="7030A0"/>
          <w:kern w:val="0"/>
          <w:sz w:val="24"/>
          <w:szCs w:val="24"/>
        </w:rPr>
        <w:t>http://www.isccc.gov.cn/index.shtml</w:t>
      </w:r>
      <w:r>
        <w:rPr>
          <w:rFonts w:hint="eastAsia" w:cs="宋体" w:asciiTheme="minorEastAsia" w:hAnsiTheme="minorEastAsia"/>
          <w:color w:val="7030A0"/>
          <w:kern w:val="0"/>
          <w:sz w:val="24"/>
          <w:szCs w:val="24"/>
        </w:rPr>
        <w:t>）产品查询结果截图并加盖投标人公章或中国信息安全认证中心</w:t>
      </w:r>
      <w:r>
        <w:rPr>
          <w:rFonts w:hint="eastAsia" w:cs="仿宋_GB2312" w:asciiTheme="minorEastAsia" w:hAnsiTheme="minorEastAsia"/>
          <w:color w:val="7030A0"/>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法律、法规和招标文件规定的其他无效情形。</w:t>
      </w:r>
    </w:p>
    <w:p>
      <w:pPr>
        <w:pStyle w:val="2"/>
        <w:rPr>
          <w:rFonts w:ascii="仿宋" w:hAnsi="仿宋" w:eastAsia="仿宋" w:cs="宋体"/>
          <w:color w:val="000000"/>
          <w:kern w:val="0"/>
          <w:sz w:val="32"/>
          <w:szCs w:val="32"/>
        </w:rPr>
      </w:pPr>
      <w:r>
        <w:rPr>
          <w:rFonts w:hint="eastAsia" w:cs="仿宋_GB2312" w:asciiTheme="minorEastAsia" w:hAnsiTheme="minorEastAsia"/>
          <w:sz w:val="24"/>
          <w:szCs w:val="24"/>
          <w:lang w:val="en-US" w:eastAsia="zh-CN"/>
        </w:rPr>
        <w:t xml:space="preserve">   </w:t>
      </w:r>
      <w:r>
        <w:rPr>
          <w:rFonts w:hint="eastAsia" w:cs="仿宋_GB2312" w:asciiTheme="minorEastAsia" w:hAnsiTheme="minorEastAsia" w:eastAsiaTheme="minorEastAsia"/>
          <w:b/>
          <w:kern w:val="2"/>
          <w:sz w:val="24"/>
          <w:szCs w:val="24"/>
          <w:lang w:val="zh-CN" w:eastAsia="zh-CN" w:bidi="ar-SA"/>
        </w:rPr>
        <w:t>（6）评标标准</w:t>
      </w:r>
      <w:r>
        <w:rPr>
          <w:rFonts w:ascii="宋体" w:hAnsi="宋体" w:eastAsia="仿宋" w:cs="宋体"/>
          <w:color w:val="000000"/>
          <w:kern w:val="0"/>
          <w:sz w:val="32"/>
          <w:szCs w:val="32"/>
        </w:rPr>
        <w:t> </w:t>
      </w:r>
    </w:p>
    <w:tbl>
      <w:tblPr>
        <w:tblStyle w:val="25"/>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9"/>
        <w:gridCol w:w="6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4" w:hRule="atLeast"/>
          <w:jc w:val="center"/>
        </w:trPr>
        <w:tc>
          <w:tcPr>
            <w:tcW w:w="1929" w:type="dxa"/>
            <w:vAlign w:val="center"/>
          </w:tcPr>
          <w:p>
            <w:pPr>
              <w:jc w:val="center"/>
              <w:rPr>
                <w:rFonts w:ascii="仿宋" w:hAnsi="仿宋" w:eastAsia="仿宋" w:cs="仿宋_GB2312"/>
                <w:sz w:val="24"/>
              </w:rPr>
            </w:pPr>
            <w:r>
              <w:rPr>
                <w:rFonts w:ascii="仿宋" w:hAnsi="仿宋" w:eastAsia="仿宋" w:cs="仿宋_GB2312"/>
                <w:sz w:val="24"/>
              </w:rPr>
              <w:t>投标报价得分（20分）</w:t>
            </w:r>
          </w:p>
        </w:tc>
        <w:tc>
          <w:tcPr>
            <w:tcW w:w="6591" w:type="dxa"/>
            <w:vAlign w:val="center"/>
          </w:tcPr>
          <w:p>
            <w:pPr>
              <w:textAlignment w:val="baseline"/>
              <w:rPr>
                <w:rFonts w:ascii="仿宋" w:hAnsi="仿宋" w:eastAsia="仿宋" w:cs="仿宋_GB2312"/>
                <w:sz w:val="24"/>
              </w:rPr>
            </w:pPr>
            <w:r>
              <w:rPr>
                <w:rFonts w:hint="eastAsia" w:ascii="仿宋" w:hAnsi="仿宋" w:eastAsia="仿宋" w:cs="仿宋_GB2312"/>
                <w:sz w:val="24"/>
              </w:rPr>
              <w:t>（1）投价</w:t>
            </w:r>
            <w:r>
              <w:rPr>
                <w:rFonts w:ascii="仿宋" w:hAnsi="仿宋" w:eastAsia="仿宋" w:cs="仿宋_GB2312"/>
                <w:sz w:val="24"/>
              </w:rPr>
              <w:t>最低的为评分基准价</w:t>
            </w:r>
            <w:r>
              <w:rPr>
                <w:rFonts w:hint="eastAsia" w:ascii="仿宋" w:hAnsi="仿宋" w:eastAsia="仿宋" w:cs="仿宋_GB2312"/>
                <w:sz w:val="24"/>
              </w:rPr>
              <w:t>；</w:t>
            </w:r>
          </w:p>
          <w:p>
            <w:pPr>
              <w:rPr>
                <w:szCs w:val="24"/>
              </w:rPr>
            </w:pPr>
            <w:r>
              <w:rPr>
                <w:rFonts w:hint="eastAsia" w:ascii="仿宋" w:hAnsi="仿宋" w:eastAsia="仿宋" w:cs="仿宋_GB2312"/>
                <w:sz w:val="24"/>
              </w:rPr>
              <w:t>（2）投标</w:t>
            </w:r>
            <w:r>
              <w:rPr>
                <w:rFonts w:ascii="仿宋" w:hAnsi="仿宋" w:eastAsia="仿宋" w:cs="仿宋_GB2312"/>
                <w:sz w:val="24"/>
              </w:rPr>
              <w:t>报价=评分基准价</w:t>
            </w:r>
            <w:r>
              <w:rPr>
                <w:rFonts w:hint="eastAsia" w:ascii="仿宋" w:hAnsi="仿宋" w:eastAsia="仿宋" w:cs="仿宋_GB2312"/>
                <w:sz w:val="24"/>
              </w:rPr>
              <w:t>／有效</w:t>
            </w:r>
            <w:r>
              <w:rPr>
                <w:rFonts w:ascii="仿宋" w:hAnsi="仿宋" w:eastAsia="仿宋" w:cs="仿宋_GB2312"/>
                <w:sz w:val="24"/>
              </w:rPr>
              <w:t>报价</w:t>
            </w:r>
            <w:r>
              <w:rPr>
                <w:rFonts w:ascii="Arial" w:hAnsi="Arial" w:cs="Arial"/>
              </w:rPr>
              <w:t>×</w:t>
            </w:r>
            <w:r>
              <w:rPr>
                <w:rFonts w:ascii="仿宋" w:hAnsi="仿宋" w:eastAsia="仿宋" w:cs="仿宋_GB2312"/>
                <w:sz w:val="24"/>
              </w:rPr>
              <w:t>20</w:t>
            </w:r>
            <w:r>
              <w:rPr>
                <w:rFonts w:hint="eastAsia" w:ascii="仿宋" w:hAnsi="仿宋" w:eastAsia="仿宋"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0" w:hRule="atLeast"/>
          <w:jc w:val="center"/>
        </w:trPr>
        <w:tc>
          <w:tcPr>
            <w:tcW w:w="1929" w:type="dxa"/>
            <w:tcBorders>
              <w:left w:val="single" w:color="auto" w:sz="4" w:space="0"/>
              <w:right w:val="single" w:color="auto" w:sz="4" w:space="0"/>
            </w:tcBorders>
            <w:vAlign w:val="center"/>
          </w:tcPr>
          <w:p>
            <w:pPr>
              <w:ind w:firstLine="960" w:firstLineChars="400"/>
              <w:textAlignment w:val="baseline"/>
              <w:rPr>
                <w:rFonts w:ascii="仿宋" w:hAnsi="仿宋" w:eastAsia="仿宋" w:cs="仿宋_GB2312"/>
                <w:sz w:val="24"/>
              </w:rPr>
            </w:pPr>
          </w:p>
          <w:p>
            <w:pPr>
              <w:jc w:val="center"/>
              <w:textAlignment w:val="baseline"/>
              <w:rPr>
                <w:rFonts w:ascii="仿宋" w:hAnsi="仿宋" w:eastAsia="仿宋" w:cs="仿宋_GB2312"/>
                <w:sz w:val="24"/>
              </w:rPr>
            </w:pPr>
            <w:r>
              <w:rPr>
                <w:rFonts w:hint="eastAsia" w:ascii="仿宋" w:hAnsi="仿宋" w:eastAsia="仿宋" w:cs="仿宋_GB2312"/>
                <w:sz w:val="24"/>
              </w:rPr>
              <w:t>投标文件规范程度（4分）</w:t>
            </w:r>
          </w:p>
          <w:p>
            <w:pPr>
              <w:textAlignment w:val="baseline"/>
              <w:rPr>
                <w:rFonts w:ascii="仿宋" w:hAnsi="仿宋" w:eastAsia="仿宋" w:cs="仿宋_GB2312"/>
                <w:sz w:val="24"/>
              </w:rPr>
            </w:pPr>
          </w:p>
        </w:tc>
        <w:tc>
          <w:tcPr>
            <w:tcW w:w="6591" w:type="dxa"/>
            <w:tcBorders>
              <w:top w:val="single" w:color="auto" w:sz="4" w:space="0"/>
              <w:left w:val="single" w:color="auto" w:sz="4" w:space="0"/>
              <w:right w:val="single" w:color="auto" w:sz="4" w:space="0"/>
            </w:tcBorders>
            <w:vAlign w:val="center"/>
          </w:tcPr>
          <w:p>
            <w:pPr>
              <w:ind w:left="210" w:leftChars="100"/>
              <w:textAlignment w:val="baseline"/>
              <w:rPr>
                <w:rFonts w:ascii="仿宋" w:hAnsi="仿宋" w:eastAsia="仿宋" w:cs="仿宋_GB2312"/>
                <w:sz w:val="24"/>
              </w:rPr>
            </w:pPr>
            <w:r>
              <w:rPr>
                <w:rFonts w:hint="eastAsia" w:ascii="仿宋" w:hAnsi="仿宋" w:eastAsia="仿宋" w:cs="仿宋_GB2312"/>
                <w:sz w:val="24"/>
              </w:rPr>
              <w:t>投标文件内容完整无明显的文字、数字错误、印刷装订清晰，由评委酌情扣分，扣完为止。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0" w:hRule="atLeast"/>
          <w:jc w:val="center"/>
        </w:trPr>
        <w:tc>
          <w:tcPr>
            <w:tcW w:w="1929" w:type="dxa"/>
            <w:vMerge w:val="restart"/>
            <w:tcBorders>
              <w:left w:val="single" w:color="auto" w:sz="4" w:space="0"/>
              <w:right w:val="single" w:color="auto" w:sz="4" w:space="0"/>
            </w:tcBorders>
            <w:vAlign w:val="center"/>
          </w:tcPr>
          <w:p>
            <w:pPr>
              <w:rPr>
                <w:color w:val="000000"/>
              </w:rPr>
            </w:pPr>
          </w:p>
          <w:p>
            <w:pPr>
              <w:jc w:val="center"/>
              <w:textAlignment w:val="baseline"/>
              <w:rPr>
                <w:rFonts w:ascii="仿宋" w:hAnsi="仿宋" w:eastAsia="仿宋" w:cs="仿宋_GB2312"/>
                <w:sz w:val="24"/>
              </w:rPr>
            </w:pPr>
            <w:r>
              <w:rPr>
                <w:rFonts w:hint="eastAsia" w:ascii="仿宋" w:hAnsi="仿宋" w:eastAsia="仿宋" w:cs="仿宋_GB2312"/>
                <w:sz w:val="24"/>
              </w:rPr>
              <w:t>企业业绩及信誉（27分）</w:t>
            </w:r>
          </w:p>
        </w:tc>
        <w:tc>
          <w:tcPr>
            <w:tcW w:w="6591" w:type="dxa"/>
            <w:tcBorders>
              <w:top w:val="single" w:color="auto" w:sz="4" w:space="0"/>
              <w:left w:val="single" w:color="auto" w:sz="4" w:space="0"/>
              <w:right w:val="single" w:color="auto" w:sz="4" w:space="0"/>
            </w:tcBorders>
            <w:vAlign w:val="center"/>
          </w:tcPr>
          <w:p>
            <w:pPr>
              <w:ind w:left="210" w:leftChars="100"/>
              <w:textAlignment w:val="baseline"/>
              <w:rPr>
                <w:rFonts w:ascii="仿宋" w:hAnsi="仿宋" w:eastAsia="仿宋" w:cs="仿宋_GB2312"/>
                <w:sz w:val="24"/>
              </w:rPr>
            </w:pPr>
            <w:r>
              <w:rPr>
                <w:rFonts w:hint="eastAsia" w:ascii="仿宋" w:hAnsi="仿宋" w:eastAsia="仿宋" w:cs="仿宋_GB2312"/>
                <w:sz w:val="24"/>
              </w:rPr>
              <w:t>1、企业获得ISO9001质量管理体系认证单位的得</w:t>
            </w:r>
            <w:r>
              <w:rPr>
                <w:rFonts w:ascii="仿宋" w:hAnsi="仿宋" w:eastAsia="仿宋" w:cs="仿宋_GB2312"/>
                <w:sz w:val="24"/>
              </w:rPr>
              <w:t>3</w:t>
            </w:r>
            <w:r>
              <w:rPr>
                <w:rFonts w:hint="eastAsia" w:ascii="仿宋" w:hAnsi="仿宋" w:eastAsia="仿宋" w:cs="仿宋_GB2312"/>
                <w:sz w:val="24"/>
              </w:rPr>
              <w:t>分，（须提供证书原件）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196" w:hRule="atLeast"/>
          <w:jc w:val="center"/>
        </w:trPr>
        <w:tc>
          <w:tcPr>
            <w:tcW w:w="1929" w:type="dxa"/>
            <w:vMerge w:val="continue"/>
            <w:tcBorders>
              <w:left w:val="single" w:color="auto" w:sz="4" w:space="0"/>
              <w:right w:val="single" w:color="auto" w:sz="4" w:space="0"/>
            </w:tcBorders>
            <w:vAlign w:val="center"/>
          </w:tcPr>
          <w:p>
            <w:pPr>
              <w:textAlignment w:val="baseline"/>
              <w:rPr>
                <w:rFonts w:ascii="仿宋" w:hAnsi="仿宋" w:eastAsia="仿宋" w:cs="仿宋_GB2312"/>
                <w:sz w:val="24"/>
              </w:rPr>
            </w:pPr>
          </w:p>
        </w:tc>
        <w:tc>
          <w:tcPr>
            <w:tcW w:w="6591" w:type="dxa"/>
            <w:tcBorders>
              <w:top w:val="single" w:color="auto" w:sz="4" w:space="0"/>
              <w:left w:val="single" w:color="auto" w:sz="4" w:space="0"/>
              <w:right w:val="single" w:color="auto" w:sz="4" w:space="0"/>
            </w:tcBorders>
            <w:vAlign w:val="center"/>
          </w:tcPr>
          <w:p>
            <w:pPr>
              <w:ind w:left="210" w:leftChars="100"/>
              <w:textAlignment w:val="baseline"/>
              <w:rPr>
                <w:rFonts w:ascii="仿宋" w:hAnsi="仿宋" w:eastAsia="仿宋" w:cs="仿宋_GB2312"/>
                <w:sz w:val="24"/>
              </w:rPr>
            </w:pPr>
            <w:r>
              <w:rPr>
                <w:rFonts w:hint="eastAsia" w:ascii="仿宋" w:hAnsi="仿宋" w:eastAsia="仿宋" w:cs="仿宋_GB2312"/>
                <w:sz w:val="24"/>
              </w:rPr>
              <w:t>2、投标人自2014年1月1日来承接过相同传统村落保护规划编制项目的，一份2分</w:t>
            </w:r>
            <w:r>
              <w:rPr>
                <w:rFonts w:ascii="仿宋" w:hAnsi="仿宋" w:eastAsia="仿宋" w:cs="仿宋_GB2312"/>
                <w:sz w:val="24"/>
              </w:rPr>
              <w:t>，最高</w:t>
            </w:r>
            <w:r>
              <w:rPr>
                <w:rFonts w:hint="eastAsia" w:ascii="仿宋" w:hAnsi="仿宋" w:eastAsia="仿宋" w:cs="仿宋_GB2312"/>
                <w:sz w:val="24"/>
              </w:rPr>
              <w:t>12分（类似业绩指历史文化名村、历史文化名镇保护规划，开标时需提供合同原件）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196" w:hRule="atLeast"/>
          <w:jc w:val="center"/>
        </w:trPr>
        <w:tc>
          <w:tcPr>
            <w:tcW w:w="1929" w:type="dxa"/>
            <w:vMerge w:val="continue"/>
            <w:tcBorders>
              <w:left w:val="single" w:color="auto" w:sz="4" w:space="0"/>
              <w:right w:val="single" w:color="auto" w:sz="4" w:space="0"/>
            </w:tcBorders>
            <w:vAlign w:val="center"/>
          </w:tcPr>
          <w:p>
            <w:pPr>
              <w:textAlignment w:val="baseline"/>
              <w:rPr>
                <w:rFonts w:ascii="仿宋" w:hAnsi="仿宋" w:eastAsia="仿宋" w:cs="仿宋_GB2312"/>
                <w:sz w:val="24"/>
              </w:rPr>
            </w:pPr>
          </w:p>
        </w:tc>
        <w:tc>
          <w:tcPr>
            <w:tcW w:w="6591" w:type="dxa"/>
            <w:tcBorders>
              <w:top w:val="single" w:color="auto" w:sz="4" w:space="0"/>
              <w:left w:val="single" w:color="auto" w:sz="4" w:space="0"/>
              <w:right w:val="single" w:color="auto" w:sz="4" w:space="0"/>
            </w:tcBorders>
            <w:vAlign w:val="center"/>
          </w:tcPr>
          <w:p>
            <w:pPr>
              <w:ind w:left="210" w:leftChars="100"/>
              <w:textAlignment w:val="baseline"/>
              <w:rPr>
                <w:rFonts w:ascii="仿宋" w:hAnsi="仿宋" w:eastAsia="仿宋" w:cs="仿宋_GB2312"/>
                <w:sz w:val="24"/>
              </w:rPr>
            </w:pPr>
            <w:r>
              <w:rPr>
                <w:rFonts w:hint="eastAsia" w:ascii="仿宋" w:hAnsi="仿宋" w:eastAsia="仿宋" w:cs="仿宋"/>
                <w:sz w:val="24"/>
              </w:rPr>
              <w:t>3、</w:t>
            </w:r>
            <w:r>
              <w:rPr>
                <w:rFonts w:hint="eastAsia" w:ascii="仿宋" w:hAnsi="仿宋" w:eastAsia="仿宋" w:cs="仿宋_GB2312"/>
                <w:sz w:val="24"/>
              </w:rPr>
              <w:t>投标人2014年1月1日以来获得过省级及以上相关部门及行业协会荣誉的每提供一项得</w:t>
            </w:r>
            <w:r>
              <w:rPr>
                <w:rFonts w:ascii="仿宋" w:hAnsi="仿宋" w:eastAsia="仿宋" w:cs="仿宋_GB2312"/>
                <w:sz w:val="24"/>
              </w:rPr>
              <w:t>3</w:t>
            </w:r>
            <w:r>
              <w:rPr>
                <w:rFonts w:hint="eastAsia" w:ascii="仿宋" w:hAnsi="仿宋" w:eastAsia="仿宋" w:cs="仿宋_GB2312"/>
                <w:sz w:val="24"/>
              </w:rPr>
              <w:t>分，满分</w:t>
            </w:r>
            <w:r>
              <w:rPr>
                <w:rFonts w:ascii="仿宋" w:hAnsi="仿宋" w:eastAsia="仿宋" w:cs="仿宋_GB2312"/>
                <w:sz w:val="24"/>
              </w:rPr>
              <w:t>12</w:t>
            </w:r>
            <w:r>
              <w:rPr>
                <w:rFonts w:hint="eastAsia" w:ascii="仿宋" w:hAnsi="仿宋" w:eastAsia="仿宋" w:cs="仿宋_GB2312"/>
                <w:sz w:val="24"/>
              </w:rPr>
              <w:t>分。（开标时需提供证明材料）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507" w:hRule="atLeast"/>
          <w:jc w:val="center"/>
        </w:trPr>
        <w:tc>
          <w:tcPr>
            <w:tcW w:w="1929" w:type="dxa"/>
            <w:tcBorders>
              <w:left w:val="single" w:color="auto" w:sz="4" w:space="0"/>
              <w:right w:val="single" w:color="auto" w:sz="4" w:space="0"/>
            </w:tcBorders>
            <w:vAlign w:val="center"/>
          </w:tcPr>
          <w:p>
            <w:pPr>
              <w:jc w:val="center"/>
              <w:rPr>
                <w:rFonts w:ascii="仿宋" w:hAnsi="仿宋" w:eastAsia="仿宋"/>
                <w:color w:val="000000"/>
                <w:sz w:val="24"/>
              </w:rPr>
            </w:pPr>
            <w:r>
              <w:rPr>
                <w:rFonts w:hint="eastAsia" w:ascii="仿宋" w:hAnsi="仿宋" w:eastAsia="仿宋"/>
                <w:color w:val="000000"/>
                <w:sz w:val="24"/>
              </w:rPr>
              <w:t>工作规划编制思路及实施建议</w:t>
            </w:r>
          </w:p>
          <w:p>
            <w:pPr>
              <w:textAlignment w:val="baseline"/>
              <w:rPr>
                <w:rFonts w:ascii="仿宋" w:hAnsi="仿宋" w:eastAsia="仿宋" w:cs="仿宋_GB2312"/>
                <w:sz w:val="24"/>
              </w:rPr>
            </w:pPr>
            <w:r>
              <w:rPr>
                <w:rFonts w:hint="eastAsia" w:ascii="仿宋" w:hAnsi="仿宋" w:eastAsia="仿宋"/>
                <w:color w:val="000000"/>
                <w:sz w:val="24"/>
              </w:rPr>
              <w:t>（</w:t>
            </w:r>
            <w:r>
              <w:rPr>
                <w:rFonts w:ascii="仿宋" w:hAnsi="仿宋" w:eastAsia="仿宋"/>
                <w:color w:val="000000"/>
                <w:sz w:val="24"/>
              </w:rPr>
              <w:t>40</w:t>
            </w:r>
            <w:r>
              <w:rPr>
                <w:rFonts w:hint="eastAsia" w:ascii="仿宋" w:hAnsi="仿宋" w:eastAsia="仿宋"/>
                <w:color w:val="000000"/>
                <w:sz w:val="24"/>
              </w:rPr>
              <w:t>分）</w:t>
            </w:r>
          </w:p>
        </w:tc>
        <w:tc>
          <w:tcPr>
            <w:tcW w:w="6591" w:type="dxa"/>
            <w:tcBorders>
              <w:top w:val="single" w:color="auto" w:sz="4" w:space="0"/>
              <w:left w:val="single" w:color="auto" w:sz="4" w:space="0"/>
              <w:right w:val="single" w:color="auto" w:sz="4" w:space="0"/>
            </w:tcBorders>
            <w:vAlign w:val="center"/>
          </w:tcPr>
          <w:p>
            <w:pPr>
              <w:ind w:left="210" w:leftChars="100"/>
              <w:textAlignment w:val="baseline"/>
              <w:rPr>
                <w:rFonts w:ascii="仿宋" w:hAnsi="仿宋" w:eastAsia="仿宋" w:cs="仿宋_GB2312"/>
                <w:sz w:val="24"/>
              </w:rPr>
            </w:pPr>
            <w:r>
              <w:rPr>
                <w:rFonts w:hint="eastAsia" w:ascii="仿宋" w:hAnsi="仿宋" w:eastAsia="仿宋" w:cs="仿宋_GB2312"/>
                <w:sz w:val="24"/>
              </w:rPr>
              <w:t>（1）对现状的分析和对已有规划的理解（</w:t>
            </w:r>
            <w:r>
              <w:rPr>
                <w:rFonts w:ascii="仿宋" w:hAnsi="仿宋" w:eastAsia="仿宋" w:cs="仿宋_GB2312"/>
                <w:sz w:val="24"/>
              </w:rPr>
              <w:t>6</w:t>
            </w:r>
            <w:r>
              <w:rPr>
                <w:rFonts w:hint="eastAsia" w:ascii="仿宋" w:hAnsi="仿宋" w:eastAsia="仿宋" w:cs="仿宋_GB2312"/>
                <w:sz w:val="24"/>
              </w:rPr>
              <w:t>分）：</w:t>
            </w:r>
          </w:p>
          <w:p>
            <w:pPr>
              <w:ind w:left="210" w:leftChars="100"/>
              <w:textAlignment w:val="baseline"/>
              <w:rPr>
                <w:rFonts w:ascii="仿宋" w:hAnsi="仿宋" w:eastAsia="仿宋" w:cs="仿宋_GB2312"/>
                <w:sz w:val="24"/>
              </w:rPr>
            </w:pPr>
            <w:r>
              <w:rPr>
                <w:rFonts w:hint="eastAsia" w:ascii="仿宋" w:hAnsi="仿宋" w:eastAsia="仿宋" w:cs="仿宋_GB2312"/>
                <w:sz w:val="24"/>
              </w:rPr>
              <w:t>编制投标文件前现场调研，有翔实的调研记录，对规划村庄自然情况和现状建设情况了解清楚、分析透彻，得5-6分，未到现场但能提供翔实准确的卫星地理信息系统图分析的得3</w:t>
            </w:r>
            <w:r>
              <w:rPr>
                <w:rFonts w:ascii="仿宋" w:hAnsi="仿宋" w:eastAsia="仿宋" w:cs="仿宋_GB2312"/>
                <w:sz w:val="24"/>
              </w:rPr>
              <w:t>-4</w:t>
            </w:r>
            <w:r>
              <w:rPr>
                <w:rFonts w:hint="eastAsia" w:ascii="仿宋" w:hAnsi="仿宋" w:eastAsia="仿宋" w:cs="仿宋_GB2312"/>
                <w:sz w:val="24"/>
              </w:rPr>
              <w:t>分，调研原始记录缺乏确或缺乏准确的地理信息分析的得1-2分，缺项不得分。</w:t>
            </w:r>
          </w:p>
          <w:p>
            <w:pPr>
              <w:ind w:left="210" w:leftChars="100"/>
              <w:textAlignment w:val="baseline"/>
              <w:rPr>
                <w:rFonts w:ascii="仿宋" w:hAnsi="仿宋" w:eastAsia="仿宋" w:cs="仿宋_GB2312"/>
                <w:sz w:val="24"/>
              </w:rPr>
            </w:pPr>
            <w:r>
              <w:rPr>
                <w:rFonts w:hint="eastAsia" w:ascii="仿宋" w:hAnsi="仿宋" w:eastAsia="仿宋" w:cs="仿宋_GB2312"/>
                <w:sz w:val="24"/>
              </w:rPr>
              <w:t>（2）规划思路（</w:t>
            </w:r>
            <w:r>
              <w:rPr>
                <w:rFonts w:ascii="仿宋" w:hAnsi="仿宋" w:eastAsia="仿宋" w:cs="仿宋_GB2312"/>
                <w:sz w:val="24"/>
              </w:rPr>
              <w:t>6</w:t>
            </w:r>
            <w:r>
              <w:rPr>
                <w:rFonts w:hint="eastAsia" w:ascii="仿宋" w:hAnsi="仿宋" w:eastAsia="仿宋" w:cs="仿宋_GB2312"/>
                <w:sz w:val="24"/>
              </w:rPr>
              <w:t>分）：</w:t>
            </w:r>
          </w:p>
          <w:p>
            <w:pPr>
              <w:ind w:left="210" w:leftChars="100"/>
              <w:textAlignment w:val="baseline"/>
              <w:rPr>
                <w:rFonts w:ascii="仿宋" w:hAnsi="仿宋" w:eastAsia="仿宋" w:cs="仿宋"/>
                <w:sz w:val="24"/>
              </w:rPr>
            </w:pPr>
            <w:r>
              <w:rPr>
                <w:rFonts w:hint="eastAsia" w:ascii="仿宋" w:hAnsi="仿宋" w:eastAsia="仿宋" w:cs="仿宋_GB2312"/>
                <w:sz w:val="24"/>
              </w:rPr>
              <w:t>提出保护发展规划的保护原则与思路，制定规划技术路线，优5</w:t>
            </w:r>
            <w:r>
              <w:rPr>
                <w:rFonts w:ascii="仿宋" w:hAnsi="仿宋" w:eastAsia="仿宋" w:cs="仿宋_GB2312"/>
                <w:sz w:val="24"/>
              </w:rPr>
              <w:t>-6</w:t>
            </w:r>
            <w:r>
              <w:rPr>
                <w:rFonts w:hint="eastAsia" w:ascii="仿宋" w:hAnsi="仿宋" w:eastAsia="仿宋" w:cs="仿宋_GB2312"/>
                <w:sz w:val="24"/>
              </w:rPr>
              <w:t>分，良3-4分，一般1-2分，缺项0分。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862" w:hRule="atLeast"/>
          <w:jc w:val="center"/>
        </w:trPr>
        <w:tc>
          <w:tcPr>
            <w:tcW w:w="1929" w:type="dxa"/>
            <w:tcBorders>
              <w:left w:val="single" w:color="auto" w:sz="4" w:space="0"/>
              <w:right w:val="single" w:color="auto" w:sz="4" w:space="0"/>
            </w:tcBorders>
            <w:vAlign w:val="center"/>
          </w:tcPr>
          <w:p>
            <w:pPr>
              <w:jc w:val="center"/>
              <w:rPr>
                <w:rFonts w:ascii="仿宋" w:hAnsi="仿宋" w:eastAsia="仿宋"/>
                <w:color w:val="000000"/>
              </w:rPr>
            </w:pPr>
          </w:p>
        </w:tc>
        <w:tc>
          <w:tcPr>
            <w:tcW w:w="6591" w:type="dxa"/>
            <w:tcBorders>
              <w:left w:val="single" w:color="auto" w:sz="4" w:space="0"/>
              <w:right w:val="single" w:color="auto" w:sz="4" w:space="0"/>
            </w:tcBorders>
            <w:vAlign w:val="center"/>
          </w:tcPr>
          <w:p>
            <w:pPr>
              <w:ind w:left="210" w:leftChars="100"/>
              <w:textAlignment w:val="baseline"/>
              <w:rPr>
                <w:rFonts w:ascii="仿宋" w:hAnsi="仿宋" w:eastAsia="仿宋" w:cs="仿宋_GB2312"/>
                <w:sz w:val="24"/>
              </w:rPr>
            </w:pPr>
          </w:p>
          <w:p>
            <w:pPr>
              <w:ind w:left="210" w:leftChars="100"/>
              <w:textAlignment w:val="baseline"/>
              <w:rPr>
                <w:rFonts w:ascii="仿宋" w:hAnsi="仿宋" w:eastAsia="仿宋" w:cs="仿宋_GB2312"/>
                <w:sz w:val="24"/>
              </w:rPr>
            </w:pPr>
            <w:r>
              <w:rPr>
                <w:rFonts w:hint="eastAsia" w:ascii="仿宋" w:hAnsi="仿宋" w:eastAsia="仿宋" w:cs="仿宋_GB2312"/>
                <w:sz w:val="24"/>
              </w:rPr>
              <w:t>（3）规划方案（</w:t>
            </w:r>
            <w:r>
              <w:rPr>
                <w:rFonts w:ascii="仿宋" w:hAnsi="仿宋" w:eastAsia="仿宋" w:cs="仿宋_GB2312"/>
                <w:sz w:val="24"/>
              </w:rPr>
              <w:t>20</w:t>
            </w:r>
            <w:r>
              <w:rPr>
                <w:rFonts w:hint="eastAsia" w:ascii="仿宋" w:hAnsi="仿宋" w:eastAsia="仿宋" w:cs="仿宋_GB2312"/>
                <w:sz w:val="24"/>
              </w:rPr>
              <w:t>分）</w:t>
            </w:r>
          </w:p>
          <w:p>
            <w:pPr>
              <w:ind w:left="210" w:leftChars="100"/>
              <w:textAlignment w:val="baseline"/>
              <w:rPr>
                <w:rFonts w:ascii="仿宋" w:hAnsi="仿宋" w:eastAsia="仿宋" w:cs="仿宋_GB2312"/>
                <w:sz w:val="24"/>
              </w:rPr>
            </w:pPr>
            <w:r>
              <w:rPr>
                <w:rFonts w:hint="eastAsia" w:ascii="仿宋" w:hAnsi="仿宋" w:eastAsia="仿宋" w:cs="仿宋_GB2312"/>
                <w:sz w:val="24"/>
              </w:rPr>
              <w:t>对村庄格局、传统建筑、环境要素等提出保护措施；对配套设施提出合理化建议。优1</w:t>
            </w:r>
            <w:r>
              <w:rPr>
                <w:rFonts w:ascii="仿宋" w:hAnsi="仿宋" w:eastAsia="仿宋" w:cs="仿宋_GB2312"/>
                <w:sz w:val="24"/>
              </w:rPr>
              <w:t>5</w:t>
            </w:r>
            <w:r>
              <w:rPr>
                <w:rFonts w:hint="eastAsia" w:ascii="仿宋" w:hAnsi="仿宋" w:eastAsia="仿宋" w:cs="仿宋_GB2312"/>
                <w:sz w:val="24"/>
              </w:rPr>
              <w:t>-20分，良</w:t>
            </w:r>
            <w:r>
              <w:rPr>
                <w:rFonts w:ascii="仿宋" w:hAnsi="仿宋" w:eastAsia="仿宋" w:cs="仿宋_GB2312"/>
                <w:sz w:val="24"/>
              </w:rPr>
              <w:t>8</w:t>
            </w:r>
            <w:r>
              <w:rPr>
                <w:rFonts w:hint="eastAsia" w:ascii="仿宋" w:hAnsi="仿宋" w:eastAsia="仿宋" w:cs="仿宋_GB2312"/>
                <w:sz w:val="24"/>
              </w:rPr>
              <w:t>-14分，一般1-</w:t>
            </w:r>
            <w:r>
              <w:rPr>
                <w:rFonts w:ascii="仿宋" w:hAnsi="仿宋" w:eastAsia="仿宋" w:cs="仿宋_GB2312"/>
                <w:sz w:val="24"/>
              </w:rPr>
              <w:t>7</w:t>
            </w:r>
            <w:r>
              <w:rPr>
                <w:rFonts w:hint="eastAsia" w:ascii="仿宋" w:hAnsi="仿宋" w:eastAsia="仿宋" w:cs="仿宋_GB2312"/>
                <w:sz w:val="24"/>
              </w:rPr>
              <w:t>分，缺项0分。</w:t>
            </w:r>
          </w:p>
          <w:p>
            <w:pPr>
              <w:ind w:left="210" w:leftChars="100"/>
              <w:textAlignment w:val="baseline"/>
              <w:rPr>
                <w:rFonts w:ascii="仿宋" w:hAnsi="仿宋" w:eastAsia="仿宋" w:cs="仿宋_GB2312"/>
                <w:sz w:val="24"/>
              </w:rPr>
            </w:pPr>
            <w:r>
              <w:rPr>
                <w:rFonts w:hint="eastAsia" w:ascii="仿宋" w:hAnsi="仿宋" w:eastAsia="仿宋" w:cs="仿宋_GB2312"/>
                <w:sz w:val="24"/>
              </w:rPr>
              <w:t>（4）</w:t>
            </w:r>
            <w:r>
              <w:rPr>
                <w:rFonts w:hint="eastAsia" w:ascii="仿宋" w:hAnsi="仿宋" w:eastAsia="仿宋"/>
                <w:color w:val="000000"/>
                <w:sz w:val="24"/>
              </w:rPr>
              <w:t>规划实施建议（</w:t>
            </w:r>
            <w:r>
              <w:rPr>
                <w:rFonts w:ascii="仿宋" w:hAnsi="仿宋" w:eastAsia="仿宋"/>
                <w:color w:val="000000"/>
                <w:sz w:val="24"/>
              </w:rPr>
              <w:t>8</w:t>
            </w:r>
            <w:r>
              <w:rPr>
                <w:rFonts w:hint="eastAsia" w:ascii="仿宋" w:hAnsi="仿宋" w:eastAsia="仿宋"/>
                <w:color w:val="000000"/>
                <w:sz w:val="24"/>
              </w:rPr>
              <w:t>分）</w:t>
            </w:r>
          </w:p>
          <w:p>
            <w:pPr>
              <w:ind w:left="210" w:leftChars="100"/>
              <w:textAlignment w:val="baseline"/>
              <w:rPr>
                <w:rFonts w:ascii="仿宋" w:hAnsi="仿宋" w:eastAsia="仿宋" w:cs="仿宋_GB2312"/>
                <w:sz w:val="24"/>
              </w:rPr>
            </w:pPr>
            <w:r>
              <w:rPr>
                <w:rFonts w:hint="eastAsia" w:ascii="仿宋" w:hAnsi="仿宋" w:eastAsia="仿宋" w:cs="仿宋_GB2312"/>
                <w:sz w:val="24"/>
              </w:rPr>
              <w:t>对村庄分期实施与近期建设提出合理建议。优</w:t>
            </w:r>
            <w:r>
              <w:rPr>
                <w:rFonts w:ascii="仿宋" w:hAnsi="仿宋" w:eastAsia="仿宋" w:cs="仿宋_GB2312"/>
                <w:sz w:val="24"/>
              </w:rPr>
              <w:t>6</w:t>
            </w:r>
            <w:r>
              <w:rPr>
                <w:rFonts w:hint="eastAsia" w:ascii="仿宋" w:hAnsi="仿宋" w:eastAsia="仿宋" w:cs="仿宋_GB2312"/>
                <w:sz w:val="24"/>
              </w:rPr>
              <w:t>-</w:t>
            </w:r>
            <w:r>
              <w:rPr>
                <w:rFonts w:ascii="仿宋" w:hAnsi="仿宋" w:eastAsia="仿宋" w:cs="仿宋_GB2312"/>
                <w:sz w:val="24"/>
              </w:rPr>
              <w:t>8</w:t>
            </w:r>
            <w:r>
              <w:rPr>
                <w:rFonts w:hint="eastAsia" w:ascii="仿宋" w:hAnsi="仿宋" w:eastAsia="仿宋" w:cs="仿宋_GB2312"/>
                <w:sz w:val="24"/>
              </w:rPr>
              <w:t>分，良</w:t>
            </w:r>
            <w:r>
              <w:rPr>
                <w:rFonts w:ascii="仿宋" w:hAnsi="仿宋" w:eastAsia="仿宋" w:cs="仿宋_GB2312"/>
                <w:sz w:val="24"/>
              </w:rPr>
              <w:t>3</w:t>
            </w:r>
            <w:r>
              <w:rPr>
                <w:rFonts w:hint="eastAsia" w:ascii="仿宋" w:hAnsi="仿宋" w:eastAsia="仿宋" w:cs="仿宋_GB2312"/>
                <w:sz w:val="24"/>
              </w:rPr>
              <w:t>-</w:t>
            </w:r>
            <w:r>
              <w:rPr>
                <w:rFonts w:ascii="仿宋" w:hAnsi="仿宋" w:eastAsia="仿宋" w:cs="仿宋_GB2312"/>
                <w:sz w:val="24"/>
              </w:rPr>
              <w:t>5</w:t>
            </w:r>
            <w:r>
              <w:rPr>
                <w:rFonts w:hint="eastAsia" w:ascii="仿宋" w:hAnsi="仿宋" w:eastAsia="仿宋" w:cs="仿宋_GB2312"/>
                <w:sz w:val="24"/>
              </w:rPr>
              <w:t>分，一般1</w:t>
            </w:r>
            <w:r>
              <w:rPr>
                <w:rFonts w:ascii="仿宋" w:hAnsi="仿宋" w:eastAsia="仿宋" w:cs="仿宋_GB2312"/>
                <w:sz w:val="24"/>
              </w:rPr>
              <w:t>-2</w:t>
            </w:r>
            <w:r>
              <w:rPr>
                <w:rFonts w:hint="eastAsia" w:ascii="仿宋" w:hAnsi="仿宋" w:eastAsia="仿宋" w:cs="仿宋_GB2312"/>
                <w:sz w:val="24"/>
              </w:rPr>
              <w:t>分，缺项0分。</w:t>
            </w:r>
          </w:p>
          <w:p>
            <w:pPr>
              <w:ind w:left="210" w:leftChars="100"/>
              <w:textAlignment w:val="baseline"/>
              <w:rPr>
                <w:rFonts w:ascii="仿宋" w:hAnsi="仿宋" w:eastAsia="仿宋" w:cs="仿宋_GB2312"/>
                <w:sz w:val="24"/>
              </w:rPr>
            </w:pPr>
          </w:p>
          <w:p>
            <w:pPr>
              <w:ind w:left="210" w:leftChars="100"/>
              <w:textAlignment w:val="baseline"/>
              <w:rPr>
                <w:rFonts w:ascii="仿宋" w:hAnsi="仿宋" w:eastAsia="仿宋" w:cs="仿宋_GB2312"/>
                <w:sz w:val="24"/>
              </w:rPr>
            </w:pPr>
            <w:r>
              <w:rPr>
                <w:rFonts w:hint="eastAsia" w:ascii="仿宋" w:hAnsi="仿宋" w:eastAsia="仿宋" w:cs="仿宋_GB2312"/>
                <w:sz w:val="24"/>
              </w:rPr>
              <w:t>注：可选取一个村庄进行分析及主要内容的方案编制。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00" w:hRule="atLeast"/>
          <w:jc w:val="center"/>
        </w:trPr>
        <w:tc>
          <w:tcPr>
            <w:tcW w:w="1929" w:type="dxa"/>
            <w:tcBorders>
              <w:left w:val="single" w:color="auto" w:sz="4" w:space="0"/>
              <w:right w:val="single" w:color="auto" w:sz="4" w:space="0"/>
            </w:tcBorders>
            <w:vAlign w:val="center"/>
          </w:tcPr>
          <w:p>
            <w:pPr>
              <w:jc w:val="center"/>
              <w:rPr>
                <w:rFonts w:ascii="仿宋" w:hAnsi="仿宋" w:eastAsia="仿宋"/>
                <w:color w:val="000000"/>
                <w:sz w:val="24"/>
              </w:rPr>
            </w:pPr>
            <w:r>
              <w:rPr>
                <w:rFonts w:hint="eastAsia" w:ascii="仿宋" w:hAnsi="仿宋" w:eastAsia="仿宋"/>
                <w:color w:val="000000"/>
                <w:sz w:val="24"/>
              </w:rPr>
              <w:t>设计周期进度及保证措施</w:t>
            </w:r>
          </w:p>
          <w:p>
            <w:pPr>
              <w:jc w:val="center"/>
              <w:rPr>
                <w:rFonts w:ascii="仿宋" w:hAnsi="仿宋" w:eastAsia="仿宋"/>
                <w:color w:val="000000"/>
                <w:sz w:val="24"/>
              </w:rPr>
            </w:pPr>
            <w:r>
              <w:rPr>
                <w:rFonts w:hint="eastAsia" w:ascii="仿宋" w:hAnsi="仿宋" w:eastAsia="仿宋"/>
                <w:color w:val="000000"/>
                <w:sz w:val="24"/>
              </w:rPr>
              <w:t>（5分）</w:t>
            </w:r>
          </w:p>
        </w:tc>
        <w:tc>
          <w:tcPr>
            <w:tcW w:w="6591" w:type="dxa"/>
            <w:tcBorders>
              <w:left w:val="single" w:color="auto" w:sz="4" w:space="0"/>
              <w:right w:val="single" w:color="auto" w:sz="4" w:space="0"/>
            </w:tcBorders>
            <w:vAlign w:val="center"/>
          </w:tcPr>
          <w:p>
            <w:pPr>
              <w:ind w:left="210" w:leftChars="100"/>
              <w:textAlignment w:val="baseline"/>
              <w:rPr>
                <w:rFonts w:hint="eastAsia" w:ascii="仿宋" w:hAnsi="仿宋" w:eastAsia="仿宋" w:cs="仿宋_GB2312"/>
                <w:sz w:val="24"/>
              </w:rPr>
            </w:pPr>
            <w:r>
              <w:rPr>
                <w:rFonts w:hint="eastAsia" w:ascii="仿宋" w:hAnsi="仿宋" w:eastAsia="仿宋" w:cs="仿宋_GB2312"/>
                <w:sz w:val="24"/>
              </w:rPr>
              <w:t>优秀者得5分，较好者得3-4分，一般者得1-2分。缺项0分。</w:t>
            </w:r>
          </w:p>
          <w:p>
            <w:pPr>
              <w:ind w:left="210" w:leftChars="100"/>
              <w:textAlignment w:val="baseline"/>
              <w:rPr>
                <w:rFonts w:hint="eastAsia" w:ascii="仿宋" w:hAnsi="仿宋" w:eastAsia="仿宋" w:cs="仿宋_GB2312"/>
                <w:sz w:val="24"/>
              </w:rPr>
            </w:pPr>
            <w:r>
              <w:rPr>
                <w:rFonts w:hint="eastAsia" w:ascii="仿宋" w:hAnsi="仿宋" w:eastAsia="仿宋" w:cs="仿宋_GB2312"/>
                <w:sz w:val="24"/>
              </w:rPr>
              <w:t>优秀</w:t>
            </w:r>
            <w:r>
              <w:rPr>
                <w:rFonts w:ascii="仿宋" w:hAnsi="仿宋" w:eastAsia="仿宋" w:cs="仿宋_GB2312"/>
                <w:sz w:val="24"/>
              </w:rPr>
              <w:t>者：</w:t>
            </w:r>
            <w:r>
              <w:rPr>
                <w:rFonts w:hint="eastAsia" w:ascii="仿宋" w:hAnsi="仿宋" w:eastAsia="仿宋" w:cs="仿宋_GB2312"/>
                <w:sz w:val="24"/>
              </w:rPr>
              <w:t>设计周期进度控制合理。</w:t>
            </w:r>
          </w:p>
          <w:p>
            <w:pPr>
              <w:ind w:left="210" w:leftChars="100"/>
              <w:textAlignment w:val="baseline"/>
              <w:rPr>
                <w:rFonts w:hint="eastAsia" w:ascii="仿宋" w:hAnsi="仿宋" w:eastAsia="仿宋" w:cs="仿宋_GB2312"/>
                <w:sz w:val="24"/>
              </w:rPr>
            </w:pPr>
            <w:r>
              <w:rPr>
                <w:rFonts w:hint="eastAsia" w:ascii="仿宋" w:hAnsi="仿宋" w:eastAsia="仿宋" w:cs="仿宋_GB2312"/>
                <w:sz w:val="24"/>
              </w:rPr>
              <w:t>较好者：设计周期进度控制基本合理。</w:t>
            </w:r>
          </w:p>
          <w:p>
            <w:pPr>
              <w:ind w:left="210" w:leftChars="100"/>
              <w:textAlignment w:val="baseline"/>
              <w:rPr>
                <w:rFonts w:ascii="仿宋" w:hAnsi="仿宋" w:eastAsia="仿宋" w:cs="仿宋_GB2312"/>
                <w:sz w:val="24"/>
              </w:rPr>
            </w:pPr>
            <w:r>
              <w:rPr>
                <w:rFonts w:hint="eastAsia" w:ascii="仿宋" w:hAnsi="仿宋" w:eastAsia="仿宋" w:cs="仿宋_GB2312"/>
                <w:sz w:val="24"/>
              </w:rPr>
              <w:t>一般者：设计周期进度控制欠缺考虑。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00" w:hRule="atLeast"/>
          <w:jc w:val="center"/>
        </w:trPr>
        <w:tc>
          <w:tcPr>
            <w:tcW w:w="1929" w:type="dxa"/>
            <w:tcBorders>
              <w:left w:val="single" w:color="auto" w:sz="4" w:space="0"/>
              <w:right w:val="single" w:color="auto" w:sz="4" w:space="0"/>
            </w:tcBorders>
            <w:vAlign w:val="center"/>
          </w:tcPr>
          <w:p>
            <w:pPr>
              <w:jc w:val="center"/>
              <w:textAlignment w:val="baseline"/>
              <w:rPr>
                <w:rFonts w:ascii="仿宋" w:hAnsi="仿宋" w:eastAsia="仿宋" w:cs="仿宋_GB2312"/>
                <w:sz w:val="24"/>
              </w:rPr>
            </w:pPr>
            <w:r>
              <w:rPr>
                <w:rFonts w:hint="eastAsia" w:ascii="仿宋" w:hAnsi="仿宋" w:eastAsia="仿宋" w:cs="仿宋_GB2312"/>
                <w:sz w:val="24"/>
              </w:rPr>
              <w:t>信誉（4分）</w:t>
            </w:r>
          </w:p>
        </w:tc>
        <w:tc>
          <w:tcPr>
            <w:tcW w:w="6591" w:type="dxa"/>
            <w:tcBorders>
              <w:left w:val="single" w:color="auto" w:sz="4" w:space="0"/>
              <w:right w:val="single" w:color="auto" w:sz="4" w:space="0"/>
            </w:tcBorders>
            <w:vAlign w:val="center"/>
          </w:tcPr>
          <w:p>
            <w:pPr>
              <w:ind w:left="210" w:leftChars="100"/>
              <w:textAlignment w:val="baseline"/>
              <w:rPr>
                <w:rFonts w:ascii="仿宋" w:hAnsi="仿宋" w:eastAsia="仿宋" w:cs="仿宋_GB2312"/>
                <w:sz w:val="24"/>
              </w:rPr>
            </w:pPr>
            <w:r>
              <w:rPr>
                <w:rFonts w:hint="eastAsia" w:ascii="仿宋" w:hAnsi="仿宋" w:eastAsia="仿宋" w:cs="仿宋_GB2312"/>
                <w:sz w:val="24"/>
              </w:rPr>
              <w:t>根据投标人在本项目以前社会对其认可度颁发的信用等级证书等情况评定，提供证书（须提供证书原件）加4分。</w:t>
            </w:r>
          </w:p>
        </w:tc>
      </w:tr>
    </w:tbl>
    <w:p>
      <w:pPr>
        <w:pStyle w:val="2"/>
        <w:rPr>
          <w:rFonts w:hint="eastAsia" w:cs="仿宋_GB2312" w:asciiTheme="minorEastAsia" w:hAnsiTheme="minorEastAsia" w:eastAsiaTheme="minorEastAsia"/>
          <w:b/>
          <w:kern w:val="2"/>
          <w:sz w:val="24"/>
          <w:szCs w:val="24"/>
          <w:lang w:val="en-US" w:eastAsia="zh-CN" w:bidi="ar-SA"/>
        </w:rPr>
      </w:pPr>
    </w:p>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14:textFill>
                  <w14:solidFill>
                    <w14:schemeClr w14:val="tx1"/>
                  </w14:solidFill>
                </w14:textFill>
              </w:rPr>
              <w:t>(1-</w:t>
            </w:r>
            <w:r>
              <w:rPr>
                <w:rFonts w:ascii="宋体" w:hAnsi="宋体"/>
                <w:color w:val="000000" w:themeColor="text1"/>
                <w:sz w:val="24"/>
                <w:szCs w:val="24"/>
                <w:u w:val="single"/>
                <w14:textFill>
                  <w14:solidFill>
                    <w14:schemeClr w14:val="tx1"/>
                  </w14:solidFill>
                </w14:textFill>
              </w:rPr>
              <w:t>2</w:t>
            </w:r>
            <w:r>
              <w:rPr>
                <w:rFonts w:hint="eastAsia" w:ascii="宋体" w:hAnsi="宋体"/>
                <w:color w:val="000000" w:themeColor="text1"/>
                <w:sz w:val="24"/>
                <w:szCs w:val="24"/>
                <w:u w:val="single"/>
                <w14:textFill>
                  <w14:solidFill>
                    <w14:schemeClr w14:val="tx1"/>
                  </w14:solidFill>
                </w14:textFill>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hint="eastAsia"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p>
            <w:pPr>
              <w:adjustRightInd w:val="0"/>
              <w:spacing w:line="360" w:lineRule="auto"/>
              <w:ind w:left="-88" w:leftChars="-42" w:firstLine="513" w:firstLineChars="214"/>
              <w:jc w:val="left"/>
              <w:rPr>
                <w:rFonts w:hint="eastAsia" w:cs="仿宋_GB2312" w:asciiTheme="minorEastAsia" w:hAnsiTheme="minorEastAsia"/>
                <w:sz w:val="24"/>
                <w:szCs w:val="24"/>
                <w:lang w:val="zh-CN"/>
              </w:rPr>
            </w:pP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adjustRightInd w:val="0"/>
        <w:snapToGrid w:val="0"/>
        <w:spacing w:line="360" w:lineRule="auto"/>
        <w:ind w:firstLine="480" w:firstLineChars="200"/>
        <w:rPr>
          <w:rFonts w:hint="eastAsia"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2"/>
        <w:rPr>
          <w:rFonts w:hint="eastAsia" w:cs="仿宋_GB2312" w:asciiTheme="minorEastAsia" w:hAnsiTheme="minorEastAsia" w:eastAsiaTheme="minorEastAsia"/>
          <w:b/>
          <w:kern w:val="2"/>
          <w:sz w:val="24"/>
          <w:szCs w:val="24"/>
          <w:lang w:val="zh-CN" w:eastAsia="zh-CN" w:bidi="ar-SA"/>
        </w:rPr>
      </w:pPr>
      <w:r>
        <w:rPr>
          <w:rFonts w:hint="eastAsia" w:cs="仿宋_GB2312" w:asciiTheme="minorEastAsia" w:hAnsiTheme="minorEastAsia" w:eastAsiaTheme="minorEastAsia"/>
          <w:b/>
          <w:kern w:val="2"/>
          <w:sz w:val="24"/>
          <w:szCs w:val="24"/>
          <w:lang w:val="zh-CN" w:eastAsia="zh-CN" w:bidi="ar-SA"/>
        </w:rPr>
        <w:t>（</w:t>
      </w:r>
      <w:r>
        <w:rPr>
          <w:rFonts w:hint="eastAsia" w:cs="仿宋_GB2312" w:asciiTheme="minorEastAsia" w:hAnsiTheme="minorEastAsia" w:eastAsiaTheme="minorEastAsia"/>
          <w:b/>
          <w:kern w:val="2"/>
          <w:sz w:val="24"/>
          <w:szCs w:val="24"/>
          <w:lang w:val="en-US" w:eastAsia="zh-CN" w:bidi="ar-SA"/>
        </w:rPr>
        <w:t>7</w:t>
      </w:r>
      <w:r>
        <w:rPr>
          <w:rFonts w:hint="eastAsia" w:cs="仿宋_GB2312" w:asciiTheme="minorEastAsia" w:hAnsiTheme="minorEastAsia" w:eastAsiaTheme="minorEastAsia"/>
          <w:b/>
          <w:kern w:val="2"/>
          <w:sz w:val="24"/>
          <w:szCs w:val="24"/>
          <w:lang w:val="zh-CN" w:eastAsia="zh-CN" w:bidi="ar-SA"/>
        </w:rPr>
        <w:t>）评标结果汇总完成后，除下列情形外，任何人不得修改评标结果：</w:t>
      </w:r>
    </w:p>
    <w:p>
      <w:pPr>
        <w:widowControl/>
        <w:adjustRightInd w:val="0"/>
        <w:spacing w:line="360" w:lineRule="auto"/>
        <w:ind w:left="-2" w:leftChars="-1" w:firstLine="480" w:firstLineChars="200"/>
        <w:jc w:val="left"/>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1） 分值汇总计算错误的；</w:t>
      </w:r>
    </w:p>
    <w:p>
      <w:pPr>
        <w:widowControl/>
        <w:adjustRightInd w:val="0"/>
        <w:spacing w:line="360" w:lineRule="auto"/>
        <w:ind w:left="-2" w:leftChars="-1" w:firstLine="480" w:firstLineChars="200"/>
        <w:jc w:val="left"/>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2） 分项评分超出评分标准范围的；</w:t>
      </w:r>
    </w:p>
    <w:p>
      <w:pPr>
        <w:widowControl/>
        <w:adjustRightInd w:val="0"/>
        <w:spacing w:line="360" w:lineRule="auto"/>
        <w:ind w:left="-2" w:leftChars="-1" w:firstLine="480" w:firstLineChars="200"/>
        <w:jc w:val="left"/>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3） 评标委员会成员对客观评审因素评分不一致的；</w:t>
      </w:r>
    </w:p>
    <w:p>
      <w:pPr>
        <w:widowControl/>
        <w:adjustRightInd w:val="0"/>
        <w:spacing w:line="360" w:lineRule="auto"/>
        <w:ind w:left="-2" w:leftChars="-1" w:firstLine="480" w:firstLineChars="200"/>
        <w:jc w:val="left"/>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4） 经评标委员会认定评分畸高、畸低的。</w:t>
      </w:r>
    </w:p>
    <w:p>
      <w:pPr>
        <w:widowControl/>
        <w:adjustRightInd w:val="0"/>
        <w:spacing w:line="360" w:lineRule="auto"/>
        <w:ind w:left="-2" w:leftChars="-1" w:firstLine="480" w:firstLineChars="200"/>
        <w:jc w:val="left"/>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widowControl/>
        <w:adjustRightInd w:val="0"/>
        <w:spacing w:line="360" w:lineRule="auto"/>
        <w:ind w:left="-2" w:leftChars="-1" w:firstLine="480" w:firstLineChars="200"/>
        <w:jc w:val="left"/>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pStyle w:val="2"/>
        <w:rPr>
          <w:rFonts w:hint="eastAsia" w:cs="仿宋_GB2312" w:asciiTheme="minorEastAsia" w:hAnsiTheme="minorEastAsia" w:eastAsiaTheme="minorEastAsia"/>
          <w:b/>
          <w:kern w:val="2"/>
          <w:sz w:val="24"/>
          <w:szCs w:val="24"/>
          <w:lang w:val="zh-CN" w:eastAsia="zh-CN" w:bidi="ar-SA"/>
        </w:rPr>
      </w:pPr>
      <w:r>
        <w:rPr>
          <w:rFonts w:hint="eastAsia" w:cs="仿宋_GB2312" w:asciiTheme="minorEastAsia" w:hAnsiTheme="minorEastAsia" w:eastAsiaTheme="minorEastAsia"/>
          <w:b/>
          <w:kern w:val="2"/>
          <w:sz w:val="24"/>
          <w:szCs w:val="24"/>
          <w:lang w:val="zh-CN" w:eastAsia="zh-CN" w:bidi="ar-SA"/>
        </w:rPr>
        <w:t>（</w:t>
      </w:r>
      <w:r>
        <w:rPr>
          <w:rFonts w:hint="eastAsia" w:cs="仿宋_GB2312" w:asciiTheme="minorEastAsia" w:hAnsiTheme="minorEastAsia" w:eastAsiaTheme="minorEastAsia"/>
          <w:b/>
          <w:kern w:val="2"/>
          <w:sz w:val="24"/>
          <w:szCs w:val="24"/>
          <w:lang w:val="en-US" w:eastAsia="zh-CN" w:bidi="ar-SA"/>
        </w:rPr>
        <w:t>8</w:t>
      </w:r>
      <w:r>
        <w:rPr>
          <w:rFonts w:hint="eastAsia" w:cs="仿宋_GB2312" w:asciiTheme="minorEastAsia" w:hAnsiTheme="minorEastAsia" w:eastAsiaTheme="minorEastAsia"/>
          <w:b/>
          <w:kern w:val="2"/>
          <w:sz w:val="24"/>
          <w:szCs w:val="24"/>
          <w:lang w:val="zh-CN" w:eastAsia="zh-CN" w:bidi="ar-SA"/>
        </w:rPr>
        <w:t>）评标委员会争议处理</w:t>
      </w:r>
    </w:p>
    <w:p>
      <w:pPr>
        <w:widowControl/>
        <w:adjustRightInd w:val="0"/>
        <w:spacing w:line="360" w:lineRule="auto"/>
        <w:ind w:left="-2" w:leftChars="-1" w:firstLine="480" w:firstLineChars="200"/>
        <w:jc w:val="left"/>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widowControl/>
        <w:adjustRightInd w:val="0"/>
        <w:spacing w:line="360" w:lineRule="auto"/>
        <w:ind w:left="-2" w:leftChars="-1" w:firstLine="482" w:firstLineChars="200"/>
        <w:jc w:val="left"/>
        <w:rPr>
          <w:rFonts w:hint="eastAsia" w:cs="仿宋_GB2312" w:asciiTheme="minorEastAsia" w:hAnsiTheme="minorEastAsia"/>
          <w:sz w:val="24"/>
          <w:szCs w:val="24"/>
          <w:lang w:val="zh-CN"/>
        </w:rPr>
      </w:pPr>
      <w:r>
        <w:rPr>
          <w:rFonts w:hint="eastAsia" w:cs="仿宋_GB2312" w:asciiTheme="minorEastAsia" w:hAnsiTheme="minorEastAsia" w:eastAsiaTheme="minorEastAsia"/>
          <w:b/>
          <w:kern w:val="2"/>
          <w:sz w:val="24"/>
          <w:szCs w:val="24"/>
          <w:lang w:val="zh-CN" w:eastAsia="zh-CN" w:bidi="ar-SA"/>
        </w:rPr>
        <w:t>4、确定中标候选人名单，</w:t>
      </w:r>
      <w:r>
        <w:rPr>
          <w:rFonts w:hint="eastAsia" w:cs="仿宋_GB2312" w:asciiTheme="minorEastAsia" w:hAnsiTheme="minorEastAsia" w:eastAsiaTheme="minorEastAsia"/>
          <w:b/>
          <w:kern w:val="2"/>
          <w:sz w:val="24"/>
          <w:szCs w:val="24"/>
          <w:lang w:val="en-US" w:eastAsia="zh-CN" w:bidi="ar-SA"/>
        </w:rPr>
        <w:t>评标委员会按得分从高到低</w:t>
      </w:r>
      <w:r>
        <w:rPr>
          <w:rFonts w:hint="eastAsia" w:cs="仿宋_GB2312" w:asciiTheme="minorEastAsia" w:hAnsiTheme="minorEastAsia" w:eastAsiaTheme="minorEastAsia"/>
          <w:b/>
          <w:kern w:val="2"/>
          <w:sz w:val="24"/>
          <w:szCs w:val="24"/>
          <w:lang w:val="zh-CN" w:eastAsia="zh-CN" w:bidi="ar-SA"/>
        </w:rPr>
        <w:t>推荐三名中标候选人。</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widowControl/>
        <w:jc w:val="left"/>
        <w:rPr>
          <w:rFonts w:cs="黑体" w:asciiTheme="minorEastAsia" w:hAnsiTheme="minorEastAsia"/>
          <w:b/>
          <w:bCs/>
          <w:sz w:val="36"/>
          <w:szCs w:val="36"/>
          <w:lang w:val="zh-CN"/>
        </w:rPr>
      </w:pPr>
      <w:bookmarkStart w:id="1" w:name="_Toc174185203"/>
      <w:bookmarkStart w:id="2" w:name="_Toc186274126"/>
      <w:bookmarkStart w:id="3" w:name="_Toc184023138"/>
      <w:r>
        <w:rPr>
          <w:rFonts w:cs="黑体" w:asciiTheme="minorEastAsia" w:hAnsiTheme="minorEastAsia"/>
          <w:sz w:val="36"/>
          <w:szCs w:val="36"/>
          <w:lang w:val="zh-CN"/>
        </w:rPr>
        <w:br w:type="page"/>
      </w:r>
    </w:p>
    <w:p>
      <w:pPr>
        <w:pStyle w:val="48"/>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1"/>
      <w:bookmarkEnd w:id="2"/>
      <w:bookmarkEnd w:id="3"/>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3"/>
              <w:kinsoku w:val="0"/>
              <w:overflowPunct w:val="0"/>
              <w:autoSpaceDE w:val="0"/>
              <w:autoSpaceDN w:val="0"/>
              <w:spacing w:line="320" w:lineRule="exact"/>
              <w:rPr>
                <w:rFonts w:hint="eastAsia" w:hAnsi="宋体" w:eastAsia="宋体"/>
                <w:kern w:val="0"/>
                <w:lang w:val="en-US" w:eastAsia="zh-CN"/>
              </w:rPr>
            </w:pPr>
            <w:r>
              <w:rPr>
                <w:rFonts w:hint="eastAsia" w:hAnsi="宋体" w:cs="微软雅黑"/>
                <w:bCs/>
                <w:kern w:val="0"/>
              </w:rPr>
              <w:t>投标人须具备的特殊资质证书</w:t>
            </w:r>
            <w:r>
              <w:rPr>
                <w:rFonts w:hint="eastAsia" w:hAnsi="宋体" w:cs="微软雅黑"/>
                <w:bCs/>
                <w:kern w:val="0"/>
                <w:lang w:val="en-US" w:eastAsia="zh-CN"/>
              </w:rPr>
              <w:t>及项目负责人证书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color w:val="7030A0"/>
                <w:szCs w:val="24"/>
                <w:lang w:val="zh-CN"/>
              </w:rPr>
              <w:t>所投产品符合国家强制性要求承诺函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2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w:t>
            </w:r>
            <w:r>
              <w:rPr>
                <w:rFonts w:cs="宋体" w:asciiTheme="minorEastAsia" w:hAnsiTheme="minorEastAsia"/>
                <w:kern w:val="0"/>
                <w:szCs w:val="24"/>
              </w:rPr>
              <w:t>信息安全产品强制性认证</w:t>
            </w:r>
            <w:r>
              <w:rPr>
                <w:rFonts w:hint="eastAsia" w:asciiTheme="majorEastAsia" w:hAnsiTheme="majorEastAsia" w:eastAsiaTheme="majorEastAsia" w:cstheme="majorEastAsia"/>
                <w:bCs/>
                <w:szCs w:val="24"/>
                <w:lang w:val="zh-CN"/>
              </w:rPr>
              <w:t>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color w:val="7030A0"/>
          <w:kern w:val="0"/>
          <w:sz w:val="24"/>
          <w:szCs w:val="24"/>
        </w:rPr>
      </w:pPr>
      <w:r>
        <w:rPr>
          <w:rFonts w:hint="eastAsia" w:asciiTheme="minorEastAsia" w:hAnsiTheme="minorEastAsia"/>
          <w:snapToGrid w:val="0"/>
          <w:color w:val="7030A0"/>
          <w:kern w:val="0"/>
          <w:sz w:val="24"/>
          <w:szCs w:val="24"/>
        </w:rPr>
        <w:t>致：</w:t>
      </w:r>
      <w:r>
        <w:rPr>
          <w:rFonts w:hint="eastAsia" w:asciiTheme="minorEastAsia" w:hAnsiTheme="minorEastAsia"/>
          <w:b/>
          <w:snapToGrid w:val="0"/>
          <w:color w:val="7030A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_（项目名称、项目编号）采购的招标公告及投标邀请，_______（姓名和职务）被正式授权并代表投标人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（项目名称、项目编号）招标文件的全部内容。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spacing w:line="360" w:lineRule="auto"/>
        <w:ind w:firstLine="480" w:firstLineChars="200"/>
        <w:rPr>
          <w:rFonts w:ascii="宋体" w:cs="Courier New"/>
          <w:color w:val="FF0000"/>
          <w:sz w:val="24"/>
          <w:szCs w:val="24"/>
        </w:rPr>
      </w:pPr>
      <w:r>
        <w:rPr>
          <w:rFonts w:hint="eastAsia" w:ascii="宋体" w:hAnsi="宋体" w:cs="Courier New"/>
          <w:color w:val="FF0000"/>
          <w:sz w:val="24"/>
          <w:szCs w:val="24"/>
        </w:rPr>
        <w:t>七、我方在此保证所提交的所有文件和全部说明是真实的和正确的</w:t>
      </w:r>
      <w:r>
        <w:rPr>
          <w:rFonts w:ascii="宋体" w:cs="Courier New"/>
          <w:color w:val="FF0000"/>
          <w:sz w:val="24"/>
          <w:szCs w:val="24"/>
        </w:rPr>
        <w:t>,</w:t>
      </w:r>
      <w:r>
        <w:rPr>
          <w:rFonts w:hint="eastAsia" w:ascii="宋体" w:hAnsi="宋体" w:cs="Courier New"/>
          <w:color w:val="FF0000"/>
          <w:sz w:val="24"/>
          <w:szCs w:val="24"/>
        </w:rPr>
        <w:t>未提供虚假的资格证书及业绩证明材料谋取中标，若存在虚假证书或者业绩证明材料的违规违法行为，承担法律责任，接受财政部门的处罚。</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39"/>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加贵方项目</w:t>
      </w:r>
      <w:r>
        <w:rPr>
          <w:rFonts w:asciiTheme="minorEastAsia" w:hAnsiTheme="minorEastAsia"/>
          <w:color w:val="000000"/>
          <w:szCs w:val="24"/>
        </w:rPr>
        <w:t>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39"/>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39"/>
        <w:spacing w:line="480" w:lineRule="auto"/>
        <w:ind w:firstLine="540" w:firstLineChars="225"/>
        <w:jc w:val="left"/>
        <w:rPr>
          <w:rFonts w:asciiTheme="minorEastAsia" w:hAnsiTheme="minorEastAsia"/>
          <w:color w:val="000000"/>
          <w:szCs w:val="24"/>
        </w:rPr>
      </w:pPr>
    </w:p>
    <w:p>
      <w:pPr>
        <w:pStyle w:val="39"/>
        <w:spacing w:line="480" w:lineRule="auto"/>
        <w:ind w:firstLine="540" w:firstLineChars="225"/>
        <w:jc w:val="left"/>
        <w:rPr>
          <w:rFonts w:asciiTheme="minorEastAsia" w:hAnsiTheme="minorEastAsia"/>
          <w:color w:val="000000"/>
          <w:szCs w:val="24"/>
        </w:rPr>
      </w:pPr>
    </w:p>
    <w:p>
      <w:pPr>
        <w:pStyle w:val="39"/>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39"/>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2"/>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1"/>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4" w:name="_资格证明文件"/>
            <w:bookmarkEnd w:id="4"/>
            <w:bookmarkStart w:id="5" w:name="_Toc364329026"/>
            <w:r>
              <w:rPr>
                <w:rFonts w:hint="eastAsia" w:asciiTheme="minorEastAsia" w:hAnsiTheme="minorEastAsia"/>
                <w:sz w:val="24"/>
                <w:szCs w:val="24"/>
              </w:rPr>
              <w:t>法定代表人授权代表身份证（正面）</w:t>
            </w:r>
            <w:bookmarkEnd w:id="5"/>
          </w:p>
        </w:tc>
        <w:tc>
          <w:tcPr>
            <w:tcW w:w="4492" w:type="dxa"/>
            <w:gridSpan w:val="2"/>
            <w:vAlign w:val="center"/>
          </w:tcPr>
          <w:p>
            <w:pPr>
              <w:jc w:val="center"/>
              <w:rPr>
                <w:rFonts w:asciiTheme="minorEastAsia" w:hAnsiTheme="minorEastAsia"/>
                <w:sz w:val="24"/>
                <w:szCs w:val="24"/>
              </w:rPr>
            </w:pPr>
            <w:bookmarkStart w:id="6" w:name="_Toc364329027"/>
            <w:r>
              <w:rPr>
                <w:rFonts w:hint="eastAsia" w:asciiTheme="minorEastAsia" w:hAnsiTheme="minorEastAsia"/>
                <w:sz w:val="24"/>
                <w:szCs w:val="24"/>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en-US" w:eastAsia="zh-CN"/>
        </w:rPr>
        <w:t>禹州市</w:t>
      </w:r>
      <w:r>
        <w:rPr>
          <w:rFonts w:hint="eastAsia" w:cs="宋体" w:asciiTheme="minorEastAsia" w:hAnsiTheme="minorEastAsia"/>
          <w:sz w:val="24"/>
          <w:szCs w:val="24"/>
          <w:lang w:val="zh-CN"/>
        </w:rPr>
        <w:t>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w:t>
      </w:r>
      <w:r>
        <w:rPr>
          <w:rFonts w:hint="eastAsia" w:ascii="宋体" w:cs="宋体"/>
          <w:sz w:val="24"/>
          <w:lang w:val="en-US" w:eastAsia="zh-CN"/>
        </w:rPr>
        <w:t>禹州市</w:t>
      </w:r>
      <w:r>
        <w:rPr>
          <w:rFonts w:hint="eastAsia" w:ascii="宋体" w:cs="宋体"/>
          <w:sz w:val="24"/>
          <w:lang w:val="zh-CN"/>
        </w:rPr>
        <w:t>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480" w:lineRule="auto"/>
        <w:jc w:val="center"/>
        <w:rPr>
          <w:rFonts w:cs="宋体" w:asciiTheme="minorEastAsia" w:hAnsiTheme="minorEastAsia"/>
          <w:b/>
          <w:bCs/>
          <w:sz w:val="36"/>
          <w:szCs w:val="36"/>
          <w:lang w:val="zh-CN"/>
        </w:rPr>
      </w:pPr>
      <w:r>
        <w:rPr>
          <w:rFonts w:hint="eastAsia" w:cs="宋体" w:asciiTheme="minorEastAsia" w:hAnsiTheme="minorEastAsia"/>
          <w:b/>
          <w:bCs/>
          <w:sz w:val="36"/>
          <w:szCs w:val="36"/>
          <w:lang w:val="zh-CN" w:eastAsia="zh-CN"/>
        </w:rPr>
        <w:t>4.1</w:t>
      </w:r>
      <w:r>
        <w:rPr>
          <w:rFonts w:hint="eastAsia" w:cs="宋体" w:asciiTheme="minorEastAsia" w:hAnsiTheme="minorEastAsia"/>
          <w:b/>
          <w:bCs/>
          <w:sz w:val="36"/>
          <w:szCs w:val="36"/>
          <w:lang w:val="zh-CN"/>
        </w:rPr>
        <w:t>服务项目报价明</w:t>
      </w:r>
      <w:r>
        <w:rPr>
          <w:rFonts w:cs="宋体" w:asciiTheme="minorEastAsia" w:hAnsiTheme="minorEastAsia"/>
          <w:b/>
          <w:bCs/>
          <w:sz w:val="36"/>
          <w:szCs w:val="36"/>
          <w:lang w:val="zh-CN"/>
        </w:rPr>
        <w:t>细表</w:t>
      </w:r>
    </w:p>
    <w:p>
      <w:pPr>
        <w:pStyle w:val="2"/>
        <w:rPr>
          <w:lang w:val="zh-CN"/>
        </w:rPr>
      </w:pPr>
    </w:p>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hint="eastAsia" w:cs="宋体" w:asciiTheme="minorEastAsia" w:hAnsiTheme="minorEastAsia"/>
          <w:sz w:val="24"/>
          <w:szCs w:val="24"/>
          <w:lang w:val="zh-CN"/>
        </w:rPr>
        <w:t>招</w:t>
      </w:r>
      <w:r>
        <w:rPr>
          <w:rFonts w:cs="宋体" w:asciiTheme="minorEastAsia" w:hAnsiTheme="minorEastAsia"/>
          <w:sz w:val="24"/>
          <w:szCs w:val="24"/>
          <w:lang w:val="zh-CN"/>
        </w:rPr>
        <w:t>标项目</w:t>
      </w:r>
      <w:r>
        <w:rPr>
          <w:rFonts w:hint="eastAsia" w:cs="宋体" w:asciiTheme="minorEastAsia" w:hAnsiTheme="minorEastAsia"/>
          <w:sz w:val="24"/>
          <w:szCs w:val="24"/>
          <w:lang w:val="zh-CN"/>
        </w:rPr>
        <w:t>名</w:t>
      </w:r>
      <w:r>
        <w:rPr>
          <w:rFonts w:cs="宋体" w:asciiTheme="minorEastAsia" w:hAnsiTheme="minorEastAsia"/>
          <w:sz w:val="24"/>
          <w:szCs w:val="24"/>
          <w:lang w:val="zh-CN"/>
        </w:rPr>
        <w:t>称</w:t>
      </w:r>
      <w:r>
        <w:rPr>
          <w:rFonts w:hint="eastAsia" w:cs="宋体" w:asciiTheme="minorEastAsia" w:hAnsiTheme="minorEastAsia"/>
          <w:sz w:val="24"/>
          <w:szCs w:val="24"/>
          <w:lang w:val="zh-CN"/>
        </w:rPr>
        <w:t>：</w:t>
      </w:r>
    </w:p>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hint="eastAsia" w:cs="宋体" w:asciiTheme="minorEastAsia" w:hAnsiTheme="minorEastAsia"/>
          <w:sz w:val="24"/>
          <w:szCs w:val="24"/>
          <w:lang w:val="zh-CN"/>
        </w:rPr>
        <w:t>招</w:t>
      </w:r>
      <w:r>
        <w:rPr>
          <w:rFonts w:cs="宋体" w:asciiTheme="minorEastAsia" w:hAnsiTheme="minorEastAsia"/>
          <w:sz w:val="24"/>
          <w:szCs w:val="24"/>
          <w:lang w:val="zh-CN"/>
        </w:rPr>
        <w:t>标项目编号</w:t>
      </w:r>
      <w:r>
        <w:rPr>
          <w:rFonts w:hint="eastAsia" w:cs="宋体" w:asciiTheme="minorEastAsia" w:hAnsiTheme="minorEastAsia"/>
          <w:sz w:val="24"/>
          <w:szCs w:val="24"/>
          <w:lang w:val="zh-CN"/>
        </w:rPr>
        <w:t>：</w:t>
      </w:r>
    </w:p>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cs="宋体" w:asciiTheme="minorEastAsia" w:hAnsiTheme="minorEastAsia"/>
          <w:sz w:val="24"/>
          <w:szCs w:val="24"/>
          <w:lang w:val="zh-CN"/>
        </w:rPr>
        <w:t xml:space="preserve">                                                       单</w:t>
      </w:r>
      <w:r>
        <w:rPr>
          <w:rFonts w:hint="eastAsia" w:cs="宋体" w:asciiTheme="minorEastAsia" w:hAnsiTheme="minorEastAsia"/>
          <w:sz w:val="24"/>
          <w:szCs w:val="24"/>
          <w:lang w:val="zh-CN"/>
        </w:rPr>
        <w:t>位：元（人民</w:t>
      </w:r>
      <w:r>
        <w:rPr>
          <w:rFonts w:cs="宋体" w:asciiTheme="minorEastAsia" w:hAnsiTheme="minorEastAsia"/>
          <w:sz w:val="24"/>
          <w:szCs w:val="24"/>
          <w:lang w:val="zh-CN"/>
        </w:rPr>
        <w:t>币</w:t>
      </w:r>
      <w:r>
        <w:rPr>
          <w:rFonts w:hint="eastAsia" w:cs="宋体" w:asciiTheme="minorEastAsia" w:hAnsiTheme="minorEastAsia"/>
          <w:sz w:val="24"/>
          <w:szCs w:val="24"/>
          <w:lang w:val="zh-CN"/>
        </w:rPr>
        <w:t>）</w:t>
      </w:r>
    </w:p>
    <w:tbl>
      <w:tblPr>
        <w:tblStyle w:val="25"/>
        <w:tblW w:w="962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70"/>
        <w:gridCol w:w="1365"/>
        <w:gridCol w:w="2787"/>
        <w:gridCol w:w="1623"/>
        <w:gridCol w:w="857"/>
        <w:gridCol w:w="1065"/>
        <w:gridCol w:w="6"/>
        <w:gridCol w:w="105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63" w:hRule="atLeast"/>
        </w:trPr>
        <w:tc>
          <w:tcPr>
            <w:tcW w:w="870"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cs="宋体" w:asciiTheme="minorEastAsia" w:hAnsiTheme="minorEastAsia"/>
                <w:sz w:val="24"/>
                <w:szCs w:val="24"/>
                <w:lang w:val="zh-CN"/>
              </w:rPr>
              <w:t>序号</w:t>
            </w:r>
          </w:p>
        </w:tc>
        <w:tc>
          <w:tcPr>
            <w:tcW w:w="136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hint="eastAsia" w:cs="宋体" w:asciiTheme="minorEastAsia" w:hAnsiTheme="minorEastAsia"/>
                <w:sz w:val="24"/>
                <w:szCs w:val="24"/>
                <w:lang w:val="zh-CN"/>
              </w:rPr>
              <w:t>服务项目</w:t>
            </w:r>
          </w:p>
        </w:tc>
        <w:tc>
          <w:tcPr>
            <w:tcW w:w="4410"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hint="eastAsia" w:cs="宋体" w:asciiTheme="minorEastAsia" w:hAnsiTheme="minorEastAsia"/>
                <w:sz w:val="24"/>
                <w:szCs w:val="24"/>
                <w:lang w:val="zh-CN"/>
              </w:rPr>
              <w:t>具体内容</w:t>
            </w:r>
          </w:p>
        </w:tc>
        <w:tc>
          <w:tcPr>
            <w:tcW w:w="857"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cs="宋体" w:asciiTheme="minorEastAsia" w:hAnsiTheme="minorEastAsia"/>
                <w:sz w:val="24"/>
                <w:szCs w:val="24"/>
                <w:lang w:val="zh-CN"/>
              </w:rPr>
              <w:t>数</w:t>
            </w:r>
            <w:r>
              <w:rPr>
                <w:rFonts w:hint="eastAsia" w:cs="宋体" w:asciiTheme="minorEastAsia" w:hAnsiTheme="minorEastAsia"/>
                <w:sz w:val="24"/>
                <w:szCs w:val="24"/>
                <w:lang w:val="zh-CN"/>
              </w:rPr>
              <w:t>量</w:t>
            </w:r>
          </w:p>
        </w:tc>
        <w:tc>
          <w:tcPr>
            <w:tcW w:w="1065" w:type="dxa"/>
            <w:tcBorders>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cs="宋体" w:asciiTheme="minorEastAsia" w:hAnsiTheme="minorEastAsia"/>
                <w:sz w:val="24"/>
                <w:szCs w:val="24"/>
                <w:lang w:val="zh-CN"/>
              </w:rPr>
              <w:t>单</w:t>
            </w:r>
            <w:r>
              <w:rPr>
                <w:rFonts w:hint="eastAsia" w:cs="宋体" w:asciiTheme="minorEastAsia" w:hAnsiTheme="minorEastAsia"/>
                <w:sz w:val="24"/>
                <w:szCs w:val="24"/>
                <w:lang w:val="zh-CN"/>
              </w:rPr>
              <w:t>价</w:t>
            </w:r>
          </w:p>
        </w:tc>
        <w:tc>
          <w:tcPr>
            <w:tcW w:w="1061" w:type="dxa"/>
            <w:gridSpan w:val="2"/>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cs="宋体" w:asciiTheme="minorEastAsia" w:hAnsiTheme="minorEastAsia"/>
                <w:sz w:val="24"/>
                <w:szCs w:val="24"/>
                <w:lang w:val="zh-CN"/>
              </w:rPr>
              <w:t>总</w:t>
            </w:r>
            <w:r>
              <w:rPr>
                <w:rFonts w:hint="eastAsia" w:cs="宋体" w:asciiTheme="minorEastAsia" w:hAnsiTheme="minorEastAsia"/>
                <w:sz w:val="24"/>
                <w:szCs w:val="24"/>
                <w:lang w:val="zh-CN"/>
              </w:rPr>
              <w:t>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hint="eastAsia" w:cs="宋体" w:asciiTheme="minorEastAsia" w:hAnsiTheme="minorEastAsia"/>
                <w:sz w:val="24"/>
                <w:szCs w:val="24"/>
                <w:lang w:val="zh-CN"/>
              </w:rPr>
              <w:t>1</w:t>
            </w:r>
          </w:p>
        </w:tc>
        <w:tc>
          <w:tcPr>
            <w:tcW w:w="136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4410"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857"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1071"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105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hint="eastAsia" w:cs="宋体" w:asciiTheme="minorEastAsia" w:hAnsiTheme="minorEastAsia"/>
                <w:sz w:val="24"/>
                <w:szCs w:val="24"/>
                <w:lang w:val="zh-CN"/>
              </w:rPr>
              <w:t>2</w:t>
            </w:r>
          </w:p>
        </w:tc>
        <w:tc>
          <w:tcPr>
            <w:tcW w:w="136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4410"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857"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1071"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105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hint="eastAsia" w:cs="宋体" w:asciiTheme="minorEastAsia" w:hAnsiTheme="minorEastAsia"/>
                <w:sz w:val="24"/>
                <w:szCs w:val="24"/>
                <w:lang w:val="zh-CN"/>
              </w:rPr>
              <w:t>3</w:t>
            </w:r>
          </w:p>
        </w:tc>
        <w:tc>
          <w:tcPr>
            <w:tcW w:w="136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4410"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857"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1071"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105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hint="eastAsia" w:cs="宋体" w:asciiTheme="minorEastAsia" w:hAnsiTheme="minorEastAsia"/>
                <w:sz w:val="24"/>
                <w:szCs w:val="24"/>
                <w:lang w:val="zh-CN"/>
              </w:rPr>
              <w:t>4</w:t>
            </w:r>
          </w:p>
        </w:tc>
        <w:tc>
          <w:tcPr>
            <w:tcW w:w="136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4410"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857"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1071"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105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hint="eastAsia" w:cs="宋体" w:asciiTheme="minorEastAsia" w:hAnsiTheme="minorEastAsia"/>
                <w:sz w:val="24"/>
                <w:szCs w:val="24"/>
                <w:lang w:val="zh-CN"/>
              </w:rPr>
              <w:t>5</w:t>
            </w:r>
          </w:p>
        </w:tc>
        <w:tc>
          <w:tcPr>
            <w:tcW w:w="136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4410"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857"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1071"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105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hint="eastAsia" w:cs="宋体" w:asciiTheme="minorEastAsia" w:hAnsiTheme="minorEastAsia"/>
                <w:sz w:val="24"/>
                <w:szCs w:val="24"/>
                <w:lang w:val="zh-CN"/>
              </w:rPr>
              <w:t>6</w:t>
            </w:r>
          </w:p>
        </w:tc>
        <w:tc>
          <w:tcPr>
            <w:tcW w:w="136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4410"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857"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1071"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105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hint="eastAsia" w:cs="宋体" w:asciiTheme="minorEastAsia" w:hAnsiTheme="minorEastAsia"/>
                <w:sz w:val="24"/>
                <w:szCs w:val="24"/>
                <w:lang w:val="zh-CN"/>
              </w:rPr>
              <w:t>7</w:t>
            </w:r>
          </w:p>
        </w:tc>
        <w:tc>
          <w:tcPr>
            <w:tcW w:w="136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4410"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857"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1071"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105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hint="eastAsia" w:cs="宋体" w:asciiTheme="minorEastAsia" w:hAnsiTheme="minorEastAsia"/>
                <w:sz w:val="24"/>
                <w:szCs w:val="24"/>
                <w:lang w:val="zh-CN"/>
              </w:rPr>
              <w:t>8</w:t>
            </w:r>
          </w:p>
        </w:tc>
        <w:tc>
          <w:tcPr>
            <w:tcW w:w="136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4410"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857"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1071"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105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870"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hint="eastAsia" w:cs="宋体" w:asciiTheme="minorEastAsia" w:hAnsiTheme="minorEastAsia"/>
                <w:sz w:val="24"/>
                <w:szCs w:val="24"/>
                <w:lang w:val="zh-CN"/>
              </w:rPr>
              <w:t>…</w:t>
            </w:r>
          </w:p>
        </w:tc>
        <w:tc>
          <w:tcPr>
            <w:tcW w:w="136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4410"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857"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1071"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c>
          <w:tcPr>
            <w:tcW w:w="1055" w:type="dxa"/>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5022"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hint="eastAsia" w:cs="宋体" w:asciiTheme="minorEastAsia" w:hAnsiTheme="minorEastAsia"/>
                <w:sz w:val="24"/>
                <w:szCs w:val="24"/>
                <w:lang w:val="zh-CN"/>
              </w:rPr>
              <w:t>投</w:t>
            </w:r>
            <w:r>
              <w:rPr>
                <w:rFonts w:cs="宋体" w:asciiTheme="minorEastAsia" w:hAnsiTheme="minorEastAsia"/>
                <w:sz w:val="24"/>
                <w:szCs w:val="24"/>
                <w:lang w:val="zh-CN"/>
              </w:rPr>
              <w:t>标总</w:t>
            </w:r>
            <w:r>
              <w:rPr>
                <w:rFonts w:hint="eastAsia" w:cs="宋体" w:asciiTheme="minorEastAsia" w:hAnsiTheme="minorEastAsia"/>
                <w:sz w:val="24"/>
                <w:szCs w:val="24"/>
                <w:lang w:val="zh-CN"/>
              </w:rPr>
              <w:t>价（大</w:t>
            </w:r>
            <w:r>
              <w:rPr>
                <w:rFonts w:cs="宋体" w:asciiTheme="minorEastAsia" w:hAnsiTheme="minorEastAsia"/>
                <w:sz w:val="24"/>
                <w:szCs w:val="24"/>
                <w:lang w:val="zh-CN"/>
              </w:rPr>
              <w:t>写</w:t>
            </w:r>
            <w:r>
              <w:rPr>
                <w:rFonts w:hint="eastAsia" w:cs="宋体" w:asciiTheme="minorEastAsia" w:hAnsiTheme="minorEastAsia"/>
                <w:sz w:val="24"/>
                <w:szCs w:val="24"/>
                <w:lang w:val="zh-CN"/>
              </w:rPr>
              <w:t>）：</w:t>
            </w:r>
          </w:p>
        </w:tc>
        <w:tc>
          <w:tcPr>
            <w:tcW w:w="4606" w:type="dxa"/>
            <w:gridSpan w:val="5"/>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hint="eastAsia" w:cs="宋体" w:asciiTheme="minorEastAsia" w:hAnsiTheme="minorEastAsia"/>
                <w:sz w:val="24"/>
                <w:szCs w:val="24"/>
                <w:lang w:val="zh-CN"/>
              </w:rPr>
              <w:t>（小</w:t>
            </w:r>
            <w:r>
              <w:rPr>
                <w:rFonts w:cs="宋体" w:asciiTheme="minorEastAsia" w:hAnsiTheme="minorEastAsia"/>
                <w:sz w:val="24"/>
                <w:szCs w:val="24"/>
                <w:lang w:val="zh-CN"/>
              </w:rPr>
              <w:t>写</w:t>
            </w:r>
            <w:r>
              <w:rPr>
                <w:rFonts w:hint="eastAsia" w:cs="宋体" w:asciiTheme="minorEastAsia" w:hAnsiTheme="minorEastAsia"/>
                <w:sz w:val="24"/>
                <w:szCs w:val="24"/>
                <w:lang w:val="zh-CN"/>
              </w:rPr>
              <w:t>）：</w:t>
            </w:r>
          </w:p>
        </w:tc>
      </w:tr>
    </w:tbl>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cs="宋体" w:asciiTheme="minorEastAsia" w:hAnsiTheme="minorEastAsia"/>
          <w:b/>
          <w:bCs/>
          <w:sz w:val="24"/>
          <w:szCs w:val="24"/>
          <w:lang w:val="zh-CN"/>
        </w:rPr>
        <w:t>填写说</w:t>
      </w:r>
      <w:r>
        <w:rPr>
          <w:rFonts w:hint="eastAsia" w:cs="宋体" w:asciiTheme="minorEastAsia" w:hAnsiTheme="minorEastAsia"/>
          <w:b/>
          <w:bCs/>
          <w:sz w:val="24"/>
          <w:szCs w:val="24"/>
          <w:lang w:val="zh-CN"/>
        </w:rPr>
        <w:t>明</w:t>
      </w:r>
      <w:r>
        <w:rPr>
          <w:rFonts w:hint="eastAsia" w:cs="宋体" w:asciiTheme="minorEastAsia" w:hAnsiTheme="minorEastAsia"/>
          <w:sz w:val="24"/>
          <w:szCs w:val="24"/>
          <w:lang w:val="zh-CN"/>
        </w:rPr>
        <w:t>：</w:t>
      </w:r>
    </w:p>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cs="宋体" w:asciiTheme="minorEastAsia" w:hAnsiTheme="minorEastAsia"/>
          <w:sz w:val="24"/>
          <w:szCs w:val="24"/>
          <w:lang w:val="zh-CN"/>
        </w:rPr>
        <w:t xml:space="preserve">1. </w:t>
      </w:r>
      <w:r>
        <w:rPr>
          <w:rFonts w:hint="eastAsia" w:cs="宋体" w:asciiTheme="minorEastAsia" w:hAnsiTheme="minorEastAsia"/>
          <w:sz w:val="24"/>
          <w:szCs w:val="24"/>
          <w:lang w:val="zh-CN"/>
        </w:rPr>
        <w:t>如果以</w:t>
      </w:r>
      <w:r>
        <w:rPr>
          <w:rFonts w:cs="宋体" w:asciiTheme="minorEastAsia" w:hAnsiTheme="minorEastAsia"/>
          <w:sz w:val="24"/>
          <w:szCs w:val="24"/>
          <w:lang w:val="zh-CN"/>
        </w:rPr>
        <w:t>单</w:t>
      </w:r>
      <w:r>
        <w:rPr>
          <w:rFonts w:hint="eastAsia" w:cs="宋体" w:asciiTheme="minorEastAsia" w:hAnsiTheme="minorEastAsia"/>
          <w:sz w:val="24"/>
          <w:szCs w:val="24"/>
          <w:lang w:val="zh-CN"/>
        </w:rPr>
        <w:t>价</w:t>
      </w:r>
      <w:r>
        <w:rPr>
          <w:rFonts w:cs="宋体" w:asciiTheme="minorEastAsia" w:hAnsiTheme="minorEastAsia"/>
          <w:sz w:val="24"/>
          <w:szCs w:val="24"/>
          <w:lang w:val="zh-CN"/>
        </w:rPr>
        <w:t>计</w:t>
      </w:r>
      <w:r>
        <w:rPr>
          <w:rFonts w:hint="eastAsia" w:cs="宋体" w:asciiTheme="minorEastAsia" w:hAnsiTheme="minorEastAsia"/>
          <w:sz w:val="24"/>
          <w:szCs w:val="24"/>
          <w:lang w:val="zh-CN"/>
        </w:rPr>
        <w:t>算的</w:t>
      </w:r>
      <w:r>
        <w:rPr>
          <w:rFonts w:cs="宋体" w:asciiTheme="minorEastAsia" w:hAnsiTheme="minorEastAsia"/>
          <w:sz w:val="24"/>
          <w:szCs w:val="24"/>
          <w:lang w:val="zh-CN"/>
        </w:rPr>
        <w:t>结</w:t>
      </w:r>
      <w:r>
        <w:rPr>
          <w:rFonts w:hint="eastAsia" w:cs="宋体" w:asciiTheme="minorEastAsia" w:hAnsiTheme="minorEastAsia"/>
          <w:sz w:val="24"/>
          <w:szCs w:val="24"/>
          <w:lang w:val="zh-CN"/>
        </w:rPr>
        <w:t>果与</w:t>
      </w:r>
      <w:r>
        <w:rPr>
          <w:rFonts w:cs="宋体" w:asciiTheme="minorEastAsia" w:hAnsiTheme="minorEastAsia"/>
          <w:sz w:val="24"/>
          <w:szCs w:val="24"/>
          <w:lang w:val="zh-CN"/>
        </w:rPr>
        <w:t>总</w:t>
      </w:r>
      <w:r>
        <w:rPr>
          <w:rFonts w:hint="eastAsia" w:cs="宋体" w:asciiTheme="minorEastAsia" w:hAnsiTheme="minorEastAsia"/>
          <w:sz w:val="24"/>
          <w:szCs w:val="24"/>
          <w:lang w:val="zh-CN"/>
        </w:rPr>
        <w:t>价不一致，</w:t>
      </w:r>
      <w:r>
        <w:rPr>
          <w:rFonts w:cs="宋体" w:asciiTheme="minorEastAsia" w:hAnsiTheme="minorEastAsia"/>
          <w:sz w:val="24"/>
          <w:szCs w:val="24"/>
          <w:lang w:val="zh-CN"/>
        </w:rPr>
        <w:t>则</w:t>
      </w:r>
      <w:r>
        <w:rPr>
          <w:rFonts w:hint="eastAsia" w:cs="宋体" w:asciiTheme="minorEastAsia" w:hAnsiTheme="minorEastAsia"/>
          <w:sz w:val="24"/>
          <w:szCs w:val="24"/>
          <w:lang w:val="zh-CN"/>
        </w:rPr>
        <w:t>以</w:t>
      </w:r>
      <w:r>
        <w:rPr>
          <w:rFonts w:cs="宋体" w:asciiTheme="minorEastAsia" w:hAnsiTheme="minorEastAsia"/>
          <w:sz w:val="24"/>
          <w:szCs w:val="24"/>
          <w:lang w:val="zh-CN"/>
        </w:rPr>
        <w:t>单</w:t>
      </w:r>
      <w:r>
        <w:rPr>
          <w:rFonts w:hint="eastAsia" w:cs="宋体" w:asciiTheme="minorEastAsia" w:hAnsiTheme="minorEastAsia"/>
          <w:sz w:val="24"/>
          <w:szCs w:val="24"/>
          <w:lang w:val="zh-CN"/>
        </w:rPr>
        <w:t>价</w:t>
      </w:r>
      <w:r>
        <w:rPr>
          <w:rFonts w:cs="宋体" w:asciiTheme="minorEastAsia" w:hAnsiTheme="minorEastAsia"/>
          <w:sz w:val="24"/>
          <w:szCs w:val="24"/>
          <w:lang w:val="zh-CN"/>
        </w:rPr>
        <w:t>为</w:t>
      </w:r>
      <w:r>
        <w:rPr>
          <w:rFonts w:hint="eastAsia" w:cs="宋体" w:asciiTheme="minorEastAsia" w:hAnsiTheme="minorEastAsia"/>
          <w:sz w:val="24"/>
          <w:szCs w:val="24"/>
          <w:lang w:val="zh-CN"/>
        </w:rPr>
        <w:t>准修正</w:t>
      </w:r>
      <w:r>
        <w:rPr>
          <w:rFonts w:cs="宋体" w:asciiTheme="minorEastAsia" w:hAnsiTheme="minorEastAsia"/>
          <w:sz w:val="24"/>
          <w:szCs w:val="24"/>
          <w:lang w:val="zh-CN"/>
        </w:rPr>
        <w:t>总</w:t>
      </w:r>
      <w:r>
        <w:rPr>
          <w:rFonts w:hint="eastAsia" w:cs="宋体" w:asciiTheme="minorEastAsia" w:hAnsiTheme="minorEastAsia"/>
          <w:sz w:val="24"/>
          <w:szCs w:val="24"/>
          <w:lang w:val="zh-CN"/>
        </w:rPr>
        <w:t>价。</w:t>
      </w:r>
    </w:p>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cs="宋体" w:asciiTheme="minorEastAsia" w:hAnsiTheme="minorEastAsia"/>
          <w:sz w:val="24"/>
          <w:szCs w:val="24"/>
          <w:lang w:val="zh-CN"/>
        </w:rPr>
        <w:t xml:space="preserve">2. </w:t>
      </w:r>
      <w:r>
        <w:rPr>
          <w:rFonts w:hint="eastAsia" w:cs="宋体" w:asciiTheme="minorEastAsia" w:hAnsiTheme="minorEastAsia"/>
          <w:sz w:val="24"/>
          <w:szCs w:val="24"/>
          <w:lang w:val="zh-CN"/>
        </w:rPr>
        <w:t>投</w:t>
      </w:r>
      <w:r>
        <w:rPr>
          <w:rFonts w:cs="宋体" w:asciiTheme="minorEastAsia" w:hAnsiTheme="minorEastAsia"/>
          <w:sz w:val="24"/>
          <w:szCs w:val="24"/>
          <w:lang w:val="zh-CN"/>
        </w:rPr>
        <w:t>标</w:t>
      </w:r>
      <w:r>
        <w:rPr>
          <w:rFonts w:hint="eastAsia" w:cs="宋体" w:asciiTheme="minorEastAsia" w:hAnsiTheme="minorEastAsia"/>
          <w:sz w:val="24"/>
          <w:szCs w:val="24"/>
          <w:lang w:val="zh-CN"/>
        </w:rPr>
        <w:t>明</w:t>
      </w:r>
      <w:r>
        <w:rPr>
          <w:rFonts w:cs="宋体" w:asciiTheme="minorEastAsia" w:hAnsiTheme="minorEastAsia"/>
          <w:sz w:val="24"/>
          <w:szCs w:val="24"/>
          <w:lang w:val="zh-CN"/>
        </w:rPr>
        <w:t>细报价应按</w:t>
      </w:r>
      <w:r>
        <w:rPr>
          <w:rFonts w:hint="eastAsia" w:cs="宋体" w:asciiTheme="minorEastAsia" w:hAnsiTheme="minorEastAsia"/>
          <w:sz w:val="24"/>
          <w:szCs w:val="24"/>
          <w:lang w:val="zh-CN"/>
        </w:rPr>
        <w:t>投</w:t>
      </w:r>
      <w:r>
        <w:rPr>
          <w:rFonts w:cs="宋体" w:asciiTheme="minorEastAsia" w:hAnsiTheme="minorEastAsia"/>
          <w:sz w:val="24"/>
          <w:szCs w:val="24"/>
          <w:lang w:val="zh-CN"/>
        </w:rPr>
        <w:t>标</w:t>
      </w:r>
      <w:r>
        <w:rPr>
          <w:rFonts w:hint="eastAsia" w:cs="宋体" w:asciiTheme="minorEastAsia" w:hAnsiTheme="minorEastAsia"/>
          <w:sz w:val="24"/>
          <w:szCs w:val="24"/>
          <w:lang w:val="zh-CN"/>
        </w:rPr>
        <w:t>序</w:t>
      </w:r>
      <w:r>
        <w:rPr>
          <w:rFonts w:cs="宋体" w:asciiTheme="minorEastAsia" w:hAnsiTheme="minorEastAsia"/>
          <w:sz w:val="24"/>
          <w:szCs w:val="24"/>
          <w:lang w:val="zh-CN"/>
        </w:rPr>
        <w:t>号</w:t>
      </w:r>
      <w:r>
        <w:rPr>
          <w:rFonts w:hint="eastAsia" w:cs="宋体" w:asciiTheme="minorEastAsia" w:hAnsiTheme="minorEastAsia"/>
          <w:sz w:val="24"/>
          <w:szCs w:val="24"/>
          <w:lang w:val="zh-CN"/>
        </w:rPr>
        <w:t>填列。</w:t>
      </w:r>
    </w:p>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p>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hint="eastAsia" w:cs="宋体" w:asciiTheme="minorEastAsia" w:hAnsiTheme="minorEastAsia"/>
          <w:sz w:val="24"/>
          <w:szCs w:val="24"/>
          <w:lang w:val="zh-CN"/>
        </w:rPr>
        <w:t>投</w:t>
      </w:r>
      <w:r>
        <w:rPr>
          <w:rFonts w:cs="宋体" w:asciiTheme="minorEastAsia" w:hAnsiTheme="minorEastAsia"/>
          <w:sz w:val="24"/>
          <w:szCs w:val="24"/>
          <w:lang w:val="zh-CN"/>
        </w:rPr>
        <w:t>标</w:t>
      </w:r>
      <w:r>
        <w:rPr>
          <w:rFonts w:hint="eastAsia" w:cs="宋体" w:asciiTheme="minorEastAsia" w:hAnsiTheme="minorEastAsia"/>
          <w:sz w:val="24"/>
          <w:szCs w:val="24"/>
          <w:lang w:val="zh-CN"/>
        </w:rPr>
        <w:t>人名</w:t>
      </w:r>
      <w:r>
        <w:rPr>
          <w:rFonts w:cs="宋体" w:asciiTheme="minorEastAsia" w:hAnsiTheme="minorEastAsia"/>
          <w:sz w:val="24"/>
          <w:szCs w:val="24"/>
          <w:lang w:val="zh-CN"/>
        </w:rPr>
        <w:t>称</w:t>
      </w:r>
      <w:r>
        <w:rPr>
          <w:rFonts w:hint="eastAsia" w:cs="宋体" w:asciiTheme="minorEastAsia" w:hAnsiTheme="minorEastAsia"/>
          <w:sz w:val="24"/>
          <w:szCs w:val="24"/>
          <w:lang w:val="zh-CN"/>
        </w:rPr>
        <w:t>（并加</w:t>
      </w:r>
      <w:r>
        <w:rPr>
          <w:rFonts w:cs="宋体" w:asciiTheme="minorEastAsia" w:hAnsiTheme="minorEastAsia"/>
          <w:sz w:val="24"/>
          <w:szCs w:val="24"/>
          <w:lang w:val="zh-CN"/>
        </w:rPr>
        <w:t>盖</w:t>
      </w:r>
      <w:r>
        <w:rPr>
          <w:rFonts w:hint="eastAsia" w:cs="宋体" w:asciiTheme="minorEastAsia" w:hAnsiTheme="minorEastAsia"/>
          <w:sz w:val="24"/>
          <w:szCs w:val="24"/>
          <w:lang w:val="zh-CN"/>
        </w:rPr>
        <w:t>公章）：</w:t>
      </w:r>
    </w:p>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hint="eastAsia" w:cs="宋体" w:asciiTheme="minorEastAsia" w:hAnsiTheme="minorEastAsia"/>
          <w:sz w:val="24"/>
          <w:szCs w:val="24"/>
          <w:lang w:val="zh-CN"/>
        </w:rPr>
        <w:t>法定代表人（代表人）或其授</w:t>
      </w:r>
      <w:r>
        <w:rPr>
          <w:rFonts w:cs="宋体" w:asciiTheme="minorEastAsia" w:hAnsiTheme="minorEastAsia"/>
          <w:sz w:val="24"/>
          <w:szCs w:val="24"/>
          <w:lang w:val="zh-CN"/>
        </w:rPr>
        <w:t>权</w:t>
      </w:r>
      <w:r>
        <w:rPr>
          <w:rFonts w:hint="eastAsia" w:cs="宋体" w:asciiTheme="minorEastAsia" w:hAnsiTheme="minorEastAsia"/>
          <w:sz w:val="24"/>
          <w:szCs w:val="24"/>
          <w:lang w:val="zh-CN"/>
        </w:rPr>
        <w:t>委托人：（法定代表人（代表人）可签字或加盖名章，授权委托人必须签字）</w:t>
      </w:r>
    </w:p>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cs="宋体" w:asciiTheme="minorEastAsia" w:hAnsiTheme="minorEastAsia"/>
          <w:sz w:val="24"/>
          <w:szCs w:val="24"/>
          <w:lang w:val="zh-CN"/>
        </w:rPr>
      </w:pPr>
      <w:r>
        <w:rPr>
          <w:rFonts w:cs="宋体" w:asciiTheme="minorEastAsia" w:hAnsiTheme="minorEastAsia"/>
          <w:sz w:val="24"/>
          <w:szCs w:val="24"/>
          <w:lang w:val="zh-CN"/>
        </w:rPr>
        <w:t>签</w:t>
      </w:r>
      <w:r>
        <w:rPr>
          <w:rFonts w:hint="eastAsia" w:cs="宋体" w:asciiTheme="minorEastAsia" w:hAnsiTheme="minorEastAsia"/>
          <w:sz w:val="24"/>
          <w:szCs w:val="24"/>
          <w:lang w:val="zh-CN"/>
        </w:rPr>
        <w:t>署日期：年月日</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pStyle w:val="2"/>
      </w:pPr>
    </w:p>
    <w:p>
      <w:pPr>
        <w:spacing w:line="480" w:lineRule="exact"/>
        <w:jc w:val="center"/>
        <w:rPr>
          <w:rFonts w:ascii="宋体" w:hAnsi="宋体"/>
          <w:b/>
          <w:bCs/>
          <w:color w:val="000000"/>
          <w:sz w:val="36"/>
          <w:szCs w:val="36"/>
        </w:rPr>
      </w:pPr>
      <w:r>
        <w:rPr>
          <w:rFonts w:hint="eastAsia" w:ascii="宋体" w:hAnsi="宋体"/>
          <w:b/>
          <w:bCs/>
          <w:color w:val="000000"/>
          <w:sz w:val="36"/>
          <w:szCs w:val="36"/>
          <w:lang w:val="en-US" w:eastAsia="zh-CN"/>
        </w:rPr>
        <w:t>4.2</w:t>
      </w:r>
      <w:r>
        <w:rPr>
          <w:rFonts w:hint="eastAsia" w:ascii="宋体" w:hAnsi="宋体"/>
          <w:b/>
          <w:bCs/>
          <w:color w:val="000000"/>
          <w:sz w:val="36"/>
          <w:szCs w:val="36"/>
        </w:rPr>
        <w:t>技术服务</w:t>
      </w:r>
      <w:r>
        <w:rPr>
          <w:rFonts w:ascii="宋体" w:hAnsi="宋体"/>
          <w:b/>
          <w:bCs/>
          <w:color w:val="000000"/>
          <w:sz w:val="36"/>
          <w:szCs w:val="36"/>
        </w:rPr>
        <w:t>要求响应</w:t>
      </w:r>
      <w:r>
        <w:rPr>
          <w:rFonts w:hint="eastAsia" w:ascii="宋体" w:hAnsi="宋体"/>
          <w:b/>
          <w:bCs/>
          <w:color w:val="000000"/>
          <w:sz w:val="36"/>
          <w:szCs w:val="36"/>
        </w:rPr>
        <w:t>表</w:t>
      </w:r>
    </w:p>
    <w:p>
      <w:pPr>
        <w:adjustRightInd w:val="0"/>
        <w:snapToGrid w:val="0"/>
        <w:spacing w:after="120" w:afterLines="50" w:line="320" w:lineRule="exact"/>
        <w:rPr>
          <w:rFonts w:ascii="宋体" w:hAnsi="宋体"/>
          <w:color w:val="000000"/>
          <w:sz w:val="24"/>
          <w:szCs w:val="24"/>
        </w:rPr>
      </w:pPr>
    </w:p>
    <w:p>
      <w:pPr>
        <w:adjustRightInd w:val="0"/>
        <w:snapToGrid w:val="0"/>
        <w:spacing w:after="120" w:afterLines="50" w:line="320" w:lineRule="exact"/>
        <w:rPr>
          <w:rFonts w:ascii="宋体" w:hAnsi="宋体"/>
          <w:color w:val="000000"/>
          <w:sz w:val="24"/>
          <w:szCs w:val="24"/>
          <w:u w:val="single"/>
        </w:rPr>
      </w:pPr>
      <w:r>
        <w:rPr>
          <w:rFonts w:hint="eastAsia" w:ascii="宋体" w:hAnsi="宋体"/>
          <w:color w:val="000000"/>
          <w:sz w:val="24"/>
          <w:szCs w:val="24"/>
        </w:rPr>
        <w:t>招</w:t>
      </w:r>
      <w:r>
        <w:rPr>
          <w:rFonts w:ascii="宋体" w:hAnsi="宋体"/>
          <w:color w:val="000000"/>
          <w:sz w:val="24"/>
          <w:szCs w:val="24"/>
        </w:rPr>
        <w:t>标项目</w:t>
      </w:r>
      <w:r>
        <w:rPr>
          <w:rFonts w:hint="eastAsia" w:ascii="宋体" w:hAnsi="宋体"/>
          <w:color w:val="000000"/>
          <w:sz w:val="24"/>
          <w:szCs w:val="24"/>
        </w:rPr>
        <w:t>名</w:t>
      </w:r>
      <w:r>
        <w:rPr>
          <w:rFonts w:ascii="宋体" w:hAnsi="宋体"/>
          <w:color w:val="000000"/>
          <w:sz w:val="24"/>
          <w:szCs w:val="24"/>
        </w:rPr>
        <w:t>称</w:t>
      </w:r>
      <w:r>
        <w:rPr>
          <w:rFonts w:hint="eastAsia" w:ascii="宋体" w:hAnsi="宋体"/>
          <w:color w:val="000000"/>
          <w:sz w:val="24"/>
          <w:szCs w:val="24"/>
        </w:rPr>
        <w:t>：</w:t>
      </w:r>
    </w:p>
    <w:p>
      <w:pPr>
        <w:adjustRightInd w:val="0"/>
        <w:snapToGrid w:val="0"/>
        <w:spacing w:after="120" w:afterLines="50" w:line="320" w:lineRule="exact"/>
        <w:rPr>
          <w:rFonts w:ascii="宋体" w:hAnsi="宋体"/>
          <w:color w:val="000000"/>
          <w:sz w:val="24"/>
          <w:szCs w:val="24"/>
          <w:u w:val="single"/>
        </w:rPr>
      </w:pPr>
      <w:r>
        <w:rPr>
          <w:rFonts w:hint="eastAsia" w:ascii="宋体" w:hAnsi="宋体"/>
          <w:color w:val="000000"/>
          <w:sz w:val="24"/>
          <w:szCs w:val="24"/>
        </w:rPr>
        <w:t>招</w:t>
      </w:r>
      <w:r>
        <w:rPr>
          <w:rFonts w:ascii="宋体" w:hAnsi="宋体"/>
          <w:color w:val="000000"/>
          <w:sz w:val="24"/>
          <w:szCs w:val="24"/>
        </w:rPr>
        <w:t>标项目编号</w:t>
      </w:r>
      <w:r>
        <w:rPr>
          <w:rFonts w:hint="eastAsia" w:ascii="宋体" w:hAnsi="宋体"/>
          <w:color w:val="000000"/>
          <w:sz w:val="24"/>
          <w:szCs w:val="24"/>
        </w:rPr>
        <w:t>：</w:t>
      </w:r>
    </w:p>
    <w:p>
      <w:pPr>
        <w:spacing w:after="120" w:afterLines="50" w:line="320" w:lineRule="exact"/>
        <w:rPr>
          <w:rFonts w:ascii="宋体" w:hAnsi="宋体" w:cs="Arial"/>
          <w:b/>
          <w:bCs/>
          <w:color w:val="000000"/>
          <w:sz w:val="24"/>
          <w:szCs w:val="24"/>
        </w:rPr>
      </w:pPr>
    </w:p>
    <w:tbl>
      <w:tblPr>
        <w:tblStyle w:val="25"/>
        <w:tblW w:w="9804"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82"/>
        <w:gridCol w:w="1586"/>
        <w:gridCol w:w="2410"/>
        <w:gridCol w:w="2551"/>
        <w:gridCol w:w="1276"/>
        <w:gridCol w:w="119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序号</w:t>
            </w:r>
          </w:p>
        </w:tc>
        <w:tc>
          <w:tcPr>
            <w:tcW w:w="1586" w:type="dxa"/>
            <w:tcBorders>
              <w:left w:val="single" w:color="auto" w:sz="4" w:space="0"/>
              <w:right w:val="single" w:color="auto" w:sz="4" w:space="0"/>
            </w:tcBorders>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分项名称</w:t>
            </w:r>
          </w:p>
        </w:tc>
        <w:tc>
          <w:tcPr>
            <w:tcW w:w="2410" w:type="dxa"/>
            <w:tcBorders>
              <w:left w:val="single" w:color="auto" w:sz="4" w:space="0"/>
            </w:tcBorders>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招</w:t>
            </w:r>
            <w:r>
              <w:rPr>
                <w:rFonts w:ascii="宋体" w:hAnsi="宋体" w:cs="Arial"/>
                <w:color w:val="000000"/>
                <w:sz w:val="24"/>
                <w:szCs w:val="24"/>
              </w:rPr>
              <w:t>标</w:t>
            </w:r>
            <w:r>
              <w:rPr>
                <w:rFonts w:hint="eastAsia" w:ascii="宋体" w:hAnsi="宋体" w:cs="Arial"/>
                <w:color w:val="000000"/>
                <w:sz w:val="24"/>
                <w:szCs w:val="24"/>
              </w:rPr>
              <w:t>文件的技</w:t>
            </w:r>
            <w:r>
              <w:rPr>
                <w:rFonts w:ascii="宋体" w:hAnsi="宋体" w:cs="Arial"/>
                <w:color w:val="000000"/>
                <w:sz w:val="24"/>
                <w:szCs w:val="24"/>
              </w:rPr>
              <w:t>术</w:t>
            </w:r>
            <w:r>
              <w:rPr>
                <w:rFonts w:hint="eastAsia" w:ascii="宋体" w:hAnsi="宋体" w:cs="Arial"/>
                <w:color w:val="000000"/>
                <w:sz w:val="24"/>
                <w:szCs w:val="24"/>
              </w:rPr>
              <w:t>指标</w:t>
            </w:r>
          </w:p>
        </w:tc>
        <w:tc>
          <w:tcPr>
            <w:tcW w:w="2551" w:type="dxa"/>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投</w:t>
            </w:r>
            <w:r>
              <w:rPr>
                <w:rFonts w:ascii="宋体" w:hAnsi="宋体" w:cs="Arial"/>
                <w:color w:val="000000"/>
                <w:sz w:val="24"/>
                <w:szCs w:val="24"/>
              </w:rPr>
              <w:t>标</w:t>
            </w:r>
            <w:r>
              <w:rPr>
                <w:rFonts w:hint="eastAsia" w:ascii="宋体" w:hAnsi="宋体" w:cs="Arial"/>
                <w:color w:val="000000"/>
                <w:sz w:val="24"/>
                <w:szCs w:val="24"/>
              </w:rPr>
              <w:t>文件的技</w:t>
            </w:r>
            <w:r>
              <w:rPr>
                <w:rFonts w:ascii="宋体" w:hAnsi="宋体" w:cs="Arial"/>
                <w:color w:val="000000"/>
                <w:sz w:val="24"/>
                <w:szCs w:val="24"/>
              </w:rPr>
              <w:t>术</w:t>
            </w:r>
            <w:r>
              <w:rPr>
                <w:rFonts w:hint="eastAsia" w:ascii="宋体" w:hAnsi="宋体" w:cs="Arial"/>
                <w:color w:val="000000"/>
                <w:sz w:val="24"/>
                <w:szCs w:val="24"/>
              </w:rPr>
              <w:t>指标</w:t>
            </w:r>
          </w:p>
        </w:tc>
        <w:tc>
          <w:tcPr>
            <w:tcW w:w="1276" w:type="dxa"/>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偏离程度</w:t>
            </w:r>
          </w:p>
        </w:tc>
        <w:tc>
          <w:tcPr>
            <w:tcW w:w="1199" w:type="dxa"/>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证</w:t>
            </w:r>
            <w:r>
              <w:rPr>
                <w:rFonts w:hint="eastAsia" w:ascii="宋体" w:hAnsi="宋体" w:cs="Arial"/>
                <w:color w:val="000000"/>
                <w:sz w:val="24"/>
                <w:szCs w:val="24"/>
              </w:rPr>
              <w:t>明</w:t>
            </w:r>
            <w:r>
              <w:rPr>
                <w:rFonts w:ascii="宋体" w:hAnsi="宋体" w:cs="Arial"/>
                <w:color w:val="000000"/>
                <w:sz w:val="24"/>
                <w:szCs w:val="24"/>
              </w:rPr>
              <w:t>资</w:t>
            </w:r>
            <w:r>
              <w:rPr>
                <w:rFonts w:hint="eastAsia" w:ascii="宋体" w:hAnsi="宋体" w:cs="Arial"/>
                <w:color w:val="000000"/>
                <w:sz w:val="24"/>
                <w:szCs w:val="24"/>
              </w:rPr>
              <w:t>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1</w:t>
            </w:r>
          </w:p>
        </w:tc>
        <w:tc>
          <w:tcPr>
            <w:tcW w:w="1586" w:type="dxa"/>
            <w:tcBorders>
              <w:left w:val="single" w:color="auto" w:sz="4" w:space="0"/>
            </w:tcBorders>
            <w:vAlign w:val="center"/>
          </w:tcPr>
          <w:p>
            <w:pPr>
              <w:autoSpaceDE w:val="0"/>
              <w:autoSpaceDN w:val="0"/>
              <w:adjustRightInd w:val="0"/>
              <w:jc w:val="center"/>
              <w:rPr>
                <w:rFonts w:ascii="宋体" w:hAnsi="宋体" w:cs="Arial"/>
                <w:color w:val="000000"/>
                <w:sz w:val="24"/>
                <w:szCs w:val="24"/>
              </w:rPr>
            </w:pPr>
          </w:p>
        </w:tc>
        <w:tc>
          <w:tcPr>
            <w:tcW w:w="2410" w:type="dxa"/>
            <w:vAlign w:val="center"/>
          </w:tcPr>
          <w:p>
            <w:pPr>
              <w:autoSpaceDE w:val="0"/>
              <w:autoSpaceDN w:val="0"/>
              <w:adjustRightInd w:val="0"/>
              <w:jc w:val="center"/>
              <w:rPr>
                <w:rFonts w:ascii="宋体" w:hAnsi="宋体" w:cs="Arial"/>
                <w:color w:val="000000"/>
                <w:sz w:val="24"/>
                <w:szCs w:val="24"/>
              </w:rPr>
            </w:pPr>
          </w:p>
        </w:tc>
        <w:tc>
          <w:tcPr>
            <w:tcW w:w="2551" w:type="dxa"/>
            <w:vAlign w:val="center"/>
          </w:tcPr>
          <w:p>
            <w:pPr>
              <w:autoSpaceDE w:val="0"/>
              <w:autoSpaceDN w:val="0"/>
              <w:adjustRightInd w:val="0"/>
              <w:jc w:val="center"/>
              <w:rPr>
                <w:rFonts w:ascii="宋体" w:hAnsi="宋体" w:cs="Arial"/>
                <w:color w:val="000000"/>
                <w:sz w:val="24"/>
                <w:szCs w:val="24"/>
              </w:rPr>
            </w:pPr>
          </w:p>
        </w:tc>
        <w:tc>
          <w:tcPr>
            <w:tcW w:w="1276" w:type="dxa"/>
            <w:vAlign w:val="center"/>
          </w:tcPr>
          <w:p>
            <w:pPr>
              <w:autoSpaceDE w:val="0"/>
              <w:autoSpaceDN w:val="0"/>
              <w:adjustRightInd w:val="0"/>
              <w:jc w:val="center"/>
              <w:rPr>
                <w:rFonts w:ascii="宋体" w:hAnsi="宋体" w:cs="Arial"/>
                <w:color w:val="000000"/>
                <w:sz w:val="24"/>
                <w:szCs w:val="24"/>
              </w:rPr>
            </w:pPr>
          </w:p>
        </w:tc>
        <w:tc>
          <w:tcPr>
            <w:tcW w:w="1199" w:type="dxa"/>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2</w:t>
            </w:r>
          </w:p>
        </w:tc>
        <w:tc>
          <w:tcPr>
            <w:tcW w:w="1586" w:type="dxa"/>
            <w:tcBorders>
              <w:left w:val="single" w:color="auto" w:sz="4" w:space="0"/>
            </w:tcBorders>
            <w:vAlign w:val="center"/>
          </w:tcPr>
          <w:p>
            <w:pPr>
              <w:autoSpaceDE w:val="0"/>
              <w:autoSpaceDN w:val="0"/>
              <w:adjustRightInd w:val="0"/>
              <w:jc w:val="center"/>
              <w:rPr>
                <w:rFonts w:ascii="宋体" w:hAnsi="宋体" w:cs="Arial"/>
                <w:color w:val="000000"/>
                <w:sz w:val="24"/>
                <w:szCs w:val="24"/>
              </w:rPr>
            </w:pPr>
          </w:p>
        </w:tc>
        <w:tc>
          <w:tcPr>
            <w:tcW w:w="2410" w:type="dxa"/>
            <w:vAlign w:val="center"/>
          </w:tcPr>
          <w:p>
            <w:pPr>
              <w:autoSpaceDE w:val="0"/>
              <w:autoSpaceDN w:val="0"/>
              <w:adjustRightInd w:val="0"/>
              <w:jc w:val="center"/>
              <w:rPr>
                <w:rFonts w:ascii="宋体" w:hAnsi="宋体" w:cs="Arial"/>
                <w:color w:val="000000"/>
                <w:sz w:val="24"/>
                <w:szCs w:val="24"/>
              </w:rPr>
            </w:pPr>
          </w:p>
        </w:tc>
        <w:tc>
          <w:tcPr>
            <w:tcW w:w="2551" w:type="dxa"/>
            <w:vAlign w:val="center"/>
          </w:tcPr>
          <w:p>
            <w:pPr>
              <w:autoSpaceDE w:val="0"/>
              <w:autoSpaceDN w:val="0"/>
              <w:adjustRightInd w:val="0"/>
              <w:jc w:val="center"/>
              <w:rPr>
                <w:rFonts w:ascii="宋体" w:hAnsi="宋体" w:cs="Arial"/>
                <w:color w:val="000000"/>
                <w:sz w:val="24"/>
                <w:szCs w:val="24"/>
              </w:rPr>
            </w:pPr>
          </w:p>
        </w:tc>
        <w:tc>
          <w:tcPr>
            <w:tcW w:w="1276" w:type="dxa"/>
            <w:vAlign w:val="center"/>
          </w:tcPr>
          <w:p>
            <w:pPr>
              <w:autoSpaceDE w:val="0"/>
              <w:autoSpaceDN w:val="0"/>
              <w:adjustRightInd w:val="0"/>
              <w:jc w:val="center"/>
              <w:rPr>
                <w:rFonts w:ascii="宋体" w:hAnsi="宋体" w:cs="Arial"/>
                <w:color w:val="000000"/>
                <w:sz w:val="24"/>
                <w:szCs w:val="24"/>
              </w:rPr>
            </w:pPr>
          </w:p>
        </w:tc>
        <w:tc>
          <w:tcPr>
            <w:tcW w:w="1199" w:type="dxa"/>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3</w:t>
            </w:r>
          </w:p>
        </w:tc>
        <w:tc>
          <w:tcPr>
            <w:tcW w:w="1586" w:type="dxa"/>
            <w:tcBorders>
              <w:left w:val="single" w:color="auto" w:sz="4" w:space="0"/>
            </w:tcBorders>
            <w:vAlign w:val="center"/>
          </w:tcPr>
          <w:p>
            <w:pPr>
              <w:autoSpaceDE w:val="0"/>
              <w:autoSpaceDN w:val="0"/>
              <w:adjustRightInd w:val="0"/>
              <w:jc w:val="center"/>
              <w:rPr>
                <w:rFonts w:ascii="宋体" w:hAnsi="宋体" w:cs="Arial"/>
                <w:color w:val="000000"/>
                <w:sz w:val="24"/>
                <w:szCs w:val="24"/>
              </w:rPr>
            </w:pPr>
          </w:p>
        </w:tc>
        <w:tc>
          <w:tcPr>
            <w:tcW w:w="2410" w:type="dxa"/>
            <w:vAlign w:val="center"/>
          </w:tcPr>
          <w:p>
            <w:pPr>
              <w:autoSpaceDE w:val="0"/>
              <w:autoSpaceDN w:val="0"/>
              <w:adjustRightInd w:val="0"/>
              <w:jc w:val="center"/>
              <w:rPr>
                <w:rFonts w:ascii="宋体" w:hAnsi="宋体" w:cs="Arial"/>
                <w:color w:val="000000"/>
                <w:sz w:val="24"/>
                <w:szCs w:val="24"/>
              </w:rPr>
            </w:pPr>
          </w:p>
        </w:tc>
        <w:tc>
          <w:tcPr>
            <w:tcW w:w="2551" w:type="dxa"/>
            <w:vAlign w:val="center"/>
          </w:tcPr>
          <w:p>
            <w:pPr>
              <w:autoSpaceDE w:val="0"/>
              <w:autoSpaceDN w:val="0"/>
              <w:adjustRightInd w:val="0"/>
              <w:jc w:val="center"/>
              <w:rPr>
                <w:rFonts w:ascii="宋体" w:hAnsi="宋体" w:cs="Arial"/>
                <w:color w:val="000000"/>
                <w:sz w:val="24"/>
                <w:szCs w:val="24"/>
              </w:rPr>
            </w:pPr>
          </w:p>
        </w:tc>
        <w:tc>
          <w:tcPr>
            <w:tcW w:w="1276" w:type="dxa"/>
            <w:vAlign w:val="center"/>
          </w:tcPr>
          <w:p>
            <w:pPr>
              <w:autoSpaceDE w:val="0"/>
              <w:autoSpaceDN w:val="0"/>
              <w:adjustRightInd w:val="0"/>
              <w:jc w:val="center"/>
              <w:rPr>
                <w:rFonts w:ascii="宋体" w:hAnsi="宋体" w:cs="Arial"/>
                <w:color w:val="000000"/>
                <w:sz w:val="24"/>
                <w:szCs w:val="24"/>
              </w:rPr>
            </w:pPr>
          </w:p>
        </w:tc>
        <w:tc>
          <w:tcPr>
            <w:tcW w:w="1199" w:type="dxa"/>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4</w:t>
            </w:r>
          </w:p>
        </w:tc>
        <w:tc>
          <w:tcPr>
            <w:tcW w:w="1586" w:type="dxa"/>
            <w:tcBorders>
              <w:left w:val="single" w:color="auto" w:sz="4" w:space="0"/>
            </w:tcBorders>
            <w:vAlign w:val="center"/>
          </w:tcPr>
          <w:p>
            <w:pPr>
              <w:autoSpaceDE w:val="0"/>
              <w:autoSpaceDN w:val="0"/>
              <w:adjustRightInd w:val="0"/>
              <w:jc w:val="center"/>
              <w:rPr>
                <w:rFonts w:ascii="宋体" w:hAnsi="宋体" w:cs="Arial"/>
                <w:color w:val="000000"/>
                <w:sz w:val="24"/>
                <w:szCs w:val="24"/>
              </w:rPr>
            </w:pPr>
          </w:p>
        </w:tc>
        <w:tc>
          <w:tcPr>
            <w:tcW w:w="2410" w:type="dxa"/>
            <w:vAlign w:val="center"/>
          </w:tcPr>
          <w:p>
            <w:pPr>
              <w:autoSpaceDE w:val="0"/>
              <w:autoSpaceDN w:val="0"/>
              <w:adjustRightInd w:val="0"/>
              <w:jc w:val="center"/>
              <w:rPr>
                <w:rFonts w:ascii="宋体" w:hAnsi="宋体" w:cs="Arial"/>
                <w:color w:val="000000"/>
                <w:sz w:val="24"/>
                <w:szCs w:val="24"/>
              </w:rPr>
            </w:pPr>
          </w:p>
        </w:tc>
        <w:tc>
          <w:tcPr>
            <w:tcW w:w="2551" w:type="dxa"/>
            <w:vAlign w:val="center"/>
          </w:tcPr>
          <w:p>
            <w:pPr>
              <w:autoSpaceDE w:val="0"/>
              <w:autoSpaceDN w:val="0"/>
              <w:adjustRightInd w:val="0"/>
              <w:jc w:val="center"/>
              <w:rPr>
                <w:rFonts w:ascii="宋体" w:hAnsi="宋体" w:cs="Arial"/>
                <w:color w:val="000000"/>
                <w:sz w:val="24"/>
                <w:szCs w:val="24"/>
              </w:rPr>
            </w:pPr>
          </w:p>
        </w:tc>
        <w:tc>
          <w:tcPr>
            <w:tcW w:w="1276" w:type="dxa"/>
            <w:vAlign w:val="center"/>
          </w:tcPr>
          <w:p>
            <w:pPr>
              <w:autoSpaceDE w:val="0"/>
              <w:autoSpaceDN w:val="0"/>
              <w:adjustRightInd w:val="0"/>
              <w:jc w:val="center"/>
              <w:rPr>
                <w:rFonts w:ascii="宋体" w:hAnsi="宋体" w:cs="Arial"/>
                <w:color w:val="000000"/>
                <w:sz w:val="24"/>
                <w:szCs w:val="24"/>
              </w:rPr>
            </w:pPr>
          </w:p>
        </w:tc>
        <w:tc>
          <w:tcPr>
            <w:tcW w:w="1199" w:type="dxa"/>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5</w:t>
            </w:r>
          </w:p>
        </w:tc>
        <w:tc>
          <w:tcPr>
            <w:tcW w:w="1586" w:type="dxa"/>
            <w:tcBorders>
              <w:left w:val="single" w:color="auto" w:sz="4" w:space="0"/>
            </w:tcBorders>
            <w:vAlign w:val="center"/>
          </w:tcPr>
          <w:p>
            <w:pPr>
              <w:autoSpaceDE w:val="0"/>
              <w:autoSpaceDN w:val="0"/>
              <w:adjustRightInd w:val="0"/>
              <w:jc w:val="center"/>
              <w:rPr>
                <w:rFonts w:ascii="宋体" w:hAnsi="宋体" w:cs="Arial"/>
                <w:color w:val="000000"/>
                <w:sz w:val="24"/>
                <w:szCs w:val="24"/>
              </w:rPr>
            </w:pPr>
          </w:p>
        </w:tc>
        <w:tc>
          <w:tcPr>
            <w:tcW w:w="2410" w:type="dxa"/>
            <w:vAlign w:val="center"/>
          </w:tcPr>
          <w:p>
            <w:pPr>
              <w:autoSpaceDE w:val="0"/>
              <w:autoSpaceDN w:val="0"/>
              <w:adjustRightInd w:val="0"/>
              <w:jc w:val="center"/>
              <w:rPr>
                <w:rFonts w:ascii="宋体" w:hAnsi="宋体" w:cs="Arial"/>
                <w:color w:val="000000"/>
                <w:sz w:val="24"/>
                <w:szCs w:val="24"/>
              </w:rPr>
            </w:pPr>
          </w:p>
        </w:tc>
        <w:tc>
          <w:tcPr>
            <w:tcW w:w="2551" w:type="dxa"/>
            <w:vAlign w:val="center"/>
          </w:tcPr>
          <w:p>
            <w:pPr>
              <w:autoSpaceDE w:val="0"/>
              <w:autoSpaceDN w:val="0"/>
              <w:adjustRightInd w:val="0"/>
              <w:jc w:val="center"/>
              <w:rPr>
                <w:rFonts w:ascii="宋体" w:hAnsi="宋体" w:cs="Arial"/>
                <w:color w:val="000000"/>
                <w:sz w:val="24"/>
                <w:szCs w:val="24"/>
              </w:rPr>
            </w:pPr>
          </w:p>
        </w:tc>
        <w:tc>
          <w:tcPr>
            <w:tcW w:w="1276" w:type="dxa"/>
            <w:vAlign w:val="center"/>
          </w:tcPr>
          <w:p>
            <w:pPr>
              <w:autoSpaceDE w:val="0"/>
              <w:autoSpaceDN w:val="0"/>
              <w:adjustRightInd w:val="0"/>
              <w:jc w:val="center"/>
              <w:rPr>
                <w:rFonts w:ascii="宋体" w:hAnsi="宋体" w:cs="Arial"/>
                <w:color w:val="000000"/>
                <w:sz w:val="24"/>
                <w:szCs w:val="24"/>
              </w:rPr>
            </w:pPr>
          </w:p>
        </w:tc>
        <w:tc>
          <w:tcPr>
            <w:tcW w:w="1199" w:type="dxa"/>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6</w:t>
            </w:r>
          </w:p>
        </w:tc>
        <w:tc>
          <w:tcPr>
            <w:tcW w:w="1586" w:type="dxa"/>
            <w:tcBorders>
              <w:left w:val="single" w:color="auto" w:sz="4" w:space="0"/>
            </w:tcBorders>
            <w:vAlign w:val="center"/>
          </w:tcPr>
          <w:p>
            <w:pPr>
              <w:autoSpaceDE w:val="0"/>
              <w:autoSpaceDN w:val="0"/>
              <w:adjustRightInd w:val="0"/>
              <w:jc w:val="center"/>
              <w:rPr>
                <w:rFonts w:ascii="宋体" w:hAnsi="宋体" w:cs="Arial"/>
                <w:color w:val="000000"/>
                <w:sz w:val="24"/>
                <w:szCs w:val="24"/>
              </w:rPr>
            </w:pPr>
          </w:p>
        </w:tc>
        <w:tc>
          <w:tcPr>
            <w:tcW w:w="2410" w:type="dxa"/>
            <w:vAlign w:val="center"/>
          </w:tcPr>
          <w:p>
            <w:pPr>
              <w:autoSpaceDE w:val="0"/>
              <w:autoSpaceDN w:val="0"/>
              <w:adjustRightInd w:val="0"/>
              <w:jc w:val="center"/>
              <w:rPr>
                <w:rFonts w:ascii="宋体" w:hAnsi="宋体" w:cs="Arial"/>
                <w:color w:val="000000"/>
                <w:sz w:val="24"/>
                <w:szCs w:val="24"/>
              </w:rPr>
            </w:pPr>
          </w:p>
        </w:tc>
        <w:tc>
          <w:tcPr>
            <w:tcW w:w="2551" w:type="dxa"/>
            <w:vAlign w:val="center"/>
          </w:tcPr>
          <w:p>
            <w:pPr>
              <w:autoSpaceDE w:val="0"/>
              <w:autoSpaceDN w:val="0"/>
              <w:adjustRightInd w:val="0"/>
              <w:jc w:val="center"/>
              <w:rPr>
                <w:rFonts w:ascii="宋体" w:hAnsi="宋体" w:cs="Arial"/>
                <w:color w:val="000000"/>
                <w:sz w:val="24"/>
                <w:szCs w:val="24"/>
              </w:rPr>
            </w:pPr>
          </w:p>
        </w:tc>
        <w:tc>
          <w:tcPr>
            <w:tcW w:w="1276" w:type="dxa"/>
            <w:vAlign w:val="center"/>
          </w:tcPr>
          <w:p>
            <w:pPr>
              <w:autoSpaceDE w:val="0"/>
              <w:autoSpaceDN w:val="0"/>
              <w:adjustRightInd w:val="0"/>
              <w:jc w:val="center"/>
              <w:rPr>
                <w:rFonts w:ascii="宋体" w:hAnsi="宋体" w:cs="Arial"/>
                <w:color w:val="000000"/>
                <w:sz w:val="24"/>
                <w:szCs w:val="24"/>
              </w:rPr>
            </w:pPr>
          </w:p>
        </w:tc>
        <w:tc>
          <w:tcPr>
            <w:tcW w:w="1199" w:type="dxa"/>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82" w:type="dxa"/>
            <w:tcBorders>
              <w:right w:val="single" w:color="auto" w:sz="4" w:space="0"/>
            </w:tcBorders>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w:t>
            </w:r>
          </w:p>
        </w:tc>
        <w:tc>
          <w:tcPr>
            <w:tcW w:w="1586" w:type="dxa"/>
            <w:tcBorders>
              <w:left w:val="single" w:color="auto" w:sz="4" w:space="0"/>
            </w:tcBorders>
            <w:vAlign w:val="center"/>
          </w:tcPr>
          <w:p>
            <w:pPr>
              <w:autoSpaceDE w:val="0"/>
              <w:autoSpaceDN w:val="0"/>
              <w:adjustRightInd w:val="0"/>
              <w:jc w:val="center"/>
              <w:rPr>
                <w:rFonts w:ascii="宋体" w:hAnsi="宋体" w:cs="Arial"/>
                <w:color w:val="000000"/>
                <w:sz w:val="24"/>
                <w:szCs w:val="24"/>
              </w:rPr>
            </w:pPr>
          </w:p>
        </w:tc>
        <w:tc>
          <w:tcPr>
            <w:tcW w:w="2410" w:type="dxa"/>
            <w:vAlign w:val="center"/>
          </w:tcPr>
          <w:p>
            <w:pPr>
              <w:autoSpaceDE w:val="0"/>
              <w:autoSpaceDN w:val="0"/>
              <w:adjustRightInd w:val="0"/>
              <w:jc w:val="center"/>
              <w:rPr>
                <w:rFonts w:ascii="宋体" w:hAnsi="宋体" w:cs="Arial"/>
                <w:color w:val="000000"/>
                <w:sz w:val="24"/>
                <w:szCs w:val="24"/>
              </w:rPr>
            </w:pPr>
          </w:p>
        </w:tc>
        <w:tc>
          <w:tcPr>
            <w:tcW w:w="2551" w:type="dxa"/>
            <w:vAlign w:val="center"/>
          </w:tcPr>
          <w:p>
            <w:pPr>
              <w:autoSpaceDE w:val="0"/>
              <w:autoSpaceDN w:val="0"/>
              <w:adjustRightInd w:val="0"/>
              <w:jc w:val="center"/>
              <w:rPr>
                <w:rFonts w:ascii="宋体" w:hAnsi="宋体" w:cs="Arial"/>
                <w:color w:val="000000"/>
                <w:sz w:val="24"/>
                <w:szCs w:val="24"/>
              </w:rPr>
            </w:pPr>
          </w:p>
        </w:tc>
        <w:tc>
          <w:tcPr>
            <w:tcW w:w="1276" w:type="dxa"/>
            <w:vAlign w:val="center"/>
          </w:tcPr>
          <w:p>
            <w:pPr>
              <w:autoSpaceDE w:val="0"/>
              <w:autoSpaceDN w:val="0"/>
              <w:adjustRightInd w:val="0"/>
              <w:jc w:val="center"/>
              <w:rPr>
                <w:rFonts w:ascii="宋体" w:hAnsi="宋体" w:cs="Arial"/>
                <w:color w:val="000000"/>
                <w:sz w:val="24"/>
                <w:szCs w:val="24"/>
              </w:rPr>
            </w:pPr>
          </w:p>
        </w:tc>
        <w:tc>
          <w:tcPr>
            <w:tcW w:w="1199" w:type="dxa"/>
            <w:vAlign w:val="center"/>
          </w:tcPr>
          <w:p>
            <w:pPr>
              <w:autoSpaceDE w:val="0"/>
              <w:autoSpaceDN w:val="0"/>
              <w:adjustRightInd w:val="0"/>
              <w:jc w:val="center"/>
              <w:rPr>
                <w:rFonts w:ascii="宋体" w:hAnsi="宋体" w:cs="Arial"/>
                <w:color w:val="000000"/>
                <w:sz w:val="24"/>
                <w:szCs w:val="24"/>
              </w:rPr>
            </w:pPr>
          </w:p>
        </w:tc>
      </w:tr>
    </w:tbl>
    <w:p>
      <w:pPr>
        <w:spacing w:line="440" w:lineRule="exact"/>
        <w:ind w:firstLine="480" w:firstLineChars="200"/>
        <w:rPr>
          <w:rFonts w:ascii="宋体" w:hAnsi="宋体" w:cs="Arial"/>
          <w:color w:val="000000"/>
          <w:sz w:val="24"/>
          <w:szCs w:val="24"/>
        </w:rPr>
      </w:pPr>
      <w:r>
        <w:rPr>
          <w:rFonts w:ascii="宋体" w:hAnsi="宋体" w:cs="Arial"/>
          <w:color w:val="000000"/>
          <w:sz w:val="24"/>
          <w:szCs w:val="24"/>
        </w:rPr>
        <w:t>我们</w:t>
      </w:r>
      <w:r>
        <w:rPr>
          <w:rFonts w:hint="eastAsia" w:ascii="宋体" w:hAnsi="宋体" w:cs="Arial"/>
          <w:color w:val="000000"/>
          <w:sz w:val="24"/>
          <w:szCs w:val="24"/>
        </w:rPr>
        <w:t>承</w:t>
      </w:r>
      <w:r>
        <w:rPr>
          <w:rFonts w:ascii="宋体" w:hAnsi="宋体" w:cs="Arial"/>
          <w:color w:val="000000"/>
          <w:sz w:val="24"/>
          <w:szCs w:val="24"/>
        </w:rPr>
        <w:t>诺</w:t>
      </w:r>
      <w:r>
        <w:rPr>
          <w:rFonts w:hint="eastAsia" w:ascii="宋体" w:hAnsi="宋体" w:cs="Arial"/>
          <w:color w:val="000000"/>
          <w:sz w:val="24"/>
          <w:szCs w:val="24"/>
        </w:rPr>
        <w:t>本技</w:t>
      </w:r>
      <w:r>
        <w:rPr>
          <w:rFonts w:ascii="宋体" w:hAnsi="宋体" w:cs="Arial"/>
          <w:color w:val="000000"/>
          <w:sz w:val="24"/>
          <w:szCs w:val="24"/>
        </w:rPr>
        <w:t>术</w:t>
      </w:r>
      <w:r>
        <w:rPr>
          <w:rFonts w:hint="eastAsia" w:ascii="宋体" w:hAnsi="宋体" w:cs="Arial"/>
          <w:color w:val="000000"/>
          <w:sz w:val="24"/>
          <w:szCs w:val="24"/>
        </w:rPr>
        <w:t>指标响应表的</w:t>
      </w:r>
      <w:r>
        <w:rPr>
          <w:rFonts w:ascii="宋体" w:hAnsi="宋体" w:cs="Arial"/>
          <w:color w:val="000000"/>
          <w:sz w:val="24"/>
          <w:szCs w:val="24"/>
        </w:rPr>
        <w:t>内</w:t>
      </w:r>
      <w:r>
        <w:rPr>
          <w:rFonts w:hint="eastAsia" w:ascii="宋体" w:hAnsi="宋体" w:cs="Arial"/>
          <w:color w:val="000000"/>
          <w:sz w:val="24"/>
          <w:szCs w:val="24"/>
        </w:rPr>
        <w:t>容真</w:t>
      </w:r>
      <w:r>
        <w:rPr>
          <w:rFonts w:ascii="宋体" w:hAnsi="宋体" w:cs="Arial"/>
          <w:color w:val="000000"/>
          <w:sz w:val="24"/>
          <w:szCs w:val="24"/>
        </w:rPr>
        <w:t>实</w:t>
      </w:r>
      <w:r>
        <w:rPr>
          <w:rFonts w:hint="eastAsia" w:ascii="宋体" w:hAnsi="宋体" w:cs="Arial"/>
          <w:color w:val="000000"/>
          <w:sz w:val="24"/>
          <w:szCs w:val="24"/>
        </w:rPr>
        <w:t>有效，</w:t>
      </w:r>
      <w:r>
        <w:rPr>
          <w:rFonts w:ascii="宋体" w:hAnsi="宋体" w:cs="Arial"/>
          <w:color w:val="000000"/>
          <w:sz w:val="24"/>
          <w:szCs w:val="24"/>
        </w:rPr>
        <w:t>无</w:t>
      </w:r>
      <w:r>
        <w:rPr>
          <w:rFonts w:hint="eastAsia" w:ascii="宋体" w:hAnsi="宋体" w:cs="Arial"/>
          <w:color w:val="000000"/>
          <w:sz w:val="24"/>
          <w:szCs w:val="24"/>
        </w:rPr>
        <w:t>任何</w:t>
      </w:r>
      <w:r>
        <w:rPr>
          <w:rFonts w:ascii="宋体" w:hAnsi="宋体" w:cs="Arial"/>
          <w:color w:val="000000"/>
          <w:sz w:val="24"/>
          <w:szCs w:val="24"/>
        </w:rPr>
        <w:t>虚</w:t>
      </w:r>
      <w:r>
        <w:rPr>
          <w:rFonts w:hint="eastAsia" w:ascii="宋体" w:hAnsi="宋体" w:cs="Arial"/>
          <w:color w:val="000000"/>
          <w:sz w:val="24"/>
          <w:szCs w:val="24"/>
        </w:rPr>
        <w:t>假之</w:t>
      </w:r>
      <w:r>
        <w:rPr>
          <w:rFonts w:ascii="宋体" w:hAnsi="宋体" w:cs="Arial"/>
          <w:color w:val="000000"/>
          <w:sz w:val="24"/>
          <w:szCs w:val="24"/>
        </w:rPr>
        <w:t>处</w:t>
      </w:r>
      <w:r>
        <w:rPr>
          <w:rFonts w:hint="eastAsia" w:ascii="宋体" w:hAnsi="宋体" w:cs="Arial"/>
          <w:color w:val="000000"/>
          <w:sz w:val="24"/>
          <w:szCs w:val="24"/>
        </w:rPr>
        <w:t>，并且愿意承</w:t>
      </w:r>
      <w:r>
        <w:rPr>
          <w:rFonts w:ascii="宋体" w:hAnsi="宋体" w:cs="Arial"/>
          <w:color w:val="000000"/>
          <w:sz w:val="24"/>
          <w:szCs w:val="24"/>
        </w:rPr>
        <w:t>担</w:t>
      </w:r>
      <w:r>
        <w:rPr>
          <w:rFonts w:hint="eastAsia" w:ascii="宋体" w:hAnsi="宋体" w:cs="Arial"/>
          <w:color w:val="000000"/>
          <w:sz w:val="24"/>
          <w:szCs w:val="24"/>
        </w:rPr>
        <w:t>因不</w:t>
      </w:r>
      <w:r>
        <w:rPr>
          <w:rFonts w:ascii="宋体" w:hAnsi="宋体" w:cs="Arial"/>
          <w:color w:val="000000"/>
          <w:sz w:val="24"/>
          <w:szCs w:val="24"/>
        </w:rPr>
        <w:t>满</w:t>
      </w:r>
      <w:r>
        <w:rPr>
          <w:rFonts w:hint="eastAsia" w:ascii="宋体" w:hAnsi="宋体" w:cs="Arial"/>
          <w:color w:val="000000"/>
          <w:sz w:val="24"/>
          <w:szCs w:val="24"/>
        </w:rPr>
        <w:t>足此承</w:t>
      </w:r>
      <w:r>
        <w:rPr>
          <w:rFonts w:ascii="宋体" w:hAnsi="宋体" w:cs="Arial"/>
          <w:color w:val="000000"/>
          <w:sz w:val="24"/>
          <w:szCs w:val="24"/>
        </w:rPr>
        <w:t>诺</w:t>
      </w:r>
      <w:r>
        <w:rPr>
          <w:rFonts w:hint="eastAsia" w:ascii="宋体" w:hAnsi="宋体" w:cs="Arial"/>
          <w:color w:val="000000"/>
          <w:sz w:val="24"/>
          <w:szCs w:val="24"/>
        </w:rPr>
        <w:t>而引起的相</w:t>
      </w:r>
      <w:r>
        <w:rPr>
          <w:rFonts w:ascii="宋体" w:hAnsi="宋体" w:cs="Arial"/>
          <w:color w:val="000000"/>
          <w:sz w:val="24"/>
          <w:szCs w:val="24"/>
        </w:rPr>
        <w:t>应</w:t>
      </w:r>
      <w:r>
        <w:rPr>
          <w:rFonts w:hint="eastAsia" w:ascii="宋体" w:hAnsi="宋体" w:cs="Arial"/>
          <w:color w:val="000000"/>
          <w:sz w:val="24"/>
          <w:szCs w:val="24"/>
        </w:rPr>
        <w:t>的法律</w:t>
      </w:r>
      <w:r>
        <w:rPr>
          <w:rFonts w:ascii="宋体" w:hAnsi="宋体" w:cs="Arial"/>
          <w:color w:val="000000"/>
          <w:sz w:val="24"/>
          <w:szCs w:val="24"/>
        </w:rPr>
        <w:t>责</w:t>
      </w:r>
      <w:r>
        <w:rPr>
          <w:rFonts w:hint="eastAsia" w:ascii="宋体" w:hAnsi="宋体" w:cs="Arial"/>
          <w:color w:val="000000"/>
          <w:sz w:val="24"/>
          <w:szCs w:val="24"/>
        </w:rPr>
        <w:t>任并接受相</w:t>
      </w:r>
      <w:r>
        <w:rPr>
          <w:rFonts w:ascii="宋体" w:hAnsi="宋体" w:cs="Arial"/>
          <w:color w:val="000000"/>
          <w:sz w:val="24"/>
          <w:szCs w:val="24"/>
        </w:rPr>
        <w:t>关部门</w:t>
      </w:r>
      <w:r>
        <w:rPr>
          <w:rFonts w:hint="eastAsia" w:ascii="宋体" w:hAnsi="宋体" w:cs="Arial"/>
          <w:color w:val="000000"/>
          <w:sz w:val="24"/>
          <w:szCs w:val="24"/>
        </w:rPr>
        <w:t>的</w:t>
      </w:r>
      <w:r>
        <w:rPr>
          <w:rFonts w:ascii="宋体" w:hAnsi="宋体" w:cs="Arial"/>
          <w:color w:val="000000"/>
          <w:sz w:val="24"/>
          <w:szCs w:val="24"/>
        </w:rPr>
        <w:t>处罚</w:t>
      </w:r>
      <w:r>
        <w:rPr>
          <w:rFonts w:hint="eastAsia" w:ascii="宋体" w:hAnsi="宋体" w:cs="Arial"/>
          <w:color w:val="000000"/>
          <w:sz w:val="24"/>
          <w:szCs w:val="24"/>
        </w:rPr>
        <w:t>。</w:t>
      </w:r>
    </w:p>
    <w:p>
      <w:pPr>
        <w:spacing w:line="440" w:lineRule="exact"/>
        <w:ind w:firstLine="540" w:firstLineChars="225"/>
        <w:rPr>
          <w:rFonts w:ascii="宋体" w:hAnsi="宋体" w:cs="Arial"/>
          <w:color w:val="000000"/>
          <w:sz w:val="24"/>
          <w:szCs w:val="24"/>
          <w:u w:val="single"/>
        </w:rPr>
      </w:pPr>
      <w:r>
        <w:rPr>
          <w:rFonts w:hint="eastAsia" w:ascii="宋体" w:hAnsi="宋体" w:cs="Arial"/>
          <w:color w:val="000000"/>
          <w:sz w:val="24"/>
          <w:szCs w:val="24"/>
        </w:rPr>
        <w:t>投</w:t>
      </w:r>
      <w:r>
        <w:rPr>
          <w:rFonts w:ascii="宋体" w:hAnsi="宋体" w:cs="Arial"/>
          <w:color w:val="000000"/>
          <w:sz w:val="24"/>
          <w:szCs w:val="24"/>
        </w:rPr>
        <w:t>标</w:t>
      </w:r>
      <w:r>
        <w:rPr>
          <w:rFonts w:hint="eastAsia" w:ascii="宋体" w:hAnsi="宋体" w:cs="Arial"/>
          <w:color w:val="000000"/>
          <w:sz w:val="24"/>
          <w:szCs w:val="24"/>
        </w:rPr>
        <w:t>人名</w:t>
      </w:r>
      <w:r>
        <w:rPr>
          <w:rFonts w:ascii="宋体" w:hAnsi="宋体" w:cs="Arial"/>
          <w:color w:val="000000"/>
          <w:sz w:val="24"/>
          <w:szCs w:val="24"/>
        </w:rPr>
        <w:t>称</w:t>
      </w:r>
      <w:r>
        <w:rPr>
          <w:rFonts w:hint="eastAsia" w:ascii="宋体" w:hAnsi="宋体" w:cs="Arial"/>
          <w:color w:val="000000"/>
          <w:sz w:val="24"/>
          <w:szCs w:val="24"/>
        </w:rPr>
        <w:t>（并加</w:t>
      </w:r>
      <w:r>
        <w:rPr>
          <w:rFonts w:ascii="宋体" w:hAnsi="宋体" w:cs="Arial"/>
          <w:color w:val="000000"/>
          <w:sz w:val="24"/>
          <w:szCs w:val="24"/>
        </w:rPr>
        <w:t>盖</w:t>
      </w:r>
      <w:r>
        <w:rPr>
          <w:rFonts w:hint="eastAsia" w:ascii="宋体" w:hAnsi="宋体" w:cs="Arial"/>
          <w:color w:val="000000"/>
          <w:sz w:val="24"/>
          <w:szCs w:val="24"/>
        </w:rPr>
        <w:t>公章）：</w:t>
      </w:r>
    </w:p>
    <w:p>
      <w:pPr>
        <w:pStyle w:val="42"/>
        <w:spacing w:before="60" w:after="120" w:afterLines="50" w:line="320" w:lineRule="exact"/>
        <w:ind w:firstLine="540" w:firstLineChars="225"/>
        <w:rPr>
          <w:rFonts w:ascii="宋体" w:hAnsi="宋体" w:cs="Arial"/>
          <w:color w:val="000000"/>
          <w:szCs w:val="24"/>
        </w:rPr>
      </w:pPr>
      <w:r>
        <w:rPr>
          <w:rFonts w:hint="eastAsia" w:ascii="宋体" w:hAnsi="宋体" w:cs="Arial"/>
          <w:color w:val="000000"/>
          <w:szCs w:val="24"/>
        </w:rPr>
        <w:t>法定代表人（代表人）或其授</w:t>
      </w:r>
      <w:r>
        <w:rPr>
          <w:rFonts w:ascii="宋体" w:hAnsi="宋体" w:cs="Arial"/>
          <w:color w:val="000000"/>
          <w:szCs w:val="24"/>
        </w:rPr>
        <w:t>权</w:t>
      </w:r>
      <w:r>
        <w:rPr>
          <w:rFonts w:hint="eastAsia" w:ascii="宋体" w:hAnsi="宋体" w:cs="Arial"/>
          <w:color w:val="000000"/>
          <w:szCs w:val="24"/>
        </w:rPr>
        <w:t>委托人：</w:t>
      </w:r>
      <w:r>
        <w:rPr>
          <w:rFonts w:hint="eastAsia" w:ascii="黑体" w:hAnsi="宋体" w:eastAsia="黑体" w:cs="Arial"/>
          <w:color w:val="000000"/>
          <w:sz w:val="21"/>
          <w:szCs w:val="21"/>
          <w:u w:val="single"/>
        </w:rPr>
        <w:t>（法定代表人（代表人）可签字或加盖名章，授权委托人必须签字）</w:t>
      </w:r>
    </w:p>
    <w:p>
      <w:pPr>
        <w:pStyle w:val="42"/>
        <w:spacing w:before="60" w:after="120" w:afterLines="50" w:line="320" w:lineRule="exact"/>
        <w:ind w:firstLine="540" w:firstLineChars="225"/>
        <w:rPr>
          <w:rFonts w:ascii="Arial" w:hAnsi="Arial" w:cs="Arial"/>
          <w:color w:val="000000"/>
        </w:rPr>
      </w:pPr>
      <w:r>
        <w:rPr>
          <w:rFonts w:ascii="宋体" w:hAnsi="宋体" w:cs="Arial"/>
          <w:color w:val="000000"/>
          <w:szCs w:val="24"/>
        </w:rPr>
        <w:t>签</w:t>
      </w:r>
      <w:r>
        <w:rPr>
          <w:rFonts w:hint="eastAsia" w:ascii="宋体" w:hAnsi="宋体" w:cs="Arial"/>
          <w:color w:val="000000"/>
          <w:szCs w:val="24"/>
        </w:rPr>
        <w:t>署日期：年月日</w:t>
      </w:r>
    </w:p>
    <w:p>
      <w:pPr>
        <w:pStyle w:val="42"/>
        <w:spacing w:before="60" w:after="120" w:afterLines="50" w:line="320" w:lineRule="exact"/>
        <w:ind w:firstLine="540" w:firstLineChars="225"/>
        <w:rPr>
          <w:rFonts w:ascii="宋体" w:hAnsi="宋体" w:cs="Arial"/>
          <w:color w:val="000000"/>
          <w:kern w:val="2"/>
          <w:szCs w:val="24"/>
        </w:rPr>
      </w:pPr>
      <w:r>
        <w:rPr>
          <w:rFonts w:ascii="宋体" w:hAnsi="宋体" w:cs="Arial"/>
          <w:color w:val="000000"/>
          <w:kern w:val="2"/>
          <w:szCs w:val="24"/>
        </w:rPr>
        <w:t>填写说</w:t>
      </w:r>
      <w:r>
        <w:rPr>
          <w:rFonts w:hint="eastAsia" w:ascii="宋体" w:hAnsi="宋体" w:cs="Arial"/>
          <w:color w:val="000000"/>
          <w:kern w:val="2"/>
          <w:szCs w:val="24"/>
        </w:rPr>
        <w:t>明：</w:t>
      </w:r>
    </w:p>
    <w:p>
      <w:pPr>
        <w:pStyle w:val="42"/>
        <w:spacing w:line="440" w:lineRule="exact"/>
        <w:ind w:firstLine="540" w:firstLineChars="225"/>
        <w:rPr>
          <w:rFonts w:ascii="宋体" w:hAnsi="宋体"/>
          <w:color w:val="000000"/>
        </w:rPr>
      </w:pPr>
      <w:r>
        <w:rPr>
          <w:rFonts w:ascii="宋体" w:hAnsi="宋体" w:cs="Arial"/>
          <w:color w:val="000000"/>
          <w:kern w:val="2"/>
          <w:szCs w:val="24"/>
        </w:rPr>
        <w:t>1.</w:t>
      </w:r>
      <w:r>
        <w:rPr>
          <w:rFonts w:hint="eastAsia" w:ascii="宋体" w:hAnsi="宋体"/>
          <w:color w:val="000000"/>
        </w:rPr>
        <w:t>投</w:t>
      </w:r>
      <w:r>
        <w:rPr>
          <w:rFonts w:ascii="宋体" w:hAnsi="宋体"/>
          <w:color w:val="000000"/>
        </w:rPr>
        <w:t>标</w:t>
      </w:r>
      <w:r>
        <w:rPr>
          <w:rFonts w:hint="eastAsia" w:ascii="宋体" w:hAnsi="宋体"/>
          <w:color w:val="000000"/>
        </w:rPr>
        <w:t>人必须认真填写本表的每项内容，不得漏项。</w:t>
      </w:r>
    </w:p>
    <w:p>
      <w:pPr>
        <w:pStyle w:val="42"/>
        <w:spacing w:line="440" w:lineRule="exact"/>
        <w:ind w:firstLine="540" w:firstLineChars="225"/>
        <w:rPr>
          <w:rFonts w:ascii="宋体" w:hAnsi="宋体" w:cs="Arial"/>
          <w:color w:val="000000"/>
          <w:kern w:val="2"/>
          <w:szCs w:val="24"/>
        </w:rPr>
      </w:pPr>
      <w:r>
        <w:rPr>
          <w:rFonts w:hint="eastAsia" w:ascii="宋体" w:hAnsi="宋体"/>
          <w:color w:val="000000"/>
        </w:rPr>
        <w:t>2.</w:t>
      </w:r>
      <w:r>
        <w:rPr>
          <w:rFonts w:hint="eastAsia" w:ascii="宋体" w:hAnsi="宋体" w:cs="Arial"/>
          <w:color w:val="000000"/>
          <w:kern w:val="2"/>
          <w:szCs w:val="24"/>
        </w:rPr>
        <w:t>偏离程度</w:t>
      </w:r>
      <w:r>
        <w:rPr>
          <w:rFonts w:ascii="宋体" w:hAnsi="宋体" w:cs="Arial"/>
          <w:color w:val="000000"/>
          <w:kern w:val="2"/>
          <w:szCs w:val="24"/>
        </w:rPr>
        <w:t>请填写</w:t>
      </w:r>
      <w:r>
        <w:rPr>
          <w:rFonts w:hint="eastAsia" w:ascii="宋体" w:hAnsi="宋体" w:cs="Arial"/>
          <w:color w:val="000000"/>
          <w:kern w:val="2"/>
          <w:szCs w:val="24"/>
        </w:rPr>
        <w:t>“正偏离、</w:t>
      </w:r>
      <w:r>
        <w:rPr>
          <w:rFonts w:ascii="宋体" w:hAnsi="宋体" w:cs="Arial"/>
          <w:color w:val="000000"/>
          <w:kern w:val="2"/>
          <w:szCs w:val="24"/>
        </w:rPr>
        <w:t>负</w:t>
      </w:r>
      <w:r>
        <w:rPr>
          <w:rFonts w:hint="eastAsia" w:ascii="宋体" w:hAnsi="宋体" w:cs="Arial"/>
          <w:color w:val="000000"/>
          <w:kern w:val="2"/>
          <w:szCs w:val="24"/>
        </w:rPr>
        <w:t>偏离或</w:t>
      </w:r>
      <w:r>
        <w:rPr>
          <w:rFonts w:ascii="宋体" w:hAnsi="宋体" w:cs="Arial"/>
          <w:color w:val="000000"/>
          <w:kern w:val="2"/>
          <w:szCs w:val="24"/>
        </w:rPr>
        <w:t>无</w:t>
      </w:r>
      <w:r>
        <w:rPr>
          <w:rFonts w:hint="eastAsia" w:ascii="宋体" w:hAnsi="宋体" w:cs="Arial"/>
          <w:color w:val="000000"/>
          <w:kern w:val="2"/>
          <w:szCs w:val="24"/>
        </w:rPr>
        <w:t>偏离”字</w:t>
      </w:r>
      <w:r>
        <w:rPr>
          <w:rFonts w:ascii="宋体" w:hAnsi="宋体" w:cs="Arial"/>
          <w:color w:val="000000"/>
          <w:kern w:val="2"/>
          <w:szCs w:val="24"/>
        </w:rPr>
        <w:t>样</w:t>
      </w:r>
      <w:r>
        <w:rPr>
          <w:rFonts w:hint="eastAsia" w:ascii="宋体" w:hAnsi="宋体" w:cs="Arial"/>
          <w:color w:val="000000"/>
          <w:kern w:val="2"/>
          <w:szCs w:val="24"/>
        </w:rPr>
        <w:t>，其中“正偏离”是指投标产品的技术规格优于招标文件的技术规格；“负偏离”是指投标产品的技术规格劣于招标文件的技术规格；“无偏离”是指投标的技术规格与招标文件的技术规格无差别。</w:t>
      </w:r>
    </w:p>
    <w:p>
      <w:pPr>
        <w:autoSpaceDE w:val="0"/>
        <w:autoSpaceDN w:val="0"/>
        <w:adjustRightInd w:val="0"/>
        <w:spacing w:line="360" w:lineRule="auto"/>
        <w:ind w:firstLine="480" w:firstLineChars="200"/>
        <w:jc w:val="both"/>
        <w:rPr>
          <w:rFonts w:hint="eastAsia"/>
          <w:color w:val="000000"/>
          <w:kern w:val="2"/>
        </w:rPr>
      </w:pPr>
      <w:r>
        <w:rPr>
          <w:rFonts w:hint="eastAsia" w:ascii="宋体" w:hAnsi="宋体" w:eastAsia="宋体" w:cs="Arial"/>
          <w:color w:val="000000"/>
          <w:kern w:val="2"/>
          <w:sz w:val="24"/>
          <w:szCs w:val="24"/>
          <w:lang w:val="en-US" w:eastAsia="zh-CN" w:bidi="ar-SA"/>
        </w:rPr>
        <w:t>3.证明材料请填写“见本投标文件第页，第行”字样。</w:t>
      </w:r>
    </w:p>
    <w:p>
      <w:pPr>
        <w:autoSpaceDE w:val="0"/>
        <w:autoSpaceDN w:val="0"/>
        <w:adjustRightInd w:val="0"/>
        <w:spacing w:line="360" w:lineRule="auto"/>
        <w:jc w:val="center"/>
        <w:rPr>
          <w:rFonts w:hint="eastAsia"/>
          <w:color w:val="000000"/>
          <w:kern w:val="2"/>
        </w:rPr>
      </w:pPr>
    </w:p>
    <w:p>
      <w:pPr>
        <w:autoSpaceDE w:val="0"/>
        <w:autoSpaceDN w:val="0"/>
        <w:adjustRightInd w:val="0"/>
        <w:spacing w:line="360" w:lineRule="auto"/>
        <w:jc w:val="center"/>
        <w:rPr>
          <w:rFonts w:hint="eastAsia"/>
          <w:color w:val="000000"/>
          <w:kern w:val="2"/>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en-US" w:eastAsia="zh-CN"/>
        </w:rPr>
        <w:t xml:space="preserve"> </w:t>
      </w: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7" w:name="OLE_LINK14"/>
      <w:bookmarkStart w:id="8" w:name="OLE_LINK13"/>
      <w:r>
        <w:rPr>
          <w:rFonts w:hint="eastAsia" w:ascii="宋体" w:hAnsi="宋体"/>
          <w:b/>
          <w:bCs/>
          <w:color w:val="000000"/>
          <w:sz w:val="36"/>
          <w:szCs w:val="36"/>
        </w:rPr>
        <w:t>4.10 残疾人福利性单位声明函</w:t>
      </w:r>
    </w:p>
    <w:bookmarkEnd w:id="7"/>
    <w:bookmarkEnd w:id="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hint="eastAsia" w:ascii="宋体" w:hAnsi="宋体" w:eastAsiaTheme="minorEastAsia"/>
          <w:b/>
          <w:bCs/>
          <w:color w:val="000000"/>
          <w:sz w:val="36"/>
          <w:szCs w:val="36"/>
          <w:lang w:val="en-US" w:eastAsia="zh-CN"/>
        </w:rPr>
      </w:pPr>
      <w:r>
        <w:rPr>
          <w:rFonts w:hint="eastAsia" w:ascii="宋体" w:hAnsi="宋体"/>
          <w:b/>
          <w:bCs/>
          <w:color w:val="000000"/>
          <w:sz w:val="36"/>
          <w:szCs w:val="36"/>
          <w:lang w:val="en-US" w:eastAsia="zh-CN"/>
        </w:rPr>
        <w:t>4.12评分标准中要求的相关证明材料复印件</w:t>
      </w: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5"/>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E7AFEC"/>
    <w:multiLevelType w:val="singleLevel"/>
    <w:tmpl w:val="8CE7AFEC"/>
    <w:lvl w:ilvl="0" w:tentative="0">
      <w:start w:val="1"/>
      <w:numFmt w:val="decimal"/>
      <w:suff w:val="nothing"/>
      <w:lvlText w:val="%1、"/>
      <w:lvlJc w:val="left"/>
      <w:pPr>
        <w:ind w:left="481" w:leftChars="0" w:firstLine="0" w:firstLineChars="0"/>
      </w:pPr>
    </w:lvl>
  </w:abstractNum>
  <w:abstractNum w:abstractNumId="1">
    <w:nsid w:val="97E7CF6D"/>
    <w:multiLevelType w:val="singleLevel"/>
    <w:tmpl w:val="97E7CF6D"/>
    <w:lvl w:ilvl="0" w:tentative="0">
      <w:start w:val="7"/>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E269683"/>
    <w:multiLevelType w:val="singleLevel"/>
    <w:tmpl w:val="0E269683"/>
    <w:lvl w:ilvl="0" w:tentative="0">
      <w:start w:val="2"/>
      <w:numFmt w:val="chineseCounting"/>
      <w:lvlText w:val="(%1)"/>
      <w:lvlJc w:val="left"/>
      <w:pPr>
        <w:tabs>
          <w:tab w:val="left" w:pos="312"/>
        </w:tabs>
      </w:pPr>
      <w:rPr>
        <w:rFonts w:hint="eastAsia"/>
      </w:r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1D40CE9"/>
    <w:multiLevelType w:val="singleLevel"/>
    <w:tmpl w:val="31D40CE9"/>
    <w:lvl w:ilvl="0" w:tentative="0">
      <w:start w:val="1"/>
      <w:numFmt w:val="chineseCounting"/>
      <w:suff w:val="space"/>
      <w:lvlText w:val="第%1章"/>
      <w:lvlJc w:val="left"/>
      <w:rPr>
        <w:rFonts w:hint="eastAsia"/>
      </w:rPr>
    </w:lvl>
  </w:abstractNum>
  <w:abstractNum w:abstractNumId="7">
    <w:nsid w:val="59F817C2"/>
    <w:multiLevelType w:val="singleLevel"/>
    <w:tmpl w:val="59F817C2"/>
    <w:lvl w:ilvl="0" w:tentative="0">
      <w:start w:val="2"/>
      <w:numFmt w:val="chineseCounting"/>
      <w:suff w:val="space"/>
      <w:lvlText w:val="第%1章"/>
      <w:lvlJc w:val="left"/>
    </w:lvl>
  </w:abstractNum>
  <w:abstractNum w:abstractNumId="8">
    <w:nsid w:val="59F817E8"/>
    <w:multiLevelType w:val="singleLevel"/>
    <w:tmpl w:val="59F817E8"/>
    <w:lvl w:ilvl="0" w:tentative="0">
      <w:start w:val="1"/>
      <w:numFmt w:val="chineseCounting"/>
      <w:pStyle w:val="48"/>
      <w:suff w:val="nothing"/>
      <w:lvlText w:val="%1、"/>
      <w:lvlJc w:val="left"/>
    </w:lvl>
  </w:abstractNum>
  <w:abstractNum w:abstractNumId="9">
    <w:nsid w:val="5A051E9E"/>
    <w:multiLevelType w:val="singleLevel"/>
    <w:tmpl w:val="5A051E9E"/>
    <w:lvl w:ilvl="0" w:tentative="0">
      <w:start w:val="1"/>
      <w:numFmt w:val="chineseCounting"/>
      <w:suff w:val="nothing"/>
      <w:lvlText w:val="%1、"/>
      <w:lvlJc w:val="left"/>
    </w:lvl>
  </w:abstractNum>
  <w:num w:numId="1">
    <w:abstractNumId w:val="2"/>
  </w:num>
  <w:num w:numId="2">
    <w:abstractNumId w:val="3"/>
  </w:num>
  <w:num w:numId="3">
    <w:abstractNumId w:val="8"/>
  </w:num>
  <w:num w:numId="4">
    <w:abstractNumId w:val="6"/>
  </w:num>
  <w:num w:numId="5">
    <w:abstractNumId w:val="9"/>
  </w:num>
  <w:num w:numId="6">
    <w:abstractNumId w:val="0"/>
  </w:num>
  <w:num w:numId="7">
    <w:abstractNumId w:val="4"/>
  </w:num>
  <w:num w:numId="8">
    <w:abstractNumId w:val="7"/>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325E"/>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635C"/>
    <w:rsid w:val="00400336"/>
    <w:rsid w:val="004040EC"/>
    <w:rsid w:val="00414D08"/>
    <w:rsid w:val="00420293"/>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409A7"/>
    <w:rsid w:val="00A44E4A"/>
    <w:rsid w:val="00A5050D"/>
    <w:rsid w:val="00A57099"/>
    <w:rsid w:val="00A577F4"/>
    <w:rsid w:val="00A630FF"/>
    <w:rsid w:val="00A634C2"/>
    <w:rsid w:val="00A71479"/>
    <w:rsid w:val="00A72BD8"/>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F1DA5"/>
    <w:rsid w:val="00BF21E1"/>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4EA4"/>
    <w:rsid w:val="085F4592"/>
    <w:rsid w:val="08E1109F"/>
    <w:rsid w:val="0C3D4298"/>
    <w:rsid w:val="0C9523A6"/>
    <w:rsid w:val="0CA67F00"/>
    <w:rsid w:val="116D26CD"/>
    <w:rsid w:val="11C23651"/>
    <w:rsid w:val="147D590A"/>
    <w:rsid w:val="189035FD"/>
    <w:rsid w:val="18D55096"/>
    <w:rsid w:val="1A08396D"/>
    <w:rsid w:val="1BF62ECD"/>
    <w:rsid w:val="1C2D1536"/>
    <w:rsid w:val="1CCF2F1D"/>
    <w:rsid w:val="1FE15514"/>
    <w:rsid w:val="2157706F"/>
    <w:rsid w:val="21DD4A96"/>
    <w:rsid w:val="26627AD4"/>
    <w:rsid w:val="271F4B16"/>
    <w:rsid w:val="28BB4E3D"/>
    <w:rsid w:val="2A553543"/>
    <w:rsid w:val="2B0860FE"/>
    <w:rsid w:val="2E720FDA"/>
    <w:rsid w:val="32646FF9"/>
    <w:rsid w:val="33563CED"/>
    <w:rsid w:val="34B644B7"/>
    <w:rsid w:val="3ADD0A2E"/>
    <w:rsid w:val="3C936E84"/>
    <w:rsid w:val="3F263B0E"/>
    <w:rsid w:val="41D239AB"/>
    <w:rsid w:val="43AF27C5"/>
    <w:rsid w:val="4AE22F4C"/>
    <w:rsid w:val="4B374629"/>
    <w:rsid w:val="4EB72836"/>
    <w:rsid w:val="4F6453EF"/>
    <w:rsid w:val="52324C1B"/>
    <w:rsid w:val="55524C6C"/>
    <w:rsid w:val="58077CBD"/>
    <w:rsid w:val="58A538E9"/>
    <w:rsid w:val="58BC47FB"/>
    <w:rsid w:val="58FD658D"/>
    <w:rsid w:val="59793830"/>
    <w:rsid w:val="5A1F1112"/>
    <w:rsid w:val="5D337D07"/>
    <w:rsid w:val="5E2C7B65"/>
    <w:rsid w:val="607768FC"/>
    <w:rsid w:val="63E7455B"/>
    <w:rsid w:val="68741D48"/>
    <w:rsid w:val="6DFC3DF2"/>
    <w:rsid w:val="6F272507"/>
    <w:rsid w:val="70143BA8"/>
    <w:rsid w:val="70CA52FA"/>
    <w:rsid w:val="71E53350"/>
    <w:rsid w:val="73D40348"/>
    <w:rsid w:val="785F2D30"/>
    <w:rsid w:val="796B1530"/>
    <w:rsid w:val="79E03819"/>
    <w:rsid w:val="7A777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2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2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2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49"/>
    <w:semiHidden/>
    <w:unhideWhenUsed/>
    <w:qFormat/>
    <w:uiPriority w:val="99"/>
    <w:pPr>
      <w:spacing w:after="120"/>
    </w:pPr>
  </w:style>
  <w:style w:type="paragraph" w:styleId="7">
    <w:name w:val="Body Text First Indent"/>
    <w:basedOn w:val="2"/>
    <w:link w:val="50"/>
    <w:qFormat/>
    <w:uiPriority w:val="0"/>
    <w:pPr>
      <w:ind w:firstLine="420" w:firstLineChars="100"/>
    </w:pPr>
    <w:rPr>
      <w:rFonts w:ascii="宋体" w:hAnsi="Times New Roman" w:eastAsia="宋体" w:cs="Times New Roman"/>
      <w:kern w:val="0"/>
      <w:sz w:val="34"/>
      <w:szCs w:val="20"/>
    </w:r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5"/>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0"/>
    <w:qFormat/>
    <w:uiPriority w:val="0"/>
    <w:rPr>
      <w:rFonts w:eastAsia="宋体"/>
      <w:sz w:val="24"/>
    </w:rPr>
  </w:style>
  <w:style w:type="paragraph" w:styleId="14">
    <w:name w:val="Date"/>
    <w:basedOn w:val="1"/>
    <w:next w:val="1"/>
    <w:link w:val="31"/>
    <w:unhideWhenUsed/>
    <w:qFormat/>
    <w:uiPriority w:val="99"/>
    <w:pPr>
      <w:ind w:left="100" w:leftChars="2500"/>
    </w:pPr>
  </w:style>
  <w:style w:type="paragraph" w:styleId="15">
    <w:name w:val="footer"/>
    <w:basedOn w:val="1"/>
    <w:link w:val="32"/>
    <w:unhideWhenUsed/>
    <w:qFormat/>
    <w:uiPriority w:val="99"/>
    <w:pPr>
      <w:tabs>
        <w:tab w:val="center" w:pos="4153"/>
        <w:tab w:val="right" w:pos="8306"/>
      </w:tabs>
      <w:snapToGrid w:val="0"/>
      <w:jc w:val="left"/>
    </w:pPr>
    <w:rPr>
      <w:sz w:val="18"/>
      <w:szCs w:val="18"/>
    </w:rPr>
  </w:style>
  <w:style w:type="paragraph" w:styleId="16">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FollowedHyperlink"/>
    <w:basedOn w:val="20"/>
    <w:semiHidden/>
    <w:unhideWhenUsed/>
    <w:qFormat/>
    <w:uiPriority w:val="99"/>
    <w:rPr>
      <w:color w:val="800080" w:themeColor="followedHyperlink"/>
      <w:u w:val="single"/>
      <w14:textFill>
        <w14:solidFill>
          <w14:schemeClr w14:val="folHlink"/>
        </w14:solidFill>
      </w14:textFill>
    </w:rPr>
  </w:style>
  <w:style w:type="character" w:styleId="23">
    <w:name w:val="Emphasis"/>
    <w:basedOn w:val="20"/>
    <w:qFormat/>
    <w:uiPriority w:val="20"/>
    <w:rPr>
      <w:i/>
      <w:iCs/>
    </w:rPr>
  </w:style>
  <w:style w:type="character" w:styleId="24">
    <w:name w:val="Hyperlink"/>
    <w:basedOn w:val="20"/>
    <w:unhideWhenUsed/>
    <w:qFormat/>
    <w:uiPriority w:val="99"/>
    <w:rPr>
      <w:color w:val="0000FF"/>
      <w:u w:val="single"/>
    </w:rPr>
  </w:style>
  <w:style w:type="character" w:customStyle="1" w:styleId="26">
    <w:name w:val="标题 1 Char"/>
    <w:basedOn w:val="20"/>
    <w:link w:val="3"/>
    <w:qFormat/>
    <w:uiPriority w:val="0"/>
    <w:rPr>
      <w:rFonts w:ascii="Calibri" w:hAnsi="Calibri" w:eastAsia="宋体" w:cs="Times New Roman"/>
      <w:b/>
      <w:bCs/>
      <w:kern w:val="44"/>
      <w:sz w:val="44"/>
      <w:szCs w:val="44"/>
    </w:rPr>
  </w:style>
  <w:style w:type="character" w:customStyle="1" w:styleId="27">
    <w:name w:val="标题 2 Char"/>
    <w:basedOn w:val="20"/>
    <w:link w:val="4"/>
    <w:qFormat/>
    <w:uiPriority w:val="0"/>
    <w:rPr>
      <w:rFonts w:ascii="Arial" w:hAnsi="Arial" w:eastAsia="黑体" w:cs="Times New Roman"/>
      <w:b/>
      <w:bCs/>
      <w:kern w:val="0"/>
      <w:sz w:val="32"/>
      <w:szCs w:val="32"/>
    </w:rPr>
  </w:style>
  <w:style w:type="character" w:customStyle="1" w:styleId="28">
    <w:name w:val="标题 3 Char"/>
    <w:basedOn w:val="20"/>
    <w:link w:val="5"/>
    <w:qFormat/>
    <w:uiPriority w:val="0"/>
    <w:rPr>
      <w:rFonts w:ascii="宋体" w:hAnsi="宋体" w:eastAsia="宋体" w:cs="Times New Roman"/>
      <w:b/>
      <w:color w:val="000000"/>
      <w:kern w:val="0"/>
      <w:sz w:val="24"/>
      <w:szCs w:val="20"/>
      <w:lang w:val="en-GB"/>
    </w:rPr>
  </w:style>
  <w:style w:type="character" w:customStyle="1" w:styleId="29">
    <w:name w:val="标题 4 Char"/>
    <w:basedOn w:val="20"/>
    <w:link w:val="6"/>
    <w:qFormat/>
    <w:uiPriority w:val="0"/>
    <w:rPr>
      <w:rFonts w:ascii="Arial" w:hAnsi="Arial" w:eastAsia="黑体" w:cs="Times New Roman"/>
      <w:b/>
      <w:bCs/>
      <w:kern w:val="0"/>
      <w:sz w:val="28"/>
      <w:szCs w:val="28"/>
    </w:rPr>
  </w:style>
  <w:style w:type="character" w:customStyle="1" w:styleId="30">
    <w:name w:val="纯文本 Char"/>
    <w:basedOn w:val="20"/>
    <w:link w:val="13"/>
    <w:qFormat/>
    <w:uiPriority w:val="0"/>
    <w:rPr>
      <w:rFonts w:eastAsia="宋体"/>
      <w:sz w:val="24"/>
    </w:rPr>
  </w:style>
  <w:style w:type="character" w:customStyle="1" w:styleId="31">
    <w:name w:val="日期 Char"/>
    <w:basedOn w:val="20"/>
    <w:link w:val="14"/>
    <w:qFormat/>
    <w:uiPriority w:val="99"/>
  </w:style>
  <w:style w:type="character" w:customStyle="1" w:styleId="32">
    <w:name w:val="页脚 Char"/>
    <w:basedOn w:val="20"/>
    <w:link w:val="15"/>
    <w:qFormat/>
    <w:uiPriority w:val="99"/>
    <w:rPr>
      <w:sz w:val="18"/>
      <w:szCs w:val="18"/>
    </w:rPr>
  </w:style>
  <w:style w:type="character" w:customStyle="1" w:styleId="33">
    <w:name w:val="页眉 Char"/>
    <w:basedOn w:val="20"/>
    <w:link w:val="16"/>
    <w:qFormat/>
    <w:uiPriority w:val="99"/>
    <w:rPr>
      <w:sz w:val="18"/>
      <w:szCs w:val="18"/>
    </w:rPr>
  </w:style>
  <w:style w:type="character" w:customStyle="1" w:styleId="34">
    <w:name w:val="纯文本 Char1"/>
    <w:qFormat/>
    <w:uiPriority w:val="0"/>
    <w:rPr>
      <w:rFonts w:eastAsia="宋体"/>
      <w:sz w:val="24"/>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6">
    <w:name w:val="列出段落1"/>
    <w:basedOn w:val="1"/>
    <w:qFormat/>
    <w:uiPriority w:val="34"/>
    <w:pPr>
      <w:ind w:firstLine="420" w:firstLineChars="200"/>
    </w:pPr>
  </w:style>
  <w:style w:type="paragraph" w:styleId="37">
    <w:name w:val="List Paragraph"/>
    <w:basedOn w:val="1"/>
    <w:unhideWhenUsed/>
    <w:qFormat/>
    <w:uiPriority w:val="99"/>
    <w:pPr>
      <w:ind w:firstLine="420" w:firstLineChars="200"/>
    </w:pPr>
  </w:style>
  <w:style w:type="character" w:customStyle="1" w:styleId="38">
    <w:name w:val="正文文本缩进 Char Char"/>
    <w:link w:val="39"/>
    <w:qFormat/>
    <w:uiPriority w:val="0"/>
    <w:rPr>
      <w:rFonts w:ascii="宋体"/>
      <w:sz w:val="24"/>
    </w:rPr>
  </w:style>
  <w:style w:type="paragraph" w:customStyle="1" w:styleId="39">
    <w:name w:val="正文文本缩进1"/>
    <w:basedOn w:val="1"/>
    <w:link w:val="38"/>
    <w:qFormat/>
    <w:uiPriority w:val="0"/>
    <w:pPr>
      <w:spacing w:line="360" w:lineRule="auto"/>
      <w:ind w:firstLine="480" w:firstLineChars="200"/>
    </w:pPr>
    <w:rPr>
      <w:rFonts w:ascii="宋体"/>
      <w:sz w:val="24"/>
    </w:rPr>
  </w:style>
  <w:style w:type="character" w:customStyle="1" w:styleId="40">
    <w:name w:val="日期 Char Char"/>
    <w:link w:val="41"/>
    <w:qFormat/>
    <w:uiPriority w:val="0"/>
    <w:rPr>
      <w:sz w:val="24"/>
    </w:rPr>
  </w:style>
  <w:style w:type="paragraph" w:customStyle="1" w:styleId="41">
    <w:name w:val="日期1"/>
    <w:basedOn w:val="1"/>
    <w:next w:val="1"/>
    <w:link w:val="40"/>
    <w:qFormat/>
    <w:uiPriority w:val="0"/>
    <w:rPr>
      <w:sz w:val="24"/>
    </w:rPr>
  </w:style>
  <w:style w:type="paragraph" w:customStyle="1" w:styleId="4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5">
    <w:name w:val="正文文本 3 Char"/>
    <w:basedOn w:val="20"/>
    <w:link w:val="10"/>
    <w:qFormat/>
    <w:uiPriority w:val="0"/>
    <w:rPr>
      <w:rFonts w:ascii="Times New Roman" w:hAnsi="Times New Roman" w:eastAsia="宋体" w:cs="Times New Roman"/>
      <w:color w:val="FF0000"/>
      <w:sz w:val="24"/>
      <w:szCs w:val="24"/>
    </w:rPr>
  </w:style>
  <w:style w:type="character" w:customStyle="1" w:styleId="46">
    <w:name w:val="edittexttarea"/>
    <w:basedOn w:val="20"/>
    <w:qFormat/>
    <w:uiPriority w:val="0"/>
  </w:style>
  <w:style w:type="paragraph" w:customStyle="1" w:styleId="47">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正文文本 Char"/>
    <w:basedOn w:val="20"/>
    <w:link w:val="2"/>
    <w:semiHidden/>
    <w:qFormat/>
    <w:uiPriority w:val="99"/>
  </w:style>
  <w:style w:type="character" w:customStyle="1" w:styleId="50">
    <w:name w:val="正文首行缩进 Char"/>
    <w:basedOn w:val="49"/>
    <w:link w:val="7"/>
    <w:qFormat/>
    <w:uiPriority w:val="0"/>
    <w:rPr>
      <w:rFonts w:ascii="宋体" w:hAnsi="Times New Roman" w:eastAsia="宋体" w:cs="Times New Roman"/>
      <w:kern w:val="0"/>
      <w:sz w:val="34"/>
      <w:szCs w:val="20"/>
    </w:rPr>
  </w:style>
  <w:style w:type="character" w:customStyle="1" w:styleId="51">
    <w:name w:val="HTML 预设格式 Char"/>
    <w:basedOn w:val="20"/>
    <w:link w:val="18"/>
    <w:semiHidden/>
    <w:qFormat/>
    <w:uiPriority w:val="99"/>
    <w:rPr>
      <w:rFonts w:ascii="宋体" w:hAnsi="宋体" w:eastAsia="宋体" w:cs="宋体"/>
      <w:kern w:val="0"/>
      <w:sz w:val="24"/>
      <w:szCs w:val="24"/>
    </w:rPr>
  </w:style>
  <w:style w:type="character" w:customStyle="1" w:styleId="52">
    <w:name w:val="font01"/>
    <w:qFormat/>
    <w:uiPriority w:val="0"/>
    <w:rPr>
      <w:rFonts w:hint="default" w:ascii="Arial" w:hAnsi="Arial" w:cs="Arial"/>
      <w:color w:val="000000"/>
      <w:sz w:val="22"/>
      <w:szCs w:val="22"/>
      <w:u w:val="none"/>
    </w:rPr>
  </w:style>
  <w:style w:type="character" w:customStyle="1" w:styleId="53">
    <w:name w:val="font21"/>
    <w:qFormat/>
    <w:uiPriority w:val="0"/>
    <w:rPr>
      <w:rFonts w:hint="eastAsia" w:ascii="宋体" w:hAnsi="宋体" w:eastAsia="宋体" w:cs="宋体"/>
      <w:color w:val="000000"/>
      <w:sz w:val="22"/>
      <w:szCs w:val="22"/>
      <w:u w:val="none"/>
    </w:rPr>
  </w:style>
  <w:style w:type="paragraph" w:customStyle="1" w:styleId="54">
    <w:name w:val="p15"/>
    <w:basedOn w:val="1"/>
    <w:unhideWhenUsed/>
    <w:qFormat/>
    <w:uiPriority w:val="99"/>
    <w:pPr>
      <w:widowControl/>
    </w:pPr>
    <w:rPr>
      <w:rFonts w:hint="eastAsia" w:ascii="Calibri" w:hAnsi="Calibri"/>
    </w:rPr>
  </w:style>
  <w:style w:type="paragraph" w:customStyle="1" w:styleId="5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AF7C31-DF10-4ADE-BBE3-DE8F7ADA9025}">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72</Pages>
  <Words>5869</Words>
  <Characters>33456</Characters>
  <Lines>278</Lines>
  <Paragraphs>78</Paragraphs>
  <TotalTime>77</TotalTime>
  <ScaleCrop>false</ScaleCrop>
  <LinksUpToDate>false</LinksUpToDate>
  <CharactersWithSpaces>39247</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2018-04-16T02:52:00Z</dcterms:created>
  <dc:creator>许昌市公共资源交易中心:孟莉</dc:creator>
  <cp:lastModifiedBy>河南省科信建设咨询有限公司1:李玉敏</cp:lastModifiedBy>
  <cp:lastPrinted>2018-07-31T02:20:00Z</cp:lastPrinted>
  <dcterms:modified xsi:type="dcterms:W3CDTF">2019-01-10T00:38:56Z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