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Pr="004D0B81">
        <w:rPr>
          <w:rFonts w:asciiTheme="majorEastAsia" w:eastAsiaTheme="majorEastAsia" w:hAnsiTheme="majorEastAsia" w:cstheme="majorEastAsia" w:hint="eastAsia"/>
          <w:b/>
          <w:bCs/>
          <w:sz w:val="48"/>
          <w:szCs w:val="48"/>
          <w:lang w:val="zh-CN"/>
        </w:rPr>
        <w:t>-G2018</w:t>
      </w:r>
      <w:r w:rsidR="000930D8">
        <w:rPr>
          <w:rFonts w:asciiTheme="majorEastAsia" w:eastAsiaTheme="majorEastAsia" w:hAnsiTheme="majorEastAsia" w:cstheme="majorEastAsia" w:hint="eastAsia"/>
          <w:b/>
          <w:bCs/>
          <w:sz w:val="48"/>
          <w:szCs w:val="48"/>
          <w:lang w:val="zh-CN"/>
        </w:rPr>
        <w:t>063</w:t>
      </w:r>
      <w:r w:rsidR="00A00E0C">
        <w:rPr>
          <w:rFonts w:asciiTheme="majorEastAsia" w:eastAsiaTheme="majorEastAsia" w:hAnsiTheme="majorEastAsia" w:cstheme="majorEastAsia" w:hint="eastAsia"/>
          <w:b/>
          <w:bCs/>
          <w:sz w:val="48"/>
          <w:szCs w:val="48"/>
          <w:lang w:val="zh-CN"/>
        </w:rPr>
        <w:t>-1</w:t>
      </w:r>
      <w:r w:rsidRPr="004D0B81">
        <w:rPr>
          <w:rFonts w:asciiTheme="majorEastAsia" w:eastAsiaTheme="majorEastAsia" w:hAnsiTheme="majorEastAsia" w:cstheme="majorEastAsia" w:hint="eastAsia"/>
          <w:b/>
          <w:bCs/>
          <w:sz w:val="48"/>
          <w:szCs w:val="48"/>
          <w:lang w:val="zh-CN"/>
        </w:rPr>
        <w:t>号许昌市中心医院</w:t>
      </w:r>
      <w:r w:rsidRPr="004D0B81">
        <w:rPr>
          <w:rFonts w:ascii="Arial" w:hAnsi="Arial" w:cs="Arial" w:hint="eastAsia"/>
          <w:b/>
          <w:color w:val="000000"/>
          <w:kern w:val="36"/>
          <w:sz w:val="48"/>
          <w:szCs w:val="48"/>
        </w:rPr>
        <w:t>“耳鼻</w:t>
      </w:r>
      <w:proofErr w:type="gramStart"/>
      <w:r w:rsidRPr="004D0B81">
        <w:rPr>
          <w:rFonts w:ascii="Arial" w:hAnsi="Arial" w:cs="Arial" w:hint="eastAsia"/>
          <w:b/>
          <w:color w:val="000000"/>
          <w:kern w:val="36"/>
          <w:sz w:val="48"/>
          <w:szCs w:val="48"/>
        </w:rPr>
        <w:t>喉</w:t>
      </w:r>
      <w:proofErr w:type="gramEnd"/>
      <w:r w:rsidRPr="004D0B81">
        <w:rPr>
          <w:rFonts w:ascii="Arial" w:hAnsi="Arial" w:cs="Arial" w:hint="eastAsia"/>
          <w:b/>
          <w:color w:val="000000"/>
          <w:kern w:val="36"/>
          <w:sz w:val="48"/>
          <w:szCs w:val="48"/>
        </w:rPr>
        <w:t>综合动力系统（进口）等医疗设备”招标采购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0930D8">
        <w:rPr>
          <w:rFonts w:ascii="宋体" w:hAnsi="宋体" w:cs="宋体" w:hint="eastAsia"/>
          <w:b/>
          <w:bCs/>
          <w:color w:val="000000"/>
          <w:sz w:val="36"/>
          <w:szCs w:val="36"/>
        </w:rPr>
        <w:t>063</w:t>
      </w:r>
      <w:r w:rsidR="00A00E0C">
        <w:rPr>
          <w:rFonts w:ascii="宋体" w:hAnsi="宋体" w:cs="宋体" w:hint="eastAsia"/>
          <w:b/>
          <w:bCs/>
          <w:color w:val="000000"/>
          <w:sz w:val="36"/>
          <w:szCs w:val="36"/>
        </w:rPr>
        <w:t>-1</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0930D8">
        <w:rPr>
          <w:rFonts w:ascii="宋体" w:hAnsi="宋体" w:cs="宋体" w:hint="eastAsia"/>
          <w:b/>
          <w:bCs/>
          <w:color w:val="000000"/>
          <w:sz w:val="36"/>
          <w:szCs w:val="36"/>
        </w:rPr>
        <w:t>十</w:t>
      </w:r>
      <w:r w:rsidR="00A00E0C">
        <w:rPr>
          <w:rFonts w:ascii="宋体" w:hAnsi="宋体" w:cs="宋体" w:hint="eastAsia"/>
          <w:b/>
          <w:bCs/>
          <w:color w:val="000000"/>
          <w:sz w:val="36"/>
          <w:szCs w:val="36"/>
        </w:rPr>
        <w:t>二</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许昌市中心医院“耳鼻</w:t>
      </w:r>
      <w:proofErr w:type="gramStart"/>
      <w:r w:rsidR="007769E2" w:rsidRPr="00B33138">
        <w:rPr>
          <w:rFonts w:ascii="仿宋" w:eastAsia="仿宋" w:hAnsi="仿宋" w:cs="仿宋" w:hint="eastAsia"/>
          <w:bCs/>
          <w:kern w:val="0"/>
          <w:sz w:val="24"/>
        </w:rPr>
        <w:t>喉</w:t>
      </w:r>
      <w:proofErr w:type="gramEnd"/>
      <w:r w:rsidR="007769E2" w:rsidRPr="00B33138">
        <w:rPr>
          <w:rFonts w:ascii="仿宋" w:eastAsia="仿宋" w:hAnsi="仿宋" w:cs="仿宋" w:hint="eastAsia"/>
          <w:bCs/>
          <w:kern w:val="0"/>
          <w:sz w:val="24"/>
        </w:rPr>
        <w:t>综合动力系统</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等医疗设备”</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0930D8">
        <w:rPr>
          <w:rFonts w:ascii="仿宋" w:eastAsia="仿宋" w:hAnsi="仿宋" w:cs="仿宋" w:hint="eastAsia"/>
          <w:bCs/>
          <w:kern w:val="0"/>
          <w:sz w:val="24"/>
          <w:szCs w:val="24"/>
        </w:rPr>
        <w:t>063</w:t>
      </w:r>
      <w:r w:rsidR="00A00E0C">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7769E2" w:rsidRDefault="00161B00" w:rsidP="00A00E0C">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7769E2">
        <w:rPr>
          <w:rFonts w:ascii="仿宋" w:eastAsia="仿宋" w:hAnsi="仿宋" w:cs="仿宋" w:hint="eastAsia"/>
          <w:bCs/>
          <w:kern w:val="0"/>
          <w:sz w:val="24"/>
        </w:rPr>
        <w:t xml:space="preserve"> E包：23万元、</w:t>
      </w:r>
      <w:r w:rsidR="007769E2" w:rsidRPr="008815B1">
        <w:rPr>
          <w:rFonts w:ascii="仿宋" w:eastAsia="仿宋" w:hAnsi="仿宋" w:cs="仿宋" w:hint="eastAsia"/>
          <w:bCs/>
          <w:kern w:val="0"/>
          <w:sz w:val="24"/>
        </w:rPr>
        <w:t>最高限价：</w:t>
      </w:r>
      <w:r w:rsidR="007769E2">
        <w:rPr>
          <w:rFonts w:ascii="仿宋" w:eastAsia="仿宋" w:hAnsi="仿宋" w:cs="仿宋" w:hint="eastAsia"/>
          <w:bCs/>
          <w:kern w:val="0"/>
          <w:sz w:val="24"/>
        </w:rPr>
        <w:t>23万元</w:t>
      </w:r>
    </w:p>
    <w:p w:rsidR="00A13BA5" w:rsidRPr="008815B1" w:rsidRDefault="00A13BA5" w:rsidP="007769E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（一）投标截止及开标时间：</w:t>
      </w:r>
      <w:r w:rsidR="00B340A1">
        <w:rPr>
          <w:rFonts w:ascii="仿宋" w:eastAsia="仿宋" w:hAnsi="仿宋" w:cs="仿宋"/>
          <w:bCs/>
          <w:kern w:val="0"/>
          <w:sz w:val="24"/>
          <w:szCs w:val="24"/>
        </w:rPr>
        <w:t>201</w:t>
      </w:r>
      <w:r w:rsidR="00B340A1">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B340A1">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月</w:t>
      </w:r>
      <w:r w:rsidR="00B340A1">
        <w:rPr>
          <w:rFonts w:ascii="仿宋" w:eastAsia="仿宋" w:hAnsi="仿宋" w:cs="仿宋" w:hint="eastAsia"/>
          <w:bCs/>
          <w:kern w:val="0"/>
          <w:sz w:val="24"/>
          <w:szCs w:val="24"/>
        </w:rPr>
        <w:t>8</w:t>
      </w:r>
      <w:r w:rsidRPr="008815B1">
        <w:rPr>
          <w:rFonts w:ascii="仿宋" w:eastAsia="仿宋" w:hAnsi="仿宋" w:cs="仿宋" w:hint="eastAsia"/>
          <w:bCs/>
          <w:kern w:val="0"/>
          <w:sz w:val="24"/>
          <w:szCs w:val="24"/>
        </w:rPr>
        <w:t>日</w:t>
      </w:r>
      <w:r w:rsidR="00B340A1">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B340A1">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B340A1">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B340A1">
        <w:rPr>
          <w:rFonts w:ascii="仿宋" w:eastAsia="仿宋" w:hAnsi="仿宋" w:cs="仿宋" w:hint="eastAsia"/>
          <w:bCs/>
          <w:kern w:val="0"/>
          <w:sz w:val="24"/>
          <w:szCs w:val="24"/>
        </w:rPr>
        <w:t>十二</w:t>
      </w:r>
      <w:r w:rsidRPr="008815B1">
        <w:rPr>
          <w:rFonts w:ascii="仿宋" w:eastAsia="仿宋" w:hAnsi="仿宋" w:cs="仿宋" w:hint="eastAsia"/>
          <w:bCs/>
          <w:kern w:val="0"/>
          <w:sz w:val="24"/>
          <w:szCs w:val="24"/>
        </w:rPr>
        <w:t>月</w:t>
      </w:r>
      <w:r w:rsidR="00B340A1">
        <w:rPr>
          <w:rFonts w:ascii="仿宋" w:eastAsia="仿宋" w:hAnsi="仿宋" w:cs="仿宋" w:hint="eastAsia"/>
          <w:bCs/>
          <w:kern w:val="0"/>
          <w:sz w:val="24"/>
          <w:szCs w:val="24"/>
        </w:rPr>
        <w:t>六</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A00E0C" w:rsidRDefault="00A00E0C"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E包：头脉冲试验仪 （进口）                   1台</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E包</w:t>
      </w:r>
    </w:p>
    <w:p w:rsidR="007769E2" w:rsidRPr="00124F14" w:rsidRDefault="007769E2" w:rsidP="007769E2">
      <w:pPr>
        <w:spacing w:line="360" w:lineRule="auto"/>
        <w:jc w:val="center"/>
        <w:rPr>
          <w:rFonts w:ascii="仿宋" w:eastAsia="仿宋" w:hAnsi="仿宋" w:cs="仿宋"/>
          <w:bCs/>
          <w:kern w:val="0"/>
          <w:sz w:val="24"/>
        </w:rPr>
      </w:pPr>
      <w:r w:rsidRPr="00124F14">
        <w:rPr>
          <w:rFonts w:ascii="仿宋" w:eastAsia="仿宋" w:hAnsi="仿宋" w:cs="仿宋" w:hint="eastAsia"/>
          <w:bCs/>
          <w:kern w:val="0"/>
          <w:sz w:val="24"/>
        </w:rPr>
        <w:t>头脉冲试验仪参数要求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头脉冲试验仪1台，设备需原装进口，并需满足下列参数要求。</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1、需具有左右水平测试、左前右后测试和右前左后测试功能。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2、需具有凝视试验、自发性眼震试验、视觉增强前庭眼反射试验、视觉抑制前庭眼反射试验和</w:t>
      </w:r>
      <w:proofErr w:type="gramStart"/>
      <w:r w:rsidRPr="00124F14">
        <w:rPr>
          <w:rFonts w:ascii="仿宋" w:eastAsia="仿宋" w:hAnsi="仿宋" w:cs="仿宋" w:hint="eastAsia"/>
          <w:bCs/>
          <w:kern w:val="0"/>
          <w:sz w:val="24"/>
        </w:rPr>
        <w:t>反向眼</w:t>
      </w:r>
      <w:proofErr w:type="gramEnd"/>
      <w:r w:rsidRPr="00124F14">
        <w:rPr>
          <w:rFonts w:ascii="仿宋" w:eastAsia="仿宋" w:hAnsi="仿宋" w:cs="仿宋" w:hint="eastAsia"/>
          <w:bCs/>
          <w:kern w:val="0"/>
          <w:sz w:val="24"/>
        </w:rPr>
        <w:t>偏斜试验功能。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3、</w:t>
      </w:r>
      <w:r w:rsidRPr="00124F14">
        <w:rPr>
          <w:rFonts w:ascii="仿宋" w:eastAsia="仿宋" w:hAnsi="仿宋" w:cs="仿宋"/>
          <w:bCs/>
          <w:kern w:val="0"/>
          <w:sz w:val="24"/>
        </w:rPr>
        <w:t>良性阵发性体位性眩晕</w:t>
      </w:r>
      <w:r w:rsidRPr="00124F14">
        <w:rPr>
          <w:rFonts w:ascii="仿宋" w:eastAsia="仿宋" w:hAnsi="仿宋" w:cs="仿宋" w:hint="eastAsia"/>
          <w:bCs/>
          <w:kern w:val="0"/>
          <w:sz w:val="24"/>
        </w:rPr>
        <w:t>诊断和治疗需具有变位试验和手法复位功能。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4、需具有视频放大观察、自定义检测方法和视频记录并建档功能。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5、</w:t>
      </w:r>
      <w:proofErr w:type="gramStart"/>
      <w:r w:rsidRPr="00124F14">
        <w:rPr>
          <w:rFonts w:ascii="仿宋" w:eastAsia="仿宋" w:hAnsi="仿宋" w:cs="仿宋" w:hint="eastAsia"/>
          <w:bCs/>
          <w:kern w:val="0"/>
          <w:sz w:val="24"/>
        </w:rPr>
        <w:t>头动输入</w:t>
      </w:r>
      <w:proofErr w:type="gramEnd"/>
      <w:r w:rsidRPr="00124F14">
        <w:rPr>
          <w:rFonts w:ascii="仿宋" w:eastAsia="仿宋" w:hAnsi="仿宋" w:cs="仿宋" w:hint="eastAsia"/>
          <w:bCs/>
          <w:kern w:val="0"/>
          <w:sz w:val="24"/>
        </w:rPr>
        <w:t>需具有9轴运动感应器，并需具有单眼（仅右眼）眼动输入功能。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6、甩头试验采样率需不小于250赫兹，视频录制需具有30赫兹、60赫兹、120赫兹可选功能。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7、眼睛跟踪需不小于100像素×100 像素。</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8、瞳孔</w:t>
      </w:r>
      <w:proofErr w:type="gramStart"/>
      <w:r w:rsidRPr="00124F14">
        <w:rPr>
          <w:rFonts w:ascii="仿宋" w:eastAsia="仿宋" w:hAnsi="仿宋" w:cs="仿宋" w:hint="eastAsia"/>
          <w:bCs/>
          <w:kern w:val="0"/>
          <w:sz w:val="24"/>
        </w:rPr>
        <w:t>侦测需可</w:t>
      </w:r>
      <w:proofErr w:type="gramEnd"/>
      <w:r w:rsidRPr="00124F14">
        <w:rPr>
          <w:rFonts w:ascii="仿宋" w:eastAsia="仿宋" w:hAnsi="仿宋" w:cs="仿宋" w:hint="eastAsia"/>
          <w:bCs/>
          <w:kern w:val="0"/>
          <w:sz w:val="24"/>
        </w:rPr>
        <w:t>由软件控制，阈值需具有自动和手动调整功能。</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9、需具有</w:t>
      </w:r>
      <w:r w:rsidRPr="00124F14">
        <w:rPr>
          <w:rFonts w:ascii="仿宋" w:eastAsia="仿宋" w:hAnsi="仿宋" w:cs="仿宋"/>
          <w:bCs/>
          <w:kern w:val="0"/>
          <w:sz w:val="24"/>
        </w:rPr>
        <w:t xml:space="preserve">Windows </w:t>
      </w:r>
      <w:r w:rsidRPr="00124F14">
        <w:rPr>
          <w:rFonts w:ascii="仿宋" w:eastAsia="仿宋" w:hAnsi="仿宋" w:cs="仿宋" w:hint="eastAsia"/>
          <w:bCs/>
          <w:kern w:val="0"/>
          <w:sz w:val="24"/>
        </w:rPr>
        <w:t>图形用户界面和高性能分析软件。</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10、眼罩长度需≤19 厘米，宽度需≤5厘米。</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11、需具有眼罩内置校准激光束。</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12、需具有</w:t>
      </w:r>
      <w:r w:rsidRPr="00124F14">
        <w:rPr>
          <w:rFonts w:ascii="仿宋" w:eastAsia="仿宋" w:hAnsi="仿宋" w:cs="仿宋"/>
          <w:bCs/>
          <w:kern w:val="0"/>
          <w:sz w:val="24"/>
        </w:rPr>
        <w:t>USB</w:t>
      </w:r>
      <w:r w:rsidRPr="00124F14">
        <w:rPr>
          <w:rFonts w:ascii="仿宋" w:eastAsia="仿宋" w:hAnsi="仿宋" w:cs="仿宋" w:hint="eastAsia"/>
          <w:bCs/>
          <w:kern w:val="0"/>
          <w:sz w:val="24"/>
        </w:rPr>
        <w:t>数据接口。</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13、需配备工作站1套，工作站需为市场主流配置品牌电脑。</w:t>
      </w:r>
    </w:p>
    <w:p w:rsidR="007769E2" w:rsidRPr="00124F14" w:rsidRDefault="007769E2" w:rsidP="007769E2">
      <w:pPr>
        <w:spacing w:line="360" w:lineRule="auto"/>
        <w:rPr>
          <w:rFonts w:ascii="仿宋" w:eastAsia="仿宋" w:hAnsi="仿宋" w:cs="仿宋"/>
          <w:bCs/>
          <w:kern w:val="0"/>
          <w:sz w:val="24"/>
        </w:rPr>
      </w:pPr>
      <w:r w:rsidRPr="00124F14">
        <w:rPr>
          <w:rFonts w:ascii="仿宋" w:eastAsia="仿宋" w:hAnsi="仿宋" w:cs="仿宋" w:hint="eastAsia"/>
          <w:bCs/>
          <w:kern w:val="0"/>
          <w:sz w:val="24"/>
        </w:rPr>
        <w:t>14、整套设备自验收合格之日起原厂保修期不低于两年。</w:t>
      </w:r>
    </w:p>
    <w:p w:rsidR="007769E2" w:rsidRPr="00124F14" w:rsidRDefault="007769E2" w:rsidP="007769E2">
      <w:pPr>
        <w:spacing w:line="360" w:lineRule="auto"/>
        <w:jc w:val="center"/>
        <w:textAlignment w:val="center"/>
        <w:rPr>
          <w:rFonts w:ascii="仿宋" w:eastAsia="仿宋" w:hAnsi="仿宋" w:cs="仿宋"/>
          <w:bCs/>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w:t>
      </w:r>
      <w:r w:rsidRPr="008815B1">
        <w:rPr>
          <w:rFonts w:ascii="仿宋" w:eastAsia="仿宋" w:hAnsi="仿宋" w:cs="仿宋_GB2312" w:hint="eastAsia"/>
          <w:sz w:val="24"/>
          <w:szCs w:val="24"/>
          <w:lang w:val="zh-CN"/>
        </w:rPr>
        <w:lastRenderedPageBreak/>
        <w:t>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7769E2" w:rsidRDefault="009448DA" w:rsidP="00A00E0C">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7769E2">
        <w:rPr>
          <w:rFonts w:ascii="仿宋" w:eastAsia="仿宋" w:hAnsi="仿宋" w:cs="仿宋" w:hint="eastAsia"/>
          <w:bCs/>
          <w:kern w:val="0"/>
          <w:sz w:val="24"/>
        </w:rPr>
        <w:t>E包：23万元、</w:t>
      </w:r>
      <w:r w:rsidR="007769E2" w:rsidRPr="008815B1">
        <w:rPr>
          <w:rFonts w:ascii="仿宋" w:eastAsia="仿宋" w:hAnsi="仿宋" w:cs="仿宋" w:hint="eastAsia"/>
          <w:bCs/>
          <w:kern w:val="0"/>
          <w:sz w:val="24"/>
        </w:rPr>
        <w:t>最高限价：</w:t>
      </w:r>
      <w:r w:rsidR="007769E2">
        <w:rPr>
          <w:rFonts w:ascii="仿宋" w:eastAsia="仿宋" w:hAnsi="仿宋" w:cs="仿宋" w:hint="eastAsia"/>
          <w:bCs/>
          <w:kern w:val="0"/>
          <w:sz w:val="24"/>
        </w:rPr>
        <w:t>23万元</w:t>
      </w:r>
    </w:p>
    <w:p w:rsidR="001C3550" w:rsidRPr="009B24A2" w:rsidRDefault="001C3550" w:rsidP="007769E2">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lastRenderedPageBreak/>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6F3622" w:rsidRDefault="006F3622">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rsidP="007769E2">
            <w:pPr>
              <w:autoSpaceDE w:val="0"/>
              <w:autoSpaceDN w:val="0"/>
              <w:adjustRightInd w:val="0"/>
              <w:spacing w:line="360" w:lineRule="auto"/>
              <w:ind w:left="1200" w:hangingChars="500" w:hanging="120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769E2" w:rsidRPr="00B33138">
              <w:rPr>
                <w:rFonts w:ascii="仿宋" w:eastAsia="仿宋" w:hAnsi="仿宋" w:cs="仿宋" w:hint="eastAsia"/>
                <w:bCs/>
                <w:kern w:val="0"/>
                <w:sz w:val="24"/>
              </w:rPr>
              <w:t>许昌市中心医院“耳鼻</w:t>
            </w:r>
            <w:proofErr w:type="gramStart"/>
            <w:r w:rsidR="007769E2" w:rsidRPr="00B33138">
              <w:rPr>
                <w:rFonts w:ascii="仿宋" w:eastAsia="仿宋" w:hAnsi="仿宋" w:cs="仿宋" w:hint="eastAsia"/>
                <w:bCs/>
                <w:kern w:val="0"/>
                <w:sz w:val="24"/>
              </w:rPr>
              <w:t>喉</w:t>
            </w:r>
            <w:proofErr w:type="gramEnd"/>
            <w:r w:rsidR="007769E2" w:rsidRPr="00B33138">
              <w:rPr>
                <w:rFonts w:ascii="仿宋" w:eastAsia="仿宋" w:hAnsi="仿宋" w:cs="仿宋" w:hint="eastAsia"/>
                <w:bCs/>
                <w:kern w:val="0"/>
                <w:sz w:val="24"/>
              </w:rPr>
              <w:t>综合动力系统</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等医疗设备”</w:t>
            </w:r>
            <w:r w:rsidR="007769E2"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0930D8">
              <w:rPr>
                <w:rFonts w:ascii="仿宋" w:eastAsia="仿宋" w:hAnsi="仿宋" w:cs="宋体" w:hint="eastAsia"/>
                <w:bCs/>
                <w:sz w:val="24"/>
                <w:szCs w:val="24"/>
                <w:lang w:val="zh-CN"/>
              </w:rPr>
              <w:t>063</w:t>
            </w:r>
            <w:r w:rsidR="00A00E0C">
              <w:rPr>
                <w:rFonts w:ascii="仿宋" w:eastAsia="仿宋" w:hAnsi="仿宋" w:cs="宋体" w:hint="eastAsia"/>
                <w:bCs/>
                <w:sz w:val="24"/>
                <w:szCs w:val="24"/>
                <w:lang w:val="zh-CN"/>
              </w:rPr>
              <w:t>-1</w:t>
            </w:r>
            <w:r w:rsidRPr="00866E8F">
              <w:rPr>
                <w:rFonts w:ascii="仿宋" w:eastAsia="仿宋" w:hAnsi="仿宋" w:cs="宋体" w:hint="eastAsia"/>
                <w:bCs/>
                <w:sz w:val="24"/>
                <w:szCs w:val="24"/>
                <w:lang w:val="zh-CN"/>
              </w:rPr>
              <w:t>号</w:t>
            </w:r>
          </w:p>
          <w:p w:rsidR="007769E2" w:rsidRPr="00161B00" w:rsidRDefault="00A13BA5" w:rsidP="00A00E0C">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Cs/>
                <w:sz w:val="24"/>
                <w:szCs w:val="24"/>
                <w:lang w:val="zh-CN"/>
              </w:rPr>
              <w:t>项目内容：</w:t>
            </w:r>
            <w:r w:rsidR="00A00E0C">
              <w:rPr>
                <w:rFonts w:ascii="仿宋" w:eastAsia="仿宋" w:hAnsi="仿宋" w:cs="仿宋"/>
                <w:bCs/>
                <w:kern w:val="0"/>
                <w:sz w:val="24"/>
                <w:szCs w:val="24"/>
              </w:rPr>
              <w:t xml:space="preserve"> </w:t>
            </w:r>
            <w:r w:rsidR="007769E2">
              <w:rPr>
                <w:rFonts w:ascii="仿宋" w:eastAsia="仿宋" w:hAnsi="仿宋" w:cs="仿宋" w:hint="eastAsia"/>
                <w:bCs/>
                <w:kern w:val="0"/>
                <w:sz w:val="24"/>
                <w:szCs w:val="24"/>
              </w:rPr>
              <w:t>E包：头脉冲试验仪 （进口）           1台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w:t>
            </w:r>
            <w:r w:rsidRPr="00866E8F">
              <w:rPr>
                <w:rFonts w:ascii="仿宋" w:eastAsia="仿宋" w:hAnsi="仿宋" w:cs="宋体" w:hint="eastAsia"/>
                <w:kern w:val="0"/>
                <w:sz w:val="24"/>
                <w:szCs w:val="24"/>
              </w:rPr>
              <w:lastRenderedPageBreak/>
              <w:t>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2C5B2F"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2C5B2F"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A00E0C"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w:t>
            </w:r>
            <w:r w:rsidR="00E726D6">
              <w:rPr>
                <w:rFonts w:ascii="仿宋" w:eastAsia="仿宋" w:hAnsi="仿宋" w:cs="仿宋" w:hint="eastAsia"/>
                <w:bCs/>
                <w:kern w:val="0"/>
                <w:sz w:val="24"/>
                <w:szCs w:val="24"/>
              </w:rPr>
              <w:t>包：</w:t>
            </w:r>
            <w:r w:rsidR="007769E2">
              <w:rPr>
                <w:rFonts w:ascii="仿宋" w:eastAsia="仿宋" w:hAnsi="仿宋" w:cs="仿宋" w:hint="eastAsia"/>
                <w:bCs/>
                <w:kern w:val="0"/>
                <w:sz w:val="24"/>
                <w:szCs w:val="24"/>
              </w:rPr>
              <w:t>23</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7769E2">
              <w:rPr>
                <w:rFonts w:ascii="仿宋" w:eastAsia="仿宋" w:hAnsi="仿宋" w:cs="仿宋" w:hint="eastAsia"/>
                <w:bCs/>
                <w:kern w:val="0"/>
                <w:sz w:val="24"/>
                <w:szCs w:val="24"/>
              </w:rPr>
              <w:t>23</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2C5B2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2C5B2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2C5B2F"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2C5B2F"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2C5B2F"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923F2B" w:rsidP="00923F2B">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Pr>
                <w:rFonts w:ascii="仿宋" w:eastAsia="仿宋" w:hAnsi="仿宋" w:cs="宋体" w:hint="eastAsia"/>
                <w:kern w:val="0"/>
                <w:sz w:val="24"/>
                <w:szCs w:val="24"/>
              </w:rPr>
              <w:t>1</w:t>
            </w:r>
            <w:r w:rsidR="007E50E5" w:rsidRPr="00866E8F">
              <w:rPr>
                <w:rFonts w:ascii="仿宋" w:eastAsia="仿宋" w:hAnsi="仿宋" w:cs="宋体" w:hint="eastAsia"/>
                <w:kern w:val="0"/>
                <w:sz w:val="24"/>
                <w:szCs w:val="24"/>
              </w:rPr>
              <w:t>月</w:t>
            </w:r>
            <w:r>
              <w:rPr>
                <w:rFonts w:ascii="仿宋" w:eastAsia="仿宋" w:hAnsi="仿宋" w:cs="宋体" w:hint="eastAsia"/>
                <w:kern w:val="0"/>
                <w:sz w:val="24"/>
                <w:szCs w:val="24"/>
              </w:rPr>
              <w:t>8</w:t>
            </w:r>
            <w:r w:rsidR="007E50E5" w:rsidRPr="00866E8F">
              <w:rPr>
                <w:rFonts w:ascii="仿宋" w:eastAsia="仿宋" w:hAnsi="仿宋" w:cs="宋体" w:hint="eastAsia"/>
                <w:kern w:val="0"/>
                <w:sz w:val="24"/>
                <w:szCs w:val="24"/>
              </w:rPr>
              <w:t>日</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A00E0C">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923F2B">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33657" w:rsidRPr="00933657" w:rsidRDefault="009832C2" w:rsidP="00A00E0C">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A00E0C">
              <w:rPr>
                <w:rFonts w:ascii="仿宋" w:eastAsia="仿宋" w:hAnsi="仿宋" w:cs="宋体"/>
                <w:kern w:val="0"/>
                <w:sz w:val="24"/>
                <w:szCs w:val="24"/>
              </w:rPr>
              <w:t xml:space="preserve"> </w:t>
            </w:r>
            <w:r w:rsidR="00026B83">
              <w:rPr>
                <w:rFonts w:ascii="仿宋" w:eastAsia="仿宋" w:hAnsi="仿宋" w:cs="宋体" w:hint="eastAsia"/>
                <w:kern w:val="0"/>
                <w:sz w:val="24"/>
                <w:szCs w:val="24"/>
              </w:rPr>
              <w:t>E</w:t>
            </w:r>
            <w:r w:rsidR="00933657">
              <w:rPr>
                <w:rFonts w:ascii="仿宋" w:eastAsia="仿宋" w:hAnsi="仿宋" w:cs="宋体" w:hint="eastAsia"/>
                <w:kern w:val="0"/>
                <w:sz w:val="24"/>
                <w:szCs w:val="24"/>
              </w:rPr>
              <w:t>包：</w:t>
            </w:r>
            <w:proofErr w:type="gramStart"/>
            <w:r w:rsidR="007769E2">
              <w:rPr>
                <w:rFonts w:ascii="仿宋" w:eastAsia="仿宋" w:hAnsi="仿宋" w:cs="宋体" w:hint="eastAsia"/>
                <w:kern w:val="0"/>
                <w:sz w:val="24"/>
                <w:szCs w:val="24"/>
              </w:rPr>
              <w:t>肆仟陆佰</w:t>
            </w:r>
            <w:proofErr w:type="gramEnd"/>
            <w:r w:rsidR="007769E2">
              <w:rPr>
                <w:rFonts w:ascii="仿宋" w:eastAsia="仿宋" w:hAnsi="仿宋" w:cs="宋体" w:hint="eastAsia"/>
                <w:kern w:val="0"/>
                <w:sz w:val="24"/>
                <w:szCs w:val="24"/>
              </w:rPr>
              <w:t>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7769E2">
              <w:rPr>
                <w:rFonts w:ascii="仿宋" w:eastAsia="仿宋" w:hAnsi="仿宋" w:cs="宋体" w:hint="eastAsia"/>
                <w:kern w:val="0"/>
                <w:sz w:val="24"/>
                <w:szCs w:val="24"/>
              </w:rPr>
              <w:t>4600</w:t>
            </w:r>
            <w:r w:rsidR="00933657">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lastRenderedPageBreak/>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w:t>
            </w:r>
            <w:r w:rsidRPr="00933657">
              <w:rPr>
                <w:rFonts w:ascii="仿宋" w:eastAsia="仿宋" w:hAnsi="仿宋" w:cs="宋体" w:hint="eastAsia"/>
                <w:kern w:val="0"/>
                <w:sz w:val="24"/>
                <w:szCs w:val="24"/>
              </w:rPr>
              <w:lastRenderedPageBreak/>
              <w:t>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2C5B2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2C5B2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2C5B2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2C5B2F"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2C5B2F"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2C5B2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2C5B2F"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2C5B2F"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4737BA" w:rsidRDefault="004737BA"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620274" w:rsidRDefault="00620274"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620274" w:rsidRDefault="00620274"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00E0C" w:rsidRDefault="00A00E0C"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A00E0C">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w:t>
            </w:r>
            <w:r w:rsidR="00620274">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w:t>
            </w:r>
            <w:proofErr w:type="gramStart"/>
            <w:r w:rsidRPr="00E256D6">
              <w:rPr>
                <w:rFonts w:ascii="仿宋" w:eastAsia="仿宋" w:hAnsi="仿宋" w:hint="eastAsia"/>
                <w:sz w:val="24"/>
                <w:szCs w:val="24"/>
              </w:rPr>
              <w:t>次合同</w:t>
            </w:r>
            <w:proofErr w:type="gramEnd"/>
            <w:r w:rsidRPr="00E256D6">
              <w:rPr>
                <w:rFonts w:ascii="仿宋" w:eastAsia="仿宋" w:hAnsi="仿宋" w:hint="eastAsia"/>
                <w:sz w:val="24"/>
                <w:szCs w:val="24"/>
              </w:rPr>
              <w:t>金额在</w:t>
            </w:r>
            <w:r w:rsidR="00A00E0C">
              <w:rPr>
                <w:rFonts w:ascii="仿宋" w:eastAsia="仿宋" w:hAnsi="仿宋" w:hint="eastAsia"/>
                <w:sz w:val="24"/>
                <w:szCs w:val="24"/>
              </w:rPr>
              <w:t xml:space="preserve">： </w:t>
            </w:r>
            <w:r w:rsidR="006A3363">
              <w:rPr>
                <w:rFonts w:ascii="仿宋" w:eastAsia="仿宋" w:hAnsi="仿宋" w:hint="eastAsia"/>
                <w:sz w:val="24"/>
                <w:szCs w:val="24"/>
              </w:rPr>
              <w:t>E</w:t>
            </w:r>
            <w:r w:rsidR="00353598">
              <w:rPr>
                <w:rFonts w:ascii="仿宋" w:eastAsia="仿宋" w:hAnsi="仿宋" w:hint="eastAsia"/>
                <w:sz w:val="24"/>
                <w:szCs w:val="24"/>
              </w:rPr>
              <w:t xml:space="preserve">包 </w:t>
            </w:r>
            <w:r w:rsidR="00620274">
              <w:rPr>
                <w:rFonts w:ascii="仿宋" w:eastAsia="仿宋" w:hAnsi="仿宋" w:hint="eastAsia"/>
                <w:sz w:val="24"/>
                <w:szCs w:val="24"/>
              </w:rPr>
              <w:t>23</w:t>
            </w:r>
            <w:r w:rsidR="001A62A9" w:rsidRPr="00E256D6">
              <w:rPr>
                <w:rFonts w:ascii="仿宋" w:eastAsia="仿宋" w:hAnsi="仿宋" w:hint="eastAsia"/>
                <w:sz w:val="24"/>
                <w:szCs w:val="24"/>
              </w:rPr>
              <w:t>万以上（含</w:t>
            </w:r>
            <w:r w:rsidR="00620274">
              <w:rPr>
                <w:rFonts w:ascii="仿宋" w:eastAsia="仿宋" w:hAnsi="仿宋" w:hint="eastAsia"/>
                <w:sz w:val="24"/>
                <w:szCs w:val="24"/>
              </w:rPr>
              <w:t>23</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lastRenderedPageBreak/>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A00E0C" w:rsidRDefault="00A00E0C">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340A1">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340A1">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340A1">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340A1">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340A1">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A00E0C" w:rsidRDefault="00A00E0C"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B340A1">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B340A1">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B340A1">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B340A1">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B340A1">
      <w:pPr>
        <w:spacing w:beforeLines="50" w:afterLines="50" w:line="360" w:lineRule="auto"/>
        <w:ind w:firstLineChars="236" w:firstLine="566"/>
        <w:rPr>
          <w:rFonts w:ascii="仿宋" w:eastAsia="仿宋" w:hAnsi="仿宋" w:cs="宋体"/>
          <w:sz w:val="24"/>
          <w:szCs w:val="24"/>
          <w:lang w:val="zh-CN"/>
        </w:rPr>
      </w:pPr>
    </w:p>
    <w:p w:rsidR="00055ABA" w:rsidRDefault="00055ABA" w:rsidP="00B340A1">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B340A1">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B340A1">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B340A1">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B340A1">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B340A1">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FD" w:rsidRDefault="006B05FD" w:rsidP="006D16EF">
      <w:r>
        <w:separator/>
      </w:r>
    </w:p>
  </w:endnote>
  <w:endnote w:type="continuationSeparator" w:id="0">
    <w:p w:rsidR="006B05FD" w:rsidRDefault="006B05FD"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67" w:rsidRDefault="002C5B2F">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8D2367" w:rsidRDefault="002C5B2F">
                <w:pPr>
                  <w:pStyle w:val="aa"/>
                </w:pPr>
                <w:fldSimple w:instr=" PAGE  \* MERGEFORMAT ">
                  <w:r w:rsidR="00923F2B">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FD" w:rsidRDefault="006B05FD" w:rsidP="006D16EF">
      <w:r>
        <w:separator/>
      </w:r>
    </w:p>
  </w:footnote>
  <w:footnote w:type="continuationSeparator" w:id="0">
    <w:p w:rsidR="006B05FD" w:rsidRDefault="006B05FD"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78A4"/>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04CC"/>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B2F"/>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3363"/>
    <w:rsid w:val="006A4643"/>
    <w:rsid w:val="006A51DF"/>
    <w:rsid w:val="006A55C8"/>
    <w:rsid w:val="006B05FD"/>
    <w:rsid w:val="006B4BED"/>
    <w:rsid w:val="006B6AD1"/>
    <w:rsid w:val="006B6DC8"/>
    <w:rsid w:val="006B7B8C"/>
    <w:rsid w:val="006C383E"/>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367"/>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23F2B"/>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0E0C"/>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A1"/>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47CD"/>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C4AB6-8720-4003-B57C-E7DB5EE0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73</Pages>
  <Words>6080</Words>
  <Characters>34657</Characters>
  <Application>Microsoft Office Word</Application>
  <DocSecurity>0</DocSecurity>
  <Lines>288</Lines>
  <Paragraphs>81</Paragraphs>
  <ScaleCrop>false</ScaleCrop>
  <Company>Sky123.Org</Company>
  <LinksUpToDate>false</LinksUpToDate>
  <CharactersWithSpaces>40656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815</cp:revision>
  <cp:lastPrinted>2018-11-29T08:56:00Z</cp:lastPrinted>
  <dcterms:created xsi:type="dcterms:W3CDTF">2017-10-25T06:07:00Z</dcterms:created>
  <dcterms:modified xsi:type="dcterms:W3CDTF">2018-12-06T01:56:00Z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