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1"/>
        <w:rPr>
          <w:rFonts w:hAnsi="宋体"/>
          <w:b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hAnsi="宋体"/>
          <w:b/>
          <w:snapToGrid w:val="0"/>
          <w:kern w:val="0"/>
          <w:sz w:val="36"/>
          <w:szCs w:val="36"/>
        </w:rPr>
        <w:t>投标分项报价表</w:t>
      </w:r>
    </w:p>
    <w:bookmarkEnd w:id="0"/>
    <w:p>
      <w:pPr>
        <w:spacing w:before="50" w:afterLines="50" w:line="360" w:lineRule="auto"/>
        <w:contextualSpacing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hint="eastAsia" w:ascii="宋体" w:hAnsi="宋体"/>
          <w:color w:val="000000"/>
          <w:sz w:val="24"/>
        </w:rPr>
        <w:t>项目编号：</w:t>
      </w:r>
      <w:r>
        <w:rPr>
          <w:rFonts w:hint="eastAsia" w:cs="仿宋" w:asciiTheme="minorEastAsia" w:hAnsiTheme="minorEastAsia" w:eastAsiaTheme="minorEastAsia"/>
          <w:sz w:val="24"/>
          <w:u w:val="single"/>
        </w:rPr>
        <w:t>XZZ-G2018068号</w:t>
      </w:r>
    </w:p>
    <w:p>
      <w:pPr>
        <w:autoSpaceDE w:val="0"/>
        <w:autoSpaceDN w:val="0"/>
        <w:adjustRightInd w:val="0"/>
        <w:spacing w:line="360" w:lineRule="auto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color w:val="000000"/>
          <w:sz w:val="24"/>
        </w:rPr>
        <w:t>项目名称：</w:t>
      </w:r>
      <w:r>
        <w:rPr>
          <w:rFonts w:hint="eastAsia" w:cs="仿宋" w:asciiTheme="minorEastAsia" w:hAnsiTheme="minorEastAsia" w:eastAsiaTheme="minorEastAsia"/>
          <w:sz w:val="24"/>
          <w:u w:val="single"/>
        </w:rPr>
        <w:t>襄城县2018年农业水价综合改革试点项目</w:t>
      </w:r>
    </w:p>
    <w:tbl>
      <w:tblPr>
        <w:tblStyle w:val="3"/>
        <w:tblW w:w="9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81"/>
        <w:gridCol w:w="1867"/>
        <w:gridCol w:w="1824"/>
        <w:gridCol w:w="1032"/>
        <w:gridCol w:w="1092"/>
        <w:gridCol w:w="1164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序号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名称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规格型号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技术参数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单位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数量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单价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抽水设备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200QJ20-78/4潜水泵（含泵管、潜水电缆、弯头、法兰、井夹等配件）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200QJ20-78/4潜水泵（含泵管、潜水电缆、弯头、法兰、井夹等配件）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46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8500元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391000元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机井计量设施（智能井房）等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46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8060元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370760元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2.1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玻璃钢井房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900mm*900mm*1600mm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900mm*900mm*1600mm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46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87400元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2.2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智能遥控灌溉测控仪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202529"/>
                <w:sz w:val="24"/>
              </w:rPr>
              <w:t>NFPG-YCYK水电计量型，需外接电能表和远传水表，带有通讯接口，可以连接GPRS模块。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202529"/>
                <w:sz w:val="24"/>
              </w:rPr>
              <w:t>NFPG-YCYK水电计量型，需外接电能表和远传水表，带有通讯接口，可以连接GPRS模块。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台套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46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87400元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2.3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远程传输模块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N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FPG-YC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N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FPG-YC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46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20700元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2.4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超声波流量计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ZHNYDN-80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ZHNYDN-80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46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2800元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128800元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2.5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监测中心托管费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46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20700元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2.6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基础数据录入费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46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25760元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农业用水信息化管理平台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电脑、平台软件、基础信息采集及数据整理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电脑、平台软件、基础信息采集及数据整理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226"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121140元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121140元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合计</w:t>
            </w:r>
          </w:p>
        </w:tc>
        <w:tc>
          <w:tcPr>
            <w:tcW w:w="81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大写：捌拾捌万贰仟玖佰元整　　　　　小写：</w:t>
            </w:r>
            <w:r>
              <w:rPr>
                <w:rFonts w:hint="eastAsia" w:ascii="宋体" w:hAnsi="宋体" w:cs="宋体"/>
                <w:sz w:val="24"/>
              </w:rPr>
              <w:t>882900元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投标人（公章）：</w:t>
      </w:r>
      <w:r>
        <w:rPr>
          <w:rFonts w:hint="eastAsia" w:ascii="宋体" w:hAnsi="宋体" w:cs="宋体"/>
          <w:sz w:val="24"/>
          <w:u w:val="single"/>
        </w:rPr>
        <w:t>郑州市荥龙泵业有限公司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2019-01-09T01:06:54Z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