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bCs/>
          <w:sz w:val="48"/>
          <w:szCs w:val="48"/>
        </w:rPr>
      </w:pPr>
    </w:p>
    <w:p>
      <w:pPr>
        <w:spacing w:line="360" w:lineRule="auto"/>
        <w:jc w:val="center"/>
        <w:rPr>
          <w:rFonts w:ascii="仿宋" w:hAnsi="仿宋" w:eastAsia="仿宋" w:cs="仿宋"/>
          <w:b/>
          <w:bCs/>
          <w:sz w:val="48"/>
          <w:szCs w:val="48"/>
        </w:rPr>
      </w:pPr>
      <w:r>
        <w:rPr>
          <w:rFonts w:hint="eastAsia" w:ascii="仿宋" w:hAnsi="仿宋" w:eastAsia="仿宋" w:cs="仿宋"/>
          <w:b/>
          <w:bCs/>
          <w:sz w:val="48"/>
          <w:szCs w:val="48"/>
        </w:rPr>
        <w:t>全国新增500亿公斤粮食生产能力规划</w:t>
      </w:r>
    </w:p>
    <w:p>
      <w:pPr>
        <w:pStyle w:val="2"/>
        <w:ind w:firstLine="964"/>
        <w:rPr>
          <w:rFonts w:ascii="仿宋" w:hAnsi="仿宋" w:eastAsia="仿宋" w:cs="仿宋"/>
          <w:b/>
          <w:bCs/>
          <w:sz w:val="48"/>
          <w:szCs w:val="48"/>
        </w:rPr>
      </w:pPr>
      <w:r>
        <w:rPr>
          <w:rFonts w:hint="eastAsia" w:ascii="仿宋" w:hAnsi="仿宋" w:eastAsia="仿宋" w:cs="仿宋"/>
          <w:b/>
          <w:bCs/>
          <w:sz w:val="48"/>
          <w:szCs w:val="48"/>
        </w:rPr>
        <w:t>鄢陵县2018年田间工程建设项目</w:t>
      </w:r>
    </w:p>
    <w:p>
      <w:pPr>
        <w:spacing w:line="360" w:lineRule="auto"/>
        <w:jc w:val="center"/>
        <w:rPr>
          <w:rFonts w:ascii="仿宋" w:hAnsi="仿宋" w:eastAsia="仿宋" w:cs="仿宋"/>
          <w:b/>
          <w:bCs/>
          <w:sz w:val="48"/>
          <w:szCs w:val="48"/>
        </w:rPr>
      </w:pPr>
    </w:p>
    <w:p>
      <w:pPr>
        <w:spacing w:line="360" w:lineRule="auto"/>
        <w:jc w:val="center"/>
        <w:rPr>
          <w:rFonts w:ascii="仿宋" w:hAnsi="仿宋" w:eastAsia="仿宋" w:cs="仿宋"/>
          <w:b/>
          <w:bCs/>
          <w:spacing w:val="20"/>
          <w:sz w:val="72"/>
          <w:szCs w:val="72"/>
        </w:rPr>
      </w:pPr>
      <w:r>
        <w:rPr>
          <w:rFonts w:hint="eastAsia" w:ascii="仿宋" w:hAnsi="仿宋" w:eastAsia="仿宋" w:cs="仿宋"/>
          <w:b/>
          <w:bCs/>
          <w:spacing w:val="20"/>
          <w:sz w:val="72"/>
          <w:szCs w:val="72"/>
        </w:rPr>
        <w:t>施工招标文件</w:t>
      </w: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（第1.2.3.4.5.6标段)</w:t>
      </w:r>
    </w:p>
    <w:p>
      <w:pPr>
        <w:pStyle w:val="2"/>
        <w:ind w:firstLine="2249" w:firstLineChars="800"/>
        <w:rPr>
          <w:rFonts w:hint="eastAsia" w:eastAsia="宋体"/>
          <w:lang w:val="en-US" w:eastAsia="zh-CN"/>
        </w:rPr>
      </w:pPr>
      <w:r>
        <w:rPr>
          <w:rFonts w:hint="eastAsia" w:ascii="仿宋" w:hAnsi="仿宋" w:eastAsia="仿宋" w:cs="仿宋"/>
          <w:b/>
          <w:bCs/>
          <w:sz w:val="28"/>
          <w:szCs w:val="28"/>
          <w:lang w:val="en-US" w:eastAsia="zh-CN"/>
        </w:rPr>
        <w:t>项目编号：</w:t>
      </w:r>
      <w:r>
        <w:rPr>
          <w:rFonts w:ascii="宋体" w:hAnsi="宋体" w:cs="宋体"/>
          <w:b/>
          <w:bCs/>
          <w:sz w:val="30"/>
          <w:szCs w:val="30"/>
        </w:rPr>
        <w:t>XCGC-</w:t>
      </w:r>
      <w:r>
        <w:rPr>
          <w:rFonts w:hint="eastAsia" w:ascii="宋体" w:hAnsi="宋体" w:cs="宋体"/>
          <w:b/>
          <w:bCs/>
          <w:sz w:val="30"/>
          <w:szCs w:val="30"/>
          <w:lang w:val="en-US" w:eastAsia="zh-CN"/>
        </w:rPr>
        <w:t>S2019001号</w:t>
      </w:r>
    </w:p>
    <w:p>
      <w:pPr>
        <w:spacing w:line="360" w:lineRule="auto"/>
        <w:jc w:val="center"/>
        <w:rPr>
          <w:rFonts w:ascii="仿宋" w:hAnsi="仿宋" w:eastAsia="仿宋" w:cs="仿宋"/>
          <w:b/>
          <w:bCs/>
          <w:spacing w:val="20"/>
          <w:sz w:val="56"/>
          <w:szCs w:val="72"/>
        </w:rPr>
      </w:pPr>
    </w:p>
    <w:p>
      <w:pPr>
        <w:spacing w:line="360" w:lineRule="auto"/>
        <w:jc w:val="center"/>
        <w:rPr>
          <w:rFonts w:ascii="仿宋" w:hAnsi="仿宋" w:eastAsia="仿宋" w:cs="仿宋"/>
          <w:b/>
          <w:bCs/>
          <w:spacing w:val="20"/>
          <w:sz w:val="56"/>
          <w:szCs w:val="72"/>
        </w:rPr>
      </w:pPr>
      <w:r>
        <w:rPr>
          <w:rFonts w:hint="eastAsia" w:ascii="黑体" w:hAnsi="宋体" w:eastAsia="黑体"/>
          <w:b/>
          <w:bCs/>
          <w:sz w:val="36"/>
          <w:szCs w:val="36"/>
        </w:rPr>
        <w:drawing>
          <wp:anchor distT="0" distB="0" distL="114300" distR="114300" simplePos="0" relativeHeight="251660288" behindDoc="1" locked="0" layoutInCell="1" allowOverlap="1">
            <wp:simplePos x="0" y="0"/>
            <wp:positionH relativeFrom="column">
              <wp:posOffset>2114550</wp:posOffset>
            </wp:positionH>
            <wp:positionV relativeFrom="paragraph">
              <wp:posOffset>236855</wp:posOffset>
            </wp:positionV>
            <wp:extent cx="1879600" cy="3289300"/>
            <wp:effectExtent l="0" t="0" r="6350" b="6350"/>
            <wp:wrapNone/>
            <wp:docPr id="6"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标志-清晰版1"/>
                    <pic:cNvPicPr>
                      <a:picLocks noChangeAspect="1"/>
                    </pic:cNvPicPr>
                  </pic:nvPicPr>
                  <pic:blipFill>
                    <a:blip r:embed="rId6" cstate="print"/>
                    <a:stretch>
                      <a:fillRect/>
                    </a:stretch>
                  </pic:blipFill>
                  <pic:spPr>
                    <a:xfrm>
                      <a:off x="0" y="0"/>
                      <a:ext cx="1879600" cy="3289300"/>
                    </a:xfrm>
                    <a:prstGeom prst="rect">
                      <a:avLst/>
                    </a:prstGeom>
                    <a:noFill/>
                    <a:ln w="9525">
                      <a:noFill/>
                    </a:ln>
                  </pic:spPr>
                </pic:pic>
              </a:graphicData>
            </a:graphic>
          </wp:anchor>
        </w:drawing>
      </w:r>
    </w:p>
    <w:p>
      <w:pPr>
        <w:spacing w:line="360" w:lineRule="auto"/>
        <w:rPr>
          <w:rFonts w:ascii="仿宋" w:hAnsi="仿宋" w:eastAsia="仿宋" w:cs="仿宋"/>
          <w:b/>
          <w:bCs/>
          <w:spacing w:val="20"/>
          <w:sz w:val="56"/>
          <w:szCs w:val="72"/>
        </w:rPr>
      </w:pPr>
    </w:p>
    <w:p>
      <w:pPr>
        <w:spacing w:line="360" w:lineRule="auto"/>
        <w:jc w:val="center"/>
        <w:rPr>
          <w:rFonts w:ascii="仿宋" w:hAnsi="仿宋" w:eastAsia="仿宋" w:cs="仿宋"/>
          <w:b/>
          <w:bCs/>
          <w:spacing w:val="20"/>
          <w:sz w:val="48"/>
          <w:szCs w:val="52"/>
        </w:rPr>
      </w:pPr>
    </w:p>
    <w:p>
      <w:pPr>
        <w:pStyle w:val="2"/>
        <w:ind w:firstLine="1044"/>
        <w:rPr>
          <w:rFonts w:ascii="仿宋" w:hAnsi="仿宋" w:eastAsia="仿宋" w:cs="仿宋"/>
          <w:b/>
          <w:bCs/>
          <w:spacing w:val="20"/>
          <w:sz w:val="48"/>
          <w:szCs w:val="52"/>
        </w:rPr>
      </w:pPr>
    </w:p>
    <w:p/>
    <w:p>
      <w:pPr>
        <w:pStyle w:val="2"/>
      </w:pPr>
    </w:p>
    <w:p>
      <w:pPr>
        <w:rPr>
          <w:rFonts w:ascii="仿宋" w:hAnsi="仿宋" w:eastAsia="仿宋" w:cs="仿宋"/>
          <w:b/>
          <w:bCs/>
          <w:spacing w:val="20"/>
          <w:sz w:val="48"/>
          <w:szCs w:val="52"/>
        </w:rPr>
      </w:pPr>
    </w:p>
    <w:p>
      <w:pPr>
        <w:pStyle w:val="2"/>
        <w:ind w:firstLine="422"/>
        <w:rPr>
          <w:rFonts w:ascii="仿宋" w:hAnsi="仿宋" w:eastAsia="仿宋" w:cs="仿宋"/>
          <w:b/>
        </w:rPr>
      </w:pPr>
    </w:p>
    <w:p>
      <w:pPr>
        <w:spacing w:line="720" w:lineRule="auto"/>
        <w:rPr>
          <w:rFonts w:ascii="仿宋" w:hAnsi="仿宋" w:eastAsia="仿宋" w:cs="仿宋"/>
          <w:b/>
          <w:sz w:val="32"/>
          <w:szCs w:val="22"/>
          <w:lang w:val="zh-CN"/>
        </w:rPr>
      </w:pPr>
      <w:bookmarkStart w:id="0" w:name="_Toc426467363"/>
    </w:p>
    <w:p>
      <w:pPr>
        <w:spacing w:line="480" w:lineRule="auto"/>
        <w:ind w:firstLine="842" w:firstLineChars="262"/>
        <w:jc w:val="left"/>
        <w:rPr>
          <w:rFonts w:ascii="仿宋" w:hAnsi="仿宋" w:eastAsia="仿宋" w:cs="仿宋"/>
          <w:b/>
          <w:sz w:val="32"/>
          <w:lang w:val="zh-CN"/>
        </w:rPr>
      </w:pPr>
      <w:r>
        <w:rPr>
          <w:rFonts w:hint="eastAsia" w:ascii="仿宋" w:hAnsi="仿宋" w:eastAsia="仿宋" w:cs="仿宋"/>
          <w:b/>
          <w:sz w:val="32"/>
          <w:szCs w:val="22"/>
          <w:lang w:val="zh-CN"/>
        </w:rPr>
        <w:t>招</w:t>
      </w:r>
      <w:r>
        <w:rPr>
          <w:rFonts w:hint="eastAsia" w:ascii="仿宋" w:hAnsi="仿宋" w:eastAsia="仿宋" w:cs="仿宋"/>
          <w:b/>
          <w:sz w:val="32"/>
          <w:szCs w:val="22"/>
        </w:rPr>
        <w:t xml:space="preserve"> </w:t>
      </w:r>
      <w:r>
        <w:rPr>
          <w:rFonts w:hint="eastAsia" w:ascii="仿宋" w:hAnsi="仿宋" w:eastAsia="仿宋" w:cs="仿宋"/>
          <w:b/>
          <w:sz w:val="32"/>
          <w:szCs w:val="22"/>
          <w:lang w:val="zh-CN"/>
        </w:rPr>
        <w:t xml:space="preserve">  标   人</w:t>
      </w:r>
      <w:r>
        <w:rPr>
          <w:rFonts w:hint="eastAsia" w:ascii="仿宋" w:hAnsi="仿宋" w:eastAsia="仿宋" w:cs="仿宋"/>
          <w:b/>
          <w:sz w:val="32"/>
          <w:lang w:val="zh-CN"/>
        </w:rPr>
        <w:t>： 鄢陵县发展和改革委员会</w:t>
      </w:r>
    </w:p>
    <w:p>
      <w:pPr>
        <w:spacing w:line="480" w:lineRule="auto"/>
        <w:ind w:firstLine="842" w:firstLineChars="262"/>
        <w:jc w:val="left"/>
        <w:rPr>
          <w:rFonts w:ascii="仿宋" w:hAnsi="仿宋" w:eastAsia="仿宋" w:cs="仿宋"/>
          <w:b/>
          <w:sz w:val="32"/>
        </w:rPr>
      </w:pPr>
      <w:r>
        <w:rPr>
          <w:rFonts w:hint="eastAsia" w:ascii="仿宋" w:hAnsi="仿宋" w:eastAsia="仿宋" w:cs="仿宋"/>
          <w:b/>
          <w:sz w:val="32"/>
          <w:lang w:val="zh-CN"/>
        </w:rPr>
        <w:t>招标代理机构：</w:t>
      </w:r>
      <w:r>
        <w:rPr>
          <w:rFonts w:hint="eastAsia" w:ascii="仿宋" w:hAnsi="仿宋" w:eastAsia="仿宋" w:cs="仿宋"/>
          <w:b/>
          <w:sz w:val="32"/>
        </w:rPr>
        <w:t>中建山河建设工程管理有限责任公司</w:t>
      </w:r>
    </w:p>
    <w:p>
      <w:pPr>
        <w:spacing w:after="468" w:line="480" w:lineRule="auto"/>
        <w:ind w:firstLine="437"/>
        <w:jc w:val="center"/>
        <w:rPr>
          <w:rFonts w:ascii="仿宋" w:hAnsi="仿宋" w:eastAsia="仿宋" w:cs="仿宋"/>
          <w:b/>
          <w:sz w:val="32"/>
          <w:lang w:val="zh-CN"/>
        </w:rPr>
      </w:pPr>
      <w:r>
        <w:rPr>
          <w:rFonts w:hint="eastAsia" w:ascii="仿宋" w:hAnsi="仿宋" w:eastAsia="仿宋" w:cs="仿宋"/>
          <w:b/>
          <w:sz w:val="32"/>
          <w:lang w:val="zh-CN"/>
        </w:rPr>
        <w:t xml:space="preserve">   二〇一</w:t>
      </w:r>
      <w:r>
        <w:rPr>
          <w:rFonts w:hint="eastAsia" w:ascii="仿宋" w:hAnsi="仿宋" w:eastAsia="仿宋" w:cs="仿宋"/>
          <w:b/>
          <w:sz w:val="32"/>
          <w:lang w:val="en-US" w:eastAsia="zh-CN"/>
        </w:rPr>
        <w:t>九</w:t>
      </w:r>
      <w:r>
        <w:rPr>
          <w:rFonts w:hint="eastAsia" w:ascii="仿宋" w:hAnsi="仿宋" w:eastAsia="仿宋" w:cs="仿宋"/>
          <w:b/>
          <w:sz w:val="32"/>
          <w:lang w:val="zh-CN"/>
        </w:rPr>
        <w:t>年</w:t>
      </w:r>
      <w:r>
        <w:rPr>
          <w:rFonts w:hint="eastAsia" w:ascii="仿宋" w:hAnsi="仿宋" w:eastAsia="仿宋" w:cs="仿宋"/>
          <w:b/>
          <w:sz w:val="32"/>
          <w:lang w:val="en-US" w:eastAsia="zh-CN"/>
        </w:rPr>
        <w:t>一</w:t>
      </w:r>
      <w:r>
        <w:rPr>
          <w:rFonts w:hint="eastAsia" w:ascii="仿宋" w:hAnsi="仿宋" w:eastAsia="仿宋" w:cs="仿宋"/>
          <w:b/>
          <w:sz w:val="32"/>
          <w:lang w:val="zh-CN"/>
        </w:rPr>
        <w:t>月</w:t>
      </w:r>
    </w:p>
    <w:p>
      <w:pPr>
        <w:spacing w:after="468" w:line="540" w:lineRule="exact"/>
        <w:rPr>
          <w:rFonts w:ascii="宋体" w:hAnsi="宋体"/>
          <w:b/>
          <w:sz w:val="52"/>
          <w:lang w:val="zh-CN"/>
        </w:rPr>
      </w:pPr>
    </w:p>
    <w:p>
      <w:pPr>
        <w:spacing w:after="468" w:line="540" w:lineRule="exact"/>
        <w:ind w:firstLine="3654" w:firstLineChars="700"/>
        <w:rPr>
          <w:rFonts w:ascii="宋体" w:hAnsi="宋体"/>
          <w:b/>
          <w:sz w:val="52"/>
          <w:lang w:val="zh-CN"/>
        </w:rPr>
      </w:pPr>
      <w:r>
        <w:rPr>
          <w:rFonts w:hint="eastAsia" w:ascii="宋体" w:hAnsi="宋体"/>
          <w:b/>
          <w:sz w:val="52"/>
          <w:lang w:val="zh-CN"/>
        </w:rPr>
        <w:t>目  录</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第一章  招标公告</w:t>
      </w:r>
      <w:r>
        <w:rPr>
          <w:rFonts w:hint="eastAsia" w:ascii="黑体" w:hAnsi="黑体" w:eastAsia="黑体"/>
          <w:sz w:val="24"/>
          <w:szCs w:val="24"/>
          <w:lang w:val="zh-CN"/>
        </w:rPr>
        <w:tab/>
      </w:r>
      <w:r>
        <w:rPr>
          <w:rFonts w:hint="eastAsia" w:ascii="黑体" w:hAnsi="黑体" w:eastAsia="黑体"/>
          <w:sz w:val="24"/>
          <w:szCs w:val="24"/>
          <w:lang w:val="zh-CN"/>
        </w:rPr>
        <w:t>3</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第二章</w:t>
      </w:r>
      <w:r>
        <w:rPr>
          <w:rFonts w:eastAsia="Times New Roman"/>
          <w:sz w:val="24"/>
          <w:szCs w:val="24"/>
        </w:rPr>
        <w:t xml:space="preserve">  </w:t>
      </w:r>
      <w:r>
        <w:rPr>
          <w:rFonts w:hint="eastAsia" w:ascii="黑体" w:hAnsi="黑体" w:eastAsia="黑体"/>
          <w:sz w:val="24"/>
          <w:szCs w:val="24"/>
          <w:lang w:val="zh-CN"/>
        </w:rPr>
        <w:t>投标人须知</w:t>
      </w:r>
      <w:r>
        <w:rPr>
          <w:rFonts w:hint="eastAsia" w:ascii="黑体" w:hAnsi="黑体" w:eastAsia="黑体"/>
          <w:sz w:val="24"/>
          <w:szCs w:val="24"/>
          <w:lang w:val="zh-CN"/>
        </w:rPr>
        <w:tab/>
      </w:r>
      <w:r>
        <w:rPr>
          <w:rFonts w:hint="eastAsia" w:ascii="黑体" w:hAnsi="黑体" w:eastAsia="黑体"/>
          <w:sz w:val="24"/>
          <w:szCs w:val="24"/>
          <w:lang w:val="zh-CN"/>
        </w:rPr>
        <w:t>8</w:t>
      </w:r>
    </w:p>
    <w:p>
      <w:pPr>
        <w:tabs>
          <w:tab w:val="right" w:leader="dot" w:pos="9060"/>
        </w:tabs>
        <w:spacing w:line="480" w:lineRule="auto"/>
        <w:ind w:left="420"/>
        <w:rPr>
          <w:sz w:val="24"/>
          <w:szCs w:val="24"/>
        </w:rPr>
      </w:pPr>
      <w:r>
        <w:rPr>
          <w:rFonts w:hint="eastAsia" w:ascii="黑体" w:hAnsi="黑体" w:eastAsia="黑体"/>
          <w:sz w:val="24"/>
          <w:szCs w:val="24"/>
          <w:lang w:val="zh-CN"/>
        </w:rPr>
        <w:t>第三章</w:t>
      </w:r>
      <w:r>
        <w:rPr>
          <w:rFonts w:eastAsia="Times New Roman"/>
          <w:sz w:val="24"/>
          <w:szCs w:val="24"/>
        </w:rPr>
        <w:t xml:space="preserve">  </w:t>
      </w:r>
      <w:r>
        <w:rPr>
          <w:rFonts w:hint="eastAsia" w:ascii="黑体" w:hAnsi="黑体" w:eastAsia="黑体"/>
          <w:sz w:val="24"/>
          <w:szCs w:val="24"/>
          <w:lang w:val="zh-CN"/>
        </w:rPr>
        <w:t>评标办法（综合评估法）</w:t>
      </w:r>
      <w:r>
        <w:rPr>
          <w:rFonts w:hint="eastAsia" w:ascii="黑体" w:hAnsi="黑体" w:eastAsia="黑体"/>
          <w:sz w:val="24"/>
          <w:szCs w:val="24"/>
          <w:lang w:val="zh-CN"/>
        </w:rPr>
        <w:tab/>
      </w:r>
      <w:r>
        <w:rPr>
          <w:rFonts w:hint="eastAsia"/>
          <w:sz w:val="24"/>
          <w:szCs w:val="24"/>
        </w:rPr>
        <w:t>31</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第四章  合同条款及格式</w:t>
      </w:r>
      <w:r>
        <w:rPr>
          <w:rFonts w:hint="eastAsia" w:ascii="黑体" w:hAnsi="黑体" w:eastAsia="黑体"/>
          <w:sz w:val="24"/>
          <w:szCs w:val="24"/>
          <w:lang w:val="zh-CN"/>
        </w:rPr>
        <w:tab/>
      </w:r>
      <w:r>
        <w:rPr>
          <w:rFonts w:hint="eastAsia" w:ascii="黑体" w:hAnsi="黑体" w:eastAsia="黑体"/>
          <w:sz w:val="24"/>
          <w:szCs w:val="24"/>
          <w:lang w:val="zh-CN"/>
        </w:rPr>
        <w:t>44</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第五章  工程量清单</w:t>
      </w:r>
      <w:r>
        <w:rPr>
          <w:rFonts w:hint="eastAsia" w:ascii="黑体" w:hAnsi="黑体" w:eastAsia="黑体"/>
          <w:sz w:val="24"/>
          <w:szCs w:val="24"/>
          <w:lang w:val="zh-CN"/>
        </w:rPr>
        <w:tab/>
      </w:r>
      <w:r>
        <w:rPr>
          <w:rFonts w:hint="eastAsia" w:ascii="黑体" w:hAnsi="黑体" w:eastAsia="黑体"/>
          <w:sz w:val="24"/>
          <w:szCs w:val="24"/>
          <w:lang w:val="zh-CN"/>
        </w:rPr>
        <w:t>45</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第六章</w:t>
      </w:r>
      <w:r>
        <w:rPr>
          <w:rFonts w:ascii="黑体" w:hAnsi="黑体" w:eastAsia="黑体"/>
          <w:sz w:val="24"/>
          <w:szCs w:val="24"/>
          <w:lang w:val="zh-CN"/>
        </w:rPr>
        <w:t xml:space="preserve">  </w:t>
      </w:r>
      <w:r>
        <w:rPr>
          <w:rFonts w:hint="eastAsia" w:ascii="黑体" w:hAnsi="黑体" w:eastAsia="黑体"/>
          <w:sz w:val="24"/>
          <w:szCs w:val="24"/>
          <w:lang w:val="zh-CN"/>
        </w:rPr>
        <w:t>图纸</w:t>
      </w:r>
      <w:r>
        <w:rPr>
          <w:rFonts w:hint="eastAsia" w:ascii="黑体" w:hAnsi="黑体" w:eastAsia="黑体"/>
          <w:sz w:val="24"/>
          <w:szCs w:val="24"/>
          <w:lang w:val="zh-CN"/>
        </w:rPr>
        <w:tab/>
      </w:r>
      <w:r>
        <w:rPr>
          <w:rFonts w:hint="eastAsia" w:ascii="黑体" w:hAnsi="黑体" w:eastAsia="黑体"/>
          <w:sz w:val="24"/>
          <w:szCs w:val="24"/>
          <w:lang w:val="zh-CN"/>
        </w:rPr>
        <w:t>47</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第七章</w:t>
      </w:r>
      <w:r>
        <w:rPr>
          <w:rFonts w:ascii="黑体" w:hAnsi="黑体" w:eastAsia="黑体"/>
          <w:sz w:val="24"/>
          <w:szCs w:val="24"/>
          <w:lang w:val="zh-CN"/>
        </w:rPr>
        <w:t xml:space="preserve">  </w:t>
      </w:r>
      <w:r>
        <w:rPr>
          <w:rFonts w:hint="eastAsia" w:ascii="黑体" w:hAnsi="黑体" w:eastAsia="黑体"/>
          <w:sz w:val="24"/>
          <w:szCs w:val="24"/>
          <w:lang w:val="zh-CN"/>
        </w:rPr>
        <w:t>技术标准和要求</w:t>
      </w:r>
      <w:r>
        <w:rPr>
          <w:rFonts w:hint="eastAsia" w:ascii="黑体" w:hAnsi="黑体" w:eastAsia="黑体"/>
          <w:sz w:val="24"/>
          <w:szCs w:val="24"/>
          <w:lang w:val="zh-CN"/>
        </w:rPr>
        <w:tab/>
      </w:r>
      <w:r>
        <w:rPr>
          <w:rFonts w:hint="eastAsia" w:ascii="黑体" w:hAnsi="黑体" w:eastAsia="黑体"/>
          <w:sz w:val="24"/>
          <w:szCs w:val="24"/>
          <w:lang w:val="zh-CN"/>
        </w:rPr>
        <w:t>48</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第八章</w:t>
      </w:r>
      <w:r>
        <w:rPr>
          <w:rFonts w:ascii="黑体" w:hAnsi="黑体" w:eastAsia="黑体"/>
          <w:sz w:val="24"/>
          <w:szCs w:val="24"/>
          <w:lang w:val="zh-CN"/>
        </w:rPr>
        <w:t xml:space="preserve">  </w:t>
      </w:r>
      <w:r>
        <w:rPr>
          <w:rFonts w:hint="eastAsia" w:ascii="黑体" w:hAnsi="黑体" w:eastAsia="黑体"/>
          <w:sz w:val="24"/>
          <w:szCs w:val="24"/>
          <w:lang w:val="zh-CN"/>
        </w:rPr>
        <w:t>投标文件格式</w:t>
      </w:r>
      <w:r>
        <w:rPr>
          <w:rFonts w:hint="eastAsia" w:ascii="黑体" w:hAnsi="黑体" w:eastAsia="黑体"/>
          <w:sz w:val="24"/>
          <w:szCs w:val="24"/>
          <w:lang w:val="zh-CN"/>
        </w:rPr>
        <w:tab/>
      </w:r>
      <w:r>
        <w:rPr>
          <w:rFonts w:hint="eastAsia" w:ascii="黑体" w:hAnsi="黑体" w:eastAsia="黑体"/>
          <w:sz w:val="24"/>
          <w:szCs w:val="24"/>
          <w:lang w:val="zh-CN"/>
        </w:rPr>
        <w:t>49</w:t>
      </w:r>
    </w:p>
    <w:p>
      <w:pPr>
        <w:jc w:val="left"/>
        <w:rPr>
          <w:rFonts w:eastAsia="Times New Roman"/>
        </w:rPr>
      </w:pPr>
    </w:p>
    <w:bookmarkEnd w:id="0"/>
    <w:p>
      <w:pPr>
        <w:pStyle w:val="19"/>
        <w:spacing w:before="0" w:line="360" w:lineRule="auto"/>
        <w:rPr>
          <w:rFonts w:ascii="黑体" w:hAnsi="黑体"/>
          <w:sz w:val="32"/>
          <w:lang w:val="zh-CN"/>
        </w:rPr>
      </w:pPr>
    </w:p>
    <w:p/>
    <w:p/>
    <w:p/>
    <w:p/>
    <w:p/>
    <w:p/>
    <w:p/>
    <w:p/>
    <w:p>
      <w:pPr>
        <w:widowControl/>
        <w:jc w:val="left"/>
      </w:pPr>
      <w:r>
        <w:br w:type="page"/>
      </w:r>
    </w:p>
    <w:p>
      <w:pPr>
        <w:pStyle w:val="19"/>
        <w:spacing w:before="0" w:line="360" w:lineRule="auto"/>
        <w:jc w:val="center"/>
        <w:rPr>
          <w:rFonts w:ascii="仿宋_GB2312" w:hAnsi="宋体" w:eastAsia="仿宋_GB2312"/>
          <w:b/>
          <w:sz w:val="48"/>
          <w:szCs w:val="48"/>
        </w:rPr>
      </w:pPr>
      <w:r>
        <w:rPr>
          <w:rFonts w:hint="eastAsia" w:ascii="仿宋_GB2312" w:hAnsi="宋体" w:eastAsia="仿宋_GB2312"/>
          <w:b/>
          <w:sz w:val="48"/>
          <w:szCs w:val="48"/>
        </w:rPr>
        <w:t>第一章招标公告</w:t>
      </w:r>
    </w:p>
    <w:p>
      <w:pPr>
        <w:spacing w:line="360" w:lineRule="auto"/>
        <w:jc w:val="center"/>
        <w:rPr>
          <w:rFonts w:ascii="宋体" w:hAnsi="宋体" w:cs="宋体"/>
          <w:b/>
          <w:bCs/>
          <w:sz w:val="30"/>
          <w:szCs w:val="30"/>
        </w:rPr>
      </w:pPr>
      <w:r>
        <w:rPr>
          <w:rFonts w:ascii="宋体" w:hAnsi="宋体" w:cs="宋体"/>
          <w:b/>
          <w:bCs/>
          <w:sz w:val="30"/>
          <w:szCs w:val="30"/>
        </w:rPr>
        <w:t>XCGC-</w:t>
      </w:r>
      <w:r>
        <w:rPr>
          <w:rFonts w:hint="eastAsia" w:ascii="宋体" w:hAnsi="宋体" w:cs="宋体"/>
          <w:b/>
          <w:bCs/>
          <w:sz w:val="30"/>
          <w:szCs w:val="30"/>
        </w:rPr>
        <w:t xml:space="preserve"> </w:t>
      </w:r>
      <w:r>
        <w:rPr>
          <w:rFonts w:hint="eastAsia" w:ascii="宋体" w:hAnsi="宋体" w:cs="宋体"/>
          <w:b/>
          <w:bCs/>
          <w:sz w:val="30"/>
          <w:szCs w:val="30"/>
          <w:lang w:val="en-US" w:eastAsia="zh-CN"/>
        </w:rPr>
        <w:t>S2019001</w:t>
      </w:r>
      <w:r>
        <w:rPr>
          <w:rFonts w:hint="eastAsia" w:ascii="宋体" w:hAnsi="宋体" w:cs="宋体"/>
          <w:b/>
          <w:bCs/>
          <w:sz w:val="30"/>
          <w:szCs w:val="30"/>
          <w:lang w:eastAsia="zh-CN"/>
        </w:rPr>
        <w:t>号</w:t>
      </w:r>
      <w:r>
        <w:rPr>
          <w:rFonts w:hint="eastAsia" w:ascii="宋体" w:hAnsi="宋体" w:cs="宋体"/>
          <w:b/>
          <w:bCs/>
          <w:sz w:val="30"/>
          <w:szCs w:val="30"/>
        </w:rPr>
        <w:t>鄢陵县发展和改革委员会“全国新增500亿公斤粮食生产能力规划鄢陵县2018年田间工程建设项目”招标公告</w:t>
      </w:r>
    </w:p>
    <w:p>
      <w:pPr>
        <w:spacing w:line="360" w:lineRule="auto"/>
        <w:rPr>
          <w:rFonts w:asciiTheme="minorEastAsia" w:hAnsiTheme="minorEastAsia" w:eastAsiaTheme="minorEastAsia"/>
          <w:b/>
          <w:szCs w:val="21"/>
        </w:rPr>
      </w:pPr>
      <w:r>
        <w:rPr>
          <w:rFonts w:asciiTheme="minorEastAsia" w:hAnsiTheme="minorEastAsia" w:eastAsiaTheme="minorEastAsia"/>
          <w:b/>
          <w:szCs w:val="21"/>
        </w:rPr>
        <w:t xml:space="preserve">1. </w:t>
      </w:r>
      <w:r>
        <w:rPr>
          <w:rFonts w:hint="eastAsia" w:asciiTheme="minorEastAsia" w:hAnsiTheme="minorEastAsia" w:eastAsiaTheme="minorEastAsia"/>
          <w:b/>
          <w:szCs w:val="21"/>
        </w:rPr>
        <w:t>招标条件</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本招标项目全国新增500亿公斤粮食生产能力规划鄢陵县2018年田间工程建设项目已由许昌市发展和改革委员会以许发改投资【2018】65号批准建设，建设资金来自中央投资及地方配套资金 ，出资比例100%。招标人为鄢陵县发展和改革委员会，项目已具备招标条件，现对该项目进行公开招标。</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2.项目概况与招标范围</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2.1工程名称：全国新增500亿公斤粮食生产能力规划鄢陵县2018年田间工程建设项目</w:t>
      </w:r>
    </w:p>
    <w:p>
      <w:pPr>
        <w:spacing w:line="360" w:lineRule="auto"/>
        <w:ind w:firstLine="495" w:firstLineChars="236"/>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2.2工程编号：XCGC-</w:t>
      </w:r>
      <w:r>
        <w:rPr>
          <w:rFonts w:hint="eastAsia" w:asciiTheme="minorEastAsia" w:hAnsiTheme="minorEastAsia" w:eastAsiaTheme="minorEastAsia"/>
          <w:szCs w:val="21"/>
          <w:lang w:val="en-US" w:eastAsia="zh-CN"/>
        </w:rPr>
        <w:t>S2019001号</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2.3工程规模及地点：项目建设规模666.67hm2（合10000亩），涉及到只乐镇的东店村、罗寨村、崔庄村、王庄村和后社村5个行政村。</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2.4项目总投资：14216870.96元；</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2.5施工招标范围：本项目招标文件、施工图纸及工程量清单范围内全部内容；</w:t>
      </w:r>
    </w:p>
    <w:p>
      <w:pPr>
        <w:spacing w:line="360" w:lineRule="auto"/>
        <w:ind w:firstLine="810" w:firstLineChars="386"/>
        <w:rPr>
          <w:rFonts w:asciiTheme="minorEastAsia" w:hAnsiTheme="minorEastAsia" w:eastAsiaTheme="minorEastAsia"/>
          <w:szCs w:val="21"/>
        </w:rPr>
      </w:pPr>
      <w:r>
        <w:rPr>
          <w:rFonts w:hint="eastAsia" w:asciiTheme="minorEastAsia" w:hAnsiTheme="minorEastAsia" w:eastAsiaTheme="minorEastAsia"/>
          <w:szCs w:val="21"/>
        </w:rPr>
        <w:t>监理招标范围：本工程的施工阶段及保修阶段全过程的监理服务；</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2.6施工工期：90日历天/标段；监理服务期：同施工工期；</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2.7质量要求：合格。</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2.8标段划分及招标控制价：本项目共12段</w:t>
      </w:r>
    </w:p>
    <w:tbl>
      <w:tblPr>
        <w:tblStyle w:val="18"/>
        <w:tblW w:w="9286" w:type="dxa"/>
        <w:tblInd w:w="0" w:type="dxa"/>
        <w:tblLayout w:type="fixed"/>
        <w:tblCellMar>
          <w:top w:w="0" w:type="dxa"/>
          <w:left w:w="108" w:type="dxa"/>
          <w:bottom w:w="0" w:type="dxa"/>
          <w:right w:w="108" w:type="dxa"/>
        </w:tblCellMar>
      </w:tblPr>
      <w:tblGrid>
        <w:gridCol w:w="958"/>
        <w:gridCol w:w="2654"/>
        <w:gridCol w:w="4010"/>
        <w:gridCol w:w="1664"/>
      </w:tblGrid>
      <w:tr>
        <w:tblPrEx>
          <w:tblLayout w:type="fixed"/>
          <w:tblCellMar>
            <w:top w:w="0" w:type="dxa"/>
            <w:left w:w="108" w:type="dxa"/>
            <w:bottom w:w="0" w:type="dxa"/>
            <w:right w:w="108" w:type="dxa"/>
          </w:tblCellMar>
        </w:tblPrEx>
        <w:trPr>
          <w:trHeight w:val="555"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标段</w:t>
            </w:r>
          </w:p>
        </w:tc>
        <w:tc>
          <w:tcPr>
            <w:tcW w:w="2654"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内容</w:t>
            </w:r>
          </w:p>
        </w:tc>
        <w:tc>
          <w:tcPr>
            <w:tcW w:w="401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主要内容</w:t>
            </w:r>
          </w:p>
        </w:tc>
        <w:tc>
          <w:tcPr>
            <w:tcW w:w="1664"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控制价（元）</w:t>
            </w:r>
          </w:p>
        </w:tc>
      </w:tr>
      <w:tr>
        <w:tblPrEx>
          <w:tblLayout w:type="fixed"/>
          <w:tblCellMar>
            <w:top w:w="0" w:type="dxa"/>
            <w:left w:w="108" w:type="dxa"/>
            <w:bottom w:w="0" w:type="dxa"/>
            <w:right w:w="108" w:type="dxa"/>
          </w:tblCellMar>
        </w:tblPrEx>
        <w:trPr>
          <w:trHeight w:val="555"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机井工程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新打机井93眼，井深40米，井管内径400mm，其中罗寨村65眼、崔庄村28眼。</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1194027.00</w:t>
            </w:r>
          </w:p>
        </w:tc>
      </w:tr>
      <w:tr>
        <w:tblPrEx>
          <w:tblLayout w:type="fixed"/>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机井工程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新打机井9</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眼，井深40米，井管内径400mm，其中东店村72眼、王庄村11眼、后社村12眼。</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1219705.00</w:t>
            </w:r>
          </w:p>
        </w:tc>
      </w:tr>
      <w:tr>
        <w:tblPrEx>
          <w:tblLayout w:type="fixed"/>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桥涵沟渠、变压器房、标志牌、栽树工程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单跨4m净宽4.5m深1.5m生产桥6座；单跨4m净宽4.5m深2m生产桥1座；单跨2m净宽4.5m深0.8m板涵1座；单跨3m净宽4.5m深1.3m板涵1座；规划疏浚排水沟1条4789米；配电房15间；项目区各种标志牌；栽植白蜡2500株，栽植栾树2500株。</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785181.54</w:t>
            </w:r>
          </w:p>
        </w:tc>
      </w:tr>
      <w:tr>
        <w:tblPrEx>
          <w:tblLayout w:type="fixed"/>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机耕路工程</w:t>
            </w:r>
          </w:p>
        </w:tc>
        <w:tc>
          <w:tcPr>
            <w:tcW w:w="4010" w:type="dxa"/>
            <w:tcBorders>
              <w:top w:val="nil"/>
              <w:left w:val="nil"/>
              <w:bottom w:val="nil"/>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规划机耕路1、2、11，新修4米宽混凝土机耕路共计3367米。</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2005636.54</w:t>
            </w:r>
          </w:p>
        </w:tc>
      </w:tr>
      <w:tr>
        <w:tblPrEx>
          <w:tblLayout w:type="fixed"/>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机耕路工程</w:t>
            </w:r>
          </w:p>
        </w:tc>
        <w:tc>
          <w:tcPr>
            <w:tcW w:w="401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规划机耕路3、4、5，新修4米宽混凝土机耕路共计2593米。</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1544584.52</w:t>
            </w:r>
          </w:p>
        </w:tc>
      </w:tr>
      <w:tr>
        <w:tblPrEx>
          <w:tblLayout w:type="fixed"/>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机耕路工程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规划机耕路6、7、8、9、10，新修4米宽混凝土机耕路共计3175米。</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1891267.53</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输水工程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购置、敷设地埋管道28650米及管道附件购置安装；安装给水栓764座。</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1189490.70</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地埋线采购及安装工程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购置、铺设YJLV22 0.6/1KV 3*25+1*16mm2低压电缆敷设74946米。</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1264938.59</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9标段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机井配套及安装工程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配套设备191套（含潜水泵、防水电缆、上水钢管等附件）。</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836933.35</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电力配套工程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变压器台区15个</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791958.70</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11标段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玻璃钢井柜工程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C25砼井台191个；玻璃钢井柜191套。</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1313147.49</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12标段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监理服务</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本工程的施工阶段及保修阶段全过程的监理服务</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180000.00</w:t>
            </w:r>
          </w:p>
        </w:tc>
      </w:tr>
    </w:tbl>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3.投标人资格要求</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3.1 本次招标要求投标人须具备独立法人资格，良好的财务状况，良好的社会信誉。并同时具备以下条件：</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第一、二标段：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1、投标人须具有水利水电施工总承包三级及以上资质和水井施工三级及以上资质，具有有效的安全生产合格证；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2、项目经理须具备水井施工项目经理岗位证和安全生产考核合格证，且未担任其它在施建设工程项目的项目经理；</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第三标段：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1、投标人须具有水利水电工程或市政</w:t>
      </w:r>
      <w:r>
        <w:rPr>
          <w:rFonts w:hint="eastAsia" w:asciiTheme="minorEastAsia" w:hAnsiTheme="minorEastAsia" w:eastAsiaTheme="minorEastAsia"/>
          <w:szCs w:val="21"/>
          <w:lang w:val="en-US" w:eastAsia="zh-CN"/>
        </w:rPr>
        <w:t>公用</w:t>
      </w:r>
      <w:r>
        <w:rPr>
          <w:rFonts w:hint="eastAsia" w:asciiTheme="minorEastAsia" w:hAnsiTheme="minorEastAsia" w:eastAsiaTheme="minorEastAsia"/>
          <w:szCs w:val="21"/>
        </w:rPr>
        <w:t>工程施工总承包三级及以上资质，具有有效的安全生产合格证；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2、项目经理具有水利水电或市政</w:t>
      </w:r>
      <w:r>
        <w:rPr>
          <w:rFonts w:hint="eastAsia" w:asciiTheme="minorEastAsia" w:hAnsiTheme="minorEastAsia" w:eastAsiaTheme="minorEastAsia"/>
          <w:szCs w:val="21"/>
          <w:lang w:val="en-US" w:eastAsia="zh-CN"/>
        </w:rPr>
        <w:t>公用</w:t>
      </w:r>
      <w:r>
        <w:rPr>
          <w:rFonts w:hint="eastAsia" w:asciiTheme="minorEastAsia" w:hAnsiTheme="minorEastAsia" w:eastAsiaTheme="minorEastAsia"/>
          <w:szCs w:val="21"/>
        </w:rPr>
        <w:t>工程专业二级及以上注册建造师证（不含临时），并具有有效安全生产考核合格证，且未担任其它在施建设工程项目的项目经理；</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第四、五、六标段：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1、投标人须具有水利水电工程或公路工程或市政</w:t>
      </w:r>
      <w:r>
        <w:rPr>
          <w:rFonts w:hint="eastAsia" w:asciiTheme="minorEastAsia" w:hAnsiTheme="minorEastAsia" w:eastAsiaTheme="minorEastAsia"/>
          <w:szCs w:val="21"/>
          <w:lang w:val="en-US" w:eastAsia="zh-CN"/>
        </w:rPr>
        <w:t>公用</w:t>
      </w:r>
      <w:r>
        <w:rPr>
          <w:rFonts w:hint="eastAsia" w:asciiTheme="minorEastAsia" w:hAnsiTheme="minorEastAsia" w:eastAsiaTheme="minorEastAsia"/>
          <w:szCs w:val="21"/>
        </w:rPr>
        <w:t>工程施工总承包三级及以上资质，具有有效的安全生产合格证；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2、项目经理具有水利水电工程专业二级或公路工程专业二级或市政</w:t>
      </w:r>
      <w:r>
        <w:rPr>
          <w:rFonts w:hint="eastAsia" w:asciiTheme="minorEastAsia" w:hAnsiTheme="minorEastAsia" w:eastAsiaTheme="minorEastAsia"/>
          <w:szCs w:val="21"/>
          <w:lang w:val="en-US" w:eastAsia="zh-CN"/>
        </w:rPr>
        <w:t>公用</w:t>
      </w:r>
      <w:r>
        <w:rPr>
          <w:rFonts w:hint="eastAsia" w:asciiTheme="minorEastAsia" w:hAnsiTheme="minorEastAsia" w:eastAsiaTheme="minorEastAsia"/>
          <w:szCs w:val="21"/>
        </w:rPr>
        <w:t>工程专业二级及以上注册建造师证（不含临时），并具有有效安全生产考核合格证，且未担任其它在施建设工程项目的项目经理；</w:t>
      </w:r>
    </w:p>
    <w:p>
      <w:pPr>
        <w:pStyle w:val="2"/>
        <w:ind w:left="0" w:leftChars="0" w:firstLine="527" w:firstLineChars="250"/>
        <w:rPr>
          <w:rFonts w:asciiTheme="minorEastAsia" w:hAnsiTheme="minorEastAsia" w:eastAsiaTheme="minorEastAsia"/>
          <w:b/>
          <w:szCs w:val="21"/>
        </w:rPr>
      </w:pPr>
      <w:r>
        <w:rPr>
          <w:rFonts w:hint="eastAsia" w:asciiTheme="minorEastAsia" w:hAnsiTheme="minorEastAsia" w:eastAsiaTheme="minorEastAsia"/>
          <w:b/>
          <w:szCs w:val="21"/>
        </w:rPr>
        <w:t>第七标段：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1、投标人须具有水利水电工程</w:t>
      </w:r>
      <w:r>
        <w:rPr>
          <w:rFonts w:hint="eastAsia" w:asciiTheme="minorEastAsia" w:hAnsiTheme="minorEastAsia" w:eastAsiaTheme="minorEastAsia"/>
          <w:szCs w:val="21"/>
          <w:lang w:val="en-US" w:eastAsia="zh-CN"/>
        </w:rPr>
        <w:t>或市政公用工程</w:t>
      </w:r>
      <w:r>
        <w:rPr>
          <w:rFonts w:hint="eastAsia" w:asciiTheme="minorEastAsia" w:hAnsiTheme="minorEastAsia" w:eastAsiaTheme="minorEastAsia"/>
          <w:szCs w:val="21"/>
        </w:rPr>
        <w:t>施工总承包三级及以上资质，具有有效的安全生产合格证；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2、项目经理具有水利水电专业二级</w:t>
      </w:r>
      <w:r>
        <w:rPr>
          <w:rFonts w:hint="eastAsia" w:asciiTheme="minorEastAsia" w:hAnsiTheme="minorEastAsia" w:eastAsiaTheme="minorEastAsia"/>
          <w:szCs w:val="21"/>
          <w:lang w:val="en-US" w:eastAsia="zh-CN"/>
        </w:rPr>
        <w:t>或市政公用工程二级</w:t>
      </w:r>
      <w:r>
        <w:rPr>
          <w:rFonts w:hint="eastAsia" w:asciiTheme="minorEastAsia" w:hAnsiTheme="minorEastAsia" w:eastAsiaTheme="minorEastAsia"/>
          <w:szCs w:val="21"/>
        </w:rPr>
        <w:t>及以上注册建造师证（不含临时），并具有有效安全生产考核合格证，且未担任其它在施建设工程项目的项目经理；</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第八、</w:t>
      </w:r>
      <w:r>
        <w:rPr>
          <w:rFonts w:hint="eastAsia" w:asciiTheme="minorEastAsia" w:hAnsiTheme="minorEastAsia" w:eastAsiaTheme="minorEastAsia"/>
          <w:b/>
          <w:szCs w:val="21"/>
          <w:lang w:val="en-US" w:eastAsia="zh-CN"/>
        </w:rPr>
        <w:t>九、</w:t>
      </w:r>
      <w:r>
        <w:rPr>
          <w:rFonts w:hint="eastAsia" w:asciiTheme="minorEastAsia" w:hAnsiTheme="minorEastAsia" w:eastAsiaTheme="minorEastAsia"/>
          <w:b/>
          <w:szCs w:val="21"/>
        </w:rPr>
        <w:t>十一标段：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1、投标人须为投标产品的制造商（含安装）；</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2、投标产品需通过ISO9001认证，具有省级及以上检测部门出具的质量检测报告；</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3、投标人具有良好的企业信誉和完善的售后服务、技术力量及维修措施、负责供货后的安装调试工作；</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第十标段：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1、投标人须具有电力工程施工总承包三级及以上资质或输变电工程（送变电工程）专业承包三级及以上资质，同时具备承装（修、试）电力设施许可证五级及以上资质；具有有效的安全生产合格证；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2、项目负责人须具有机电专业二级以上注册建造师证（不含临时），并具有有效安全生产考核合格证；且未担任其它在施建设工程项目的项目经理；</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第十二标段：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1、投标人须具有水行政主管部门颁发的水利工程施工监理乙级及以上资质或建设主管部门颁发的水利水电工程监理乙级及以上资质；</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2、拟任总监理工程师具有水利或水利水电专业监理工程师资格证书，各专业监理人员配备齐全；</w:t>
      </w:r>
    </w:p>
    <w:p>
      <w:pPr>
        <w:spacing w:line="360" w:lineRule="auto"/>
        <w:ind w:firstLine="498" w:firstLineChars="236"/>
        <w:rPr>
          <w:rFonts w:hint="eastAsia" w:asciiTheme="minorEastAsia" w:hAnsiTheme="minorEastAsia" w:eastAsiaTheme="minorEastAsia"/>
          <w:b/>
          <w:szCs w:val="21"/>
        </w:rPr>
      </w:pPr>
      <w:r>
        <w:rPr>
          <w:rFonts w:hint="eastAsia" w:asciiTheme="minorEastAsia" w:hAnsiTheme="minorEastAsia" w:eastAsiaTheme="minorEastAsia"/>
          <w:b/>
          <w:szCs w:val="21"/>
        </w:rPr>
        <w:t>3.2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3.3投标人可最多对两个标段进行投标，但只可按标段由前至后的顺序中前一个标段。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3.4本项目不接受联合体投标；</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4、投标报名及方式</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4.1投标人持CA数字认证证书，登录《全国公共资源交易平台（河南省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许昌市）》“系统用户注册”入口（</w:t>
      </w:r>
      <w:r>
        <w:rPr>
          <w:rFonts w:hint="eastAsia" w:asciiTheme="minorEastAsia" w:hAnsiTheme="minorEastAsia" w:eastAsiaTheme="minorEastAsia"/>
          <w:szCs w:val="21"/>
        </w:rPr>
        <w:t>http://221.14.6.70:8088/ggzy/eps/public/RegistAllJcxx.html）进行免费注册登记（详见“常见问题解答-诚信库网上注册相关资料下载”）；</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4.2在投标截止时间前登录《全国公共资源交易平台（河南省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许昌市）》“投标人</w:t>
      </w:r>
      <w:r>
        <w:rPr>
          <w:rFonts w:hint="eastAsia" w:asciiTheme="minorEastAsia" w:hAnsiTheme="minorEastAsia" w:eastAsiaTheme="minorEastAsia"/>
          <w:szCs w:val="21"/>
        </w:rPr>
        <w:t>/供应商登录”入口（http://221.14.6.70:8088/ggzy/）自行下载招标文件（详见“常见问题解答-交易系统操作手册”）。</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特别提示：所有投标单位请时刻关注《全国公共资源交易平台（河南省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许昌市）》，该项目所有澄清、修改、答疑、变更均在《全国公共资源交易平台（河南省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许昌市）》发布，不再另行通知。如未及时查看影响其投标，后果自负。</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5. 招标文件、工程量清单和图纸的获取</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5.1招标文件和工程量清单的获取：投标人于投标文件递交截止时间前均可登录【全国公共资源交易平台(河南省</w:t>
      </w:r>
      <w:r>
        <w:rPr>
          <w:rFonts w:hint="eastAsia" w:ascii="MS Mincho" w:hAnsi="MS Mincho" w:eastAsia="MS Mincho" w:cs="MS Mincho"/>
          <w:szCs w:val="21"/>
        </w:rPr>
        <w:t>▪</w:t>
      </w:r>
      <w:r>
        <w:rPr>
          <w:rFonts w:hint="eastAsia" w:cs="宋体" w:asciiTheme="minorEastAsia" w:hAnsiTheme="minorEastAsia" w:eastAsiaTheme="minorEastAsia"/>
          <w:szCs w:val="21"/>
        </w:rPr>
        <w:t>许昌市</w:t>
      </w:r>
      <w:r>
        <w:rPr>
          <w:rFonts w:hint="eastAsia" w:asciiTheme="minorEastAsia" w:hAnsiTheme="minorEastAsia" w:eastAsiaTheme="minorEastAsia"/>
          <w:szCs w:val="21"/>
        </w:rPr>
        <w:t>)】（http://xcggzy.gov.cn/），通过“投标人/供应商登录”入口自行下载。</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5.2施工图纸下载：按照招标文件中第二章投标人须知前附表第2.1项所给的网址自行下载。</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5.3招标文件每套售价1000元，于递交投标文件时缴纳给招标代理机构，售后不退。</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6. 投标文件的递交</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6.1投标文件递交的截止时间及开标时间：201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28</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时30分。（北京时间）</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6.2投标文件递交地点：许昌市公共资源交易中心（许昌市龙兴路竹林路交汇处公共资源大厦三楼）开标</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室。</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6.3逾期送达的或者未送达指定地点的投标文件，招标人不予受理。</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6.4未通过《全国公共资源交易平台（河南省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许昌市）》下载招标文件的投标人，其投标文件将被拒收。</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7. 发布公告的媒介</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本公告同时在《河南省电子招标投标公共服务平台》和《全国公共资源交易平台（河南省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许昌市）》上发布。</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8. 招标人、代理机构及联系方式：</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 xml:space="preserve">招标人：鄢陵县发展和改革委员会  </w:t>
      </w:r>
    </w:p>
    <w:p>
      <w:pPr>
        <w:spacing w:line="360" w:lineRule="auto"/>
        <w:ind w:firstLine="495" w:firstLineChars="236"/>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 xml:space="preserve">地址： </w:t>
      </w:r>
      <w:r>
        <w:rPr>
          <w:rFonts w:hint="eastAsia" w:asciiTheme="minorEastAsia" w:hAnsiTheme="minorEastAsia" w:eastAsiaTheme="minorEastAsia"/>
          <w:szCs w:val="21"/>
          <w:lang w:val="en-US" w:eastAsia="zh-CN"/>
        </w:rPr>
        <w:t>鄢陵县人民政府4楼</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联系人：王先生    电  话 ：0374-7105196</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 xml:space="preserve">招标代理机构：中建山河建设工程管理有限责任公司  </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地址：郑州市金水区经五路与红专路交叉口南50米</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 xml:space="preserve">联系人：郑先生    电  话：13569917698                          </w:t>
      </w:r>
    </w:p>
    <w:p>
      <w:pPr>
        <w:spacing w:line="360" w:lineRule="auto"/>
        <w:ind w:firstLine="495" w:firstLineChars="236"/>
        <w:rPr>
          <w:rFonts w:asciiTheme="minorEastAsia" w:hAnsiTheme="minorEastAsia" w:eastAsiaTheme="minorEastAsia"/>
          <w:szCs w:val="21"/>
        </w:rPr>
      </w:pPr>
    </w:p>
    <w:p>
      <w:pPr>
        <w:spacing w:line="360" w:lineRule="auto"/>
        <w:ind w:firstLine="495" w:firstLineChars="236"/>
        <w:jc w:val="right"/>
        <w:rPr>
          <w:rFonts w:asciiTheme="minorEastAsia" w:hAnsiTheme="minorEastAsia" w:eastAsiaTheme="minorEastAsia"/>
          <w:szCs w:val="21"/>
        </w:rPr>
      </w:pPr>
      <w:r>
        <w:rPr>
          <w:rFonts w:hint="eastAsia" w:asciiTheme="minorEastAsia" w:hAnsiTheme="minorEastAsia" w:eastAsiaTheme="minorEastAsia"/>
          <w:szCs w:val="21"/>
        </w:rPr>
        <w:t>鄢陵县发展和改革委员会</w:t>
      </w:r>
    </w:p>
    <w:p>
      <w:pPr>
        <w:spacing w:line="360" w:lineRule="auto"/>
        <w:ind w:firstLine="495" w:firstLineChars="236"/>
        <w:jc w:val="right"/>
        <w:rPr>
          <w:rFonts w:asciiTheme="minorEastAsia" w:hAnsiTheme="minorEastAsia" w:eastAsiaTheme="minorEastAsia"/>
          <w:szCs w:val="21"/>
        </w:rPr>
      </w:pPr>
      <w:r>
        <w:rPr>
          <w:rFonts w:hint="eastAsia" w:asciiTheme="minorEastAsia" w:hAnsiTheme="minorEastAsia" w:eastAsiaTheme="minorEastAsia"/>
          <w:szCs w:val="21"/>
        </w:rPr>
        <w:t>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3</w:t>
      </w:r>
      <w:bookmarkStart w:id="236" w:name="_GoBack"/>
      <w:bookmarkEnd w:id="236"/>
      <w:r>
        <w:rPr>
          <w:rFonts w:hint="eastAsia" w:asciiTheme="minorEastAsia" w:hAnsiTheme="minorEastAsia" w:eastAsiaTheme="minorEastAsia"/>
          <w:szCs w:val="21"/>
        </w:rPr>
        <w:t xml:space="preserve"> 日 </w:t>
      </w:r>
    </w:p>
    <w:p>
      <w:pPr>
        <w:spacing w:line="360" w:lineRule="exact"/>
        <w:jc w:val="right"/>
        <w:rPr>
          <w:rFonts w:ascii="宋体" w:hAnsi="宋体" w:cs="宋体"/>
          <w:color w:val="FF0000"/>
          <w:kern w:val="0"/>
          <w:sz w:val="24"/>
        </w:rPr>
      </w:pPr>
      <w:r>
        <w:rPr>
          <w:rFonts w:hint="eastAsia" w:ascii="宋体" w:hAnsi="宋体" w:cs="宋体"/>
          <w:kern w:val="0"/>
          <w:sz w:val="24"/>
        </w:rPr>
        <w:t xml:space="preserve"> </w:t>
      </w:r>
    </w:p>
    <w:p/>
    <w:p/>
    <w:p>
      <w:r>
        <w:br w:type="page"/>
      </w:r>
    </w:p>
    <w:p>
      <w:pPr>
        <w:pStyle w:val="19"/>
        <w:numPr>
          <w:ilvl w:val="0"/>
          <w:numId w:val="1"/>
        </w:numPr>
        <w:spacing w:before="0" w:line="360" w:lineRule="auto"/>
        <w:jc w:val="center"/>
        <w:rPr>
          <w:rFonts w:ascii="仿宋_GB2312" w:hAnsi="宋体" w:eastAsia="仿宋_GB2312"/>
          <w:b/>
          <w:sz w:val="48"/>
          <w:szCs w:val="48"/>
        </w:rPr>
      </w:pPr>
      <w:bookmarkStart w:id="1" w:name="_Toc426467364"/>
      <w:r>
        <w:rPr>
          <w:rFonts w:hint="eastAsia" w:ascii="仿宋_GB2312" w:hAnsi="宋体" w:eastAsia="仿宋_GB2312"/>
          <w:b/>
          <w:sz w:val="48"/>
          <w:szCs w:val="48"/>
        </w:rPr>
        <w:t>投标人须知</w:t>
      </w:r>
      <w:bookmarkEnd w:id="1"/>
    </w:p>
    <w:p>
      <w:pPr>
        <w:pStyle w:val="19"/>
        <w:spacing w:before="0" w:line="360" w:lineRule="auto"/>
        <w:rPr>
          <w:rFonts w:asciiTheme="minorEastAsia" w:hAnsiTheme="minorEastAsia" w:eastAsiaTheme="minorEastAsia"/>
          <w:b/>
          <w:sz w:val="24"/>
          <w:szCs w:val="24"/>
        </w:rPr>
      </w:pPr>
      <w:bookmarkStart w:id="2" w:name="_Toc426467365"/>
      <w:r>
        <w:rPr>
          <w:rFonts w:hint="eastAsia" w:ascii="仿宋_GB2312" w:hAnsi="宋体" w:eastAsia="仿宋_GB2312"/>
          <w:b/>
          <w:sz w:val="32"/>
          <w:szCs w:val="32"/>
        </w:rPr>
        <w:t>投标人须</w:t>
      </w:r>
      <w:r>
        <w:rPr>
          <w:rFonts w:hint="eastAsia" w:asciiTheme="minorEastAsia" w:hAnsiTheme="minorEastAsia" w:eastAsiaTheme="minorEastAsia"/>
          <w:b/>
          <w:sz w:val="24"/>
          <w:szCs w:val="24"/>
        </w:rPr>
        <w:t>知前附表</w:t>
      </w:r>
      <w:bookmarkEnd w:id="2"/>
    </w:p>
    <w:tbl>
      <w:tblPr>
        <w:tblStyle w:val="18"/>
        <w:tblW w:w="9829" w:type="dxa"/>
        <w:tblInd w:w="0" w:type="dxa"/>
        <w:tblLayout w:type="fixed"/>
        <w:tblCellMar>
          <w:top w:w="0" w:type="dxa"/>
          <w:left w:w="108" w:type="dxa"/>
          <w:bottom w:w="0" w:type="dxa"/>
          <w:right w:w="108" w:type="dxa"/>
        </w:tblCellMar>
      </w:tblPr>
      <w:tblGrid>
        <w:gridCol w:w="944"/>
        <w:gridCol w:w="55"/>
        <w:gridCol w:w="51"/>
        <w:gridCol w:w="2035"/>
        <w:gridCol w:w="264"/>
        <w:gridCol w:w="6480"/>
      </w:tblGrid>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条款号</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条  款  名  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szCs w:val="24"/>
              </w:rPr>
            </w:pPr>
            <w:r>
              <w:rPr>
                <w:rFonts w:asciiTheme="minorEastAsia" w:hAnsiTheme="minorEastAsia" w:eastAsiaTheme="minorEastAsia"/>
                <w:b/>
                <w:sz w:val="24"/>
                <w:szCs w:val="24"/>
              </w:rPr>
              <w:t>编  列  内  容</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1.1.2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招标人</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3" w:firstLineChars="14"/>
              <w:rPr>
                <w:rFonts w:cs="宋体"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招标人</w:t>
            </w:r>
            <w:r>
              <w:rPr>
                <w:rFonts w:hint="eastAsia" w:cs="宋体" w:asciiTheme="minorEastAsia" w:hAnsiTheme="minorEastAsia" w:eastAsiaTheme="minorEastAsia"/>
                <w:kern w:val="0"/>
                <w:sz w:val="24"/>
                <w:szCs w:val="24"/>
              </w:rPr>
              <w:t xml:space="preserve">：鄢陵县发展和改革委员会  </w:t>
            </w:r>
          </w:p>
          <w:p>
            <w:pPr>
              <w:spacing w:line="360" w:lineRule="auto"/>
              <w:ind w:firstLine="33" w:firstLineChars="14"/>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rPr>
              <w:t>地址：</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鄢陵县人民政府4楼</w:t>
            </w:r>
          </w:p>
          <w:p>
            <w:pPr>
              <w:spacing w:line="360" w:lineRule="auto"/>
              <w:ind w:firstLine="33" w:firstLineChars="14"/>
              <w:rPr>
                <w:rFonts w:cs="宋体" w:asciiTheme="minorEastAsia" w:hAnsiTheme="minorEastAsia" w:eastAsiaTheme="minorEastAsia"/>
                <w:color w:val="FF0000"/>
                <w:kern w:val="0"/>
                <w:sz w:val="24"/>
                <w:szCs w:val="24"/>
              </w:rPr>
            </w:pPr>
            <w:r>
              <w:rPr>
                <w:rFonts w:hint="eastAsia" w:cs="宋体" w:asciiTheme="minorEastAsia" w:hAnsiTheme="minorEastAsia" w:eastAsiaTheme="minorEastAsia"/>
                <w:kern w:val="0"/>
                <w:sz w:val="24"/>
                <w:szCs w:val="24"/>
              </w:rPr>
              <w:t>联系人：</w:t>
            </w:r>
            <w:r>
              <w:rPr>
                <w:rFonts w:hint="eastAsia" w:cs="宋体" w:asciiTheme="minorEastAsia" w:hAnsiTheme="minorEastAsia" w:eastAsiaTheme="minorEastAsia"/>
                <w:kern w:val="0"/>
                <w:sz w:val="24"/>
                <w:szCs w:val="24"/>
                <w:lang w:val="en-US" w:eastAsia="zh-CN"/>
              </w:rPr>
              <w:t>王</w:t>
            </w:r>
            <w:r>
              <w:rPr>
                <w:rFonts w:hint="eastAsia" w:cs="宋体" w:asciiTheme="minorEastAsia" w:hAnsiTheme="minorEastAsia" w:eastAsiaTheme="minorEastAsia"/>
                <w:kern w:val="0"/>
                <w:sz w:val="24"/>
                <w:szCs w:val="24"/>
              </w:rPr>
              <w:t>先生     电  话 ：0374-7105196</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1.1.3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招标代理机构</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招标代理机构：中建山河建设工程管理有限责任公司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地址：郑州市金水区经五路与红专路交叉口南50米</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联系人：郑先生    电  话：13569917698      </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1.1.4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cs="宋体" w:asciiTheme="minorEastAsia" w:hAnsiTheme="minorEastAsia" w:eastAsiaTheme="minorEastAsia"/>
                <w:bCs/>
                <w:sz w:val="24"/>
                <w:szCs w:val="24"/>
                <w:lang w:val="zh-CN"/>
              </w:rPr>
              <w:t>全国新增500亿公斤粮食生产能力规划鄢陵县2018年田间工程建设项目</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1.1.5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建设地点</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cs="宋体" w:asciiTheme="minorEastAsia" w:hAnsiTheme="minorEastAsia" w:eastAsiaTheme="minorEastAsia"/>
                <w:bCs/>
                <w:sz w:val="24"/>
                <w:szCs w:val="24"/>
              </w:rPr>
              <w:t>项目建设规模666.67hm2（合10000亩），涉及到只乐镇的东店村、罗寨村、崔庄村、王庄村和后社村5个行政村。</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资金来源</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color w:val="000000"/>
                <w:sz w:val="24"/>
                <w:szCs w:val="24"/>
                <w:u w:val="single"/>
              </w:rPr>
              <w:t xml:space="preserve">中央投资+地方政府配套 </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资金</w:t>
            </w:r>
            <w:r>
              <w:rPr>
                <w:rFonts w:asciiTheme="minorEastAsia" w:hAnsiTheme="minorEastAsia" w:eastAsiaTheme="minorEastAsia"/>
                <w:sz w:val="24"/>
                <w:szCs w:val="24"/>
              </w:rPr>
              <w:t>落实情况</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已落实 </w:t>
            </w:r>
          </w:p>
        </w:tc>
      </w:tr>
      <w:tr>
        <w:tblPrEx>
          <w:tblLayout w:type="fixed"/>
          <w:tblCellMar>
            <w:top w:w="0" w:type="dxa"/>
            <w:left w:w="108" w:type="dxa"/>
            <w:bottom w:w="0" w:type="dxa"/>
            <w:right w:w="108" w:type="dxa"/>
          </w:tblCellMar>
        </w:tblPrEx>
        <w:trPr>
          <w:trHeight w:val="43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3</w:t>
            </w:r>
            <w:r>
              <w:rPr>
                <w:rFonts w:asciiTheme="minorEastAsia" w:hAnsiTheme="minorEastAsia" w:eastAsiaTheme="minor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招标范围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val="zh-CN"/>
              </w:rPr>
              <w:t>本项目招标文件、施工图纸及工程量清单范围内全部内容；</w:t>
            </w:r>
          </w:p>
        </w:tc>
      </w:tr>
      <w:tr>
        <w:tblPrEx>
          <w:tblLayout w:type="fixed"/>
          <w:tblCellMar>
            <w:top w:w="0" w:type="dxa"/>
            <w:left w:w="108" w:type="dxa"/>
            <w:bottom w:w="0" w:type="dxa"/>
            <w:right w:w="108" w:type="dxa"/>
          </w:tblCellMar>
        </w:tblPrEx>
        <w:trPr>
          <w:trHeight w:val="493"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1.3.2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工期</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tabs>
                <w:tab w:val="center" w:pos="2943"/>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90日历天/标段</w:t>
            </w:r>
          </w:p>
        </w:tc>
      </w:tr>
      <w:tr>
        <w:tblPrEx>
          <w:tblLayout w:type="fixed"/>
          <w:tblCellMar>
            <w:top w:w="0" w:type="dxa"/>
            <w:left w:w="108" w:type="dxa"/>
            <w:bottom w:w="0" w:type="dxa"/>
            <w:right w:w="108" w:type="dxa"/>
          </w:tblCellMar>
        </w:tblPrEx>
        <w:trPr>
          <w:trHeight w:val="557"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质量要求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cs="宋体" w:asciiTheme="minorEastAsia" w:hAnsiTheme="minorEastAsia" w:eastAsiaTheme="minorEastAsia"/>
                <w:bCs/>
                <w:sz w:val="24"/>
                <w:szCs w:val="24"/>
              </w:rPr>
              <w:t>合格</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1.4.1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投标人资质条件、能力</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auto"/>
              <w:ind w:firstLine="241" w:firstLineChars="100"/>
              <w:rPr>
                <w:rFonts w:cs="宋体" w:asciiTheme="minorEastAsia" w:hAnsiTheme="minorEastAsia" w:eastAsiaTheme="minorEastAsia"/>
                <w:bCs/>
                <w:sz w:val="24"/>
                <w:szCs w:val="24"/>
              </w:rPr>
            </w:pPr>
            <w:r>
              <w:rPr>
                <w:rFonts w:hint="eastAsia" w:cs="宋体" w:asciiTheme="minorEastAsia" w:hAnsiTheme="minorEastAsia" w:eastAsiaTheme="minorEastAsia"/>
                <w:b/>
                <w:sz w:val="24"/>
                <w:szCs w:val="24"/>
                <w:lang w:val="zh-CN"/>
              </w:rPr>
              <w:t>资质要求：</w:t>
            </w:r>
            <w:r>
              <w:rPr>
                <w:rFonts w:hint="eastAsia" w:cs="宋体" w:asciiTheme="minorEastAsia" w:hAnsiTheme="minorEastAsia" w:eastAsiaTheme="minorEastAsia"/>
                <w:bCs/>
                <w:sz w:val="24"/>
                <w:szCs w:val="24"/>
              </w:rPr>
              <w:t xml:space="preserve"> 本次招标要求投标人须具备独立法人资格，良好的财务状况，良好的社会信誉。并同时具备以下条件：</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第一、二标段：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1、投标人须具有水利水电施工总承包三级及以上资质和水井施工三级及以上资质，具有有效的安全生产合格证；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2、项目经理须具备水井施工项目经理岗位证和安全生产考核合格证，且未担任其它在施建设工程项目的项目经理；</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第三标段：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1、投标人须具有水利水电工程或市政</w:t>
            </w:r>
            <w:r>
              <w:rPr>
                <w:rFonts w:hint="eastAsia" w:asciiTheme="minorEastAsia" w:hAnsiTheme="minorEastAsia" w:eastAsiaTheme="minorEastAsia"/>
                <w:szCs w:val="21"/>
                <w:lang w:val="en-US" w:eastAsia="zh-CN"/>
              </w:rPr>
              <w:t>公用</w:t>
            </w:r>
            <w:r>
              <w:rPr>
                <w:rFonts w:hint="eastAsia" w:asciiTheme="minorEastAsia" w:hAnsiTheme="minorEastAsia" w:eastAsiaTheme="minorEastAsia"/>
                <w:szCs w:val="21"/>
              </w:rPr>
              <w:t>工程施工总承包三级及以上资质，具有有效的安全生产合格证；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2、项目经理具有水利水电或市政</w:t>
            </w:r>
            <w:r>
              <w:rPr>
                <w:rFonts w:hint="eastAsia" w:asciiTheme="minorEastAsia" w:hAnsiTheme="minorEastAsia" w:eastAsiaTheme="minorEastAsia"/>
                <w:szCs w:val="21"/>
                <w:lang w:val="en-US" w:eastAsia="zh-CN"/>
              </w:rPr>
              <w:t>公用</w:t>
            </w:r>
            <w:r>
              <w:rPr>
                <w:rFonts w:hint="eastAsia" w:asciiTheme="minorEastAsia" w:hAnsiTheme="minorEastAsia" w:eastAsiaTheme="minorEastAsia"/>
                <w:szCs w:val="21"/>
              </w:rPr>
              <w:t>工程专业二级及以上注册建造师证（不含临时），并具有有效安全生产考核合格证，且未担任其它在施建设工程项目的项目经理；</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第四、五、六标段：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1、投标人须具有水利水电工程或公路工程或市政</w:t>
            </w:r>
            <w:r>
              <w:rPr>
                <w:rFonts w:hint="eastAsia" w:asciiTheme="minorEastAsia" w:hAnsiTheme="minorEastAsia" w:eastAsiaTheme="minorEastAsia"/>
                <w:szCs w:val="21"/>
                <w:lang w:val="en-US" w:eastAsia="zh-CN"/>
              </w:rPr>
              <w:t>公用</w:t>
            </w:r>
            <w:r>
              <w:rPr>
                <w:rFonts w:hint="eastAsia" w:asciiTheme="minorEastAsia" w:hAnsiTheme="minorEastAsia" w:eastAsiaTheme="minorEastAsia"/>
                <w:szCs w:val="21"/>
              </w:rPr>
              <w:t>工程施工总承包三级及以上资质，具有有效的安全生产合格证；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2、项目经理具有水利水电工程专业二级或公路工程专业二级或市政</w:t>
            </w:r>
            <w:r>
              <w:rPr>
                <w:rFonts w:hint="eastAsia" w:asciiTheme="minorEastAsia" w:hAnsiTheme="minorEastAsia" w:eastAsiaTheme="minorEastAsia"/>
                <w:szCs w:val="21"/>
                <w:lang w:val="en-US" w:eastAsia="zh-CN"/>
              </w:rPr>
              <w:t>公用</w:t>
            </w:r>
            <w:r>
              <w:rPr>
                <w:rFonts w:hint="eastAsia" w:asciiTheme="minorEastAsia" w:hAnsiTheme="minorEastAsia" w:eastAsiaTheme="minorEastAsia"/>
                <w:szCs w:val="21"/>
              </w:rPr>
              <w:t>工程专业二级及以上注册建造师证（不含临时），并具有有效安全生产考核合格证，且未担任其它在施建设工程项目的项目经理；</w:t>
            </w:r>
          </w:p>
          <w:p>
            <w:pPr>
              <w:autoSpaceDE w:val="0"/>
              <w:spacing w:line="360" w:lineRule="auto"/>
              <w:ind w:firstLine="310" w:firstLineChars="147"/>
              <w:rPr>
                <w:rFonts w:hint="eastAsia" w:asciiTheme="minorEastAsia" w:hAnsiTheme="minorEastAsia" w:eastAsiaTheme="minorEastAsia"/>
                <w:b/>
                <w:szCs w:val="21"/>
              </w:rPr>
            </w:pPr>
            <w:r>
              <w:rPr>
                <w:rFonts w:hint="eastAsia" w:asciiTheme="minorEastAsia" w:hAnsiTheme="minorEastAsia" w:eastAsiaTheme="minorEastAsia"/>
                <w:b/>
                <w:szCs w:val="21"/>
              </w:rPr>
              <w:t>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spacing w:line="360" w:lineRule="auto"/>
              <w:ind w:firstLine="310" w:firstLineChars="147"/>
              <w:rPr>
                <w:rFonts w:hint="eastAsia" w:asciiTheme="minorEastAsia" w:hAnsiTheme="minorEastAsia" w:eastAsiaTheme="minorEastAsia"/>
                <w:b/>
                <w:szCs w:val="21"/>
              </w:rPr>
            </w:pPr>
            <w:r>
              <w:rPr>
                <w:rFonts w:hint="eastAsia" w:asciiTheme="minorEastAsia" w:hAnsiTheme="minorEastAsia" w:eastAsiaTheme="minorEastAsia"/>
                <w:b/>
                <w:szCs w:val="21"/>
              </w:rPr>
              <w:t>投标人可最多对两个标段进行投标，但只可按标段由前至后的顺序中前一个标段。</w:t>
            </w:r>
          </w:p>
          <w:p>
            <w:pPr>
              <w:autoSpaceDE w:val="0"/>
              <w:spacing w:line="360" w:lineRule="auto"/>
              <w:ind w:firstLine="310" w:firstLineChars="147"/>
              <w:rPr>
                <w:rFonts w:cs="宋体" w:asciiTheme="minorEastAsia" w:hAnsiTheme="minorEastAsia" w:eastAsiaTheme="minorEastAsia"/>
                <w:color w:val="000000"/>
                <w:kern w:val="0"/>
                <w:sz w:val="24"/>
                <w:szCs w:val="24"/>
              </w:rPr>
            </w:pPr>
            <w:r>
              <w:rPr>
                <w:rFonts w:hint="eastAsia" w:asciiTheme="minorEastAsia" w:hAnsiTheme="minorEastAsia" w:eastAsiaTheme="minorEastAsia"/>
                <w:b/>
                <w:szCs w:val="21"/>
              </w:rPr>
              <w:t>本项目不接受联合体投标；</w:t>
            </w:r>
          </w:p>
        </w:tc>
      </w:tr>
      <w:tr>
        <w:tblPrEx>
          <w:tblLayout w:type="fixed"/>
          <w:tblCellMar>
            <w:top w:w="0" w:type="dxa"/>
            <w:left w:w="108" w:type="dxa"/>
            <w:bottom w:w="0" w:type="dxa"/>
            <w:right w:w="108" w:type="dxa"/>
          </w:tblCellMar>
        </w:tblPrEx>
        <w:trPr>
          <w:trHeight w:val="4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9</w:t>
            </w:r>
            <w:r>
              <w:rPr>
                <w:rFonts w:asciiTheme="minorEastAsia" w:hAnsiTheme="minorEastAsia" w:eastAsiaTheme="minor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踏勘现场</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360" w:lineRule="auto"/>
              <w:rPr>
                <w:rFonts w:asciiTheme="minorEastAsia" w:hAnsiTheme="minorEastAsia" w:eastAsiaTheme="minorEastAsia"/>
                <w:szCs w:val="24"/>
              </w:rPr>
            </w:pPr>
            <w:r>
              <w:rPr>
                <w:rFonts w:hint="eastAsia" w:cs="宋体" w:asciiTheme="minorEastAsia" w:hAnsiTheme="minorEastAsia" w:eastAsiaTheme="minorEastAsia"/>
                <w:bCs/>
                <w:szCs w:val="24"/>
              </w:rPr>
              <w:t>不组织勘察施工现场，自行组织勘察施工现场，费用自理</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10</w:t>
            </w:r>
            <w:r>
              <w:rPr>
                <w:rFonts w:asciiTheme="minorEastAsia" w:hAnsiTheme="minorEastAsia" w:eastAsiaTheme="minor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投标预备会</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360" w:lineRule="auto"/>
              <w:rPr>
                <w:rFonts w:asciiTheme="minorEastAsia" w:hAnsiTheme="minorEastAsia" w:eastAsiaTheme="minorEastAsia"/>
                <w:szCs w:val="24"/>
              </w:rPr>
            </w:pPr>
            <w:r>
              <w:rPr>
                <w:rFonts w:hint="eastAsia" w:asciiTheme="minorEastAsia" w:hAnsiTheme="minorEastAsia" w:eastAsiaTheme="minorEastAsia"/>
                <w:szCs w:val="24"/>
              </w:rPr>
              <w:t>不召开</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1.10.2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投标人提出问题的截止时间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cs="宋体" w:asciiTheme="minorEastAsia" w:hAnsiTheme="minorEastAsia" w:eastAsiaTheme="minorEastAsia"/>
                <w:sz w:val="24"/>
                <w:szCs w:val="24"/>
              </w:rPr>
              <w:t>递交投标文件截止之日10日前通过公共资源交易系统电子平台发出</w:t>
            </w:r>
          </w:p>
        </w:tc>
      </w:tr>
      <w:tr>
        <w:tblPrEx>
          <w:tblLayout w:type="fixed"/>
          <w:tblCellMar>
            <w:top w:w="0" w:type="dxa"/>
            <w:left w:w="108" w:type="dxa"/>
            <w:bottom w:w="0" w:type="dxa"/>
            <w:right w:w="108" w:type="dxa"/>
          </w:tblCellMar>
        </w:tblPrEx>
        <w:trPr>
          <w:trHeight w:val="41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1.10.3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招标人澄清的时间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cs="宋体" w:asciiTheme="minorEastAsia" w:hAnsiTheme="minorEastAsia" w:eastAsiaTheme="minorEastAsia"/>
                <w:sz w:val="24"/>
                <w:szCs w:val="24"/>
              </w:rPr>
              <w:t>递交投标文件截止之日15日前通过公共资源交易系统电子平台发出</w:t>
            </w:r>
          </w:p>
        </w:tc>
      </w:tr>
      <w:tr>
        <w:tblPrEx>
          <w:tblLayout w:type="fixed"/>
          <w:tblCellMar>
            <w:top w:w="0" w:type="dxa"/>
            <w:left w:w="108" w:type="dxa"/>
            <w:bottom w:w="0" w:type="dxa"/>
            <w:right w:w="108" w:type="dxa"/>
          </w:tblCellMar>
        </w:tblPrEx>
        <w:trPr>
          <w:trHeight w:val="48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360" w:lineRule="auto"/>
              <w:rPr>
                <w:rFonts w:asciiTheme="minorEastAsia" w:hAnsiTheme="minorEastAsia" w:eastAsiaTheme="minorEastAsia"/>
                <w:szCs w:val="24"/>
              </w:rPr>
            </w:pPr>
            <w:r>
              <w:rPr>
                <w:rFonts w:hint="eastAsia" w:asciiTheme="minorEastAsia" w:hAnsiTheme="minorEastAsia" w:eastAsiaTheme="minorEastAsia"/>
                <w:szCs w:val="24"/>
              </w:rPr>
              <w:t>不允许</w:t>
            </w:r>
          </w:p>
        </w:tc>
      </w:tr>
      <w:tr>
        <w:tblPrEx>
          <w:tblLayout w:type="fixed"/>
          <w:tblCellMar>
            <w:top w:w="0" w:type="dxa"/>
            <w:left w:w="108" w:type="dxa"/>
            <w:bottom w:w="0" w:type="dxa"/>
            <w:right w:w="108" w:type="dxa"/>
          </w:tblCellMar>
        </w:tblPrEx>
        <w:trPr>
          <w:trHeight w:val="43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招标文件、工程量清单及图纸的下载</w:t>
            </w:r>
          </w:p>
        </w:tc>
        <w:tc>
          <w:tcPr>
            <w:tcW w:w="674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asciiTheme="minorEastAsia" w:hAnsiTheme="minorEastAsia" w:eastAsiaTheme="minorEastAsia"/>
                <w:sz w:val="24"/>
                <w:szCs w:val="24"/>
              </w:rPr>
              <w:t>http://www.xcggzy.gov.cn/</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），通过“投标人/供应商登录”后自行下载。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图纸下载地址:</w:t>
            </w:r>
            <w:r>
              <w:rPr>
                <w:rFonts w:hint="default" w:ascii="Times New Roman" w:hAnsi="Times New Roman" w:cs="Times New Roman" w:eastAsiaTheme="minorEastAsia"/>
                <w:sz w:val="21"/>
                <w:szCs w:val="21"/>
              </w:rPr>
              <w:t xml:space="preserve">https://pan.baidu.com/s/12-1FXmwhIHlysAZQo1_03A </w:t>
            </w:r>
          </w:p>
        </w:tc>
      </w:tr>
      <w:tr>
        <w:tblPrEx>
          <w:tblLayout w:type="fixed"/>
          <w:tblCellMar>
            <w:top w:w="0" w:type="dxa"/>
            <w:left w:w="108" w:type="dxa"/>
            <w:bottom w:w="0" w:type="dxa"/>
            <w:right w:w="108" w:type="dxa"/>
          </w:tblCellMar>
        </w:tblPrEx>
        <w:trPr>
          <w:trHeight w:val="539"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2.1</w:t>
            </w:r>
            <w:r>
              <w:rPr>
                <w:rFonts w:hint="eastAsia" w:asciiTheme="minorEastAsia" w:hAnsiTheme="minorEastAsia" w:eastAsiaTheme="minor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构成招标文件的其他材料</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经公布的工程量清单、招标文件的补充和修改文件（如有）</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投标人要求澄清招标文件的截止时间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cs="宋体" w:asciiTheme="minorEastAsia" w:hAnsiTheme="minorEastAsia" w:eastAsiaTheme="minorEastAsia"/>
                <w:sz w:val="24"/>
                <w:szCs w:val="24"/>
              </w:rPr>
              <w:t>潜在投标人或者其他利害关系人对招标文件有异议的，应当在投标截止时间10日前提出。招标人应当自收到异议之日起3日内作出答复。</w:t>
            </w:r>
          </w:p>
        </w:tc>
      </w:tr>
      <w:tr>
        <w:tblPrEx>
          <w:tblLayout w:type="fixed"/>
          <w:tblCellMar>
            <w:top w:w="0" w:type="dxa"/>
            <w:left w:w="108" w:type="dxa"/>
            <w:bottom w:w="0" w:type="dxa"/>
            <w:right w:w="108" w:type="dxa"/>
          </w:tblCellMar>
        </w:tblPrEx>
        <w:trPr>
          <w:trHeight w:val="389"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 w:val="24"/>
                <w:szCs w:val="24"/>
              </w:rPr>
            </w:pPr>
            <w:r>
              <w:rPr>
                <w:rFonts w:hint="eastAsia" w:asciiTheme="minorEastAsia" w:hAnsiTheme="minorEastAsia" w:eastAsiaTheme="minorEastAsia"/>
                <w:szCs w:val="21"/>
              </w:rPr>
              <w:t>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28</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时30分</w:t>
            </w:r>
          </w:p>
        </w:tc>
      </w:tr>
      <w:tr>
        <w:tblPrEx>
          <w:tblLayout w:type="fixed"/>
          <w:tblCellMar>
            <w:top w:w="0" w:type="dxa"/>
            <w:left w:w="108" w:type="dxa"/>
            <w:bottom w:w="0" w:type="dxa"/>
            <w:right w:w="108" w:type="dxa"/>
          </w:tblCellMar>
        </w:tblPrEx>
        <w:trPr>
          <w:trHeight w:val="577"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2.2.3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投标人确认收到招标文件澄清的时间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无要求</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2.3.2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cs="宋体" w:asciiTheme="minorEastAsia" w:hAnsiTheme="minorEastAsia" w:eastAsiaTheme="minorEastAsia"/>
                <w:sz w:val="24"/>
                <w:szCs w:val="24"/>
              </w:rPr>
              <w:t>投标人确认收到招标文件修改的时间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无要求</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构成投标文件的其他材料</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投标人的书面澄清、说明和补正、修改</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3.3</w:t>
            </w:r>
            <w:r>
              <w:rPr>
                <w:rFonts w:hint="eastAsia" w:asciiTheme="minorEastAsia" w:hAnsiTheme="minorEastAsia" w:eastAsiaTheme="minor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投标有效期</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color w:val="000000"/>
                <w:spacing w:val="1"/>
                <w:kern w:val="0"/>
                <w:sz w:val="24"/>
                <w:szCs w:val="24"/>
              </w:rPr>
              <w:t>投标截止日期起60日历天</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3.4.1</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投标保证金须知</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1、因投标人的原因无法及时退还投标（竞买）保证金、滞留三年以上的，投标（竞买）保证金上缴财政。</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2、自文件发布之日起，投标人需进行基本户备案（建设工程项目），已备案的基本户开户银行、账户发生变化的，须重新办理备案手续。备案后方可提交投标（竞买）保证金。</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3、基本户备案流程：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4、特殊情况处理  投标人投标过程中因账户开户银行、银行账号发生变化，不能按照来款途径原路返还投标保证金的，投标人须提供原账户开户银行相关证明及新开账户开户许可证，到中心一楼交易见证部办理退款手续（0374-2968027）。</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3.4.2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投标保证金</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投标保证金递交截止时间：（同投标截止时间）。</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金额：</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一标段：￥2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000.00元（大写：</w:t>
            </w:r>
            <w:r>
              <w:rPr>
                <w:rFonts w:hint="eastAsia" w:asciiTheme="minorEastAsia" w:hAnsiTheme="minorEastAsia" w:eastAsiaTheme="minorEastAsia"/>
                <w:b/>
                <w:bCs/>
                <w:sz w:val="24"/>
                <w:szCs w:val="24"/>
              </w:rPr>
              <w:t>贰万</w:t>
            </w:r>
            <w:r>
              <w:rPr>
                <w:rFonts w:hint="eastAsia" w:asciiTheme="minorEastAsia" w:hAnsiTheme="minorEastAsia" w:eastAsiaTheme="minorEastAsia"/>
                <w:b/>
                <w:bCs/>
                <w:sz w:val="24"/>
                <w:szCs w:val="24"/>
                <w:lang w:val="en-US" w:eastAsia="zh-CN"/>
              </w:rPr>
              <w:t>叁</w:t>
            </w:r>
            <w:r>
              <w:rPr>
                <w:rFonts w:hint="eastAsia" w:asciiTheme="minorEastAsia" w:hAnsiTheme="minorEastAsia" w:eastAsiaTheme="minorEastAsia"/>
                <w:b/>
                <w:bCs/>
                <w:sz w:val="24"/>
                <w:szCs w:val="24"/>
              </w:rPr>
              <w:t>仟元整</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二标段：￥24000.00元（大写：</w:t>
            </w:r>
            <w:r>
              <w:rPr>
                <w:rFonts w:hint="eastAsia" w:asciiTheme="minorEastAsia" w:hAnsiTheme="minorEastAsia" w:eastAsiaTheme="minorEastAsia"/>
                <w:b/>
                <w:sz w:val="24"/>
                <w:szCs w:val="24"/>
              </w:rPr>
              <w:t>贰万肆仟元整</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三标段：￥15000.00元（大写：</w:t>
            </w:r>
            <w:r>
              <w:rPr>
                <w:rFonts w:hint="eastAsia" w:asciiTheme="minorEastAsia" w:hAnsiTheme="minorEastAsia" w:eastAsiaTheme="minorEastAsia"/>
                <w:b/>
                <w:bCs/>
                <w:sz w:val="24"/>
                <w:szCs w:val="24"/>
              </w:rPr>
              <w:t>壹万伍仟元整</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四标段：￥40000.00元（大写：</w:t>
            </w:r>
            <w:r>
              <w:rPr>
                <w:rFonts w:hint="eastAsia" w:asciiTheme="minorEastAsia" w:hAnsiTheme="minorEastAsia" w:eastAsiaTheme="minorEastAsia"/>
                <w:b/>
                <w:bCs/>
                <w:sz w:val="24"/>
                <w:szCs w:val="24"/>
              </w:rPr>
              <w:t>肆万元整</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五标段：￥30000.00元（大写：</w:t>
            </w:r>
            <w:r>
              <w:rPr>
                <w:rFonts w:hint="eastAsia" w:asciiTheme="minorEastAsia" w:hAnsiTheme="minorEastAsia" w:eastAsiaTheme="minorEastAsia"/>
                <w:b/>
                <w:bCs/>
                <w:sz w:val="24"/>
                <w:szCs w:val="24"/>
              </w:rPr>
              <w:t>叁万元整</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六标段：￥37000.00元（大写：</w:t>
            </w:r>
            <w:r>
              <w:rPr>
                <w:rFonts w:hint="eastAsia" w:asciiTheme="minorEastAsia" w:hAnsiTheme="minorEastAsia" w:eastAsiaTheme="minorEastAsia"/>
                <w:b/>
                <w:bCs/>
                <w:sz w:val="24"/>
                <w:szCs w:val="24"/>
              </w:rPr>
              <w:t>叁万柒仟元整</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spacing w:line="360" w:lineRule="auto"/>
              <w:jc w:val="left"/>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auto"/>
              <w:jc w:val="left"/>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2、投标保证金缴纳方式：</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CN"/>
              </w:rPr>
              <w:t>2.</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zh-CN"/>
              </w:rPr>
              <w:t>投标人网上报名后</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登录</w:t>
            </w:r>
            <w:r>
              <w:fldChar w:fldCharType="begin"/>
            </w:r>
            <w:r>
              <w:instrText xml:space="preserve"> HYPERLINK "http://221.14.6.70:8088/ggzy" </w:instrText>
            </w:r>
            <w:r>
              <w:fldChar w:fldCharType="separate"/>
            </w:r>
            <w:r>
              <w:rPr>
                <w:rFonts w:hint="eastAsia" w:asciiTheme="minorEastAsia" w:hAnsiTheme="minorEastAsia" w:eastAsiaTheme="minorEastAsia"/>
                <w:sz w:val="24"/>
                <w:szCs w:val="24"/>
              </w:rPr>
              <w:t>http://221.14.6.70:8088/ggzy</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lang w:val="zh-CN"/>
              </w:rPr>
              <w:t>系统</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依次点击</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会员向导</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参与投标</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费用缴纳说明</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保证金缴纳说明单</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获取缴费说明单</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根据每个标段的缴纳说明单在缴纳截止时间前缴纳</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2.2</w:t>
            </w:r>
            <w:r>
              <w:rPr>
                <w:rFonts w:hint="eastAsia" w:asciiTheme="minorEastAsia" w:hAnsiTheme="minorEastAsia" w:eastAsiaTheme="minorEastAsia"/>
                <w:sz w:val="24"/>
                <w:szCs w:val="24"/>
                <w:lang w:val="zh-CN"/>
              </w:rPr>
              <w:t>成功缴纳后重新登录前述系统</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依次点击</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会员向导</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参与投标</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保证金绑定</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绑定</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进行投标保证金绑定。</w:t>
            </w:r>
          </w:p>
          <w:p>
            <w:pPr>
              <w:spacing w:line="360" w:lineRule="auto"/>
              <w:jc w:val="left"/>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360" w:lineRule="auto"/>
              <w:jc w:val="left"/>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2.4每个投标人每个项目每个标段只有唯一缴纳账号，</w:t>
            </w:r>
            <w:r>
              <w:rPr>
                <w:rFonts w:hint="eastAsia" w:asciiTheme="minorEastAsia" w:hAnsiTheme="minorEastAsia" w:eastAsiaTheme="minorEastAsia"/>
                <w:sz w:val="24"/>
                <w:szCs w:val="24"/>
              </w:rPr>
              <w:t>切勿重复缴纳或错误缴纳。</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3、未按上述规定操作引起的无效投标，由投标人自行负责。</w:t>
            </w:r>
          </w:p>
          <w:p>
            <w:pPr>
              <w:spacing w:line="360" w:lineRule="auto"/>
              <w:jc w:val="left"/>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4、汇款凭证无须备注项目编号和项目名称。</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5、出现以下情形造成的投标保证金无效，由投标人自行负责。</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(1)投标保证金未从投标人的基本账户转出；</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(2)投标保证金未按照招标文件划分的标段依次转账。</w:t>
            </w:r>
          </w:p>
          <w:p>
            <w:pPr>
              <w:spacing w:line="360" w:lineRule="auto"/>
              <w:jc w:val="left"/>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6、《保证金缴纳绑定操作指南》获取方法：</w:t>
            </w:r>
          </w:p>
          <w:p>
            <w:pPr>
              <w:spacing w:line="360" w:lineRule="auto"/>
              <w:jc w:val="left"/>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登录许昌公共资源交易系统-组件下载-《保证金缴纳绑定操作指南》。</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hint="eastAsia" w:asciiTheme="minorEastAsia" w:hAnsiTheme="minorEastAsia" w:eastAsia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近年财务状况的年份要求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指2015年度、2016年度、2017年度</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近年完成的类似项目的年份要求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2015年1月1日至今  </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3.5.4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近年荣誉的年份要求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2015年1月1日至今</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3.5.5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近年发生的诉讼及仲裁情况的年份要求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无要求</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6</w:t>
            </w:r>
            <w:r>
              <w:rPr>
                <w:rFonts w:asciiTheme="minorEastAsia" w:hAnsiTheme="minorEastAsia" w:eastAsiaTheme="minorEastAsia"/>
                <w:sz w:val="24"/>
                <w:szCs w:val="24"/>
              </w:rPr>
              <w:t>.3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签字或盖章要求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投标文件正本按招标文件要求签字盖章（无需逐页签字盖章），副本应与正本保持一致（可为正本的复印件）。正本与副本不一致时，以正本为准。</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6</w:t>
            </w:r>
            <w:r>
              <w:rPr>
                <w:rFonts w:asciiTheme="minorEastAsia" w:hAnsiTheme="minorEastAsia" w:eastAsiaTheme="minorEastAsia"/>
                <w:sz w:val="24"/>
                <w:szCs w:val="24"/>
              </w:rPr>
              <w:t>.4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投标文件副本份数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一式</w:t>
            </w:r>
            <w:r>
              <w:rPr>
                <w:rFonts w:hint="eastAsia" w:cs="宋体" w:asciiTheme="minorEastAsia" w:hAnsiTheme="minorEastAsia" w:eastAsiaTheme="minorEastAsia"/>
                <w:sz w:val="24"/>
                <w:szCs w:val="24"/>
                <w:lang w:val="en-US" w:eastAsia="zh-CN"/>
              </w:rPr>
              <w:t>五</w:t>
            </w:r>
            <w:r>
              <w:rPr>
                <w:rFonts w:hint="eastAsia" w:cs="宋体" w:asciiTheme="minorEastAsia" w:hAnsiTheme="minorEastAsia" w:eastAsiaTheme="minorEastAsia"/>
                <w:sz w:val="24"/>
                <w:szCs w:val="24"/>
              </w:rPr>
              <w:t>份：正本一份；副本</w:t>
            </w:r>
            <w:r>
              <w:rPr>
                <w:rFonts w:hint="eastAsia" w:cs="宋体" w:asciiTheme="minorEastAsia" w:hAnsiTheme="minorEastAsia" w:eastAsiaTheme="minorEastAsia"/>
                <w:sz w:val="24"/>
                <w:szCs w:val="24"/>
                <w:lang w:val="en-US" w:eastAsia="zh-CN"/>
              </w:rPr>
              <w:t>四</w:t>
            </w:r>
            <w:r>
              <w:rPr>
                <w:rFonts w:hint="eastAsia" w:cs="宋体" w:asciiTheme="minorEastAsia" w:hAnsiTheme="minorEastAsia" w:eastAsiaTheme="minorEastAsia"/>
                <w:sz w:val="24"/>
                <w:szCs w:val="24"/>
              </w:rPr>
              <w:t>份。</w:t>
            </w:r>
          </w:p>
          <w:p>
            <w:pPr>
              <w:spacing w:line="360" w:lineRule="auto"/>
              <w:rPr>
                <w:rFonts w:asciiTheme="minorEastAsia" w:hAnsiTheme="minorEastAsia" w:eastAsiaTheme="minorEastAsia"/>
                <w:sz w:val="24"/>
                <w:szCs w:val="24"/>
              </w:rPr>
            </w:pPr>
            <w:r>
              <w:rPr>
                <w:rFonts w:hint="eastAsia" w:cs="宋体" w:asciiTheme="minorEastAsia" w:hAnsiTheme="minorEastAsia" w:eastAsiaTheme="minorEastAsia"/>
                <w:sz w:val="24"/>
                <w:szCs w:val="24"/>
              </w:rPr>
              <w:t>另附含投标文件所有内容的电子版（U盘）一份</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6</w:t>
            </w:r>
            <w:r>
              <w:rPr>
                <w:rFonts w:asciiTheme="minorEastAsia" w:hAnsiTheme="minorEastAsia" w:eastAsiaTheme="minorEastAsia"/>
                <w:sz w:val="24"/>
                <w:szCs w:val="24"/>
              </w:rPr>
              <w:t>.5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装订要求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投标文件采用胶装方式装订</w:t>
            </w:r>
            <w:r>
              <w:rPr>
                <w:rFonts w:hint="eastAsia" w:asciiTheme="minorEastAsia" w:hAnsiTheme="minorEastAsia" w:eastAsiaTheme="minorEastAsia"/>
                <w:sz w:val="24"/>
                <w:szCs w:val="24"/>
                <w:lang w:eastAsia="zh-CN"/>
              </w:rPr>
              <w:t>（商务标、技术标需分册装订）</w:t>
            </w:r>
            <w:r>
              <w:rPr>
                <w:rFonts w:hint="eastAsia" w:asciiTheme="minorEastAsia" w:hAnsiTheme="minorEastAsia" w:eastAsiaTheme="minorEastAsia"/>
                <w:sz w:val="24"/>
                <w:szCs w:val="24"/>
              </w:rPr>
              <w:t>，装订应牢固、不易拆散和换页，不得采用活页装订。</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投标文件须印刷书脊，并在书脊上注明正副本字样、标段和投标人名称。</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4.1.2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封套上写明</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招标人地址：</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招标人名称：</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项目名称：</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投标人名称：</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rPr>
              <w:t>（盖章）</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（项目名称）</w:t>
            </w:r>
            <w:r>
              <w:rPr>
                <w:rFonts w:hint="eastAsia" w:asciiTheme="minorEastAsia" w:hAnsiTheme="minorEastAsia" w:eastAsiaTheme="minorEastAsia"/>
                <w:sz w:val="24"/>
                <w:szCs w:val="24"/>
              </w:rPr>
              <w:t>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标段</w:t>
            </w:r>
            <w:r>
              <w:rPr>
                <w:rFonts w:asciiTheme="minorEastAsia" w:hAnsiTheme="minorEastAsia" w:eastAsiaTheme="minorEastAsia"/>
                <w:sz w:val="24"/>
                <w:szCs w:val="24"/>
              </w:rPr>
              <w:t>投标文件</w:t>
            </w:r>
          </w:p>
          <w:p>
            <w:pPr>
              <w:spacing w:line="360" w:lineRule="auto"/>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在201</w:t>
            </w:r>
            <w:r>
              <w:rPr>
                <w:rFonts w:hint="eastAsia" w:cs="宋体" w:asciiTheme="minorEastAsia" w:hAnsiTheme="minorEastAsia" w:eastAsiaTheme="minorEastAsia"/>
                <w:kern w:val="0"/>
                <w:sz w:val="24"/>
                <w:szCs w:val="24"/>
                <w:lang w:val="en-US" w:eastAsia="zh-CN"/>
              </w:rPr>
              <w:t>9</w:t>
            </w:r>
            <w:r>
              <w:rPr>
                <w:rFonts w:hint="eastAsia" w:cs="宋体" w:asciiTheme="minorEastAsia" w:hAnsiTheme="minorEastAsia" w:eastAsiaTheme="minorEastAsia"/>
                <w:kern w:val="0"/>
                <w:sz w:val="24"/>
                <w:szCs w:val="24"/>
              </w:rPr>
              <w:t>年   月   日   时   分前不得开启</w:t>
            </w:r>
          </w:p>
        </w:tc>
      </w:tr>
      <w:tr>
        <w:tblPrEx>
          <w:tblLayout w:type="fixed"/>
          <w:tblCellMar>
            <w:top w:w="0" w:type="dxa"/>
            <w:left w:w="108" w:type="dxa"/>
            <w:bottom w:w="0" w:type="dxa"/>
            <w:right w:w="108" w:type="dxa"/>
          </w:tblCellMar>
        </w:tblPrEx>
        <w:trPr>
          <w:trHeight w:val="74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递交投标文件地点</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许昌市公共资源交易中心第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一</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开标室 (许昌市龙兴路与竹林路交汇处公共资源大厦三楼）    </w:t>
            </w:r>
          </w:p>
        </w:tc>
      </w:tr>
      <w:tr>
        <w:tblPrEx>
          <w:tblLayout w:type="fixed"/>
          <w:tblCellMar>
            <w:top w:w="0" w:type="dxa"/>
            <w:left w:w="108" w:type="dxa"/>
            <w:bottom w:w="0" w:type="dxa"/>
            <w:right w:w="108" w:type="dxa"/>
          </w:tblCellMar>
        </w:tblPrEx>
        <w:trPr>
          <w:trHeight w:val="402"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4.2.3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是否退还投标文件</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360" w:lineRule="auto"/>
              <w:rPr>
                <w:rFonts w:asciiTheme="minorEastAsia" w:hAnsiTheme="minorEastAsia" w:eastAsiaTheme="minorEastAsia"/>
                <w:szCs w:val="24"/>
              </w:rPr>
            </w:pPr>
            <w:r>
              <w:rPr>
                <w:rFonts w:hint="eastAsia" w:asciiTheme="minorEastAsia" w:hAnsiTheme="minorEastAsia" w:eastAsiaTheme="minorEastAsia"/>
                <w:szCs w:val="24"/>
              </w:rPr>
              <w:t>否</w:t>
            </w:r>
          </w:p>
        </w:tc>
      </w:tr>
      <w:tr>
        <w:tblPrEx>
          <w:tblLayout w:type="fixed"/>
          <w:tblCellMar>
            <w:top w:w="0" w:type="dxa"/>
            <w:left w:w="108" w:type="dxa"/>
            <w:bottom w:w="0" w:type="dxa"/>
            <w:right w:w="108" w:type="dxa"/>
          </w:tblCellMar>
        </w:tblPrEx>
        <w:trPr>
          <w:trHeight w:val="880" w:hRule="atLeast"/>
        </w:trPr>
        <w:tc>
          <w:tcPr>
            <w:tcW w:w="944"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5.1</w:t>
            </w:r>
          </w:p>
        </w:tc>
        <w:tc>
          <w:tcPr>
            <w:tcW w:w="2141" w:type="dxa"/>
            <w:gridSpan w:val="3"/>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开标时间和地点</w:t>
            </w:r>
          </w:p>
        </w:tc>
        <w:tc>
          <w:tcPr>
            <w:tcW w:w="6744" w:type="dxa"/>
            <w:gridSpan w:val="2"/>
            <w:tcBorders>
              <w:top w:val="single" w:color="auto" w:sz="4" w:space="0"/>
              <w:left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开标时间：同投标截止时间；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开标地点：同递交投标文件地点。</w:t>
            </w:r>
          </w:p>
        </w:tc>
      </w:tr>
      <w:tr>
        <w:tblPrEx>
          <w:tblLayout w:type="fixed"/>
          <w:tblCellMar>
            <w:top w:w="0" w:type="dxa"/>
            <w:left w:w="108" w:type="dxa"/>
            <w:bottom w:w="0" w:type="dxa"/>
            <w:right w:w="108" w:type="dxa"/>
          </w:tblCellMar>
        </w:tblPrEx>
        <w:trPr>
          <w:trHeight w:val="1029" w:hRule="atLeast"/>
        </w:trPr>
        <w:tc>
          <w:tcPr>
            <w:tcW w:w="944"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5.2</w:t>
            </w:r>
          </w:p>
        </w:tc>
        <w:tc>
          <w:tcPr>
            <w:tcW w:w="2141" w:type="dxa"/>
            <w:gridSpan w:val="3"/>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开标程序</w:t>
            </w:r>
          </w:p>
        </w:tc>
        <w:tc>
          <w:tcPr>
            <w:tcW w:w="6744" w:type="dxa"/>
            <w:gridSpan w:val="2"/>
            <w:tcBorders>
              <w:top w:val="single" w:color="auto" w:sz="4" w:space="0"/>
              <w:left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密封情况检查：由投标人代表对密封情况进行检查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开标顺序：按照递交投标文件时间的逆顺序</w:t>
            </w:r>
          </w:p>
        </w:tc>
      </w:tr>
      <w:tr>
        <w:tblPrEx>
          <w:tblLayout w:type="fixed"/>
          <w:tblCellMar>
            <w:top w:w="0" w:type="dxa"/>
            <w:left w:w="108" w:type="dxa"/>
            <w:bottom w:w="0" w:type="dxa"/>
            <w:right w:w="108" w:type="dxa"/>
          </w:tblCellMar>
        </w:tblPrEx>
        <w:trPr>
          <w:trHeight w:val="393" w:hRule="atLeast"/>
        </w:trPr>
        <w:tc>
          <w:tcPr>
            <w:tcW w:w="944"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6.1.1</w:t>
            </w:r>
          </w:p>
        </w:tc>
        <w:tc>
          <w:tcPr>
            <w:tcW w:w="2141" w:type="dxa"/>
            <w:gridSpan w:val="3"/>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评标委员会的组建</w:t>
            </w:r>
          </w:p>
        </w:tc>
        <w:tc>
          <w:tcPr>
            <w:tcW w:w="6744" w:type="dxa"/>
            <w:gridSpan w:val="2"/>
            <w:tcBorders>
              <w:top w:val="single" w:color="auto" w:sz="4" w:space="0"/>
              <w:left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评标委员会构成：由招标人代表</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人及从河南省综合评标专家库中随机抽取技术、经济类等专家</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人组成。</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评标专家库成员确定方式：保证金名单解密后进行抽取，在抽取评标专家时设置回避事项。</w:t>
            </w:r>
          </w:p>
        </w:tc>
      </w:tr>
      <w:tr>
        <w:tblPrEx>
          <w:tblLayout w:type="fixed"/>
          <w:tblCellMar>
            <w:top w:w="0" w:type="dxa"/>
            <w:left w:w="108" w:type="dxa"/>
            <w:bottom w:w="0" w:type="dxa"/>
            <w:right w:w="108" w:type="dxa"/>
          </w:tblCellMar>
        </w:tblPrEx>
        <w:trPr>
          <w:trHeight w:val="617" w:hRule="atLeast"/>
        </w:trPr>
        <w:tc>
          <w:tcPr>
            <w:tcW w:w="944"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7.1</w:t>
            </w:r>
          </w:p>
        </w:tc>
        <w:tc>
          <w:tcPr>
            <w:tcW w:w="2141" w:type="dxa"/>
            <w:gridSpan w:val="3"/>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是否授权评标委员会确定中标人</w:t>
            </w:r>
          </w:p>
        </w:tc>
        <w:tc>
          <w:tcPr>
            <w:tcW w:w="6744" w:type="dxa"/>
            <w:gridSpan w:val="2"/>
            <w:tcBorders>
              <w:top w:val="single" w:color="auto" w:sz="4" w:space="0"/>
              <w:left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否，推荐1-3名中标候选人。</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3</w:t>
            </w:r>
            <w:r>
              <w:rPr>
                <w:rFonts w:asciiTheme="minorEastAsia" w:hAnsiTheme="minorEastAsia" w:eastAsiaTheme="minor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履约保证金</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履约保证金递交方式:由中标人基本帐户转账到招标人指定账户；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履约保证金递交时间:中标公示期满后，与招标人签订合同前(招标人应当向中标人发出中标通知书并与其在三十日内签订合同)；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履约保证金的金额:中标合同金额的5％（百元取整）；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注意事项: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有下列情形之一的履约保证金不予退还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A、在合同履行过程中，发现中标人与其它投标人串通投标的或者以他人名义投标的；</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B、在合同履行过程中，发现中标人有弄虚作假行为，情节严重由相关部门调查处理的；</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C、中标人向他人转让中标项目或将中标项目肢解后分别向他人转让；</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D、法律法规、规章规定的其它不与退还的情形。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829" w:type="dxa"/>
            <w:gridSpan w:val="6"/>
            <w:vAlign w:val="center"/>
          </w:tcPr>
          <w:p>
            <w:pPr>
              <w:spacing w:line="360" w:lineRule="auto"/>
              <w:jc w:val="left"/>
              <w:rPr>
                <w:rFonts w:cs="宋体" w:asciiTheme="minorEastAsia" w:hAnsiTheme="minorEastAsia" w:eastAsiaTheme="minorEastAsia"/>
                <w:kern w:val="0"/>
                <w:sz w:val="24"/>
                <w:szCs w:val="24"/>
              </w:rPr>
            </w:pPr>
            <w:bookmarkStart w:id="3" w:name="_Toc426467366"/>
            <w:r>
              <w:rPr>
                <w:rFonts w:hint="eastAsia" w:cs="宋体" w:asciiTheme="minorEastAsia" w:hAnsiTheme="minorEastAsia" w:eastAsiaTheme="minorEastAsia"/>
                <w:kern w:val="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829" w:type="dxa"/>
            <w:gridSpan w:val="6"/>
            <w:vAlign w:val="center"/>
          </w:tcPr>
          <w:p>
            <w:pPr>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9" w:type="dxa"/>
            <w:gridSpan w:val="2"/>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10.1.1</w:t>
            </w:r>
          </w:p>
        </w:tc>
        <w:tc>
          <w:tcPr>
            <w:tcW w:w="2350" w:type="dxa"/>
            <w:gridSpan w:val="3"/>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类似项目</w:t>
            </w:r>
          </w:p>
        </w:tc>
        <w:tc>
          <w:tcPr>
            <w:tcW w:w="6480" w:type="dxa"/>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类似项目指：</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一、二标段指2015年1月1日（以合同签订时间为准）以来承建过的机井工程。</w:t>
            </w:r>
          </w:p>
          <w:p>
            <w:pPr>
              <w:pStyle w:val="2"/>
              <w:spacing w:line="360" w:lineRule="auto"/>
              <w:ind w:left="0" w:leftChars="0"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三标段指2015年1月1日（以合同签订时间为准）以来承建过的水利水电或市政工程。</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四、五、六标段指2015年1月1日（以合同签订时间为准）以来承建过单项合同金额不小于所投标段招标控制价的田间道路工程。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99" w:type="dxa"/>
            <w:gridSpan w:val="2"/>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10.2</w:t>
            </w:r>
          </w:p>
        </w:tc>
        <w:tc>
          <w:tcPr>
            <w:tcW w:w="8830" w:type="dxa"/>
            <w:gridSpan w:val="4"/>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99" w:type="dxa"/>
            <w:gridSpan w:val="2"/>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10.2.1</w:t>
            </w:r>
          </w:p>
        </w:tc>
        <w:tc>
          <w:tcPr>
            <w:tcW w:w="2350" w:type="dxa"/>
            <w:gridSpan w:val="3"/>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招标控制价</w:t>
            </w:r>
          </w:p>
          <w:p>
            <w:pPr>
              <w:spacing w:line="360" w:lineRule="auto"/>
              <w:rPr>
                <w:rFonts w:cs="宋体" w:asciiTheme="minorEastAsia" w:hAnsiTheme="minorEastAsia" w:eastAsiaTheme="minorEastAsia"/>
                <w:kern w:val="0"/>
                <w:sz w:val="24"/>
                <w:szCs w:val="24"/>
              </w:rPr>
            </w:pPr>
          </w:p>
        </w:tc>
        <w:tc>
          <w:tcPr>
            <w:tcW w:w="6480" w:type="dxa"/>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本工程设招标控制价：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一标段：￥</w:t>
            </w:r>
            <w:r>
              <w:rPr>
                <w:rFonts w:asciiTheme="minorEastAsia" w:hAnsiTheme="minorEastAsia" w:eastAsiaTheme="minorEastAsia"/>
                <w:sz w:val="24"/>
                <w:szCs w:val="24"/>
              </w:rPr>
              <w:t>1194027.00</w:t>
            </w:r>
            <w:r>
              <w:rPr>
                <w:rFonts w:hint="eastAsia" w:asciiTheme="minorEastAsia" w:hAnsiTheme="minorEastAsia" w:eastAsiaTheme="minorEastAsia"/>
                <w:sz w:val="24"/>
                <w:szCs w:val="24"/>
              </w:rPr>
              <w:t>元（大写：壹佰壹拾玖万肆仟零贰拾柒元整）</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二标段：￥</w:t>
            </w:r>
            <w:r>
              <w:rPr>
                <w:rFonts w:asciiTheme="minorEastAsia" w:hAnsiTheme="minorEastAsia" w:eastAsiaTheme="minorEastAsia"/>
                <w:sz w:val="24"/>
                <w:szCs w:val="24"/>
              </w:rPr>
              <w:t>1219705.00</w:t>
            </w:r>
            <w:r>
              <w:rPr>
                <w:rFonts w:hint="eastAsia" w:asciiTheme="minorEastAsia" w:hAnsiTheme="minorEastAsia" w:eastAsiaTheme="minorEastAsia"/>
                <w:sz w:val="24"/>
                <w:szCs w:val="24"/>
              </w:rPr>
              <w:t>元（大写：壹佰贰拾壹万玖仟柒佰零伍元整）</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三标段：￥</w:t>
            </w:r>
            <w:r>
              <w:rPr>
                <w:rFonts w:asciiTheme="minorEastAsia" w:hAnsiTheme="minorEastAsia" w:eastAsiaTheme="minorEastAsia"/>
                <w:sz w:val="24"/>
                <w:szCs w:val="24"/>
              </w:rPr>
              <w:t>785181.54</w:t>
            </w:r>
            <w:r>
              <w:rPr>
                <w:rFonts w:hint="eastAsia" w:asciiTheme="minorEastAsia" w:hAnsiTheme="minorEastAsia" w:eastAsiaTheme="minorEastAsia"/>
                <w:sz w:val="24"/>
                <w:szCs w:val="24"/>
              </w:rPr>
              <w:t>元（大写：柒拾捌万伍仟壹佰捌拾壹元伍角肆分）</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四标段：￥</w:t>
            </w:r>
            <w:r>
              <w:rPr>
                <w:rFonts w:asciiTheme="minorEastAsia" w:hAnsiTheme="minorEastAsia" w:eastAsiaTheme="minorEastAsia"/>
                <w:sz w:val="24"/>
                <w:szCs w:val="24"/>
              </w:rPr>
              <w:t>2005636.54</w:t>
            </w:r>
            <w:r>
              <w:rPr>
                <w:rFonts w:hint="eastAsia" w:asciiTheme="minorEastAsia" w:hAnsiTheme="minorEastAsia" w:eastAsiaTheme="minorEastAsia"/>
                <w:sz w:val="24"/>
                <w:szCs w:val="24"/>
              </w:rPr>
              <w:t>元（大写：贰佰万零伍仟陆佰叁拾陆元伍角肆分）</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五标段：￥</w:t>
            </w:r>
            <w:r>
              <w:rPr>
                <w:rFonts w:asciiTheme="minorEastAsia" w:hAnsiTheme="minorEastAsia" w:eastAsiaTheme="minorEastAsia"/>
                <w:sz w:val="24"/>
                <w:szCs w:val="24"/>
              </w:rPr>
              <w:t>1544584.52</w:t>
            </w:r>
            <w:r>
              <w:rPr>
                <w:rFonts w:hint="eastAsia" w:asciiTheme="minorEastAsia" w:hAnsiTheme="minorEastAsia" w:eastAsiaTheme="minorEastAsia"/>
                <w:sz w:val="24"/>
                <w:szCs w:val="24"/>
              </w:rPr>
              <w:t>元（大写：壹佰伍拾肆万肆仟伍佰捌拾肆元伍角贰分）</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六标段：￥</w:t>
            </w:r>
            <w:r>
              <w:rPr>
                <w:rFonts w:asciiTheme="minorEastAsia" w:hAnsiTheme="minorEastAsia" w:eastAsiaTheme="minorEastAsia"/>
                <w:sz w:val="24"/>
                <w:szCs w:val="24"/>
              </w:rPr>
              <w:t>1891267.53</w:t>
            </w:r>
            <w:r>
              <w:rPr>
                <w:rFonts w:hint="eastAsia" w:asciiTheme="minorEastAsia" w:hAnsiTheme="minorEastAsia" w:eastAsiaTheme="minorEastAsia"/>
                <w:sz w:val="24"/>
                <w:szCs w:val="24"/>
              </w:rPr>
              <w:t>元（大写：壹佰捌拾玖万壹仟贰佰陆拾柒元伍角叁分）</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10.4</w:t>
            </w:r>
          </w:p>
        </w:tc>
        <w:tc>
          <w:tcPr>
            <w:tcW w:w="8830" w:type="dxa"/>
            <w:gridSpan w:val="4"/>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10.4.1</w:t>
            </w:r>
          </w:p>
        </w:tc>
        <w:tc>
          <w:tcPr>
            <w:tcW w:w="2350" w:type="dxa"/>
            <w:gridSpan w:val="3"/>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是否要求投标人在递交投标文件时，同时递交投标文件电子版</w:t>
            </w:r>
          </w:p>
        </w:tc>
        <w:tc>
          <w:tcPr>
            <w:tcW w:w="6480" w:type="dxa"/>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10.4.2</w:t>
            </w:r>
          </w:p>
        </w:tc>
        <w:tc>
          <w:tcPr>
            <w:tcW w:w="2350" w:type="dxa"/>
            <w:gridSpan w:val="3"/>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递交投标文件电子版形式</w:t>
            </w:r>
          </w:p>
        </w:tc>
        <w:tc>
          <w:tcPr>
            <w:tcW w:w="6480" w:type="dxa"/>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WORD或EXCEL形式电子文档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10.4.3</w:t>
            </w:r>
          </w:p>
        </w:tc>
        <w:tc>
          <w:tcPr>
            <w:tcW w:w="2350" w:type="dxa"/>
            <w:gridSpan w:val="3"/>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投标文件电子版密封方式</w:t>
            </w:r>
          </w:p>
        </w:tc>
        <w:tc>
          <w:tcPr>
            <w:tcW w:w="6480" w:type="dxa"/>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单独放入一个密封袋中，加贴封条，并在封套封口处加盖投标人单位章，在封套上标记“投标文件电子版”字样,并与投标文件一并提交。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10.5是否实行计算机辅助评标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60" w:lineRule="auto"/>
              <w:rPr>
                <w:rFonts w:cs="宋体" w:asciiTheme="minorEastAsia" w:hAnsiTheme="minorEastAsia" w:eastAsiaTheme="minorEastAsia"/>
                <w:kern w:val="0"/>
                <w:sz w:val="24"/>
                <w:szCs w:val="24"/>
              </w:rPr>
            </w:pPr>
          </w:p>
        </w:tc>
        <w:tc>
          <w:tcPr>
            <w:tcW w:w="8830" w:type="dxa"/>
            <w:gridSpan w:val="4"/>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本项目不采用计算机辅助评标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9829" w:type="dxa"/>
            <w:gridSpan w:val="6"/>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999" w:type="dxa"/>
            <w:gridSpan w:val="2"/>
            <w:vAlign w:val="center"/>
          </w:tcPr>
          <w:p>
            <w:pPr>
              <w:spacing w:line="360" w:lineRule="auto"/>
              <w:rPr>
                <w:rFonts w:cs="宋体" w:asciiTheme="minorEastAsia" w:hAnsiTheme="minorEastAsia" w:eastAsiaTheme="minorEastAsia"/>
                <w:kern w:val="0"/>
                <w:sz w:val="24"/>
                <w:szCs w:val="24"/>
              </w:rPr>
            </w:pPr>
          </w:p>
        </w:tc>
        <w:tc>
          <w:tcPr>
            <w:tcW w:w="8830" w:type="dxa"/>
            <w:gridSpan w:val="4"/>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829" w:type="dxa"/>
            <w:gridSpan w:val="6"/>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99" w:type="dxa"/>
            <w:gridSpan w:val="2"/>
            <w:vAlign w:val="center"/>
          </w:tcPr>
          <w:p>
            <w:pPr>
              <w:spacing w:line="360" w:lineRule="auto"/>
              <w:rPr>
                <w:rFonts w:cs="宋体" w:asciiTheme="minorEastAsia" w:hAnsiTheme="minorEastAsia" w:eastAsiaTheme="minorEastAsia"/>
                <w:kern w:val="0"/>
                <w:sz w:val="24"/>
                <w:szCs w:val="24"/>
              </w:rPr>
            </w:pPr>
          </w:p>
        </w:tc>
        <w:tc>
          <w:tcPr>
            <w:tcW w:w="8830" w:type="dxa"/>
            <w:gridSpan w:val="4"/>
            <w:vAlign w:val="center"/>
          </w:tcPr>
          <w:tbl>
            <w:tblPr>
              <w:tblStyle w:val="18"/>
              <w:tblW w:w="8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912" w:type="dxa"/>
                  <w:vAlign w:val="center"/>
                </w:tcPr>
                <w:p>
                  <w:pPr>
                    <w:numPr>
                      <w:ilvl w:val="0"/>
                      <w:numId w:val="2"/>
                    </w:num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在中标通知书发出前，招标人将中标候选人的情况在本招标项目招标公告发布的同一媒介予以公示，公示期不少于3日。</w:t>
                  </w:r>
                </w:p>
                <w:p>
                  <w:pPr>
                    <w:numPr>
                      <w:ilvl w:val="0"/>
                      <w:numId w:val="2"/>
                    </w:numPr>
                    <w:spacing w:line="360" w:lineRule="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根据</w:t>
                  </w:r>
                  <w:r>
                    <w:rPr>
                      <w:rFonts w:hint="eastAsia" w:cs="宋体" w:asciiTheme="minorEastAsia" w:hAnsiTheme="minorEastAsia" w:eastAsiaTheme="minorEastAsia"/>
                      <w:kern w:val="0"/>
                      <w:sz w:val="24"/>
                      <w:szCs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bl>
          <w:p>
            <w:pPr>
              <w:spacing w:line="360" w:lineRule="auto"/>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60" w:lineRule="auto"/>
              <w:rPr>
                <w:rFonts w:cs="宋体" w:asciiTheme="minorEastAsia" w:hAnsiTheme="minorEastAsia" w:eastAsiaTheme="minorEastAsia"/>
                <w:kern w:val="0"/>
                <w:sz w:val="24"/>
                <w:szCs w:val="24"/>
              </w:rPr>
            </w:pPr>
          </w:p>
        </w:tc>
        <w:tc>
          <w:tcPr>
            <w:tcW w:w="8830" w:type="dxa"/>
            <w:gridSpan w:val="4"/>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60" w:lineRule="auto"/>
              <w:rPr>
                <w:rFonts w:cs="宋体" w:asciiTheme="minorEastAsia" w:hAnsiTheme="minorEastAsia" w:eastAsiaTheme="minorEastAsia"/>
                <w:kern w:val="0"/>
                <w:sz w:val="24"/>
                <w:szCs w:val="24"/>
              </w:rPr>
            </w:pPr>
          </w:p>
        </w:tc>
        <w:tc>
          <w:tcPr>
            <w:tcW w:w="8830" w:type="dxa"/>
            <w:gridSpan w:val="4"/>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10.10同义词语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60" w:lineRule="auto"/>
              <w:rPr>
                <w:rFonts w:cs="宋体" w:asciiTheme="minorEastAsia" w:hAnsiTheme="minorEastAsia" w:eastAsiaTheme="minorEastAsia"/>
                <w:kern w:val="0"/>
                <w:sz w:val="24"/>
                <w:szCs w:val="24"/>
              </w:rPr>
            </w:pPr>
          </w:p>
        </w:tc>
        <w:tc>
          <w:tcPr>
            <w:tcW w:w="8830" w:type="dxa"/>
            <w:gridSpan w:val="4"/>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99" w:type="dxa"/>
            <w:gridSpan w:val="2"/>
            <w:vAlign w:val="center"/>
          </w:tcPr>
          <w:p>
            <w:pPr>
              <w:spacing w:line="360" w:lineRule="auto"/>
              <w:rPr>
                <w:rFonts w:cs="宋体" w:asciiTheme="minorEastAsia" w:hAnsiTheme="minorEastAsia" w:eastAsiaTheme="minorEastAsia"/>
                <w:kern w:val="0"/>
                <w:sz w:val="24"/>
                <w:szCs w:val="24"/>
              </w:rPr>
            </w:pPr>
          </w:p>
        </w:tc>
        <w:tc>
          <w:tcPr>
            <w:tcW w:w="8830" w:type="dxa"/>
            <w:gridSpan w:val="4"/>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10.12解释权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050" w:type="dxa"/>
            <w:gridSpan w:val="3"/>
            <w:vAlign w:val="center"/>
          </w:tcPr>
          <w:p>
            <w:pPr>
              <w:spacing w:line="360" w:lineRule="auto"/>
              <w:rPr>
                <w:rFonts w:cs="宋体" w:asciiTheme="minorEastAsia" w:hAnsiTheme="minorEastAsia" w:eastAsiaTheme="minorEastAsia"/>
                <w:kern w:val="0"/>
                <w:sz w:val="24"/>
                <w:szCs w:val="24"/>
              </w:rPr>
            </w:pPr>
          </w:p>
        </w:tc>
        <w:tc>
          <w:tcPr>
            <w:tcW w:w="8779" w:type="dxa"/>
            <w:gridSpan w:val="3"/>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29" w:type="dxa"/>
            <w:gridSpan w:val="6"/>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10.13投标文件的拒收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99" w:type="dxa"/>
            <w:gridSpan w:val="2"/>
            <w:vAlign w:val="center"/>
          </w:tcPr>
          <w:p>
            <w:pPr>
              <w:spacing w:line="360" w:lineRule="auto"/>
              <w:rPr>
                <w:rFonts w:cs="宋体" w:asciiTheme="minorEastAsia" w:hAnsiTheme="minorEastAsia" w:eastAsiaTheme="minorEastAsia"/>
                <w:kern w:val="0"/>
                <w:sz w:val="24"/>
                <w:szCs w:val="24"/>
              </w:rPr>
            </w:pPr>
          </w:p>
        </w:tc>
        <w:tc>
          <w:tcPr>
            <w:tcW w:w="8830" w:type="dxa"/>
            <w:gridSpan w:val="4"/>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1、投标文件逾期送达或未送达指定地点的；</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2、未按招标文件要求密封和标识的；</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hint="eastAsia" w:cs="仿宋_GB2312" w:asciiTheme="minorEastAsia" w:hAnsiTheme="minorEastAsia" w:eastAsiaTheme="minorEastAsia"/>
                <w:sz w:val="24"/>
                <w:szCs w:val="24"/>
              </w:rPr>
              <w:t>未按招标文件要求缴纳投标保证金的；</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r>
              <w:rPr>
                <w:rFonts w:hint="eastAsia" w:cs="仿宋_GB2312" w:asciiTheme="minorEastAsia" w:hAnsiTheme="minorEastAsia" w:eastAsiaTheme="minorEastAsia"/>
                <w:sz w:val="24"/>
                <w:szCs w:val="24"/>
              </w:rPr>
              <w:t>、开标时法定代表人</w:t>
            </w:r>
            <w:r>
              <w:rPr>
                <w:rFonts w:hint="eastAsia" w:cs="宋体" w:asciiTheme="minorEastAsia" w:hAnsiTheme="minorEastAsia" w:eastAsiaTheme="minorEastAsia"/>
                <w:kern w:val="0"/>
                <w:sz w:val="24"/>
                <w:szCs w:val="24"/>
              </w:rPr>
              <w:t>未持有效身份证原件或授权委托人未持有效的授权委托书原件及本人身份证到开标现场并签到的；</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5、未按规定支付招标文件费用的；</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6、未通过《全国公共资源交易平台（河南省•许昌市）》下载招标文件的。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829" w:type="dxa"/>
            <w:gridSpan w:val="6"/>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10.14投标人向评标委员会提交的所有证书及相关材料提交方式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99" w:type="dxa"/>
            <w:gridSpan w:val="2"/>
            <w:vAlign w:val="center"/>
          </w:tcPr>
          <w:p>
            <w:pPr>
              <w:spacing w:line="360" w:lineRule="auto"/>
              <w:rPr>
                <w:rFonts w:cs="宋体" w:asciiTheme="minorEastAsia" w:hAnsiTheme="minorEastAsia" w:eastAsiaTheme="minorEastAsia"/>
                <w:kern w:val="0"/>
                <w:sz w:val="24"/>
                <w:szCs w:val="24"/>
              </w:rPr>
            </w:pPr>
          </w:p>
        </w:tc>
        <w:tc>
          <w:tcPr>
            <w:tcW w:w="8830" w:type="dxa"/>
            <w:gridSpan w:val="4"/>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具体要求及格式详见本章附表一：提交证件及业绩格式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829" w:type="dxa"/>
            <w:gridSpan w:val="6"/>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10.15招标文件费用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99" w:type="dxa"/>
            <w:gridSpan w:val="2"/>
            <w:vAlign w:val="center"/>
          </w:tcPr>
          <w:p>
            <w:pPr>
              <w:spacing w:line="360" w:lineRule="auto"/>
              <w:rPr>
                <w:rFonts w:cs="宋体" w:asciiTheme="minorEastAsia" w:hAnsiTheme="minorEastAsia" w:eastAsiaTheme="minorEastAsia"/>
                <w:kern w:val="0"/>
                <w:sz w:val="24"/>
                <w:szCs w:val="24"/>
              </w:rPr>
            </w:pPr>
          </w:p>
        </w:tc>
        <w:tc>
          <w:tcPr>
            <w:tcW w:w="8830" w:type="dxa"/>
            <w:gridSpan w:val="4"/>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标招标文件及有关资料费：1000元/标段，售后不退。</w:t>
            </w:r>
          </w:p>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投标人在递交纸质投标文件时向代理公司缴纳招标文件费用。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829" w:type="dxa"/>
            <w:gridSpan w:val="6"/>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10.16特别提示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99" w:type="dxa"/>
            <w:gridSpan w:val="2"/>
            <w:vAlign w:val="center"/>
          </w:tcPr>
          <w:p>
            <w:pPr>
              <w:spacing w:line="360" w:lineRule="auto"/>
              <w:rPr>
                <w:rFonts w:cs="宋体" w:asciiTheme="minorEastAsia" w:hAnsiTheme="minorEastAsia" w:eastAsiaTheme="minorEastAsia"/>
                <w:kern w:val="0"/>
                <w:sz w:val="24"/>
                <w:szCs w:val="24"/>
              </w:rPr>
            </w:pPr>
          </w:p>
        </w:tc>
        <w:tc>
          <w:tcPr>
            <w:tcW w:w="8830" w:type="dxa"/>
            <w:gridSpan w:val="4"/>
            <w:vAlign w:val="center"/>
          </w:tcPr>
          <w:p>
            <w:pPr>
              <w:autoSpaceDN w:val="0"/>
              <w:spacing w:beforeAutospacing="1" w:afterAutospacing="1"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1、潜在投标人应仔细阅读招标文件、工程量清单，若</w:t>
            </w:r>
            <w:r>
              <w:rPr>
                <w:rFonts w:hint="eastAsia" w:asciiTheme="minorEastAsia" w:hAnsiTheme="minorEastAsia" w:eastAsiaTheme="minorEastAsia"/>
                <w:sz w:val="24"/>
                <w:szCs w:val="24"/>
              </w:rPr>
              <w:t>发</w:t>
            </w:r>
            <w:r>
              <w:rPr>
                <w:rFonts w:asciiTheme="minorEastAsia" w:hAnsiTheme="minorEastAsia" w:eastAsiaTheme="minorEastAsia"/>
                <w:sz w:val="24"/>
                <w:szCs w:val="24"/>
              </w:rPr>
              <w:t>现工程量清单</w:t>
            </w:r>
            <w:r>
              <w:rPr>
                <w:rFonts w:hint="eastAsia" w:asciiTheme="minorEastAsia" w:hAnsiTheme="minorEastAsia" w:eastAsiaTheme="minorEastAsia"/>
                <w:sz w:val="24"/>
                <w:szCs w:val="24"/>
              </w:rPr>
              <w:t>错（</w:t>
            </w:r>
            <w:r>
              <w:rPr>
                <w:rFonts w:asciiTheme="minorEastAsia" w:hAnsiTheme="minorEastAsia" w:eastAsiaTheme="minorEastAsia"/>
                <w:sz w:val="24"/>
                <w:szCs w:val="24"/>
              </w:rPr>
              <w:t>漏</w:t>
            </w:r>
            <w:r>
              <w:rPr>
                <w:rFonts w:hint="eastAsia" w:asciiTheme="minorEastAsia" w:hAnsiTheme="minorEastAsia" w:eastAsiaTheme="minorEastAsia"/>
                <w:sz w:val="24"/>
                <w:szCs w:val="24"/>
              </w:rPr>
              <w:t>）</w:t>
            </w:r>
            <w:r>
              <w:rPr>
                <w:rFonts w:asciiTheme="minorEastAsia" w:hAnsiTheme="minorEastAsia" w:eastAsiaTheme="minorEastAsia"/>
                <w:sz w:val="24"/>
                <w:szCs w:val="24"/>
              </w:rPr>
              <w:t>项等，请在规定时间内在许昌市公共资源交易系统平台上提出</w:t>
            </w:r>
            <w:r>
              <w:rPr>
                <w:rFonts w:hint="eastAsia" w:asciiTheme="minorEastAsia" w:hAnsiTheme="minorEastAsia" w:eastAsiaTheme="minorEastAsia"/>
                <w:sz w:val="24"/>
                <w:szCs w:val="24"/>
              </w:rPr>
              <w:t>，否则，中标后，因此而造成工程量的增加，由中标人承担。</w:t>
            </w:r>
            <w:r>
              <w:rPr>
                <w:rFonts w:asciiTheme="minorEastAsia" w:hAnsiTheme="minorEastAsia" w:eastAsiaTheme="minorEastAsia"/>
                <w:sz w:val="24"/>
                <w:szCs w:val="24"/>
              </w:rPr>
              <w:br w:type="textWrapping"/>
            </w:r>
            <w:r>
              <w:rPr>
                <w:rFonts w:asciiTheme="minorEastAsia" w:hAnsiTheme="minorEastAsia" w:eastAsiaTheme="minorEastAsia"/>
                <w:sz w:val="24"/>
                <w:szCs w:val="24"/>
              </w:rPr>
              <w:t>2、潜在投标人如对招标文件有异议，请在规定时间内在许昌市公共资源交易系统平台上提出，以其它方式递交的异议不予接收</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3.投标人在投标截止时间前应随时关注许昌市公共资源交易系统电子平台发出的有关本工程的答疑、修改等相关内容。</w:t>
            </w:r>
          </w:p>
        </w:tc>
      </w:tr>
    </w:tbl>
    <w:p>
      <w:pPr>
        <w:pStyle w:val="2"/>
        <w:ind w:left="0" w:leftChars="0" w:firstLine="0" w:firstLineChars="0"/>
      </w:pPr>
    </w:p>
    <w:p>
      <w:pPr>
        <w:pStyle w:val="9"/>
        <w:spacing w:line="360" w:lineRule="auto"/>
        <w:ind w:leftChars="200" w:firstLine="120" w:firstLineChars="50"/>
        <w:outlineLvl w:val="2"/>
        <w:rPr>
          <w:rFonts w:ascii="宋体" w:hAnsi="宋体" w:cs="宋体"/>
          <w:b/>
          <w:i w:val="0"/>
          <w:sz w:val="24"/>
          <w:szCs w:val="24"/>
        </w:rPr>
      </w:pPr>
      <w:r>
        <w:rPr>
          <w:rFonts w:hint="eastAsia" w:ascii="宋体" w:hAnsi="宋体" w:cs="宋体"/>
          <w:b/>
          <w:i w:val="0"/>
          <w:sz w:val="24"/>
          <w:szCs w:val="24"/>
        </w:rPr>
        <w:t>1. 总则</w:t>
      </w:r>
      <w:bookmarkEnd w:id="3"/>
    </w:p>
    <w:p>
      <w:pPr>
        <w:spacing w:line="360" w:lineRule="auto"/>
        <w:ind w:firstLine="482"/>
        <w:rPr>
          <w:rFonts w:ascii="宋体" w:hAnsi="宋体" w:cs="宋体"/>
          <w:b/>
          <w:sz w:val="24"/>
          <w:szCs w:val="24"/>
        </w:rPr>
      </w:pPr>
      <w:r>
        <w:rPr>
          <w:rFonts w:hint="eastAsia" w:ascii="宋体" w:hAnsi="宋体" w:cs="宋体"/>
          <w:b/>
          <w:sz w:val="24"/>
          <w:szCs w:val="24"/>
        </w:rPr>
        <w:t>1.1 项目概况</w:t>
      </w:r>
    </w:p>
    <w:p>
      <w:pPr>
        <w:spacing w:line="360" w:lineRule="auto"/>
        <w:ind w:firstLine="480"/>
        <w:rPr>
          <w:rFonts w:ascii="宋体" w:hAnsi="宋体" w:cs="宋体"/>
          <w:sz w:val="24"/>
          <w:szCs w:val="24"/>
        </w:rPr>
      </w:pPr>
      <w:r>
        <w:rPr>
          <w:rFonts w:hint="eastAsia" w:ascii="宋体" w:hAnsi="宋体" w:cs="宋体"/>
          <w:sz w:val="24"/>
          <w:szCs w:val="24"/>
        </w:rPr>
        <w:t>1.1.1根据《中华人民共和国招标投标法》等有关法律、法规和规章的规定，本招标项目已具备招标条件，现对本标段施工进行招标。</w:t>
      </w:r>
    </w:p>
    <w:p>
      <w:pPr>
        <w:spacing w:line="360" w:lineRule="auto"/>
        <w:ind w:firstLine="480"/>
        <w:rPr>
          <w:rFonts w:ascii="宋体" w:hAnsi="宋体" w:cs="宋体"/>
          <w:sz w:val="24"/>
          <w:szCs w:val="24"/>
        </w:rPr>
      </w:pPr>
      <w:r>
        <w:rPr>
          <w:rFonts w:hint="eastAsia" w:ascii="宋体" w:hAnsi="宋体" w:cs="宋体"/>
          <w:sz w:val="24"/>
          <w:szCs w:val="24"/>
        </w:rPr>
        <w:t>1.1.2 本招标项目招标人：见投标人须知前附表。</w:t>
      </w:r>
    </w:p>
    <w:p>
      <w:pPr>
        <w:spacing w:line="360" w:lineRule="auto"/>
        <w:ind w:firstLine="480"/>
        <w:rPr>
          <w:rFonts w:ascii="宋体" w:hAnsi="宋体" w:cs="宋体"/>
          <w:sz w:val="24"/>
          <w:szCs w:val="24"/>
        </w:rPr>
      </w:pPr>
      <w:r>
        <w:rPr>
          <w:rFonts w:hint="eastAsia" w:ascii="宋体" w:hAnsi="宋体" w:cs="宋体"/>
          <w:sz w:val="24"/>
          <w:szCs w:val="24"/>
        </w:rPr>
        <w:t>1.1.3 本招标项目招标代理机构：见投标人须知前附表。</w:t>
      </w:r>
    </w:p>
    <w:p>
      <w:pPr>
        <w:spacing w:line="360" w:lineRule="auto"/>
        <w:ind w:firstLine="480"/>
        <w:rPr>
          <w:rFonts w:ascii="宋体" w:hAnsi="宋体" w:cs="宋体"/>
          <w:sz w:val="24"/>
          <w:szCs w:val="24"/>
        </w:rPr>
      </w:pPr>
      <w:r>
        <w:rPr>
          <w:rFonts w:hint="eastAsia" w:ascii="宋体" w:hAnsi="宋体" w:cs="宋体"/>
          <w:sz w:val="24"/>
          <w:szCs w:val="24"/>
        </w:rPr>
        <w:t>1.1.4 本招标项目名称：见投标人须知前附表。</w:t>
      </w:r>
    </w:p>
    <w:p>
      <w:pPr>
        <w:spacing w:line="360" w:lineRule="auto"/>
        <w:ind w:firstLine="480"/>
        <w:rPr>
          <w:rFonts w:ascii="宋体" w:hAnsi="宋体" w:cs="宋体"/>
          <w:sz w:val="24"/>
          <w:szCs w:val="24"/>
        </w:rPr>
      </w:pPr>
      <w:r>
        <w:rPr>
          <w:rFonts w:hint="eastAsia" w:ascii="宋体" w:hAnsi="宋体" w:cs="宋体"/>
          <w:sz w:val="24"/>
          <w:szCs w:val="24"/>
        </w:rPr>
        <w:t>1.1.5 本招标项目建设地点：见投标人须知前附表。</w:t>
      </w:r>
    </w:p>
    <w:p>
      <w:pPr>
        <w:spacing w:line="360" w:lineRule="auto"/>
        <w:ind w:firstLine="482"/>
        <w:rPr>
          <w:rFonts w:ascii="宋体" w:hAnsi="宋体" w:cs="宋体"/>
          <w:b/>
          <w:sz w:val="24"/>
          <w:szCs w:val="24"/>
        </w:rPr>
      </w:pPr>
      <w:r>
        <w:rPr>
          <w:rFonts w:hint="eastAsia" w:ascii="宋体" w:hAnsi="宋体" w:cs="宋体"/>
          <w:b/>
          <w:sz w:val="24"/>
          <w:szCs w:val="24"/>
        </w:rPr>
        <w:t>1.2 资金来源和落实情况</w:t>
      </w:r>
    </w:p>
    <w:p>
      <w:pPr>
        <w:spacing w:line="360" w:lineRule="auto"/>
        <w:ind w:firstLine="480"/>
        <w:rPr>
          <w:rFonts w:ascii="宋体" w:hAnsi="宋体" w:cs="宋体"/>
          <w:sz w:val="24"/>
          <w:szCs w:val="24"/>
        </w:rPr>
      </w:pPr>
      <w:r>
        <w:rPr>
          <w:rFonts w:hint="eastAsia" w:ascii="宋体" w:hAnsi="宋体" w:cs="宋体"/>
          <w:sz w:val="24"/>
          <w:szCs w:val="24"/>
        </w:rPr>
        <w:t>1.2.1 本招标项目的资金来源：见投标人须知前附表。</w:t>
      </w:r>
    </w:p>
    <w:p>
      <w:pPr>
        <w:spacing w:line="360" w:lineRule="auto"/>
        <w:ind w:firstLine="480"/>
        <w:rPr>
          <w:rFonts w:ascii="宋体" w:hAnsi="宋体" w:cs="宋体"/>
          <w:sz w:val="24"/>
          <w:szCs w:val="24"/>
        </w:rPr>
      </w:pPr>
      <w:r>
        <w:rPr>
          <w:rFonts w:hint="eastAsia" w:ascii="宋体" w:hAnsi="宋体" w:cs="宋体"/>
          <w:sz w:val="24"/>
          <w:szCs w:val="24"/>
        </w:rPr>
        <w:t>1.2.2 本招标项目的资金落实情况：见投标人须知前附表。</w:t>
      </w:r>
    </w:p>
    <w:p>
      <w:pPr>
        <w:spacing w:line="360" w:lineRule="auto"/>
        <w:ind w:firstLine="482"/>
        <w:rPr>
          <w:rFonts w:ascii="宋体" w:hAnsi="宋体" w:cs="宋体"/>
          <w:b/>
          <w:sz w:val="24"/>
          <w:szCs w:val="24"/>
        </w:rPr>
      </w:pPr>
      <w:r>
        <w:rPr>
          <w:rFonts w:hint="eastAsia" w:ascii="宋体" w:hAnsi="宋体" w:cs="宋体"/>
          <w:b/>
          <w:sz w:val="24"/>
          <w:szCs w:val="24"/>
        </w:rPr>
        <w:t>1.3 招标范围、计划工期和质量要求</w:t>
      </w:r>
    </w:p>
    <w:p>
      <w:pPr>
        <w:spacing w:line="360" w:lineRule="auto"/>
        <w:ind w:firstLine="480"/>
        <w:rPr>
          <w:rFonts w:ascii="宋体" w:hAnsi="宋体" w:cs="宋体"/>
          <w:sz w:val="24"/>
          <w:szCs w:val="24"/>
        </w:rPr>
      </w:pPr>
      <w:r>
        <w:rPr>
          <w:rFonts w:hint="eastAsia" w:ascii="宋体" w:hAnsi="宋体" w:cs="宋体"/>
          <w:sz w:val="24"/>
          <w:szCs w:val="24"/>
        </w:rPr>
        <w:t>1.3.1 本招标项目的招标范围：见投标人须知前附表。</w:t>
      </w:r>
    </w:p>
    <w:p>
      <w:pPr>
        <w:spacing w:line="360" w:lineRule="auto"/>
        <w:ind w:firstLine="480"/>
        <w:rPr>
          <w:rFonts w:ascii="宋体" w:hAnsi="宋体" w:cs="宋体"/>
          <w:sz w:val="24"/>
          <w:szCs w:val="24"/>
        </w:rPr>
      </w:pPr>
      <w:r>
        <w:rPr>
          <w:rFonts w:hint="eastAsia" w:ascii="宋体" w:hAnsi="宋体" w:cs="宋体"/>
          <w:sz w:val="24"/>
          <w:szCs w:val="24"/>
        </w:rPr>
        <w:t>1.3.2 本招标项目的计划工期：见投标人须知前附表。</w:t>
      </w:r>
    </w:p>
    <w:p>
      <w:pPr>
        <w:spacing w:line="360" w:lineRule="auto"/>
        <w:ind w:firstLine="480"/>
        <w:rPr>
          <w:rFonts w:ascii="宋体" w:hAnsi="宋体" w:cs="宋体"/>
          <w:sz w:val="24"/>
          <w:szCs w:val="24"/>
        </w:rPr>
      </w:pPr>
      <w:r>
        <w:rPr>
          <w:rFonts w:hint="eastAsia" w:ascii="宋体" w:hAnsi="宋体" w:cs="宋体"/>
          <w:sz w:val="24"/>
          <w:szCs w:val="24"/>
        </w:rPr>
        <w:t>1.3.3 本招标项目的质量要求：见投标人须知前附表。</w:t>
      </w:r>
    </w:p>
    <w:p>
      <w:pPr>
        <w:spacing w:line="360" w:lineRule="auto"/>
        <w:ind w:firstLine="482"/>
        <w:rPr>
          <w:rFonts w:ascii="宋体" w:hAnsi="宋体" w:cs="宋体"/>
          <w:b/>
          <w:sz w:val="24"/>
          <w:szCs w:val="24"/>
        </w:rPr>
      </w:pPr>
      <w:r>
        <w:rPr>
          <w:rFonts w:hint="eastAsia" w:ascii="宋体" w:hAnsi="宋体" w:cs="宋体"/>
          <w:b/>
          <w:sz w:val="24"/>
          <w:szCs w:val="24"/>
        </w:rPr>
        <w:t>1.4 投标人资格要求</w:t>
      </w:r>
    </w:p>
    <w:p>
      <w:pPr>
        <w:spacing w:line="360" w:lineRule="auto"/>
        <w:ind w:firstLine="480"/>
        <w:rPr>
          <w:rFonts w:ascii="宋体" w:hAnsi="宋体" w:cs="宋体"/>
          <w:sz w:val="24"/>
          <w:szCs w:val="24"/>
        </w:rPr>
      </w:pPr>
      <w:r>
        <w:rPr>
          <w:rFonts w:hint="eastAsia" w:ascii="宋体" w:hAnsi="宋体" w:cs="宋体"/>
          <w:sz w:val="24"/>
          <w:szCs w:val="24"/>
        </w:rPr>
        <w:t>1.4.1 投标人应具备承担本标段施工的资质条件、能力和信誉。</w:t>
      </w:r>
    </w:p>
    <w:p>
      <w:pPr>
        <w:spacing w:line="360" w:lineRule="auto"/>
        <w:ind w:firstLine="480"/>
        <w:rPr>
          <w:rFonts w:ascii="宋体" w:hAnsi="宋体" w:cs="宋体"/>
          <w:sz w:val="24"/>
          <w:szCs w:val="24"/>
        </w:rPr>
      </w:pPr>
      <w:r>
        <w:rPr>
          <w:rFonts w:hint="eastAsia" w:ascii="宋体" w:hAnsi="宋体" w:cs="宋体"/>
          <w:sz w:val="24"/>
          <w:szCs w:val="24"/>
        </w:rPr>
        <w:t>（1）资质要求：见投标人须知前附表；</w:t>
      </w:r>
    </w:p>
    <w:p>
      <w:pPr>
        <w:spacing w:line="360" w:lineRule="auto"/>
        <w:ind w:firstLine="480"/>
        <w:rPr>
          <w:rFonts w:ascii="宋体" w:hAnsi="宋体" w:cs="宋体"/>
          <w:sz w:val="24"/>
          <w:szCs w:val="24"/>
        </w:rPr>
      </w:pPr>
      <w:r>
        <w:rPr>
          <w:rFonts w:hint="eastAsia" w:ascii="宋体" w:hAnsi="宋体" w:cs="宋体"/>
          <w:sz w:val="24"/>
          <w:szCs w:val="24"/>
        </w:rPr>
        <w:t>（2）信誉要求：见投标人须知前附表；</w:t>
      </w:r>
    </w:p>
    <w:p>
      <w:pPr>
        <w:spacing w:line="360" w:lineRule="auto"/>
        <w:ind w:firstLine="480"/>
        <w:rPr>
          <w:rFonts w:ascii="宋体" w:hAnsi="宋体" w:cs="宋体"/>
          <w:sz w:val="24"/>
          <w:szCs w:val="24"/>
        </w:rPr>
      </w:pPr>
      <w:r>
        <w:rPr>
          <w:rFonts w:hint="eastAsia" w:ascii="宋体" w:hAnsi="宋体" w:cs="宋体"/>
          <w:sz w:val="24"/>
          <w:szCs w:val="24"/>
        </w:rPr>
        <w:t xml:space="preserve">（3）项目负责人：见投标人须知前附表； </w:t>
      </w:r>
    </w:p>
    <w:p>
      <w:pPr>
        <w:spacing w:line="360" w:lineRule="auto"/>
        <w:ind w:firstLine="480"/>
        <w:rPr>
          <w:rFonts w:ascii="宋体" w:hAnsi="宋体" w:cs="宋体"/>
          <w:sz w:val="24"/>
          <w:szCs w:val="24"/>
        </w:rPr>
      </w:pPr>
      <w:r>
        <w:rPr>
          <w:rFonts w:hint="eastAsia" w:ascii="宋体" w:hAnsi="宋体" w:cs="宋体"/>
          <w:sz w:val="24"/>
          <w:szCs w:val="24"/>
        </w:rPr>
        <w:t>（4）其他要求：见投标人须知前附表。</w:t>
      </w:r>
    </w:p>
    <w:p>
      <w:pPr>
        <w:spacing w:line="360" w:lineRule="auto"/>
        <w:ind w:firstLine="480"/>
        <w:rPr>
          <w:rFonts w:ascii="宋体" w:hAnsi="宋体" w:cs="宋体"/>
          <w:sz w:val="24"/>
          <w:szCs w:val="24"/>
        </w:rPr>
      </w:pPr>
      <w:r>
        <w:rPr>
          <w:rFonts w:hint="eastAsia" w:ascii="宋体" w:hAnsi="宋体" w:cs="宋体"/>
          <w:sz w:val="24"/>
          <w:szCs w:val="24"/>
        </w:rPr>
        <w:t>1.4.2 投标人须知前附表规定接受联合体投标的，除应符合本章第1.4.1项和投标人须知前附表的要求外，还应遵守以下规定</w:t>
      </w:r>
      <w:r>
        <w:rPr>
          <w:rFonts w:hint="eastAsia" w:ascii="宋体" w:hAnsi="宋体" w:cs="宋体"/>
          <w:b/>
          <w:sz w:val="24"/>
          <w:szCs w:val="24"/>
        </w:rPr>
        <w:t>（本次招标不接受联合体投标）</w:t>
      </w:r>
      <w:r>
        <w:rPr>
          <w:rFonts w:hint="eastAsia" w:ascii="宋体" w:hAnsi="宋体" w:cs="宋体"/>
          <w:sz w:val="24"/>
          <w:szCs w:val="24"/>
        </w:rPr>
        <w:t>：</w:t>
      </w:r>
    </w:p>
    <w:p>
      <w:pPr>
        <w:spacing w:line="360" w:lineRule="auto"/>
        <w:ind w:firstLine="480"/>
        <w:rPr>
          <w:rFonts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w:t>
      </w:r>
    </w:p>
    <w:p>
      <w:pPr>
        <w:spacing w:line="360" w:lineRule="auto"/>
        <w:ind w:firstLine="480"/>
        <w:rPr>
          <w:rFonts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spacing w:line="360" w:lineRule="auto"/>
        <w:ind w:firstLine="480"/>
        <w:rPr>
          <w:rFonts w:ascii="宋体" w:hAnsi="宋体" w:cs="宋体"/>
          <w:sz w:val="24"/>
          <w:szCs w:val="24"/>
        </w:rPr>
      </w:pPr>
      <w:r>
        <w:rPr>
          <w:rFonts w:hint="eastAsia" w:ascii="宋体" w:hAnsi="宋体" w:cs="宋体"/>
          <w:sz w:val="24"/>
          <w:szCs w:val="24"/>
        </w:rPr>
        <w:t>（3）联合体各方不得再以自己名义单独或参加其他联合体在同一标段中投标；</w:t>
      </w:r>
    </w:p>
    <w:p>
      <w:pPr>
        <w:spacing w:line="360" w:lineRule="auto"/>
        <w:ind w:firstLine="480"/>
        <w:rPr>
          <w:rFonts w:ascii="宋体" w:hAnsi="宋体" w:cs="宋体"/>
          <w:sz w:val="24"/>
          <w:szCs w:val="24"/>
        </w:rPr>
      </w:pPr>
      <w:r>
        <w:rPr>
          <w:rFonts w:hint="eastAsia" w:ascii="宋体" w:hAnsi="宋体" w:cs="宋体"/>
          <w:sz w:val="24"/>
          <w:szCs w:val="24"/>
        </w:rPr>
        <w:t>1.4.3 投标人不得存在下列情形之一：</w:t>
      </w:r>
    </w:p>
    <w:p>
      <w:pPr>
        <w:spacing w:line="360" w:lineRule="auto"/>
        <w:ind w:firstLine="480"/>
        <w:rPr>
          <w:rFonts w:ascii="宋体" w:hAnsi="宋体" w:cs="宋体"/>
          <w:sz w:val="24"/>
          <w:szCs w:val="24"/>
        </w:rPr>
      </w:pPr>
      <w:r>
        <w:rPr>
          <w:rFonts w:hint="eastAsia" w:ascii="宋体" w:hAnsi="宋体" w:cs="宋体"/>
          <w:sz w:val="24"/>
          <w:szCs w:val="24"/>
        </w:rPr>
        <w:t>（1）为招标人不具有独立法人资格的附属机构（单位）；</w:t>
      </w:r>
    </w:p>
    <w:p>
      <w:pPr>
        <w:spacing w:line="360" w:lineRule="auto"/>
        <w:ind w:firstLine="480"/>
        <w:rPr>
          <w:rFonts w:ascii="宋体" w:hAnsi="宋体" w:cs="宋体"/>
          <w:sz w:val="24"/>
          <w:szCs w:val="24"/>
        </w:rPr>
      </w:pPr>
      <w:r>
        <w:rPr>
          <w:rFonts w:hint="eastAsia" w:ascii="宋体" w:hAnsi="宋体" w:cs="宋体"/>
          <w:sz w:val="24"/>
          <w:szCs w:val="24"/>
        </w:rPr>
        <w:t>（2）为本标段前期准备提供设计或咨询服务的，但设计施工总承包的除外；</w:t>
      </w:r>
    </w:p>
    <w:p>
      <w:pPr>
        <w:spacing w:line="360" w:lineRule="auto"/>
        <w:ind w:firstLine="480"/>
        <w:rPr>
          <w:rFonts w:ascii="宋体" w:hAnsi="宋体" w:cs="宋体"/>
          <w:sz w:val="24"/>
          <w:szCs w:val="24"/>
        </w:rPr>
      </w:pPr>
      <w:r>
        <w:rPr>
          <w:rFonts w:hint="eastAsia" w:ascii="宋体" w:hAnsi="宋体" w:cs="宋体"/>
          <w:sz w:val="24"/>
          <w:szCs w:val="24"/>
        </w:rPr>
        <w:t>（3）为本标段的监理人；</w:t>
      </w:r>
    </w:p>
    <w:p>
      <w:pPr>
        <w:spacing w:line="360" w:lineRule="auto"/>
        <w:ind w:firstLine="480"/>
        <w:rPr>
          <w:rFonts w:ascii="宋体" w:hAnsi="宋体" w:cs="宋体"/>
          <w:sz w:val="24"/>
          <w:szCs w:val="24"/>
        </w:rPr>
      </w:pPr>
      <w:r>
        <w:rPr>
          <w:rFonts w:hint="eastAsia" w:ascii="宋体" w:hAnsi="宋体" w:cs="宋体"/>
          <w:sz w:val="24"/>
          <w:szCs w:val="24"/>
        </w:rPr>
        <w:t>（4）为本标段的代建人；</w:t>
      </w:r>
    </w:p>
    <w:p>
      <w:pPr>
        <w:spacing w:line="360" w:lineRule="auto"/>
        <w:ind w:firstLine="480"/>
        <w:rPr>
          <w:rFonts w:ascii="宋体" w:hAnsi="宋体" w:cs="宋体"/>
          <w:sz w:val="24"/>
          <w:szCs w:val="24"/>
        </w:rPr>
      </w:pPr>
      <w:r>
        <w:rPr>
          <w:rFonts w:hint="eastAsia" w:ascii="宋体" w:hAnsi="宋体" w:cs="宋体"/>
          <w:sz w:val="24"/>
          <w:szCs w:val="24"/>
        </w:rPr>
        <w:t>（5）为本标段提供招标代理服务的；</w:t>
      </w:r>
    </w:p>
    <w:p>
      <w:pPr>
        <w:spacing w:line="360" w:lineRule="auto"/>
        <w:ind w:firstLine="480"/>
        <w:rPr>
          <w:rFonts w:ascii="宋体" w:hAnsi="宋体" w:cs="宋体"/>
          <w:sz w:val="24"/>
          <w:szCs w:val="24"/>
        </w:rPr>
      </w:pPr>
      <w:r>
        <w:rPr>
          <w:rFonts w:hint="eastAsia" w:ascii="宋体" w:hAnsi="宋体" w:cs="宋体"/>
          <w:sz w:val="24"/>
          <w:szCs w:val="24"/>
        </w:rPr>
        <w:t>（6）与本标段的监理人或代建人或招标代理机构同为一个法定代表人的；</w:t>
      </w:r>
    </w:p>
    <w:p>
      <w:pPr>
        <w:spacing w:line="360" w:lineRule="auto"/>
        <w:ind w:firstLine="480"/>
        <w:rPr>
          <w:rFonts w:ascii="宋体" w:hAnsi="宋体" w:cs="宋体"/>
          <w:sz w:val="24"/>
          <w:szCs w:val="24"/>
        </w:rPr>
      </w:pPr>
      <w:r>
        <w:rPr>
          <w:rFonts w:hint="eastAsia" w:ascii="宋体" w:hAnsi="宋体" w:cs="宋体"/>
          <w:sz w:val="24"/>
          <w:szCs w:val="24"/>
        </w:rPr>
        <w:t>（7）与本标段的监理人或代建人或招标代理机构相互控股或参股的；</w:t>
      </w:r>
    </w:p>
    <w:p>
      <w:pPr>
        <w:spacing w:line="360" w:lineRule="auto"/>
        <w:ind w:firstLine="480"/>
        <w:rPr>
          <w:rFonts w:ascii="宋体" w:hAnsi="宋体" w:cs="宋体"/>
          <w:sz w:val="24"/>
          <w:szCs w:val="24"/>
        </w:rPr>
      </w:pPr>
      <w:r>
        <w:rPr>
          <w:rFonts w:hint="eastAsia" w:ascii="宋体" w:hAnsi="宋体" w:cs="宋体"/>
          <w:sz w:val="24"/>
          <w:szCs w:val="24"/>
        </w:rPr>
        <w:t>（8）与本标段的监理人或代建人或招标代理机构相互任职或工作的；</w:t>
      </w:r>
    </w:p>
    <w:p>
      <w:pPr>
        <w:spacing w:line="360" w:lineRule="auto"/>
        <w:ind w:firstLine="480"/>
        <w:rPr>
          <w:rFonts w:ascii="宋体" w:hAnsi="宋体" w:cs="宋体"/>
          <w:sz w:val="24"/>
          <w:szCs w:val="24"/>
        </w:rPr>
      </w:pPr>
      <w:r>
        <w:rPr>
          <w:rFonts w:hint="eastAsia" w:ascii="宋体" w:hAnsi="宋体" w:cs="宋体"/>
          <w:sz w:val="24"/>
          <w:szCs w:val="24"/>
        </w:rPr>
        <w:t>（9）被责令停业的；</w:t>
      </w:r>
    </w:p>
    <w:p>
      <w:pPr>
        <w:spacing w:line="360" w:lineRule="auto"/>
        <w:ind w:firstLine="480"/>
        <w:rPr>
          <w:rFonts w:ascii="宋体" w:hAnsi="宋体" w:cs="宋体"/>
          <w:sz w:val="24"/>
          <w:szCs w:val="24"/>
        </w:rPr>
      </w:pPr>
      <w:r>
        <w:rPr>
          <w:rFonts w:hint="eastAsia" w:ascii="宋体" w:hAnsi="宋体" w:cs="宋体"/>
          <w:sz w:val="24"/>
          <w:szCs w:val="24"/>
        </w:rPr>
        <w:t>（10）被暂停或取消投标资格的；</w:t>
      </w:r>
    </w:p>
    <w:p>
      <w:pPr>
        <w:spacing w:line="360" w:lineRule="auto"/>
        <w:ind w:firstLine="480"/>
        <w:rPr>
          <w:rFonts w:ascii="宋体" w:hAnsi="宋体" w:cs="宋体"/>
          <w:sz w:val="24"/>
          <w:szCs w:val="24"/>
        </w:rPr>
      </w:pPr>
      <w:r>
        <w:rPr>
          <w:rFonts w:hint="eastAsia" w:ascii="宋体" w:hAnsi="宋体" w:cs="宋体"/>
          <w:sz w:val="24"/>
          <w:szCs w:val="24"/>
        </w:rPr>
        <w:t>（11）财产被接管或冻结的；</w:t>
      </w:r>
    </w:p>
    <w:p>
      <w:pPr>
        <w:spacing w:line="360" w:lineRule="auto"/>
        <w:ind w:firstLine="480"/>
        <w:rPr>
          <w:rFonts w:ascii="宋体" w:hAnsi="宋体" w:cs="宋体"/>
          <w:sz w:val="24"/>
          <w:szCs w:val="24"/>
        </w:rPr>
      </w:pPr>
      <w:r>
        <w:rPr>
          <w:rFonts w:hint="eastAsia" w:ascii="宋体" w:hAnsi="宋体" w:cs="宋体"/>
          <w:sz w:val="24"/>
          <w:szCs w:val="24"/>
        </w:rPr>
        <w:t>（12）在最近三年内有骗取中标或严重违约或重大工程质量问题的。</w:t>
      </w:r>
    </w:p>
    <w:p>
      <w:pPr>
        <w:spacing w:line="360" w:lineRule="auto"/>
        <w:ind w:firstLine="482"/>
        <w:rPr>
          <w:rFonts w:ascii="宋体" w:hAnsi="宋体" w:cs="宋体"/>
          <w:b/>
          <w:sz w:val="24"/>
          <w:szCs w:val="24"/>
        </w:rPr>
      </w:pPr>
      <w:r>
        <w:rPr>
          <w:rFonts w:hint="eastAsia" w:ascii="宋体" w:hAnsi="宋体" w:cs="宋体"/>
          <w:b/>
          <w:sz w:val="24"/>
          <w:szCs w:val="24"/>
        </w:rPr>
        <w:t>1.5 费用承担</w:t>
      </w:r>
    </w:p>
    <w:p>
      <w:pPr>
        <w:spacing w:line="360" w:lineRule="auto"/>
        <w:ind w:firstLine="480"/>
        <w:rPr>
          <w:rFonts w:ascii="宋体" w:hAnsi="宋体" w:cs="宋体"/>
          <w:sz w:val="24"/>
          <w:szCs w:val="24"/>
        </w:rPr>
      </w:pPr>
      <w:r>
        <w:rPr>
          <w:rFonts w:hint="eastAsia" w:ascii="宋体" w:hAnsi="宋体" w:cs="宋体"/>
          <w:sz w:val="24"/>
          <w:szCs w:val="24"/>
        </w:rPr>
        <w:t>投标人准备和参加投标活动发生的费用自理。</w:t>
      </w:r>
    </w:p>
    <w:p>
      <w:pPr>
        <w:spacing w:line="360" w:lineRule="auto"/>
        <w:ind w:firstLine="482"/>
        <w:rPr>
          <w:rFonts w:ascii="宋体" w:hAnsi="宋体" w:cs="宋体"/>
          <w:b/>
          <w:sz w:val="24"/>
          <w:szCs w:val="24"/>
        </w:rPr>
      </w:pPr>
      <w:r>
        <w:rPr>
          <w:rFonts w:hint="eastAsia" w:ascii="宋体" w:hAnsi="宋体" w:cs="宋体"/>
          <w:b/>
          <w:sz w:val="24"/>
          <w:szCs w:val="24"/>
        </w:rPr>
        <w:t>1.6 保密</w:t>
      </w:r>
    </w:p>
    <w:p>
      <w:pPr>
        <w:spacing w:line="360" w:lineRule="auto"/>
        <w:ind w:firstLine="480"/>
        <w:rPr>
          <w:rFonts w:ascii="宋体" w:hAnsi="宋体" w:cs="宋体"/>
          <w:sz w:val="24"/>
          <w:szCs w:val="24"/>
        </w:rPr>
      </w:pPr>
      <w:r>
        <w:rPr>
          <w:rFonts w:hint="eastAsia" w:ascii="宋体" w:hAnsi="宋体" w:cs="宋体"/>
          <w:sz w:val="24"/>
          <w:szCs w:val="24"/>
        </w:rPr>
        <w:t>参与招标投标活动的各方应对招标文件和投标文件中的商业和技术等秘密保密，违者应对由此造成的后果承担法律责任。</w:t>
      </w:r>
    </w:p>
    <w:p>
      <w:pPr>
        <w:spacing w:line="360" w:lineRule="auto"/>
        <w:ind w:firstLine="482"/>
        <w:rPr>
          <w:rFonts w:ascii="宋体" w:hAnsi="宋体" w:cs="宋体"/>
          <w:b/>
          <w:sz w:val="24"/>
          <w:szCs w:val="24"/>
        </w:rPr>
      </w:pPr>
      <w:r>
        <w:rPr>
          <w:rFonts w:hint="eastAsia" w:ascii="宋体" w:hAnsi="宋体" w:cs="宋体"/>
          <w:b/>
          <w:sz w:val="24"/>
          <w:szCs w:val="24"/>
        </w:rPr>
        <w:t>1.7 语言文字</w:t>
      </w:r>
    </w:p>
    <w:p>
      <w:pPr>
        <w:spacing w:line="360" w:lineRule="auto"/>
        <w:ind w:firstLine="480"/>
        <w:rPr>
          <w:rFonts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spacing w:line="360" w:lineRule="auto"/>
        <w:ind w:firstLine="482"/>
        <w:rPr>
          <w:rFonts w:ascii="宋体" w:hAnsi="宋体" w:cs="宋体"/>
          <w:b/>
          <w:sz w:val="24"/>
          <w:szCs w:val="24"/>
        </w:rPr>
      </w:pPr>
      <w:r>
        <w:rPr>
          <w:rFonts w:hint="eastAsia" w:ascii="宋体" w:hAnsi="宋体" w:cs="宋体"/>
          <w:b/>
          <w:sz w:val="24"/>
          <w:szCs w:val="24"/>
        </w:rPr>
        <w:t>1.8 计量单位</w:t>
      </w:r>
    </w:p>
    <w:p>
      <w:pPr>
        <w:spacing w:line="360" w:lineRule="auto"/>
        <w:ind w:firstLine="480"/>
        <w:rPr>
          <w:rFonts w:ascii="宋体" w:hAnsi="宋体" w:cs="宋体"/>
          <w:sz w:val="24"/>
          <w:szCs w:val="24"/>
        </w:rPr>
      </w:pPr>
      <w:r>
        <w:rPr>
          <w:rFonts w:hint="eastAsia" w:ascii="宋体" w:hAnsi="宋体" w:cs="宋体"/>
          <w:sz w:val="24"/>
          <w:szCs w:val="24"/>
        </w:rPr>
        <w:t>所有计量均采用中华人民共和国法定计量单位。</w:t>
      </w:r>
    </w:p>
    <w:p>
      <w:pPr>
        <w:spacing w:line="360" w:lineRule="auto"/>
        <w:ind w:firstLine="482"/>
        <w:rPr>
          <w:rFonts w:ascii="宋体" w:hAnsi="宋体" w:cs="宋体"/>
          <w:b/>
          <w:sz w:val="24"/>
          <w:szCs w:val="24"/>
        </w:rPr>
      </w:pPr>
      <w:r>
        <w:rPr>
          <w:rFonts w:hint="eastAsia" w:ascii="宋体" w:hAnsi="宋体" w:cs="宋体"/>
          <w:b/>
          <w:sz w:val="24"/>
          <w:szCs w:val="24"/>
        </w:rPr>
        <w:t>1.9 踏勘现场</w:t>
      </w:r>
    </w:p>
    <w:p>
      <w:pPr>
        <w:spacing w:line="360" w:lineRule="auto"/>
        <w:ind w:firstLine="480"/>
        <w:rPr>
          <w:rFonts w:ascii="宋体" w:hAnsi="宋体" w:cs="宋体"/>
          <w:sz w:val="24"/>
          <w:szCs w:val="24"/>
        </w:rPr>
      </w:pPr>
      <w:r>
        <w:rPr>
          <w:rFonts w:hint="eastAsia" w:ascii="宋体" w:hAnsi="宋体" w:cs="宋体"/>
          <w:sz w:val="24"/>
          <w:szCs w:val="24"/>
        </w:rPr>
        <w:t>1.9.1 本项目不组织踏勘现场，投标人可自行踏勘现场。</w:t>
      </w:r>
    </w:p>
    <w:p>
      <w:pPr>
        <w:spacing w:line="360" w:lineRule="auto"/>
        <w:ind w:firstLine="480"/>
        <w:rPr>
          <w:rFonts w:ascii="宋体" w:hAnsi="宋体" w:cs="宋体"/>
          <w:sz w:val="24"/>
          <w:szCs w:val="24"/>
        </w:rPr>
      </w:pPr>
      <w:r>
        <w:rPr>
          <w:rFonts w:hint="eastAsia" w:ascii="宋体" w:hAnsi="宋体" w:cs="宋体"/>
          <w:sz w:val="24"/>
          <w:szCs w:val="24"/>
        </w:rPr>
        <w:t>1.9.2 投标人踏勘现场发生的费用自理。</w:t>
      </w:r>
    </w:p>
    <w:p>
      <w:pPr>
        <w:spacing w:line="360" w:lineRule="auto"/>
        <w:ind w:firstLine="480"/>
        <w:rPr>
          <w:rFonts w:ascii="宋体" w:hAnsi="宋体" w:cs="宋体"/>
          <w:sz w:val="24"/>
          <w:szCs w:val="24"/>
        </w:rPr>
      </w:pPr>
      <w:r>
        <w:rPr>
          <w:rFonts w:hint="eastAsia" w:ascii="宋体" w:hAnsi="宋体" w:cs="宋体"/>
          <w:sz w:val="24"/>
          <w:szCs w:val="24"/>
        </w:rPr>
        <w:t>1.9.3 除招标人的原因外，投标人自行负责在踏勘现场中所发生的人员伤亡和财产损失。</w:t>
      </w:r>
    </w:p>
    <w:p>
      <w:pPr>
        <w:spacing w:line="360" w:lineRule="auto"/>
        <w:ind w:firstLine="482"/>
        <w:rPr>
          <w:rFonts w:ascii="宋体" w:hAnsi="宋体" w:cs="宋体"/>
          <w:b/>
          <w:sz w:val="24"/>
          <w:szCs w:val="24"/>
        </w:rPr>
      </w:pPr>
      <w:r>
        <w:rPr>
          <w:rFonts w:hint="eastAsia" w:ascii="宋体" w:hAnsi="宋体" w:cs="宋体"/>
          <w:b/>
          <w:sz w:val="24"/>
          <w:szCs w:val="24"/>
        </w:rPr>
        <w:t>1.10 投标预备会</w:t>
      </w:r>
    </w:p>
    <w:p>
      <w:pPr>
        <w:spacing w:line="360" w:lineRule="auto"/>
        <w:ind w:firstLine="480"/>
        <w:rPr>
          <w:rFonts w:ascii="宋体" w:hAnsi="宋体" w:cs="宋体"/>
          <w:sz w:val="24"/>
          <w:szCs w:val="24"/>
        </w:rPr>
      </w:pPr>
      <w:r>
        <w:rPr>
          <w:rFonts w:hint="eastAsia" w:ascii="宋体" w:hAnsi="宋体" w:cs="宋体"/>
          <w:sz w:val="24"/>
          <w:szCs w:val="24"/>
        </w:rPr>
        <w:t>1.10.1 本项目不组织召开投标预备会。</w:t>
      </w:r>
    </w:p>
    <w:p>
      <w:pPr>
        <w:spacing w:line="360" w:lineRule="auto"/>
        <w:ind w:firstLine="482"/>
        <w:rPr>
          <w:rFonts w:ascii="宋体" w:hAnsi="宋体" w:cs="宋体"/>
          <w:b/>
          <w:sz w:val="24"/>
          <w:szCs w:val="24"/>
        </w:rPr>
      </w:pPr>
      <w:r>
        <w:rPr>
          <w:rFonts w:hint="eastAsia" w:ascii="宋体" w:hAnsi="宋体" w:cs="宋体"/>
          <w:b/>
          <w:sz w:val="24"/>
          <w:szCs w:val="24"/>
        </w:rPr>
        <w:t>1.11 分包</w:t>
      </w:r>
    </w:p>
    <w:p>
      <w:pPr>
        <w:spacing w:line="360" w:lineRule="auto"/>
        <w:ind w:firstLine="480"/>
        <w:rPr>
          <w:rFonts w:ascii="宋体" w:hAnsi="宋体" w:cs="宋体"/>
          <w:sz w:val="24"/>
          <w:szCs w:val="24"/>
        </w:rPr>
      </w:pPr>
      <w:r>
        <w:rPr>
          <w:rFonts w:hint="eastAsia" w:ascii="宋体" w:hAnsi="宋体" w:cs="宋体"/>
          <w:sz w:val="24"/>
          <w:szCs w:val="24"/>
        </w:rPr>
        <w:t>本项目不允许分包。</w:t>
      </w:r>
    </w:p>
    <w:p>
      <w:pPr>
        <w:spacing w:line="360" w:lineRule="auto"/>
        <w:ind w:firstLine="482"/>
        <w:rPr>
          <w:rFonts w:ascii="宋体" w:hAnsi="宋体" w:cs="宋体"/>
          <w:b/>
          <w:sz w:val="24"/>
          <w:szCs w:val="24"/>
        </w:rPr>
      </w:pPr>
      <w:r>
        <w:rPr>
          <w:rFonts w:hint="eastAsia" w:ascii="宋体" w:hAnsi="宋体" w:cs="宋体"/>
          <w:b/>
          <w:sz w:val="24"/>
          <w:szCs w:val="24"/>
        </w:rPr>
        <w:t>1.12 偏离</w:t>
      </w:r>
    </w:p>
    <w:p>
      <w:pPr>
        <w:pStyle w:val="9"/>
        <w:spacing w:line="360" w:lineRule="auto"/>
        <w:ind w:leftChars="200"/>
        <w:outlineLvl w:val="2"/>
        <w:rPr>
          <w:rFonts w:ascii="宋体" w:hAnsi="宋体" w:cs="宋体"/>
          <w:i w:val="0"/>
          <w:iCs w:val="0"/>
          <w:sz w:val="24"/>
          <w:szCs w:val="24"/>
        </w:rPr>
      </w:pPr>
      <w:bookmarkStart w:id="4" w:name="_Toc359165958"/>
      <w:bookmarkStart w:id="5" w:name="_Toc426467367"/>
      <w:r>
        <w:rPr>
          <w:rFonts w:hint="eastAsia" w:ascii="宋体" w:hAnsi="宋体" w:cs="宋体"/>
          <w:i w:val="0"/>
          <w:iCs w:val="0"/>
          <w:sz w:val="24"/>
          <w:szCs w:val="24"/>
        </w:rPr>
        <w:t>本项目不允许。</w:t>
      </w:r>
    </w:p>
    <w:p>
      <w:pPr>
        <w:pStyle w:val="9"/>
        <w:spacing w:line="360" w:lineRule="auto"/>
        <w:ind w:leftChars="200"/>
        <w:outlineLvl w:val="2"/>
        <w:rPr>
          <w:rFonts w:ascii="宋体" w:hAnsi="宋体" w:cs="宋体"/>
          <w:b/>
          <w:i w:val="0"/>
          <w:sz w:val="24"/>
          <w:szCs w:val="24"/>
        </w:rPr>
      </w:pPr>
      <w:r>
        <w:rPr>
          <w:rFonts w:hint="eastAsia" w:ascii="宋体" w:hAnsi="宋体" w:cs="宋体"/>
          <w:b/>
          <w:i w:val="0"/>
          <w:sz w:val="24"/>
          <w:szCs w:val="24"/>
        </w:rPr>
        <w:t>2. 招标文件</w:t>
      </w:r>
      <w:bookmarkEnd w:id="4"/>
      <w:bookmarkEnd w:id="5"/>
    </w:p>
    <w:p>
      <w:pPr>
        <w:spacing w:line="360" w:lineRule="auto"/>
        <w:ind w:firstLine="482"/>
        <w:rPr>
          <w:rFonts w:ascii="宋体" w:hAnsi="宋体" w:cs="宋体"/>
          <w:b/>
          <w:sz w:val="24"/>
          <w:szCs w:val="24"/>
        </w:rPr>
      </w:pPr>
      <w:r>
        <w:rPr>
          <w:rFonts w:hint="eastAsia" w:ascii="宋体" w:hAnsi="宋体" w:cs="宋体"/>
          <w:b/>
          <w:sz w:val="24"/>
          <w:szCs w:val="24"/>
        </w:rPr>
        <w:t>2.1 招标文件的组成</w:t>
      </w:r>
    </w:p>
    <w:p>
      <w:pPr>
        <w:spacing w:line="360" w:lineRule="auto"/>
        <w:ind w:firstLine="480"/>
        <w:rPr>
          <w:rFonts w:ascii="宋体" w:hAnsi="宋体" w:cs="宋体"/>
          <w:sz w:val="24"/>
          <w:szCs w:val="24"/>
        </w:rPr>
      </w:pPr>
      <w:r>
        <w:rPr>
          <w:rFonts w:hint="eastAsia" w:ascii="宋体" w:hAnsi="宋体" w:cs="宋体"/>
          <w:sz w:val="24"/>
          <w:szCs w:val="24"/>
        </w:rPr>
        <w:t>本招标文件包括：</w:t>
      </w:r>
    </w:p>
    <w:p>
      <w:pPr>
        <w:spacing w:line="360" w:lineRule="auto"/>
        <w:ind w:firstLine="480"/>
        <w:rPr>
          <w:rFonts w:ascii="宋体" w:hAnsi="宋体" w:cs="宋体"/>
          <w:sz w:val="24"/>
          <w:szCs w:val="24"/>
        </w:rPr>
      </w:pPr>
      <w:r>
        <w:rPr>
          <w:rFonts w:hint="eastAsia" w:ascii="宋体" w:hAnsi="宋体" w:cs="宋体"/>
          <w:sz w:val="24"/>
          <w:szCs w:val="24"/>
        </w:rPr>
        <w:t>（1）招标公告；</w:t>
      </w:r>
    </w:p>
    <w:p>
      <w:pPr>
        <w:spacing w:line="360" w:lineRule="auto"/>
        <w:ind w:firstLine="480"/>
        <w:rPr>
          <w:rFonts w:ascii="宋体" w:hAnsi="宋体" w:cs="宋体"/>
          <w:sz w:val="24"/>
          <w:szCs w:val="24"/>
        </w:rPr>
      </w:pPr>
      <w:r>
        <w:rPr>
          <w:rFonts w:hint="eastAsia" w:ascii="宋体" w:hAnsi="宋体" w:cs="宋体"/>
          <w:sz w:val="24"/>
          <w:szCs w:val="24"/>
        </w:rPr>
        <w:t>（2）投标人须知；</w:t>
      </w:r>
    </w:p>
    <w:p>
      <w:pPr>
        <w:spacing w:line="360" w:lineRule="auto"/>
        <w:ind w:firstLine="480"/>
        <w:rPr>
          <w:rFonts w:ascii="宋体" w:hAnsi="宋体" w:cs="宋体"/>
          <w:sz w:val="24"/>
          <w:szCs w:val="24"/>
        </w:rPr>
      </w:pPr>
      <w:r>
        <w:rPr>
          <w:rFonts w:hint="eastAsia" w:ascii="宋体" w:hAnsi="宋体" w:cs="宋体"/>
          <w:sz w:val="24"/>
          <w:szCs w:val="24"/>
        </w:rPr>
        <w:t>（3）评标办法；</w:t>
      </w:r>
    </w:p>
    <w:p>
      <w:pPr>
        <w:spacing w:line="360" w:lineRule="auto"/>
        <w:ind w:firstLine="480"/>
        <w:rPr>
          <w:rFonts w:ascii="宋体" w:hAnsi="宋体" w:cs="宋体"/>
          <w:sz w:val="24"/>
          <w:szCs w:val="24"/>
        </w:rPr>
      </w:pPr>
      <w:r>
        <w:rPr>
          <w:rFonts w:hint="eastAsia" w:ascii="宋体" w:hAnsi="宋体" w:cs="宋体"/>
          <w:sz w:val="24"/>
          <w:szCs w:val="24"/>
        </w:rPr>
        <w:t>（4）合同条款及格式；</w:t>
      </w:r>
    </w:p>
    <w:p>
      <w:pPr>
        <w:spacing w:line="360" w:lineRule="auto"/>
        <w:ind w:firstLine="480"/>
        <w:rPr>
          <w:rFonts w:ascii="宋体" w:hAnsi="宋体" w:cs="宋体"/>
          <w:sz w:val="24"/>
          <w:szCs w:val="24"/>
        </w:rPr>
      </w:pPr>
      <w:r>
        <w:rPr>
          <w:rFonts w:hint="eastAsia" w:ascii="宋体" w:hAnsi="宋体" w:cs="宋体"/>
          <w:sz w:val="24"/>
          <w:szCs w:val="24"/>
        </w:rPr>
        <w:t>（5）工程量清单；</w:t>
      </w:r>
    </w:p>
    <w:p>
      <w:pPr>
        <w:spacing w:line="360" w:lineRule="auto"/>
        <w:ind w:firstLine="480"/>
        <w:rPr>
          <w:rFonts w:ascii="宋体" w:hAnsi="宋体" w:cs="宋体"/>
          <w:sz w:val="24"/>
          <w:szCs w:val="24"/>
        </w:rPr>
      </w:pPr>
      <w:r>
        <w:rPr>
          <w:rFonts w:hint="eastAsia" w:ascii="宋体" w:hAnsi="宋体" w:cs="宋体"/>
          <w:sz w:val="24"/>
          <w:szCs w:val="24"/>
        </w:rPr>
        <w:t>（6）图纸；</w:t>
      </w:r>
    </w:p>
    <w:p>
      <w:pPr>
        <w:spacing w:line="360" w:lineRule="auto"/>
        <w:ind w:firstLine="480"/>
        <w:rPr>
          <w:rFonts w:ascii="宋体" w:hAnsi="宋体" w:cs="宋体"/>
          <w:sz w:val="24"/>
          <w:szCs w:val="24"/>
        </w:rPr>
      </w:pPr>
      <w:r>
        <w:rPr>
          <w:rFonts w:hint="eastAsia" w:ascii="宋体" w:hAnsi="宋体" w:cs="宋体"/>
          <w:sz w:val="24"/>
          <w:szCs w:val="24"/>
        </w:rPr>
        <w:t>（7）技术标准和要求；</w:t>
      </w:r>
    </w:p>
    <w:p>
      <w:pPr>
        <w:spacing w:line="360" w:lineRule="auto"/>
        <w:ind w:firstLine="480"/>
        <w:rPr>
          <w:rFonts w:ascii="宋体" w:hAnsi="宋体" w:cs="宋体"/>
          <w:sz w:val="24"/>
          <w:szCs w:val="24"/>
        </w:rPr>
      </w:pPr>
      <w:r>
        <w:rPr>
          <w:rFonts w:hint="eastAsia" w:ascii="宋体" w:hAnsi="宋体" w:cs="宋体"/>
          <w:sz w:val="24"/>
          <w:szCs w:val="24"/>
        </w:rPr>
        <w:t>（8）投标文件格式；</w:t>
      </w:r>
    </w:p>
    <w:p>
      <w:pPr>
        <w:spacing w:line="360" w:lineRule="auto"/>
        <w:ind w:firstLine="480"/>
        <w:rPr>
          <w:rFonts w:ascii="宋体" w:hAnsi="宋体" w:cs="宋体"/>
          <w:sz w:val="24"/>
          <w:szCs w:val="24"/>
        </w:rPr>
      </w:pPr>
      <w:r>
        <w:rPr>
          <w:rFonts w:hint="eastAsia" w:ascii="宋体" w:hAnsi="宋体" w:cs="宋体"/>
          <w:sz w:val="24"/>
          <w:szCs w:val="24"/>
        </w:rPr>
        <w:t>（9）投标人须知前附表规定的其他材料。</w:t>
      </w:r>
    </w:p>
    <w:p>
      <w:pPr>
        <w:spacing w:line="360" w:lineRule="auto"/>
        <w:ind w:firstLine="480"/>
        <w:rPr>
          <w:rFonts w:ascii="宋体" w:hAnsi="宋体" w:cs="宋体"/>
          <w:sz w:val="24"/>
          <w:szCs w:val="24"/>
        </w:rPr>
      </w:pPr>
      <w:r>
        <w:rPr>
          <w:rFonts w:hint="eastAsia" w:ascii="宋体" w:hAnsi="宋体" w:cs="宋体"/>
          <w:sz w:val="24"/>
          <w:szCs w:val="24"/>
        </w:rPr>
        <w:t>根据本章第2.2款和第2.3款对招标文件所作的澄清、修改，构成招标文件的组成部分。</w:t>
      </w:r>
    </w:p>
    <w:p>
      <w:pPr>
        <w:spacing w:line="360" w:lineRule="auto"/>
        <w:ind w:firstLine="480"/>
        <w:rPr>
          <w:rFonts w:ascii="宋体" w:hAnsi="宋体" w:cs="宋体"/>
          <w:sz w:val="24"/>
          <w:szCs w:val="24"/>
        </w:rPr>
      </w:pPr>
      <w:r>
        <w:rPr>
          <w:rFonts w:hint="eastAsia" w:ascii="宋体" w:hAnsi="宋体" w:cs="宋体"/>
          <w:sz w:val="24"/>
          <w:szCs w:val="24"/>
        </w:rPr>
        <w:t>当招标文件、招标文件的澄清或修改等在同一内容的表述上不一致时，以最后发出的书面文件为准。</w:t>
      </w:r>
    </w:p>
    <w:p>
      <w:pPr>
        <w:spacing w:line="360" w:lineRule="auto"/>
        <w:ind w:firstLine="482"/>
        <w:rPr>
          <w:rFonts w:ascii="宋体" w:hAnsi="宋体" w:cs="宋体"/>
          <w:b/>
          <w:sz w:val="24"/>
          <w:szCs w:val="24"/>
        </w:rPr>
      </w:pPr>
      <w:r>
        <w:rPr>
          <w:rFonts w:hint="eastAsia" w:ascii="宋体" w:hAnsi="宋体" w:cs="宋体"/>
          <w:b/>
          <w:sz w:val="24"/>
          <w:szCs w:val="24"/>
        </w:rPr>
        <w:t>2.2 招标文件的澄清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sz w:val="24"/>
        </w:rPr>
        <w:t>如未提出异议，视为全面接受。</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360" w:lineRule="auto"/>
        <w:ind w:firstLine="480" w:firstLineChars="200"/>
        <w:rPr>
          <w:rFonts w:ascii="宋体" w:hAnsi="宋体" w:cs="宋体"/>
          <w:sz w:val="24"/>
          <w:highlight w:val="green"/>
        </w:rPr>
      </w:pPr>
      <w:r>
        <w:rPr>
          <w:rFonts w:hint="eastAsia" w:ascii="宋体" w:hAnsi="宋体" w:cs="宋体"/>
          <w:sz w:val="24"/>
        </w:rPr>
        <w:t xml:space="preserve">2.2.3 所有澄清、答疑全部以公共资源交易系统电子平台发出的为准，不再接受书面形式的递交。 </w:t>
      </w:r>
    </w:p>
    <w:p>
      <w:pPr>
        <w:spacing w:line="360" w:lineRule="auto"/>
        <w:ind w:firstLine="482"/>
        <w:rPr>
          <w:rFonts w:ascii="宋体" w:hAnsi="宋体" w:cs="宋体"/>
          <w:b/>
          <w:sz w:val="24"/>
          <w:szCs w:val="24"/>
        </w:rPr>
      </w:pPr>
      <w:r>
        <w:rPr>
          <w:rFonts w:hint="eastAsia" w:ascii="宋体" w:hAnsi="宋体" w:cs="宋体"/>
          <w:b/>
          <w:sz w:val="24"/>
          <w:szCs w:val="24"/>
        </w:rPr>
        <w:t>2.3 招标文件的修改</w:t>
      </w:r>
    </w:p>
    <w:p>
      <w:pPr>
        <w:adjustRightInd w:val="0"/>
        <w:snapToGrid w:val="0"/>
        <w:spacing w:line="360" w:lineRule="auto"/>
        <w:ind w:firstLine="480" w:firstLineChars="200"/>
        <w:rPr>
          <w:rFonts w:ascii="宋体" w:hAnsi="宋体" w:cs="宋体"/>
          <w:sz w:val="24"/>
        </w:rPr>
      </w:pPr>
      <w:bookmarkStart w:id="6" w:name="_Toc426467368"/>
      <w:bookmarkStart w:id="7" w:name="_Toc359165959"/>
      <w:r>
        <w:rPr>
          <w:rFonts w:hint="eastAsia" w:ascii="宋体" w:hAnsi="宋体" w:cs="宋体"/>
          <w:sz w:val="24"/>
        </w:rPr>
        <w:t>2.3.1 在投标截止时间15天前，招标人可以</w:t>
      </w:r>
      <w:r>
        <w:rPr>
          <w:rFonts w:hint="eastAsia" w:hAnsi="宋体" w:cs="宋体"/>
          <w:sz w:val="24"/>
        </w:rPr>
        <w:t>通过全国公共资源交易平台（河南省·许昌市)修改招标文件，</w:t>
      </w:r>
      <w:r>
        <w:rPr>
          <w:rFonts w:hint="eastAsia" w:ascii="宋体" w:hAnsi="宋体" w:cs="宋体"/>
          <w:sz w:val="24"/>
        </w:rPr>
        <w:t>如果修改招标文件的的内容可能影响投标文件编制且发出的时间距投标截止时间不足15天，相应延长投标截止时间。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2.3.2 当招标文件（含评标、定标办法）、补充通知、答疑纪要，内容相互矛盾时，以最后发出的通知（或纪要）为准。</w:t>
      </w:r>
    </w:p>
    <w:p>
      <w:pPr>
        <w:pStyle w:val="9"/>
        <w:spacing w:line="360" w:lineRule="auto"/>
        <w:ind w:leftChars="200" w:firstLine="120" w:firstLineChars="50"/>
        <w:outlineLvl w:val="2"/>
        <w:rPr>
          <w:rFonts w:ascii="宋体" w:hAnsi="宋体" w:cs="宋体"/>
          <w:b/>
          <w:i w:val="0"/>
          <w:sz w:val="24"/>
          <w:szCs w:val="24"/>
        </w:rPr>
      </w:pPr>
      <w:r>
        <w:rPr>
          <w:rFonts w:hint="eastAsia" w:ascii="宋体" w:hAnsi="宋体" w:cs="宋体"/>
          <w:b/>
          <w:i w:val="0"/>
          <w:sz w:val="24"/>
          <w:szCs w:val="24"/>
        </w:rPr>
        <w:t>3. 投标文件</w:t>
      </w:r>
      <w:bookmarkEnd w:id="6"/>
      <w:bookmarkEnd w:id="7"/>
    </w:p>
    <w:p>
      <w:pPr>
        <w:spacing w:line="360" w:lineRule="auto"/>
        <w:ind w:firstLine="482"/>
        <w:rPr>
          <w:rFonts w:ascii="宋体" w:hAnsi="宋体" w:cs="宋体"/>
          <w:b/>
          <w:sz w:val="24"/>
          <w:szCs w:val="24"/>
        </w:rPr>
      </w:pPr>
      <w:r>
        <w:rPr>
          <w:rFonts w:hint="eastAsia" w:ascii="宋体" w:hAnsi="宋体" w:cs="宋体"/>
          <w:b/>
          <w:sz w:val="24"/>
          <w:szCs w:val="24"/>
        </w:rPr>
        <w:t>3.1 投标文件的组成</w:t>
      </w:r>
    </w:p>
    <w:p>
      <w:pPr>
        <w:spacing w:line="360" w:lineRule="auto"/>
        <w:ind w:firstLine="480"/>
        <w:rPr>
          <w:rFonts w:ascii="宋体" w:hAnsi="宋体" w:cs="宋体"/>
          <w:sz w:val="24"/>
          <w:szCs w:val="24"/>
        </w:rPr>
      </w:pPr>
      <w:r>
        <w:rPr>
          <w:rFonts w:hint="eastAsia" w:ascii="宋体" w:hAnsi="宋体" w:cs="宋体"/>
          <w:sz w:val="24"/>
          <w:szCs w:val="24"/>
        </w:rPr>
        <w:t>3.1.1 投标文件应包括下列内容：</w:t>
      </w:r>
    </w:p>
    <w:p>
      <w:pPr>
        <w:autoSpaceDE w:val="0"/>
        <w:autoSpaceDN w:val="0"/>
        <w:adjustRightInd w:val="0"/>
        <w:spacing w:line="360" w:lineRule="auto"/>
        <w:ind w:firstLine="619" w:firstLineChars="257"/>
        <w:jc w:val="left"/>
        <w:rPr>
          <w:rFonts w:ascii="宋体" w:hAnsi="宋体" w:cs="宋体"/>
          <w:b/>
          <w:kern w:val="0"/>
          <w:sz w:val="24"/>
          <w:szCs w:val="24"/>
        </w:rPr>
      </w:pPr>
      <w:r>
        <w:rPr>
          <w:rFonts w:hint="eastAsia" w:ascii="宋体" w:hAnsi="宋体" w:cs="宋体"/>
          <w:b/>
          <w:kern w:val="0"/>
          <w:sz w:val="24"/>
          <w:szCs w:val="24"/>
        </w:rPr>
        <w:t>商务标</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一、投标函及投标函附录</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二、法定代表人身份证明或附有法定代表人身份证明的授权委托书</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 xml:space="preserve">三、投标保证金 </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四、项目管理机构配备情况</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五、投标单位基本信息表</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六、资格证明文件</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七、近年财务状况</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八、近年完成的类似项目情况</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九、正在施工的和新承接的项目情况</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十、近年发生的诉讼及仲裁情况</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十一、承诺书</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十二、其他材料</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十三、已标价的工程量清单</w:t>
      </w:r>
    </w:p>
    <w:p>
      <w:pPr>
        <w:autoSpaceDE w:val="0"/>
        <w:autoSpaceDN w:val="0"/>
        <w:adjustRightInd w:val="0"/>
        <w:spacing w:line="360" w:lineRule="auto"/>
        <w:ind w:firstLine="619" w:firstLineChars="257"/>
        <w:jc w:val="left"/>
        <w:rPr>
          <w:rFonts w:ascii="宋体" w:hAnsi="宋体" w:cs="宋体"/>
          <w:b/>
          <w:kern w:val="0"/>
          <w:sz w:val="24"/>
          <w:szCs w:val="24"/>
        </w:rPr>
      </w:pPr>
      <w:r>
        <w:rPr>
          <w:rFonts w:hint="eastAsia" w:ascii="宋体" w:hAnsi="宋体" w:cs="宋体"/>
          <w:b/>
          <w:kern w:val="0"/>
          <w:sz w:val="24"/>
          <w:szCs w:val="24"/>
        </w:rPr>
        <w:t>技术标</w:t>
      </w:r>
    </w:p>
    <w:p>
      <w:pPr>
        <w:spacing w:line="360" w:lineRule="auto"/>
        <w:ind w:firstLine="240" w:firstLineChars="100"/>
        <w:rPr>
          <w:rFonts w:ascii="宋体" w:hAnsi="宋体" w:cs="宋体"/>
          <w:sz w:val="24"/>
          <w:szCs w:val="24"/>
        </w:rPr>
      </w:pPr>
      <w:r>
        <w:rPr>
          <w:rFonts w:hint="eastAsia" w:ascii="宋体" w:hAnsi="宋体" w:cs="宋体"/>
          <w:sz w:val="24"/>
          <w:szCs w:val="24"/>
        </w:rPr>
        <w:t>（1）内容完整性和编制水平； </w:t>
      </w:r>
    </w:p>
    <w:p>
      <w:pPr>
        <w:spacing w:line="360" w:lineRule="auto"/>
        <w:ind w:firstLine="240" w:firstLineChars="100"/>
        <w:rPr>
          <w:rFonts w:ascii="宋体" w:hAnsi="宋体" w:cs="宋体"/>
          <w:sz w:val="24"/>
          <w:szCs w:val="24"/>
        </w:rPr>
      </w:pPr>
      <w:r>
        <w:rPr>
          <w:rFonts w:hint="eastAsia" w:ascii="宋体" w:hAnsi="宋体" w:cs="宋体"/>
          <w:sz w:val="24"/>
          <w:szCs w:val="24"/>
        </w:rPr>
        <w:t>（2）施工方案和技术措施；</w:t>
      </w:r>
    </w:p>
    <w:p>
      <w:pPr>
        <w:spacing w:line="360" w:lineRule="auto"/>
        <w:ind w:firstLine="240" w:firstLineChars="100"/>
        <w:rPr>
          <w:rFonts w:ascii="宋体" w:hAnsi="宋体" w:cs="宋体"/>
          <w:sz w:val="24"/>
          <w:szCs w:val="24"/>
        </w:rPr>
      </w:pPr>
      <w:r>
        <w:rPr>
          <w:rFonts w:hint="eastAsia" w:ascii="宋体" w:hAnsi="宋体" w:cs="宋体"/>
          <w:sz w:val="24"/>
          <w:szCs w:val="24"/>
        </w:rPr>
        <w:t>（3）质量管理体系与措施；</w:t>
      </w:r>
    </w:p>
    <w:p>
      <w:pPr>
        <w:spacing w:line="360" w:lineRule="auto"/>
        <w:ind w:firstLine="240" w:firstLineChars="100"/>
        <w:rPr>
          <w:rFonts w:ascii="宋体" w:hAnsi="宋体" w:cs="宋体"/>
          <w:sz w:val="24"/>
          <w:szCs w:val="24"/>
        </w:rPr>
      </w:pPr>
      <w:r>
        <w:rPr>
          <w:rFonts w:hint="eastAsia" w:ascii="宋体" w:hAnsi="宋体" w:cs="宋体"/>
          <w:sz w:val="24"/>
          <w:szCs w:val="24"/>
        </w:rPr>
        <w:t>（4）冬雨季施工方案与技术措施；</w:t>
      </w:r>
    </w:p>
    <w:p>
      <w:pPr>
        <w:spacing w:line="360" w:lineRule="auto"/>
        <w:ind w:firstLine="240" w:firstLineChars="100"/>
        <w:rPr>
          <w:rFonts w:ascii="宋体" w:hAnsi="宋体" w:cs="宋体"/>
          <w:sz w:val="24"/>
          <w:szCs w:val="24"/>
        </w:rPr>
      </w:pPr>
      <w:r>
        <w:rPr>
          <w:rFonts w:hint="eastAsia" w:ascii="宋体" w:hAnsi="宋体" w:cs="宋体"/>
          <w:sz w:val="24"/>
          <w:szCs w:val="24"/>
        </w:rPr>
        <w:t>（5）安全管理体系与措施；</w:t>
      </w:r>
    </w:p>
    <w:p>
      <w:pPr>
        <w:spacing w:line="360" w:lineRule="auto"/>
        <w:ind w:firstLine="240" w:firstLineChars="100"/>
        <w:rPr>
          <w:rFonts w:ascii="宋体" w:hAnsi="宋体" w:cs="宋体"/>
          <w:sz w:val="24"/>
          <w:szCs w:val="24"/>
        </w:rPr>
      </w:pPr>
      <w:r>
        <w:rPr>
          <w:rFonts w:hint="eastAsia" w:ascii="宋体" w:hAnsi="宋体" w:cs="宋体"/>
          <w:sz w:val="24"/>
          <w:szCs w:val="24"/>
        </w:rPr>
        <w:t>（6）环境保护管理体系与措施；</w:t>
      </w:r>
    </w:p>
    <w:p>
      <w:pPr>
        <w:spacing w:line="360" w:lineRule="auto"/>
        <w:ind w:firstLine="240" w:firstLineChars="100"/>
        <w:rPr>
          <w:rFonts w:ascii="宋体" w:hAnsi="宋体" w:cs="宋体"/>
          <w:sz w:val="24"/>
          <w:szCs w:val="24"/>
        </w:rPr>
      </w:pPr>
      <w:r>
        <w:rPr>
          <w:rFonts w:hint="eastAsia" w:ascii="宋体" w:hAnsi="宋体" w:cs="宋体"/>
          <w:sz w:val="24"/>
          <w:szCs w:val="24"/>
        </w:rPr>
        <w:t>（7）工程进度计划与措施；</w:t>
      </w:r>
    </w:p>
    <w:p>
      <w:pPr>
        <w:spacing w:line="360" w:lineRule="auto"/>
        <w:ind w:firstLine="240" w:firstLineChars="100"/>
        <w:rPr>
          <w:rFonts w:ascii="宋体" w:hAnsi="宋体" w:cs="宋体"/>
          <w:sz w:val="24"/>
          <w:szCs w:val="24"/>
        </w:rPr>
      </w:pPr>
      <w:r>
        <w:rPr>
          <w:rFonts w:hint="eastAsia" w:ascii="宋体" w:hAnsi="宋体" w:cs="宋体"/>
          <w:sz w:val="24"/>
          <w:szCs w:val="24"/>
        </w:rPr>
        <w:t>（8）拟投入资源配备计划……；</w:t>
      </w:r>
    </w:p>
    <w:p>
      <w:pPr>
        <w:spacing w:line="360" w:lineRule="auto"/>
        <w:ind w:firstLine="240" w:firstLineChars="100"/>
        <w:rPr>
          <w:rFonts w:ascii="宋体" w:hAnsi="宋体" w:cs="宋体"/>
          <w:sz w:val="24"/>
          <w:szCs w:val="24"/>
        </w:rPr>
      </w:pPr>
      <w:r>
        <w:rPr>
          <w:rFonts w:hint="eastAsia" w:ascii="宋体" w:hAnsi="宋体" w:cs="宋体"/>
          <w:sz w:val="24"/>
          <w:szCs w:val="24"/>
        </w:rPr>
        <w:t>（9）施工进度表或施工网络图； </w:t>
      </w:r>
    </w:p>
    <w:p>
      <w:pPr>
        <w:spacing w:line="360" w:lineRule="auto"/>
        <w:ind w:firstLine="240" w:firstLineChars="100"/>
        <w:rPr>
          <w:rFonts w:ascii="宋体" w:hAnsi="宋体" w:cs="宋体"/>
          <w:sz w:val="24"/>
          <w:szCs w:val="24"/>
        </w:rPr>
      </w:pPr>
      <w:r>
        <w:rPr>
          <w:rFonts w:hint="eastAsia" w:ascii="宋体" w:hAnsi="宋体" w:cs="宋体"/>
          <w:sz w:val="24"/>
          <w:szCs w:val="24"/>
        </w:rPr>
        <w:t>（10）施工总平面布置图；</w:t>
      </w:r>
    </w:p>
    <w:p>
      <w:pPr>
        <w:spacing w:line="360" w:lineRule="auto"/>
        <w:ind w:firstLine="240" w:firstLineChars="100"/>
        <w:rPr>
          <w:rFonts w:ascii="宋体" w:hAnsi="宋体" w:cs="宋体"/>
          <w:sz w:val="24"/>
          <w:szCs w:val="24"/>
        </w:rPr>
      </w:pPr>
      <w:r>
        <w:rPr>
          <w:rFonts w:hint="eastAsia" w:ascii="宋体" w:hAnsi="宋体" w:cs="宋体"/>
          <w:sz w:val="24"/>
          <w:szCs w:val="24"/>
        </w:rPr>
        <w:t>（11）在节能减排、绿色施工（含扬尘治理）、工艺创新方面针对本工程有具体措施或企业自有创新技术；</w:t>
      </w:r>
    </w:p>
    <w:p>
      <w:pPr>
        <w:spacing w:line="360" w:lineRule="auto"/>
        <w:ind w:firstLine="240" w:firstLineChars="100"/>
        <w:rPr>
          <w:rFonts w:ascii="宋体" w:hAnsi="宋体" w:cs="宋体"/>
          <w:sz w:val="24"/>
          <w:szCs w:val="24"/>
        </w:rPr>
      </w:pPr>
      <w:r>
        <w:rPr>
          <w:rFonts w:hint="eastAsia" w:ascii="宋体" w:hAnsi="宋体" w:cs="宋体"/>
          <w:sz w:val="24"/>
          <w:szCs w:val="24"/>
        </w:rPr>
        <w:t>（12）新工艺、新技术、新设备、新材料的采用程度，其在确保质量、降低成本、缩短工期、减轻劳动强度、提高工效等方面的作用；</w:t>
      </w:r>
    </w:p>
    <w:p>
      <w:pPr>
        <w:spacing w:line="360" w:lineRule="auto"/>
        <w:ind w:firstLine="240" w:firstLineChars="100"/>
        <w:rPr>
          <w:rFonts w:ascii="宋体" w:hAnsi="宋体" w:cs="宋体"/>
          <w:sz w:val="24"/>
          <w:szCs w:val="24"/>
        </w:rPr>
      </w:pPr>
      <w:r>
        <w:rPr>
          <w:rFonts w:hint="eastAsia" w:ascii="宋体" w:hAnsi="宋体" w:cs="宋体"/>
          <w:sz w:val="24"/>
          <w:szCs w:val="24"/>
        </w:rPr>
        <w:t>（13）企业具备信息化管理平台，能够使工程管理者对现场实施监控和数据处理。</w:t>
      </w:r>
    </w:p>
    <w:p>
      <w:pPr>
        <w:spacing w:line="360" w:lineRule="auto"/>
        <w:ind w:firstLine="482"/>
        <w:rPr>
          <w:rFonts w:ascii="宋体" w:hAnsi="宋体" w:cs="宋体"/>
          <w:b/>
          <w:sz w:val="24"/>
          <w:szCs w:val="24"/>
        </w:rPr>
      </w:pPr>
      <w:r>
        <w:rPr>
          <w:rFonts w:hint="eastAsia" w:ascii="宋体" w:hAnsi="宋体" w:cs="宋体"/>
          <w:b/>
          <w:sz w:val="24"/>
          <w:szCs w:val="24"/>
        </w:rPr>
        <w:t>3.2 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3.2.1 投标报价编制的依据：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《河南省水利水电工程概预算定额》（2006版）、《河南省水利水电工程设计概（估）算编制规定》（2017版）及相应的费用标准、省市有关部门的文件；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工程量清单；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 工程施工图；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 现场踏勘资料及招标答疑资料（如有）。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3.2.2 投标报价的有关要求：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招标人设置招标控制价，超出招标控制价的投标报价按无效标处理；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本工程招标采用合理低价的报价方式，不保证最低价中标。投标人应按招标文件有关要求并结合市场行情和自身实力编制投标报价。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(3)投标人在投标截止时间前修改投标函中的投标报价总额，应同时修改“已标价工程量清单”中的相应报价，投标报价总额为各分项金额之和。此修改须符合本章第4.3款的有关要求。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 投标人应充分考虑各类风险因素，以合理的优惠报价进行投标，报价在中标后不作调整；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 投标报价是投标人完成本工程并验收合格所需的全部费用，是单价基础上的总价；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 投标人因抢工期而发生的技术措施费、抢工费，由投标人自行负担。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3.2.3 本次招标不接受任何有选择的报价，投标文件中只允许有一个投标报价。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3.2.4 中标价即合同价。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3.2.5招标代理服务费计取办法参照国家发改委文件“计价格【2002】1980号”、“发改办价格【2003】857号”由中标人支付。</w:t>
      </w:r>
    </w:p>
    <w:p>
      <w:pPr>
        <w:spacing w:line="360" w:lineRule="auto"/>
        <w:ind w:firstLine="482"/>
        <w:rPr>
          <w:rFonts w:ascii="宋体" w:hAnsi="宋体" w:cs="宋体"/>
          <w:b/>
          <w:sz w:val="24"/>
          <w:szCs w:val="24"/>
        </w:rPr>
      </w:pPr>
      <w:r>
        <w:rPr>
          <w:rFonts w:hint="eastAsia" w:ascii="宋体" w:hAnsi="宋体" w:cs="宋体"/>
          <w:b/>
          <w:sz w:val="24"/>
          <w:szCs w:val="24"/>
        </w:rPr>
        <w:t>3.3 投标有效期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3.3.1 在投标人须知前附表规定的投标有效期内，投标人不得要求撤销或修改其投标文件。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rPr>
          <w:rFonts w:ascii="宋体" w:hAnsi="宋体" w:cs="宋体"/>
          <w:b/>
          <w:sz w:val="24"/>
          <w:szCs w:val="24"/>
        </w:rPr>
      </w:pPr>
      <w:r>
        <w:rPr>
          <w:rFonts w:hint="eastAsia" w:ascii="宋体" w:hAnsi="宋体" w:cs="宋体"/>
          <w:b/>
          <w:sz w:val="24"/>
          <w:szCs w:val="24"/>
        </w:rPr>
        <w:t>3.4 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投标保证金的递交参照投标人须知前附表规定。</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投标人应按投标人须知前附表规定缴纳投标保证金。</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3.4.4投标保证金的退还：</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（1）中标公示期满没有质疑或投诉的,五个工作日内退还非中标候选人投标保证金及银行同期活期存款利息。</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（2）在书面合同签订后五日内向中标人和其他中标候选人退还投标保证金及银行同期活期存款利息；法定期限内签订书面合同的，按照有关规定退还投标保证金及银行同期活期存款利息。</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（3）项目废标或招标人终止招标的，在此后五个工作日内退还投标保证金及银行同期活期存款利息。</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（4）招投标活动中出现质疑、投诉的，中标候选人、质疑人和被质疑人、投诉人和被投诉人的投标保证金暂停退还。</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（5）相关投标人有违法违规行为的项目，其投标保证金暂不退还，待行政监督部门对相关情况处置后，按照有关规定办理。</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（6）退还投标保证金，除另外有规定外，一般以转账方式一次性退还至投标保证金的原提交账户。</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3.4.5 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（三）将中标项目转让给他人，或者在投标文件中未说明，且未经招标人同意，将中标项目分包给他人的；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（五）拒绝履行合同义务的；</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（六）相关法律、法规规定不予退还的其它情形。 </w:t>
      </w:r>
    </w:p>
    <w:p>
      <w:pPr>
        <w:autoSpaceDE w:val="0"/>
        <w:autoSpaceDN w:val="0"/>
        <w:adjustRightInd w:val="0"/>
        <w:spacing w:line="500" w:lineRule="exact"/>
        <w:ind w:firstLine="480" w:firstLineChars="200"/>
        <w:jc w:val="left"/>
        <w:rPr>
          <w:rFonts w:ascii="宋体" w:hAnsi="宋体"/>
          <w:kern w:val="0"/>
          <w:sz w:val="24"/>
        </w:rPr>
      </w:pPr>
      <w:r>
        <w:rPr>
          <w:rFonts w:hint="eastAsia" w:ascii="新宋体" w:hAnsi="新宋体" w:eastAsia="新宋体" w:cs="仿宋_GB2312"/>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hAnsi="宋体" w:cs="宋体"/>
          <w:sz w:val="24"/>
          <w:lang w:val="zh-CN"/>
        </w:rPr>
        <w:t>。</w:t>
      </w:r>
    </w:p>
    <w:p>
      <w:pPr>
        <w:spacing w:line="360" w:lineRule="auto"/>
        <w:ind w:firstLine="482"/>
        <w:rPr>
          <w:rFonts w:ascii="宋体" w:hAnsi="宋体" w:cs="宋体"/>
          <w:b/>
          <w:sz w:val="24"/>
          <w:szCs w:val="24"/>
        </w:rPr>
      </w:pPr>
      <w:r>
        <w:rPr>
          <w:rFonts w:hint="eastAsia" w:ascii="宋体" w:hAnsi="宋体" w:cs="宋体"/>
          <w:b/>
          <w:sz w:val="24"/>
          <w:szCs w:val="24"/>
        </w:rPr>
        <w:t>3.5 资格审查资料</w:t>
      </w:r>
    </w:p>
    <w:p>
      <w:pPr>
        <w:spacing w:line="360" w:lineRule="auto"/>
        <w:ind w:firstLine="480"/>
        <w:rPr>
          <w:rFonts w:ascii="宋体" w:hAnsi="宋体" w:cs="宋体"/>
          <w:sz w:val="24"/>
          <w:szCs w:val="24"/>
        </w:rPr>
      </w:pPr>
      <w:r>
        <w:rPr>
          <w:rFonts w:hint="eastAsia" w:ascii="宋体" w:hAnsi="宋体" w:cs="宋体"/>
          <w:sz w:val="24"/>
          <w:szCs w:val="24"/>
        </w:rPr>
        <w:t>3.5.1 “资格证明文件”应附</w:t>
      </w:r>
      <w:r>
        <w:rPr>
          <w:rFonts w:hint="eastAsia" w:ascii="宋体" w:hAnsi="宋体" w:cs="宋体"/>
          <w:sz w:val="24"/>
        </w:rPr>
        <w:t>企业法人营业执照、企业资质证书副本等材料的复印件。</w:t>
      </w:r>
    </w:p>
    <w:p>
      <w:pPr>
        <w:topLinePunct/>
        <w:spacing w:line="360" w:lineRule="auto"/>
        <w:ind w:firstLine="480" w:firstLineChars="200"/>
        <w:jc w:val="left"/>
        <w:rPr>
          <w:rFonts w:ascii="宋体" w:hAnsi="宋体" w:cs="宋体"/>
          <w:sz w:val="24"/>
          <w:szCs w:val="24"/>
        </w:rPr>
      </w:pPr>
      <w:r>
        <w:rPr>
          <w:rFonts w:hint="eastAsia" w:ascii="宋体" w:hAnsi="宋体" w:cs="宋体"/>
          <w:sz w:val="24"/>
          <w:szCs w:val="24"/>
        </w:rPr>
        <w:t>3.5.2 “近年财务状况”应附会计师事所或审计机构审计的财务会计报表，具体年份要求见第二章“投标人须知”的规定。</w:t>
      </w:r>
    </w:p>
    <w:p>
      <w:pPr>
        <w:spacing w:line="360" w:lineRule="auto"/>
        <w:ind w:firstLine="480" w:firstLineChars="200"/>
        <w:rPr>
          <w:rFonts w:ascii="宋体" w:hAnsi="宋体" w:cs="宋体"/>
          <w:kern w:val="0"/>
          <w:sz w:val="24"/>
        </w:rPr>
      </w:pPr>
      <w:r>
        <w:rPr>
          <w:rFonts w:hint="eastAsia" w:ascii="宋体" w:hAnsi="宋体" w:cs="宋体"/>
          <w:sz w:val="24"/>
          <w:szCs w:val="24"/>
        </w:rPr>
        <w:t>3.5.3 “近年完成的类似项目情况表”应</w:t>
      </w:r>
      <w:r>
        <w:rPr>
          <w:rFonts w:hint="eastAsia" w:ascii="宋体" w:hAnsi="宋体" w:cs="宋体"/>
          <w:kern w:val="0"/>
          <w:sz w:val="24"/>
        </w:rPr>
        <w:t>附相应的合同协议书和中标通知书或合同协议书和竣工验收证明复印件</w:t>
      </w:r>
      <w:r>
        <w:rPr>
          <w:rFonts w:hint="eastAsia" w:ascii="宋体" w:hAnsi="宋体" w:cs="宋体"/>
          <w:sz w:val="24"/>
          <w:szCs w:val="24"/>
        </w:rPr>
        <w:t>，具体年份要求详见投标人须知前附表。</w:t>
      </w:r>
    </w:p>
    <w:p>
      <w:pPr>
        <w:spacing w:line="360" w:lineRule="auto"/>
        <w:ind w:firstLine="480"/>
        <w:rPr>
          <w:rFonts w:ascii="宋体" w:hAnsi="宋体" w:cs="宋体"/>
          <w:sz w:val="24"/>
          <w:szCs w:val="24"/>
        </w:rPr>
      </w:pPr>
      <w:r>
        <w:rPr>
          <w:rFonts w:hint="eastAsia" w:ascii="宋体" w:hAnsi="宋体" w:cs="宋体"/>
          <w:sz w:val="24"/>
          <w:szCs w:val="24"/>
        </w:rPr>
        <w:t>3.5.4 “正在施工和新承接的项目情况表”应附</w:t>
      </w:r>
      <w:r>
        <w:rPr>
          <w:rFonts w:hint="eastAsia" w:ascii="宋体" w:hAnsi="宋体" w:cs="宋体"/>
          <w:kern w:val="0"/>
          <w:sz w:val="24"/>
        </w:rPr>
        <w:t>中标通知书或合同协议书的复印件</w:t>
      </w:r>
      <w:r>
        <w:rPr>
          <w:rFonts w:hint="eastAsia" w:ascii="宋体" w:hAnsi="宋体" w:cs="宋体"/>
          <w:sz w:val="24"/>
          <w:szCs w:val="24"/>
        </w:rPr>
        <w:t>。</w:t>
      </w:r>
    </w:p>
    <w:p>
      <w:pPr>
        <w:spacing w:line="360" w:lineRule="auto"/>
        <w:ind w:firstLine="480"/>
        <w:rPr>
          <w:rFonts w:ascii="宋体" w:hAnsi="宋体" w:cs="宋体"/>
          <w:sz w:val="24"/>
          <w:szCs w:val="24"/>
        </w:rPr>
      </w:pPr>
      <w:r>
        <w:rPr>
          <w:rFonts w:hint="eastAsia" w:ascii="宋体" w:hAnsi="宋体" w:cs="宋体"/>
          <w:sz w:val="24"/>
          <w:szCs w:val="24"/>
        </w:rPr>
        <w:t>3.5.5 “近年发生的诉讼仲裁情况”应说明情况，并附法院或仲裁机构作出的判决、裁决等有关法律文书说明复印件，具体年份要求详见投标人须知前附表。</w:t>
      </w:r>
    </w:p>
    <w:p>
      <w:pPr>
        <w:spacing w:line="360" w:lineRule="auto"/>
        <w:ind w:firstLine="482"/>
        <w:rPr>
          <w:rFonts w:ascii="宋体" w:hAnsi="宋体" w:cs="宋体"/>
          <w:b/>
          <w:sz w:val="24"/>
          <w:szCs w:val="24"/>
        </w:rPr>
      </w:pPr>
      <w:r>
        <w:rPr>
          <w:rFonts w:hint="eastAsia" w:ascii="宋体" w:hAnsi="宋体" w:cs="宋体"/>
          <w:b/>
          <w:sz w:val="24"/>
          <w:szCs w:val="24"/>
        </w:rPr>
        <w:t>3.6 备选投标方案（不允许）</w:t>
      </w:r>
    </w:p>
    <w:p>
      <w:pPr>
        <w:spacing w:line="360" w:lineRule="auto"/>
        <w:ind w:firstLine="482"/>
        <w:rPr>
          <w:rFonts w:ascii="宋体" w:hAnsi="宋体" w:cs="宋体"/>
          <w:b/>
          <w:sz w:val="24"/>
          <w:szCs w:val="24"/>
        </w:rPr>
      </w:pPr>
      <w:r>
        <w:rPr>
          <w:rFonts w:hint="eastAsia" w:ascii="宋体" w:hAnsi="宋体" w:cs="宋体"/>
          <w:b/>
          <w:sz w:val="24"/>
          <w:szCs w:val="24"/>
        </w:rPr>
        <w:t>3.7 投标文件的编制</w:t>
      </w:r>
    </w:p>
    <w:p>
      <w:pPr>
        <w:adjustRightInd w:val="0"/>
        <w:snapToGrid w:val="0"/>
        <w:spacing w:line="360" w:lineRule="auto"/>
        <w:ind w:firstLine="480" w:firstLineChars="200"/>
        <w:rPr>
          <w:rFonts w:ascii="宋体" w:hAnsi="宋体" w:cs="宋体"/>
          <w:sz w:val="24"/>
        </w:rPr>
      </w:pPr>
      <w:bookmarkStart w:id="8" w:name="_Toc359165960"/>
      <w:bookmarkStart w:id="9" w:name="_Toc426467369"/>
      <w:r>
        <w:rPr>
          <w:rFonts w:hint="eastAsia" w:ascii="宋体" w:hAnsi="宋体" w:cs="宋体"/>
          <w:sz w:val="24"/>
        </w:rPr>
        <w:t>3.7.1 投标文件应按第八章“投标文件格式”进行编写，如有必要，可以增加附页，作为投标文件的组成部分。投标人编制投标文件应当按招标文件规定的基本格式要求。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3.7.2 投标文件应当对招标文件有关工期、投标有效期、质量要求、招标范围、付款方式等实质性内容作出响应。</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3.7.3 投标文件应用不褪色的材料书写或打印，并由投标人的法定代表人或其委托代理人签字或盖单位章。投标文件需按要求由投标人的法定代表人或其委托代理人签字并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说明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3.7.4投标文件份数见投标人须知前附表。正本和副本的封面上应清楚地标记“正本”或“副本”的字样。投标文件正本、副本均须加盖骑缝章，</w:t>
      </w:r>
      <w:r>
        <w:rPr>
          <w:rFonts w:hint="eastAsia" w:hAnsi="宋体" w:cs="宋体"/>
          <w:sz w:val="24"/>
        </w:rPr>
        <w:t>施工组织设计部分需要</w:t>
      </w:r>
      <w:r>
        <w:rPr>
          <w:rFonts w:hint="eastAsia" w:hAnsi="宋体"/>
          <w:sz w:val="24"/>
          <w:szCs w:val="24"/>
        </w:rPr>
        <w:t>项目经理及</w:t>
      </w:r>
      <w:r>
        <w:rPr>
          <w:rFonts w:hint="eastAsia" w:hAnsi="宋体" w:cs="宋体"/>
          <w:sz w:val="24"/>
        </w:rPr>
        <w:t>技术负责人签字</w:t>
      </w:r>
      <w:r>
        <w:rPr>
          <w:rFonts w:hint="eastAsia" w:ascii="宋体" w:hAnsi="宋体" w:cs="宋体"/>
          <w:sz w:val="24"/>
        </w:rPr>
        <w:t>。当副本和正本不一致时，以正本为准；当投标文件电子版与投标文件纸质版不一致时，以纸质版为准；正本中大、小写不一致时以大写为准。投标文件应用A4纸打印。</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3.7.5投标文件的正本与副本应分别装订成册，并编制目录，具体装订要求见投标人须知前附表规定。</w:t>
      </w:r>
    </w:p>
    <w:p>
      <w:pPr>
        <w:pStyle w:val="9"/>
        <w:spacing w:line="360" w:lineRule="auto"/>
        <w:ind w:leftChars="200" w:firstLine="120" w:firstLineChars="50"/>
        <w:outlineLvl w:val="2"/>
        <w:rPr>
          <w:rFonts w:ascii="宋体" w:hAnsi="宋体" w:cs="宋体"/>
          <w:b/>
          <w:i w:val="0"/>
          <w:sz w:val="24"/>
          <w:szCs w:val="24"/>
        </w:rPr>
      </w:pPr>
      <w:r>
        <w:rPr>
          <w:rFonts w:hint="eastAsia" w:ascii="宋体" w:hAnsi="宋体" w:cs="宋体"/>
          <w:b/>
          <w:i w:val="0"/>
          <w:sz w:val="24"/>
          <w:szCs w:val="24"/>
        </w:rPr>
        <w:t>4. 投标</w:t>
      </w:r>
      <w:bookmarkEnd w:id="8"/>
      <w:bookmarkEnd w:id="9"/>
    </w:p>
    <w:p>
      <w:pPr>
        <w:spacing w:line="360" w:lineRule="auto"/>
        <w:ind w:firstLine="482"/>
        <w:rPr>
          <w:rFonts w:ascii="宋体" w:hAnsi="宋体" w:cs="宋体"/>
          <w:b/>
          <w:sz w:val="24"/>
          <w:szCs w:val="24"/>
        </w:rPr>
      </w:pPr>
      <w:r>
        <w:rPr>
          <w:rFonts w:hint="eastAsia" w:ascii="宋体" w:hAnsi="宋体" w:cs="宋体"/>
          <w:b/>
          <w:sz w:val="24"/>
          <w:szCs w:val="24"/>
        </w:rPr>
        <w:t>4.1 投标文件的密封和标记</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4.1.1</w:t>
      </w:r>
      <w:r>
        <w:rPr>
          <w:rFonts w:hint="eastAsia" w:ascii="宋体" w:hAnsi="宋体" w:cs="宋体"/>
          <w:kern w:val="0"/>
          <w:sz w:val="24"/>
        </w:rPr>
        <w:t>投标文件正本、副本应分开密封包装</w:t>
      </w:r>
      <w:r>
        <w:rPr>
          <w:rFonts w:hint="eastAsia" w:ascii="宋体" w:hAnsi="宋体" w:cs="宋体"/>
          <w:sz w:val="24"/>
        </w:rPr>
        <w:t>，加贴密封条，并在封套的封口处加盖投标人单位章，投标文件电子版单独密封递交。</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4.1.2 封套上应写明的内容详见投标人须知前附表规定。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4.1.3 未按本章第4.1.1项或第4.1.2项要求密封和加写标记的投标文件，招标人不予受理。</w:t>
      </w:r>
    </w:p>
    <w:p>
      <w:pPr>
        <w:spacing w:line="360" w:lineRule="auto"/>
        <w:ind w:firstLine="482"/>
        <w:rPr>
          <w:rFonts w:ascii="宋体" w:hAnsi="宋体" w:cs="宋体"/>
          <w:b/>
          <w:sz w:val="24"/>
          <w:szCs w:val="24"/>
        </w:rPr>
      </w:pPr>
      <w:r>
        <w:rPr>
          <w:rFonts w:hint="eastAsia" w:ascii="宋体" w:hAnsi="宋体" w:cs="宋体"/>
          <w:b/>
          <w:sz w:val="24"/>
          <w:szCs w:val="24"/>
        </w:rPr>
        <w:t>4.2 投标文件的递交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4.2.1 投标人应在本章“投标人须知前附表”规定的投标截止时间前递交投标文件。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4.2.2 投标人递交投标文件的地点：见投标人须知前附表。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4.2.3 除投标人须知前附表另有规定外，投标人所递交的投标文件不予退还。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4.2.4 逾期送达或者未送达指定地点的投标文件招标人不予接收。</w:t>
      </w:r>
    </w:p>
    <w:p>
      <w:pPr>
        <w:spacing w:line="360" w:lineRule="auto"/>
        <w:ind w:firstLine="480"/>
        <w:rPr>
          <w:rFonts w:ascii="宋体" w:hAnsi="宋体" w:cs="宋体"/>
          <w:b/>
          <w:sz w:val="24"/>
          <w:szCs w:val="24"/>
        </w:rPr>
      </w:pPr>
      <w:r>
        <w:rPr>
          <w:rFonts w:hint="eastAsia" w:ascii="宋体" w:hAnsi="宋体" w:cs="宋体"/>
          <w:b/>
          <w:sz w:val="24"/>
          <w:szCs w:val="24"/>
        </w:rPr>
        <w:t>4.3 投标文件的修改与撤回</w:t>
      </w:r>
    </w:p>
    <w:p>
      <w:pPr>
        <w:adjustRightInd w:val="0"/>
        <w:snapToGrid w:val="0"/>
        <w:spacing w:line="360" w:lineRule="auto"/>
        <w:ind w:firstLine="480" w:firstLineChars="200"/>
        <w:rPr>
          <w:rFonts w:ascii="宋体" w:hAnsi="宋体" w:cs="宋体"/>
          <w:sz w:val="24"/>
        </w:rPr>
      </w:pPr>
      <w:bookmarkStart w:id="10" w:name="_Toc426467370"/>
      <w:bookmarkStart w:id="11" w:name="_Toc359165961"/>
      <w:r>
        <w:rPr>
          <w:rFonts w:hint="eastAsia" w:ascii="宋体" w:hAnsi="宋体" w:cs="宋体"/>
          <w:sz w:val="24"/>
        </w:rPr>
        <w:t>4.3.1 在本章“投标人须知前附表”第2.2.2项规定的投标截止时间前，投标人可以修改或撤回已递交的投标文件，但应以书面形式通知招标人。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4.3.2 投标人修改或撤回已递交投标文件的书面通知应按照本章第3.7.3 项的要求签字或盖章。招标人收到书面通知后，向投标人出具签收凭证。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4.3.3 修改的内容为投标文件的组成部分。修改的投标文件应按照本章第3条、第4条规定进行编制、密封、标记和递交，并标明“修改”字样。</w:t>
      </w:r>
    </w:p>
    <w:p>
      <w:pPr>
        <w:pStyle w:val="9"/>
        <w:spacing w:line="360" w:lineRule="auto"/>
        <w:ind w:leftChars="200" w:firstLine="120" w:firstLineChars="50"/>
        <w:outlineLvl w:val="2"/>
        <w:rPr>
          <w:rFonts w:ascii="宋体" w:hAnsi="宋体" w:cs="宋体"/>
          <w:b/>
          <w:i w:val="0"/>
          <w:sz w:val="24"/>
          <w:szCs w:val="24"/>
        </w:rPr>
      </w:pPr>
      <w:r>
        <w:rPr>
          <w:rFonts w:hint="eastAsia" w:ascii="宋体" w:hAnsi="宋体" w:cs="宋体"/>
          <w:b/>
          <w:i w:val="0"/>
          <w:sz w:val="24"/>
          <w:szCs w:val="24"/>
        </w:rPr>
        <w:t>5. 开标</w:t>
      </w:r>
      <w:bookmarkEnd w:id="10"/>
      <w:bookmarkEnd w:id="11"/>
    </w:p>
    <w:p>
      <w:pPr>
        <w:spacing w:line="360" w:lineRule="auto"/>
        <w:ind w:firstLine="482"/>
        <w:rPr>
          <w:rFonts w:ascii="宋体" w:hAnsi="宋体" w:cs="宋体"/>
          <w:b/>
          <w:sz w:val="24"/>
          <w:szCs w:val="24"/>
        </w:rPr>
      </w:pPr>
      <w:r>
        <w:rPr>
          <w:rFonts w:hint="eastAsia" w:ascii="宋体" w:hAnsi="宋体" w:cs="宋体"/>
          <w:b/>
          <w:sz w:val="24"/>
          <w:szCs w:val="24"/>
        </w:rPr>
        <w:t>5.1 开标时间和地点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投标人在本章第2.2.2款规定的投标截止时间（开标时间）和投标人须知前附表规定的地点公开开标，并邀请所有投标人的法定代表人或委托代理人准时参加。</w:t>
      </w:r>
    </w:p>
    <w:p>
      <w:pPr>
        <w:spacing w:line="360" w:lineRule="auto"/>
        <w:ind w:firstLine="482"/>
        <w:rPr>
          <w:rFonts w:ascii="宋体" w:hAnsi="宋体" w:cs="宋体"/>
          <w:b/>
          <w:sz w:val="24"/>
          <w:szCs w:val="24"/>
        </w:rPr>
      </w:pPr>
      <w:r>
        <w:rPr>
          <w:rFonts w:hint="eastAsia" w:ascii="宋体" w:hAnsi="宋体" w:cs="宋体"/>
          <w:b/>
          <w:sz w:val="24"/>
          <w:szCs w:val="24"/>
        </w:rPr>
        <w:t>5.2开标要求事项</w:t>
      </w:r>
    </w:p>
    <w:p>
      <w:pPr>
        <w:spacing w:line="360" w:lineRule="auto"/>
        <w:ind w:firstLine="482"/>
        <w:rPr>
          <w:rFonts w:ascii="宋体" w:hAnsi="宋体" w:cs="宋体"/>
          <w:sz w:val="24"/>
          <w:szCs w:val="24"/>
        </w:rPr>
      </w:pPr>
      <w:r>
        <w:rPr>
          <w:rFonts w:hint="eastAsia" w:ascii="宋体" w:hAnsi="宋体" w:cs="宋体"/>
          <w:sz w:val="24"/>
          <w:szCs w:val="24"/>
        </w:rPr>
        <w:t>投标人的企业法定代表人或企业委托代理人应参加开标会议。招标人将按招标文件“投标人须知前附表”中规定的时间和地点，对所有收到的投标文件进行开标。</w:t>
      </w:r>
    </w:p>
    <w:p>
      <w:pPr>
        <w:spacing w:line="360" w:lineRule="auto"/>
        <w:ind w:firstLine="482"/>
        <w:rPr>
          <w:rFonts w:ascii="宋体" w:hAnsi="宋体" w:cs="宋体"/>
          <w:b/>
          <w:sz w:val="24"/>
          <w:szCs w:val="24"/>
        </w:rPr>
      </w:pPr>
      <w:r>
        <w:rPr>
          <w:rFonts w:hint="eastAsia" w:ascii="宋体" w:hAnsi="宋体" w:cs="宋体"/>
          <w:b/>
          <w:sz w:val="24"/>
          <w:szCs w:val="24"/>
        </w:rPr>
        <w:t>5.3 开标程序</w:t>
      </w:r>
    </w:p>
    <w:p>
      <w:pPr>
        <w:autoSpaceDE w:val="0"/>
        <w:autoSpaceDN w:val="0"/>
        <w:adjustRightInd w:val="0"/>
        <w:snapToGrid w:val="0"/>
        <w:spacing w:line="360" w:lineRule="auto"/>
        <w:ind w:firstLine="480" w:firstLineChars="200"/>
        <w:jc w:val="left"/>
        <w:rPr>
          <w:rFonts w:ascii="宋体" w:hAnsi="宋体" w:cs="宋体"/>
          <w:sz w:val="24"/>
        </w:rPr>
      </w:pPr>
      <w:bookmarkStart w:id="12" w:name="_Toc426467371"/>
      <w:bookmarkStart w:id="13" w:name="_Toc359165962"/>
      <w:r>
        <w:rPr>
          <w:rFonts w:hint="eastAsia" w:ascii="宋体" w:hAnsi="宋体" w:cs="宋体"/>
          <w:sz w:val="24"/>
        </w:rPr>
        <w:t>主持人按下列程序进行开标：</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（1）宣布开标纪律；</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（2）公布在投标截止时间前递交投标文件的投标人名称，并点名确认投标人是否派人到场；</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（3）宣读经备案的招标文件的补充和修改文件的份数；</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（4）宣布开标人、唱标人、记录人、监标人等有关人员姓名；</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（5）按照投标人须知前附表规定检查投标文件的密封情况；</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（6）按照投标人须知前附表的规定确定并宣布投标文件开标顺序；</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（7）按照宣布的开标顺序当众开标，公布投标人名称、标段名称、投标保证递交情况、投标报价、质量目标、工期及项目负责人等其他内容，并记录在案；</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（8）由投标人代表现场抽取参与计算合理评标价的调整系数a值，并宣读；</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（9）投标人代表、招标人代表、监标人、记录人等有关人员在开标记录上签字确认；</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（10）开标结束。</w:t>
      </w:r>
    </w:p>
    <w:p>
      <w:pPr>
        <w:pStyle w:val="9"/>
        <w:spacing w:line="360" w:lineRule="auto"/>
        <w:ind w:leftChars="200" w:firstLine="120" w:firstLineChars="50"/>
        <w:outlineLvl w:val="2"/>
        <w:rPr>
          <w:rFonts w:ascii="宋体" w:hAnsi="宋体" w:cs="宋体"/>
          <w:b/>
          <w:i w:val="0"/>
          <w:sz w:val="24"/>
          <w:szCs w:val="24"/>
        </w:rPr>
      </w:pPr>
      <w:r>
        <w:rPr>
          <w:rFonts w:hint="eastAsia" w:ascii="宋体" w:hAnsi="宋体" w:cs="宋体"/>
          <w:b/>
          <w:i w:val="0"/>
          <w:sz w:val="24"/>
          <w:szCs w:val="24"/>
        </w:rPr>
        <w:t>6. 评标</w:t>
      </w:r>
      <w:bookmarkEnd w:id="12"/>
      <w:bookmarkEnd w:id="13"/>
    </w:p>
    <w:p>
      <w:pPr>
        <w:spacing w:line="360" w:lineRule="auto"/>
        <w:ind w:firstLine="482"/>
        <w:rPr>
          <w:rFonts w:ascii="宋体" w:hAnsi="宋体" w:cs="宋体"/>
          <w:b/>
          <w:sz w:val="24"/>
          <w:szCs w:val="24"/>
        </w:rPr>
      </w:pPr>
      <w:r>
        <w:rPr>
          <w:rFonts w:hint="eastAsia" w:ascii="宋体" w:hAnsi="宋体" w:cs="宋体"/>
          <w:b/>
          <w:sz w:val="24"/>
          <w:szCs w:val="24"/>
        </w:rPr>
        <w:t>6.1 评标委员会</w:t>
      </w:r>
    </w:p>
    <w:p>
      <w:pPr>
        <w:spacing w:line="360" w:lineRule="auto"/>
        <w:ind w:firstLine="480"/>
        <w:rPr>
          <w:rFonts w:ascii="宋体" w:hAnsi="宋体" w:cs="宋体"/>
          <w:sz w:val="24"/>
          <w:szCs w:val="24"/>
        </w:rPr>
      </w:pPr>
      <w:r>
        <w:rPr>
          <w:rFonts w:hint="eastAsia" w:ascii="宋体" w:hAnsi="宋体" w:cs="宋体"/>
          <w:sz w:val="24"/>
          <w:szCs w:val="24"/>
        </w:rPr>
        <w:t>6.1.1 评标由招标人依法组建的评标委员会负责。评标委员会成员人数以及确定方式详见投标人须知前附表。</w:t>
      </w:r>
    </w:p>
    <w:p>
      <w:pPr>
        <w:spacing w:line="360" w:lineRule="auto"/>
        <w:ind w:firstLine="480"/>
        <w:rPr>
          <w:rFonts w:ascii="宋体" w:hAnsi="宋体" w:cs="宋体"/>
          <w:sz w:val="24"/>
          <w:szCs w:val="24"/>
        </w:rPr>
      </w:pPr>
      <w:r>
        <w:rPr>
          <w:rFonts w:hint="eastAsia" w:ascii="宋体" w:hAnsi="宋体" w:cs="宋体"/>
          <w:sz w:val="24"/>
          <w:szCs w:val="24"/>
        </w:rPr>
        <w:t>6.1.2 评标委员会成员有下列情形之一的，应当回避：</w:t>
      </w:r>
    </w:p>
    <w:p>
      <w:pPr>
        <w:spacing w:line="360" w:lineRule="auto"/>
        <w:ind w:firstLine="480"/>
        <w:rPr>
          <w:rFonts w:ascii="宋体" w:hAnsi="宋体" w:cs="宋体"/>
          <w:sz w:val="24"/>
          <w:szCs w:val="24"/>
        </w:rPr>
      </w:pPr>
      <w:r>
        <w:rPr>
          <w:rFonts w:hint="eastAsia" w:ascii="宋体" w:hAnsi="宋体" w:cs="宋体"/>
          <w:sz w:val="24"/>
          <w:szCs w:val="24"/>
        </w:rPr>
        <w:t>（1）招标人或投标人的主要负责人的近亲属；</w:t>
      </w:r>
    </w:p>
    <w:p>
      <w:pPr>
        <w:spacing w:line="360" w:lineRule="auto"/>
        <w:ind w:firstLine="480"/>
        <w:rPr>
          <w:rFonts w:ascii="宋体" w:hAnsi="宋体" w:cs="宋体"/>
          <w:sz w:val="24"/>
          <w:szCs w:val="24"/>
        </w:rPr>
      </w:pPr>
      <w:r>
        <w:rPr>
          <w:rFonts w:hint="eastAsia" w:ascii="宋体" w:hAnsi="宋体" w:cs="宋体"/>
          <w:sz w:val="24"/>
          <w:szCs w:val="24"/>
        </w:rPr>
        <w:t>（2）项目主管部门或者行政监督部门的人员；</w:t>
      </w:r>
    </w:p>
    <w:p>
      <w:pPr>
        <w:spacing w:line="360" w:lineRule="auto"/>
        <w:ind w:firstLine="480"/>
        <w:rPr>
          <w:rFonts w:ascii="宋体" w:hAnsi="宋体" w:cs="宋体"/>
          <w:sz w:val="24"/>
          <w:szCs w:val="24"/>
        </w:rPr>
      </w:pPr>
      <w:r>
        <w:rPr>
          <w:rFonts w:hint="eastAsia" w:ascii="宋体" w:hAnsi="宋体" w:cs="宋体"/>
          <w:sz w:val="24"/>
          <w:szCs w:val="24"/>
        </w:rPr>
        <w:t>（3）与投标人有经济利益关系，可能影响对投标公正评审的；</w:t>
      </w:r>
    </w:p>
    <w:p>
      <w:pPr>
        <w:spacing w:line="360" w:lineRule="auto"/>
        <w:ind w:firstLine="480"/>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pPr>
        <w:spacing w:line="360" w:lineRule="auto"/>
        <w:ind w:firstLine="482"/>
        <w:rPr>
          <w:rFonts w:ascii="宋体" w:hAnsi="宋体" w:cs="宋体"/>
          <w:sz w:val="24"/>
          <w:szCs w:val="24"/>
        </w:rPr>
      </w:pPr>
      <w:r>
        <w:rPr>
          <w:rFonts w:hint="eastAsia" w:ascii="宋体" w:hAnsi="宋体" w:cs="宋体"/>
          <w:b/>
          <w:sz w:val="24"/>
          <w:szCs w:val="24"/>
        </w:rPr>
        <w:t>6.2 评标原则</w:t>
      </w:r>
      <w:r>
        <w:rPr>
          <w:rFonts w:hint="eastAsia" w:ascii="宋体" w:hAnsi="宋体" w:cs="宋体"/>
          <w:sz w:val="24"/>
          <w:szCs w:val="24"/>
        </w:rPr>
        <w:tab/>
      </w:r>
    </w:p>
    <w:p>
      <w:pPr>
        <w:spacing w:line="360" w:lineRule="auto"/>
        <w:ind w:firstLine="480"/>
        <w:rPr>
          <w:rFonts w:ascii="宋体" w:hAnsi="宋体" w:cs="宋体"/>
          <w:sz w:val="24"/>
          <w:szCs w:val="24"/>
        </w:rPr>
      </w:pPr>
      <w:r>
        <w:rPr>
          <w:rFonts w:hint="eastAsia" w:ascii="宋体" w:hAnsi="宋体" w:cs="宋体"/>
          <w:sz w:val="24"/>
          <w:szCs w:val="24"/>
        </w:rPr>
        <w:t>评标活动遵循公平、公正、科学和择优的原则。</w:t>
      </w:r>
    </w:p>
    <w:p>
      <w:pPr>
        <w:spacing w:line="360" w:lineRule="auto"/>
        <w:ind w:firstLine="482"/>
        <w:rPr>
          <w:rFonts w:ascii="宋体" w:hAnsi="宋体" w:cs="宋体"/>
          <w:b/>
          <w:sz w:val="24"/>
          <w:szCs w:val="24"/>
        </w:rPr>
      </w:pPr>
      <w:r>
        <w:rPr>
          <w:rFonts w:hint="eastAsia" w:ascii="宋体" w:hAnsi="宋体" w:cs="宋体"/>
          <w:b/>
          <w:sz w:val="24"/>
          <w:szCs w:val="24"/>
        </w:rPr>
        <w:t>6.3 评标</w:t>
      </w:r>
    </w:p>
    <w:p>
      <w:pPr>
        <w:spacing w:line="360" w:lineRule="auto"/>
        <w:ind w:firstLine="480"/>
        <w:rPr>
          <w:rFonts w:ascii="宋体" w:hAnsi="宋体" w:cs="宋体"/>
          <w:sz w:val="24"/>
          <w:szCs w:val="24"/>
        </w:rPr>
      </w:pPr>
      <w:r>
        <w:rPr>
          <w:rFonts w:hint="eastAsia" w:ascii="宋体" w:hAnsi="宋体" w:cs="宋体"/>
          <w:sz w:val="24"/>
          <w:szCs w:val="24"/>
        </w:rPr>
        <w:t>评标委员会按照第三章“评标办法”规定的方法、评审因素、标准和程序对投标文件进行评审。第三章“评标办法”没有规定的方法、评审因素和标准，不作为评标依据。</w:t>
      </w:r>
    </w:p>
    <w:p>
      <w:pPr>
        <w:pStyle w:val="9"/>
        <w:spacing w:line="360" w:lineRule="auto"/>
        <w:ind w:left="0"/>
        <w:outlineLvl w:val="2"/>
        <w:rPr>
          <w:rFonts w:ascii="宋体" w:hAnsi="宋体" w:cs="宋体"/>
          <w:b/>
          <w:i w:val="0"/>
          <w:sz w:val="24"/>
          <w:szCs w:val="24"/>
        </w:rPr>
      </w:pPr>
      <w:bookmarkStart w:id="14" w:name="_Toc359165963"/>
      <w:bookmarkStart w:id="15" w:name="_Toc426467372"/>
      <w:r>
        <w:rPr>
          <w:rFonts w:hint="eastAsia" w:ascii="宋体" w:hAnsi="宋体" w:cs="宋体"/>
          <w:b/>
          <w:i w:val="0"/>
          <w:sz w:val="24"/>
          <w:szCs w:val="24"/>
        </w:rPr>
        <w:t>7. 合同授予</w:t>
      </w:r>
      <w:bookmarkEnd w:id="14"/>
      <w:bookmarkEnd w:id="15"/>
    </w:p>
    <w:p>
      <w:pPr>
        <w:spacing w:line="360" w:lineRule="auto"/>
        <w:ind w:firstLine="482"/>
        <w:rPr>
          <w:rFonts w:ascii="宋体" w:hAnsi="宋体" w:cs="宋体"/>
          <w:b/>
          <w:sz w:val="24"/>
          <w:szCs w:val="24"/>
        </w:rPr>
      </w:pPr>
      <w:r>
        <w:rPr>
          <w:rFonts w:hint="eastAsia" w:ascii="宋体" w:hAnsi="宋体" w:cs="宋体"/>
          <w:b/>
          <w:sz w:val="24"/>
          <w:szCs w:val="24"/>
        </w:rPr>
        <w:t>7.1 定标方式</w:t>
      </w:r>
    </w:p>
    <w:p>
      <w:pPr>
        <w:spacing w:line="360" w:lineRule="auto"/>
        <w:ind w:firstLine="480"/>
        <w:rPr>
          <w:rFonts w:ascii="宋体" w:hAnsi="宋体" w:cs="宋体"/>
          <w:sz w:val="24"/>
          <w:szCs w:val="24"/>
        </w:rPr>
      </w:pPr>
      <w:r>
        <w:rPr>
          <w:rFonts w:hint="eastAsia" w:ascii="宋体" w:hAnsi="宋体" w:cs="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360" w:lineRule="auto"/>
        <w:ind w:firstLine="482"/>
        <w:rPr>
          <w:rFonts w:ascii="宋体" w:hAnsi="宋体" w:cs="宋体"/>
          <w:b/>
          <w:sz w:val="24"/>
          <w:szCs w:val="24"/>
        </w:rPr>
      </w:pPr>
      <w:r>
        <w:rPr>
          <w:rFonts w:hint="eastAsia" w:ascii="宋体" w:hAnsi="宋体" w:cs="宋体"/>
          <w:b/>
          <w:sz w:val="24"/>
          <w:szCs w:val="24"/>
        </w:rPr>
        <w:t>7.2中标通知</w:t>
      </w:r>
    </w:p>
    <w:p>
      <w:pPr>
        <w:spacing w:line="360" w:lineRule="auto"/>
        <w:ind w:firstLine="480"/>
        <w:rPr>
          <w:rFonts w:ascii="宋体" w:hAnsi="宋体" w:cs="宋体"/>
          <w:sz w:val="24"/>
          <w:szCs w:val="24"/>
        </w:rPr>
      </w:pPr>
      <w:r>
        <w:rPr>
          <w:rFonts w:hint="eastAsia" w:ascii="宋体" w:hAnsi="宋体" w:cs="宋体"/>
          <w:sz w:val="24"/>
          <w:szCs w:val="24"/>
        </w:rPr>
        <w:t>在本章第 3.3 款规定的投标有效期内，招标人以书面形式向中标人发出中标通知书，同时将中标结果通知未中标的投标人。</w:t>
      </w:r>
    </w:p>
    <w:p>
      <w:pPr>
        <w:spacing w:line="360" w:lineRule="auto"/>
        <w:ind w:firstLine="482"/>
        <w:rPr>
          <w:rFonts w:ascii="宋体" w:hAnsi="宋体" w:cs="宋体"/>
          <w:b/>
          <w:sz w:val="24"/>
          <w:szCs w:val="24"/>
        </w:rPr>
      </w:pPr>
      <w:bookmarkStart w:id="16" w:name="_Toc179632587"/>
      <w:bookmarkStart w:id="17" w:name="_Toc152042345"/>
      <w:bookmarkStart w:id="18" w:name="_Toc152045569"/>
      <w:bookmarkStart w:id="19" w:name="_Toc144974537"/>
      <w:bookmarkStart w:id="20" w:name="_Toc215282169"/>
      <w:r>
        <w:rPr>
          <w:rFonts w:hint="eastAsia" w:ascii="宋体" w:hAnsi="宋体" w:cs="宋体"/>
          <w:b/>
          <w:sz w:val="24"/>
          <w:szCs w:val="24"/>
        </w:rPr>
        <w:t>7.3</w:t>
      </w:r>
      <w:bookmarkEnd w:id="16"/>
      <w:bookmarkEnd w:id="17"/>
      <w:bookmarkEnd w:id="18"/>
      <w:bookmarkEnd w:id="19"/>
      <w:r>
        <w:rPr>
          <w:rFonts w:hint="eastAsia" w:ascii="宋体" w:hAnsi="宋体" w:cs="宋体"/>
          <w:b/>
          <w:sz w:val="24"/>
          <w:szCs w:val="24"/>
        </w:rPr>
        <w:t xml:space="preserve"> 履约担保</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7.3.2 中标人不能按本章第7.3.1项要求提交履约担保的，视为放弃中标，其投标保证金不予退还，给招标人造成的损失超过投标保证金数额的，中标人还应当对超过部分予以赔偿。</w:t>
      </w:r>
    </w:p>
    <w:p>
      <w:pPr>
        <w:spacing w:line="360" w:lineRule="auto"/>
        <w:ind w:firstLine="482"/>
        <w:rPr>
          <w:rFonts w:ascii="宋体" w:hAnsi="宋体" w:cs="宋体"/>
          <w:b/>
          <w:sz w:val="24"/>
          <w:szCs w:val="24"/>
        </w:rPr>
      </w:pPr>
      <w:bookmarkStart w:id="21" w:name="_Toc144974538"/>
      <w:bookmarkStart w:id="22" w:name="_Toc152042346"/>
      <w:bookmarkStart w:id="23" w:name="_Toc179632588"/>
      <w:bookmarkStart w:id="24" w:name="_Toc152045570"/>
      <w:r>
        <w:rPr>
          <w:rFonts w:hint="eastAsia" w:ascii="宋体" w:hAnsi="宋体" w:cs="宋体"/>
          <w:b/>
          <w:sz w:val="24"/>
          <w:szCs w:val="24"/>
        </w:rPr>
        <w:t>7.4 签订合同</w:t>
      </w:r>
      <w:bookmarkEnd w:id="21"/>
      <w:bookmarkEnd w:id="22"/>
      <w:bookmarkEnd w:id="23"/>
      <w:bookmarkEnd w:id="24"/>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autoSpaceDE w:val="0"/>
        <w:autoSpaceDN w:val="0"/>
        <w:adjustRightInd w:val="0"/>
        <w:snapToGrid w:val="0"/>
        <w:spacing w:line="360" w:lineRule="auto"/>
        <w:jc w:val="left"/>
        <w:rPr>
          <w:rFonts w:ascii="宋体" w:hAnsi="宋体" w:cs="宋体"/>
          <w:sz w:val="24"/>
        </w:rPr>
      </w:pPr>
      <w:bookmarkStart w:id="25" w:name="_Toc221950219"/>
      <w:r>
        <w:rPr>
          <w:rFonts w:hint="eastAsia" w:ascii="宋体" w:hAnsi="宋体" w:cs="宋体"/>
          <w:sz w:val="24"/>
        </w:rPr>
        <w:t xml:space="preserve">    7.4.2 发出中标通知书后，招标人无正当理由拒签合同的，招标人向中标人退还投标保证金，并按投标保证金双倍的金额赔偿投标人损失。</w:t>
      </w:r>
      <w:bookmarkEnd w:id="25"/>
      <w:r>
        <w:rPr>
          <w:rFonts w:hint="eastAsia" w:ascii="宋体" w:hAnsi="宋体" w:cs="宋体"/>
          <w:sz w:val="24"/>
        </w:rPr>
        <w:t xml:space="preserve"> </w:t>
      </w:r>
    </w:p>
    <w:p>
      <w:pPr>
        <w:autoSpaceDE w:val="0"/>
        <w:autoSpaceDN w:val="0"/>
        <w:adjustRightInd w:val="0"/>
        <w:snapToGrid w:val="0"/>
        <w:spacing w:line="360" w:lineRule="auto"/>
        <w:jc w:val="left"/>
        <w:rPr>
          <w:rFonts w:ascii="宋体" w:hAnsi="宋体" w:cs="宋体"/>
          <w:b/>
          <w:sz w:val="24"/>
        </w:rPr>
      </w:pPr>
      <w:bookmarkStart w:id="26" w:name="_Toc19935"/>
      <w:r>
        <w:rPr>
          <w:rFonts w:hint="eastAsia" w:ascii="宋体" w:hAnsi="宋体" w:cs="宋体"/>
          <w:b/>
          <w:sz w:val="24"/>
        </w:rPr>
        <w:t>8. 重新招标和不再招标</w:t>
      </w:r>
      <w:bookmarkEnd w:id="20"/>
      <w:bookmarkEnd w:id="26"/>
    </w:p>
    <w:p>
      <w:pPr>
        <w:autoSpaceDE w:val="0"/>
        <w:autoSpaceDN w:val="0"/>
        <w:adjustRightInd w:val="0"/>
        <w:snapToGrid w:val="0"/>
        <w:spacing w:line="360" w:lineRule="auto"/>
        <w:jc w:val="left"/>
        <w:rPr>
          <w:rFonts w:ascii="宋体" w:hAnsi="宋体" w:cs="宋体"/>
          <w:b/>
          <w:sz w:val="24"/>
        </w:rPr>
      </w:pPr>
      <w:bookmarkStart w:id="27" w:name="_Toc215282170"/>
      <w:r>
        <w:rPr>
          <w:rFonts w:hint="eastAsia" w:ascii="宋体" w:hAnsi="宋体" w:cs="宋体"/>
          <w:b/>
          <w:sz w:val="24"/>
        </w:rPr>
        <w:t>8.1 重新招标</w:t>
      </w:r>
      <w:bookmarkEnd w:id="27"/>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有下列情形之一的，招标人将重新招标：</w:t>
      </w:r>
    </w:p>
    <w:p>
      <w:pPr>
        <w:numPr>
          <w:ilvl w:val="0"/>
          <w:numId w:val="3"/>
        </w:num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投标截止时间止，投标人少于3个的；</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（2）经评标委员会评审后否决所有投标的。</w:t>
      </w:r>
    </w:p>
    <w:p>
      <w:pPr>
        <w:autoSpaceDE w:val="0"/>
        <w:autoSpaceDN w:val="0"/>
        <w:adjustRightInd w:val="0"/>
        <w:snapToGrid w:val="0"/>
        <w:spacing w:line="360" w:lineRule="auto"/>
        <w:jc w:val="left"/>
        <w:rPr>
          <w:rFonts w:ascii="宋体" w:hAnsi="宋体" w:cs="宋体"/>
          <w:b/>
          <w:sz w:val="24"/>
        </w:rPr>
      </w:pPr>
      <w:bookmarkStart w:id="28" w:name="_Toc215282171"/>
      <w:r>
        <w:rPr>
          <w:rFonts w:hint="eastAsia" w:ascii="宋体" w:hAnsi="宋体" w:cs="宋体"/>
          <w:b/>
          <w:sz w:val="24"/>
        </w:rPr>
        <w:t>8.2 不再招标</w:t>
      </w:r>
      <w:bookmarkEnd w:id="28"/>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autoSpaceDE w:val="0"/>
        <w:autoSpaceDN w:val="0"/>
        <w:adjustRightInd w:val="0"/>
        <w:snapToGrid w:val="0"/>
        <w:spacing w:line="360" w:lineRule="auto"/>
        <w:jc w:val="left"/>
        <w:rPr>
          <w:rFonts w:ascii="宋体" w:hAnsi="宋体" w:cs="宋体"/>
          <w:b/>
          <w:sz w:val="24"/>
        </w:rPr>
      </w:pPr>
      <w:bookmarkStart w:id="29" w:name="_Toc26940"/>
      <w:bookmarkStart w:id="30" w:name="_Toc215282172"/>
      <w:r>
        <w:rPr>
          <w:rFonts w:hint="eastAsia" w:ascii="宋体" w:hAnsi="宋体" w:cs="宋体"/>
          <w:b/>
          <w:sz w:val="24"/>
        </w:rPr>
        <w:t>9. 纪律和监督</w:t>
      </w:r>
      <w:bookmarkEnd w:id="29"/>
      <w:bookmarkEnd w:id="30"/>
    </w:p>
    <w:p>
      <w:pPr>
        <w:autoSpaceDE w:val="0"/>
        <w:autoSpaceDN w:val="0"/>
        <w:adjustRightInd w:val="0"/>
        <w:snapToGrid w:val="0"/>
        <w:spacing w:line="360" w:lineRule="auto"/>
        <w:ind w:firstLine="480" w:firstLineChars="200"/>
        <w:jc w:val="left"/>
        <w:rPr>
          <w:rFonts w:ascii="宋体" w:hAnsi="宋体" w:cs="宋体"/>
          <w:sz w:val="24"/>
        </w:rPr>
      </w:pPr>
      <w:bookmarkStart w:id="31" w:name="_Toc215282173"/>
      <w:r>
        <w:rPr>
          <w:rFonts w:hint="eastAsia" w:ascii="宋体" w:hAnsi="宋体" w:cs="宋体"/>
          <w:sz w:val="24"/>
        </w:rPr>
        <w:t>9.1 对招标人的纪律要求</w:t>
      </w:r>
      <w:bookmarkEnd w:id="31"/>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auto"/>
        <w:ind w:firstLine="480" w:firstLineChars="200"/>
        <w:jc w:val="left"/>
        <w:rPr>
          <w:rFonts w:ascii="宋体" w:hAnsi="宋体" w:cs="宋体"/>
          <w:sz w:val="24"/>
        </w:rPr>
      </w:pPr>
      <w:bookmarkStart w:id="32" w:name="_Toc215282174"/>
      <w:r>
        <w:rPr>
          <w:rFonts w:hint="eastAsia" w:ascii="宋体" w:hAnsi="宋体" w:cs="宋体"/>
          <w:sz w:val="24"/>
        </w:rPr>
        <w:t>9.2 对投标人的纪律要求</w:t>
      </w:r>
      <w:bookmarkEnd w:id="32"/>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jc w:val="left"/>
        <w:rPr>
          <w:rFonts w:ascii="宋体" w:hAnsi="宋体" w:cs="宋体"/>
          <w:sz w:val="24"/>
        </w:rPr>
      </w:pPr>
      <w:bookmarkStart w:id="33" w:name="_Toc215282175"/>
      <w:r>
        <w:rPr>
          <w:rFonts w:hint="eastAsia" w:ascii="宋体" w:hAnsi="宋体" w:cs="宋体"/>
          <w:sz w:val="24"/>
        </w:rPr>
        <w:t>9.3 对评标委员会成员的纪律要求</w:t>
      </w:r>
      <w:bookmarkEnd w:id="33"/>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60" w:lineRule="auto"/>
        <w:ind w:firstLine="480" w:firstLineChars="200"/>
        <w:jc w:val="left"/>
        <w:rPr>
          <w:rFonts w:ascii="宋体" w:hAnsi="宋体" w:cs="宋体"/>
          <w:sz w:val="24"/>
        </w:rPr>
      </w:pPr>
      <w:bookmarkStart w:id="34" w:name="_Toc215282176"/>
      <w:r>
        <w:rPr>
          <w:rFonts w:hint="eastAsia" w:ascii="宋体" w:hAnsi="宋体" w:cs="宋体"/>
          <w:sz w:val="24"/>
        </w:rPr>
        <w:t>9.4 对与评标活动有关的工作人员的纪律要求</w:t>
      </w:r>
      <w:bookmarkEnd w:id="34"/>
    </w:p>
    <w:p>
      <w:pPr>
        <w:autoSpaceDE w:val="0"/>
        <w:autoSpaceDN w:val="0"/>
        <w:adjustRightInd w:val="0"/>
        <w:snapToGrid w:val="0"/>
        <w:spacing w:line="360" w:lineRule="auto"/>
        <w:ind w:firstLine="480" w:firstLineChars="200"/>
        <w:jc w:val="left"/>
        <w:rPr>
          <w:rFonts w:ascii="宋体" w:hAnsi="宋体" w:cs="宋体"/>
          <w:sz w:val="24"/>
        </w:rPr>
      </w:pPr>
      <w:bookmarkStart w:id="35" w:name="_Toc215282177"/>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9.5 投诉</w:t>
      </w:r>
      <w:bookmarkEnd w:id="35"/>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autoSpaceDE w:val="0"/>
        <w:autoSpaceDN w:val="0"/>
        <w:adjustRightInd w:val="0"/>
        <w:snapToGrid w:val="0"/>
        <w:spacing w:line="360" w:lineRule="auto"/>
        <w:jc w:val="left"/>
        <w:rPr>
          <w:rFonts w:ascii="宋体" w:hAnsi="宋体" w:cs="宋体"/>
          <w:b/>
          <w:sz w:val="24"/>
        </w:rPr>
      </w:pPr>
      <w:bookmarkStart w:id="36" w:name="_Toc10389"/>
      <w:r>
        <w:rPr>
          <w:rFonts w:hint="eastAsia" w:ascii="宋体" w:hAnsi="宋体" w:cs="宋体"/>
          <w:b/>
          <w:sz w:val="24"/>
        </w:rPr>
        <w:t>10.需要补充的其他内容</w:t>
      </w:r>
      <w:bookmarkEnd w:id="36"/>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需要补充的其他内容：详见投标人须知前附表。</w:t>
      </w:r>
    </w:p>
    <w:p>
      <w:pPr>
        <w:rPr>
          <w:rFonts w:ascii="宋体" w:hAnsi="宋体" w:cs="宋体"/>
          <w:sz w:val="24"/>
          <w:szCs w:val="24"/>
        </w:rPr>
      </w:pPr>
    </w:p>
    <w:p>
      <w:pPr>
        <w:rPr>
          <w:rFonts w:ascii="宋体" w:hAnsi="宋体" w:cs="宋体"/>
          <w:sz w:val="24"/>
          <w:szCs w:val="24"/>
        </w:rPr>
      </w:pPr>
    </w:p>
    <w:p>
      <w:pPr>
        <w:widowControl/>
        <w:jc w:val="left"/>
        <w:rPr>
          <w:rFonts w:ascii="宋体" w:hAnsi="宋体" w:cs="宋体"/>
          <w:sz w:val="24"/>
          <w:szCs w:val="24"/>
        </w:rPr>
      </w:pPr>
      <w:bookmarkStart w:id="37" w:name="_Toc20265"/>
      <w:bookmarkStart w:id="38" w:name="_Toc22712"/>
      <w:bookmarkStart w:id="39" w:name="_Toc26838"/>
      <w:bookmarkStart w:id="40" w:name="_Toc5248"/>
      <w:r>
        <w:rPr>
          <w:rFonts w:ascii="宋体" w:hAnsi="宋体" w:cs="宋体"/>
          <w:sz w:val="24"/>
          <w:szCs w:val="24"/>
        </w:rPr>
        <w:br w:type="page"/>
      </w:r>
    </w:p>
    <w:p>
      <w:pPr>
        <w:spacing w:line="312" w:lineRule="auto"/>
        <w:outlineLvl w:val="2"/>
        <w:rPr>
          <w:rFonts w:ascii="宋体" w:hAnsi="宋体" w:cs="宋体"/>
          <w:b/>
          <w:sz w:val="24"/>
        </w:rPr>
      </w:pPr>
      <w:r>
        <w:rPr>
          <w:rFonts w:hint="eastAsia" w:ascii="宋体" w:hAnsi="宋体" w:cs="宋体"/>
          <w:b/>
          <w:sz w:val="24"/>
        </w:rPr>
        <w:t>附表一：</w:t>
      </w:r>
      <w:bookmarkEnd w:id="37"/>
      <w:bookmarkEnd w:id="38"/>
      <w:bookmarkEnd w:id="39"/>
      <w:bookmarkEnd w:id="40"/>
      <w:r>
        <w:rPr>
          <w:rFonts w:hint="eastAsia" w:ascii="宋体" w:hAnsi="宋体" w:cs="宋体"/>
          <w:b/>
          <w:sz w:val="24"/>
        </w:rPr>
        <w:t>问题澄清通知</w:t>
      </w:r>
    </w:p>
    <w:p>
      <w:pPr>
        <w:spacing w:before="312" w:beforeLines="100" w:after="312" w:afterLines="100" w:line="312" w:lineRule="auto"/>
        <w:jc w:val="center"/>
        <w:rPr>
          <w:rFonts w:ascii="宋体" w:hAnsi="宋体" w:cs="宋体"/>
          <w:sz w:val="24"/>
        </w:rPr>
      </w:pPr>
      <w:r>
        <w:rPr>
          <w:rFonts w:hint="eastAsia" w:ascii="宋体" w:hAnsi="宋体" w:cs="宋体"/>
          <w:sz w:val="24"/>
        </w:rPr>
        <w:t>问题澄清通知</w:t>
      </w:r>
    </w:p>
    <w:p>
      <w:pPr>
        <w:spacing w:line="312" w:lineRule="auto"/>
        <w:ind w:firstLine="6120" w:firstLineChars="2550"/>
        <w:rPr>
          <w:rFonts w:ascii="宋体" w:hAnsi="宋体" w:cs="宋体"/>
          <w:sz w:val="24"/>
          <w:u w:val="single"/>
        </w:rPr>
      </w:pPr>
      <w:r>
        <w:rPr>
          <w:rFonts w:hint="eastAsia" w:ascii="宋体" w:hAnsi="宋体" w:cs="宋体"/>
          <w:sz w:val="24"/>
        </w:rPr>
        <w:t>编号：</w:t>
      </w:r>
      <w:r>
        <w:rPr>
          <w:rFonts w:hint="eastAsia" w:ascii="宋体" w:hAnsi="宋体" w:cs="宋体"/>
          <w:sz w:val="24"/>
          <w:u w:val="single"/>
        </w:rPr>
        <w:t xml:space="preserve">                  </w:t>
      </w:r>
    </w:p>
    <w:p>
      <w:pPr>
        <w:spacing w:line="312"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（投标人名称）：</w:t>
      </w:r>
    </w:p>
    <w:p>
      <w:pPr>
        <w:spacing w:line="312"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（项目名称）工程</w:t>
      </w:r>
      <w:r>
        <w:rPr>
          <w:rFonts w:hint="eastAsia" w:ascii="宋体" w:hAnsi="宋体" w:cs="宋体"/>
          <w:sz w:val="24"/>
          <w:u w:val="single"/>
        </w:rPr>
        <w:t xml:space="preserve">  </w:t>
      </w:r>
      <w:r>
        <w:rPr>
          <w:rFonts w:hint="eastAsia" w:ascii="宋体" w:hAnsi="宋体" w:cs="宋体"/>
          <w:sz w:val="24"/>
        </w:rPr>
        <w:t>标段招标的评标委员会，对你方的投标文件进行了仔细的审查，现需你方对本通知所附质疑问卷中的问题以书面形式予以澄清、说明或者补正。</w:t>
      </w:r>
    </w:p>
    <w:p>
      <w:pPr>
        <w:spacing w:line="312" w:lineRule="auto"/>
        <w:ind w:firstLine="480" w:firstLineChars="200"/>
        <w:rPr>
          <w:rFonts w:ascii="宋体" w:hAnsi="宋体" w:cs="宋体"/>
          <w:sz w:val="24"/>
        </w:rPr>
      </w:pPr>
      <w:r>
        <w:rPr>
          <w:rFonts w:hint="eastAsia" w:ascii="宋体" w:hAnsi="宋体" w:cs="宋体"/>
          <w:sz w:val="24"/>
        </w:rPr>
        <w:t>请将上述问题的澄清、说明或者补正</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时前递交至</w:t>
      </w:r>
      <w:r>
        <w:rPr>
          <w:rFonts w:hint="eastAsia" w:ascii="宋体" w:hAnsi="宋体" w:cs="宋体"/>
          <w:sz w:val="24"/>
          <w:u w:val="single"/>
        </w:rPr>
        <w:t xml:space="preserve">                         </w:t>
      </w:r>
      <w:r>
        <w:rPr>
          <w:rFonts w:hint="eastAsia" w:ascii="宋体" w:hAnsi="宋体" w:cs="宋体"/>
          <w:sz w:val="24"/>
        </w:rPr>
        <w:t xml:space="preserve"> （详细地址）。采用传真方式的，应在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p>
    <w:p>
      <w:pPr>
        <w:spacing w:line="312"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时前递交至</w:t>
      </w:r>
      <w:r>
        <w:rPr>
          <w:rFonts w:hint="eastAsia" w:ascii="宋体" w:hAnsi="宋体" w:cs="宋体"/>
          <w:sz w:val="24"/>
          <w:u w:val="single"/>
        </w:rPr>
        <w:t xml:space="preserve">                          </w:t>
      </w:r>
      <w:r>
        <w:rPr>
          <w:rFonts w:hint="eastAsia" w:ascii="宋体" w:hAnsi="宋体" w:cs="宋体"/>
          <w:sz w:val="24"/>
        </w:rPr>
        <w:t>（详细地址）。</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附件：质疑问卷</w:t>
      </w:r>
    </w:p>
    <w:p>
      <w:pPr>
        <w:spacing w:line="312" w:lineRule="auto"/>
        <w:ind w:left="3360" w:leftChars="1600"/>
        <w:rPr>
          <w:rFonts w:ascii="宋体" w:hAnsi="宋体" w:cs="宋体"/>
          <w:sz w:val="24"/>
        </w:rPr>
      </w:pPr>
      <w:bookmarkStart w:id="41" w:name="_Toc13289"/>
      <w:bookmarkStart w:id="42" w:name="_Toc22729"/>
      <w:bookmarkStart w:id="43" w:name="_Toc425"/>
      <w:bookmarkStart w:id="44" w:name="_Toc18603"/>
      <w:bookmarkStart w:id="45" w:name="_Toc30339"/>
      <w:r>
        <w:rPr>
          <w:rFonts w:hint="eastAsia" w:ascii="宋体" w:hAnsi="宋体" w:cs="宋体"/>
          <w:sz w:val="24"/>
          <w:u w:val="single"/>
        </w:rPr>
        <w:t xml:space="preserve">                     </w:t>
      </w:r>
      <w:r>
        <w:rPr>
          <w:rFonts w:hint="eastAsia" w:ascii="宋体" w:hAnsi="宋体" w:cs="宋体"/>
          <w:sz w:val="24"/>
        </w:rPr>
        <w:t>（项目名称）施工招标评标委员</w:t>
      </w:r>
    </w:p>
    <w:p>
      <w:pPr>
        <w:spacing w:line="312" w:lineRule="auto"/>
        <w:ind w:firstLine="3120" w:firstLineChars="1300"/>
        <w:rPr>
          <w:rFonts w:ascii="宋体" w:hAnsi="宋体" w:cs="宋体"/>
          <w:sz w:val="24"/>
        </w:rPr>
      </w:pPr>
      <w:r>
        <w:rPr>
          <w:rFonts w:hint="eastAsia" w:ascii="宋体" w:hAnsi="宋体" w:cs="宋体"/>
          <w:sz w:val="24"/>
        </w:rPr>
        <w:t>（经评标委员会授权的招标人代表签字或招标人加盖单位章）</w:t>
      </w:r>
      <w:bookmarkEnd w:id="41"/>
      <w:bookmarkEnd w:id="42"/>
      <w:bookmarkEnd w:id="43"/>
      <w:bookmarkEnd w:id="44"/>
      <w:bookmarkEnd w:id="45"/>
    </w:p>
    <w:p>
      <w:pPr>
        <w:spacing w:line="312" w:lineRule="auto"/>
        <w:ind w:firstLine="5280" w:firstLineChars="2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12" w:lineRule="auto"/>
        <w:jc w:val="left"/>
        <w:outlineLvl w:val="2"/>
        <w:rPr>
          <w:rFonts w:ascii="宋体" w:hAnsi="宋体" w:cs="宋体"/>
          <w:b/>
          <w:sz w:val="24"/>
        </w:rPr>
      </w:pPr>
    </w:p>
    <w:p>
      <w:pPr>
        <w:spacing w:line="312" w:lineRule="auto"/>
        <w:outlineLvl w:val="2"/>
        <w:rPr>
          <w:rFonts w:ascii="宋体" w:hAnsi="宋体" w:cs="宋体"/>
          <w:sz w:val="24"/>
        </w:rPr>
      </w:pPr>
      <w:r>
        <w:rPr>
          <w:rFonts w:hint="eastAsia" w:ascii="宋体" w:hAnsi="宋体" w:cs="宋体"/>
          <w:b/>
          <w:sz w:val="24"/>
        </w:rPr>
        <w:br w:type="page"/>
      </w:r>
      <w:r>
        <w:rPr>
          <w:rFonts w:hint="eastAsia" w:ascii="宋体" w:hAnsi="宋体" w:cs="宋体"/>
          <w:b/>
          <w:sz w:val="24"/>
        </w:rPr>
        <w:t>附表二：问题的澄清</w:t>
      </w:r>
    </w:p>
    <w:p>
      <w:pPr>
        <w:spacing w:before="312" w:beforeLines="100" w:after="312" w:afterLines="100" w:line="312" w:lineRule="auto"/>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r>
        <w:rPr>
          <w:rFonts w:hint="eastAsia" w:ascii="宋体" w:hAnsi="宋体" w:cs="宋体"/>
          <w:sz w:val="24"/>
          <w:u w:val="single"/>
        </w:rPr>
        <w:t xml:space="preserve">                  </w:t>
      </w:r>
    </w:p>
    <w:p>
      <w:pPr>
        <w:spacing w:line="312"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标段施工招标评标委员会：</w:t>
      </w:r>
    </w:p>
    <w:p>
      <w:pPr>
        <w:spacing w:line="312" w:lineRule="auto"/>
        <w:ind w:firstLine="480" w:firstLineChars="200"/>
        <w:rPr>
          <w:rFonts w:ascii="宋体" w:hAnsi="宋体" w:cs="宋体"/>
          <w:sz w:val="24"/>
        </w:rPr>
      </w:pPr>
      <w:r>
        <w:rPr>
          <w:rFonts w:hint="eastAsia" w:ascii="宋体" w:hAnsi="宋体" w:cs="宋体"/>
          <w:sz w:val="24"/>
        </w:rPr>
        <w:t>问题澄清通知（编号：</w:t>
      </w:r>
      <w:r>
        <w:rPr>
          <w:rFonts w:hint="eastAsia" w:ascii="宋体" w:hAnsi="宋体" w:cs="宋体"/>
          <w:sz w:val="24"/>
          <w:u w:val="single"/>
        </w:rPr>
        <w:t xml:space="preserve">      </w:t>
      </w:r>
      <w:r>
        <w:rPr>
          <w:rFonts w:hint="eastAsia" w:ascii="宋体" w:hAnsi="宋体" w:cs="宋体"/>
          <w:sz w:val="24"/>
        </w:rPr>
        <w:t>）已收悉，现澄清、说明或者补正如下：</w:t>
      </w:r>
    </w:p>
    <w:p>
      <w:pPr>
        <w:spacing w:line="312" w:lineRule="auto"/>
        <w:ind w:firstLine="480" w:firstLineChars="200"/>
        <w:rPr>
          <w:rFonts w:ascii="宋体" w:hAnsi="宋体" w:cs="宋体"/>
          <w:sz w:val="24"/>
        </w:rPr>
      </w:pPr>
      <w:r>
        <w:rPr>
          <w:rFonts w:hint="eastAsia" w:ascii="宋体" w:hAnsi="宋体" w:cs="宋体"/>
          <w:sz w:val="24"/>
        </w:rPr>
        <w:t>1.</w:t>
      </w:r>
    </w:p>
    <w:p>
      <w:pPr>
        <w:spacing w:line="312" w:lineRule="auto"/>
        <w:ind w:firstLine="480" w:firstLineChars="200"/>
        <w:rPr>
          <w:rFonts w:ascii="宋体" w:hAnsi="宋体" w:cs="宋体"/>
          <w:sz w:val="24"/>
        </w:rPr>
      </w:pPr>
      <w:r>
        <w:rPr>
          <w:rFonts w:hint="eastAsia" w:ascii="宋体" w:hAnsi="宋体" w:cs="宋体"/>
          <w:sz w:val="24"/>
        </w:rPr>
        <w:t>2.</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w:t>
      </w: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wordWrap w:val="0"/>
        <w:spacing w:line="312" w:lineRule="auto"/>
        <w:ind w:firstLine="480" w:firstLineChars="200"/>
        <w:jc w:val="right"/>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 xml:space="preserve">（盖单位章） </w:t>
      </w:r>
    </w:p>
    <w:p>
      <w:pPr>
        <w:wordWrap w:val="0"/>
        <w:spacing w:before="156" w:beforeLines="50" w:after="156" w:afterLines="50" w:line="312" w:lineRule="auto"/>
        <w:jc w:val="righ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 xml:space="preserve">（签字或盖章） </w:t>
      </w:r>
    </w:p>
    <w:p>
      <w:pPr>
        <w:spacing w:line="312" w:lineRule="auto"/>
        <w:ind w:firstLine="5760" w:firstLineChars="2400"/>
        <w:rPr>
          <w:rFonts w:ascii="宋体" w:hAnsi="宋体" w:cs="宋体"/>
          <w:sz w:val="24"/>
          <w:u w:val="single"/>
        </w:rPr>
      </w:pPr>
    </w:p>
    <w:p>
      <w:pPr>
        <w:spacing w:line="312" w:lineRule="auto"/>
        <w:ind w:firstLine="4320" w:firstLineChars="18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sz w:val="24"/>
        </w:rPr>
      </w:pPr>
      <w:r>
        <w:rPr>
          <w:rFonts w:ascii="宋体" w:hAnsi="宋体" w:cs="宋体"/>
          <w:sz w:val="24"/>
        </w:rPr>
        <w:br w:type="page"/>
      </w: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jc w:val="center"/>
        <w:outlineLvl w:val="1"/>
        <w:rPr>
          <w:rFonts w:ascii="仿宋_GB2312" w:hAnsi="宋体" w:eastAsia="仿宋_GB2312"/>
          <w:b/>
          <w:sz w:val="48"/>
          <w:szCs w:val="48"/>
        </w:rPr>
      </w:pPr>
      <w:bookmarkStart w:id="46" w:name="_Toc426467380"/>
      <w:r>
        <w:rPr>
          <w:rFonts w:hint="eastAsia" w:ascii="仿宋_GB2312" w:hAnsi="宋体" w:eastAsia="仿宋_GB2312"/>
          <w:b/>
          <w:sz w:val="48"/>
          <w:szCs w:val="48"/>
        </w:rPr>
        <w:t>第三章 评标办法</w:t>
      </w:r>
      <w:bookmarkEnd w:id="46"/>
    </w:p>
    <w:p>
      <w:pPr>
        <w:spacing w:line="360" w:lineRule="auto"/>
        <w:jc w:val="center"/>
        <w:outlineLvl w:val="1"/>
        <w:rPr>
          <w:rFonts w:ascii="仿宋_GB2312" w:hAnsi="宋体" w:eastAsia="仿宋_GB2312"/>
          <w:sz w:val="24"/>
          <w:szCs w:val="24"/>
        </w:rPr>
      </w:pPr>
      <w:r>
        <w:rPr>
          <w:rFonts w:hint="eastAsia" w:ascii="仿宋_GB2312" w:hAnsi="宋体" w:eastAsia="仿宋_GB2312"/>
          <w:sz w:val="30"/>
          <w:szCs w:val="30"/>
        </w:rPr>
        <w:t xml:space="preserve"> </w:t>
      </w:r>
    </w:p>
    <w:p>
      <w:pPr>
        <w:rPr>
          <w:rFonts w:ascii="仿宋_GB2312" w:hAnsi="宋体" w:eastAsia="仿宋_GB2312"/>
          <w:b/>
          <w:sz w:val="24"/>
          <w:szCs w:val="24"/>
        </w:rPr>
      </w:pPr>
      <w:bookmarkStart w:id="47" w:name="_Toc392081381"/>
      <w:bookmarkStart w:id="48" w:name="_Toc426467381"/>
    </w:p>
    <w:bookmarkEnd w:id="47"/>
    <w:bookmarkEnd w:id="48"/>
    <w:p>
      <w:pPr>
        <w:widowControl/>
        <w:jc w:val="left"/>
        <w:rPr>
          <w:rFonts w:ascii="仿宋_GB2312" w:hAnsi="宋体" w:eastAsia="仿宋_GB2312"/>
          <w:b/>
          <w:sz w:val="24"/>
          <w:szCs w:val="24"/>
        </w:rPr>
      </w:pPr>
      <w:bookmarkStart w:id="49" w:name="_Toc364931956"/>
      <w:bookmarkStart w:id="50" w:name="_Toc430026935"/>
      <w:r>
        <w:rPr>
          <w:rFonts w:ascii="仿宋_GB2312" w:hAnsi="宋体" w:eastAsia="仿宋_GB2312"/>
          <w:sz w:val="24"/>
          <w:szCs w:val="24"/>
        </w:rPr>
        <w:br w:type="page"/>
      </w:r>
    </w:p>
    <w:p>
      <w:pPr>
        <w:pStyle w:val="4"/>
        <w:jc w:val="center"/>
        <w:rPr>
          <w:rFonts w:ascii="黑体"/>
        </w:rPr>
      </w:pPr>
      <w:r>
        <w:rPr>
          <w:rFonts w:hint="eastAsia" w:ascii="黑体"/>
        </w:rPr>
        <w:t>施工评标办法（综合计分法）</w:t>
      </w:r>
    </w:p>
    <w:p>
      <w:pPr>
        <w:pStyle w:val="5"/>
        <w:spacing w:before="120" w:after="120" w:line="240" w:lineRule="auto"/>
        <w:rPr>
          <w:rFonts w:ascii="黑体" w:eastAsia="黑体"/>
          <w:b w:val="0"/>
          <w:sz w:val="28"/>
          <w:szCs w:val="28"/>
        </w:rPr>
      </w:pPr>
      <w:bookmarkStart w:id="51" w:name="_Toc428868411"/>
      <w:r>
        <w:rPr>
          <w:rFonts w:hint="eastAsia" w:ascii="黑体" w:eastAsia="黑体"/>
          <w:b w:val="0"/>
          <w:sz w:val="28"/>
          <w:szCs w:val="28"/>
        </w:rPr>
        <w:t>评标办法前附表</w:t>
      </w:r>
      <w:bookmarkEnd w:id="51"/>
    </w:p>
    <w:tbl>
      <w:tblPr>
        <w:tblStyle w:val="18"/>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82"/>
        <w:gridCol w:w="1908"/>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523" w:type="dxa"/>
            <w:gridSpan w:val="2"/>
            <w:vAlign w:val="center"/>
          </w:tcPr>
          <w:p>
            <w:pPr>
              <w:jc w:val="center"/>
              <w:rPr>
                <w:rFonts w:ascii="宋体"/>
                <w:sz w:val="22"/>
                <w:szCs w:val="22"/>
              </w:rPr>
            </w:pPr>
            <w:r>
              <w:rPr>
                <w:rFonts w:hint="eastAsia" w:ascii="宋体" w:hAnsi="宋体"/>
                <w:sz w:val="22"/>
                <w:szCs w:val="22"/>
              </w:rPr>
              <w:t>条款号</w:t>
            </w:r>
          </w:p>
        </w:tc>
        <w:tc>
          <w:tcPr>
            <w:tcW w:w="1908" w:type="dxa"/>
            <w:vAlign w:val="center"/>
          </w:tcPr>
          <w:p>
            <w:pPr>
              <w:jc w:val="center"/>
              <w:rPr>
                <w:rFonts w:ascii="宋体"/>
                <w:sz w:val="22"/>
                <w:szCs w:val="22"/>
              </w:rPr>
            </w:pPr>
            <w:r>
              <w:rPr>
                <w:rFonts w:hint="eastAsia" w:ascii="宋体" w:hAnsi="宋体"/>
                <w:sz w:val="22"/>
                <w:szCs w:val="22"/>
              </w:rPr>
              <w:t>评审因素</w:t>
            </w:r>
          </w:p>
        </w:tc>
        <w:tc>
          <w:tcPr>
            <w:tcW w:w="5783" w:type="dxa"/>
            <w:vAlign w:val="center"/>
          </w:tcPr>
          <w:p>
            <w:pPr>
              <w:jc w:val="center"/>
              <w:rPr>
                <w:rFonts w:ascii="宋体"/>
                <w:sz w:val="22"/>
                <w:szCs w:val="22"/>
              </w:rPr>
            </w:pPr>
            <w:r>
              <w:rPr>
                <w:rFonts w:hint="eastAsia" w:ascii="宋体" w:hAnsi="宋体"/>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41" w:type="dxa"/>
            <w:vMerge w:val="restart"/>
            <w:vAlign w:val="center"/>
          </w:tcPr>
          <w:p>
            <w:pPr>
              <w:jc w:val="center"/>
              <w:rPr>
                <w:rFonts w:ascii="宋体"/>
                <w:sz w:val="22"/>
                <w:szCs w:val="22"/>
              </w:rPr>
            </w:pPr>
            <w:r>
              <w:rPr>
                <w:rFonts w:ascii="宋体" w:hAnsi="宋体"/>
                <w:sz w:val="22"/>
                <w:szCs w:val="22"/>
              </w:rPr>
              <w:t>2.1.1</w:t>
            </w:r>
          </w:p>
        </w:tc>
        <w:tc>
          <w:tcPr>
            <w:tcW w:w="782" w:type="dxa"/>
            <w:vMerge w:val="restart"/>
            <w:vAlign w:val="center"/>
          </w:tcPr>
          <w:p>
            <w:pPr>
              <w:jc w:val="center"/>
              <w:rPr>
                <w:rFonts w:ascii="宋体"/>
                <w:sz w:val="22"/>
                <w:szCs w:val="22"/>
              </w:rPr>
            </w:pPr>
            <w:r>
              <w:rPr>
                <w:rFonts w:hint="eastAsia" w:ascii="宋体" w:hAnsi="宋体"/>
                <w:sz w:val="22"/>
                <w:szCs w:val="22"/>
              </w:rPr>
              <w:t>形式评审标准</w:t>
            </w:r>
          </w:p>
        </w:tc>
        <w:tc>
          <w:tcPr>
            <w:tcW w:w="1908" w:type="dxa"/>
            <w:vAlign w:val="center"/>
          </w:tcPr>
          <w:p>
            <w:pPr>
              <w:jc w:val="center"/>
              <w:rPr>
                <w:rFonts w:ascii="宋体"/>
                <w:sz w:val="22"/>
                <w:szCs w:val="22"/>
              </w:rPr>
            </w:pPr>
            <w:r>
              <w:rPr>
                <w:rFonts w:hint="eastAsia" w:ascii="宋体" w:hAnsi="宋体"/>
                <w:sz w:val="22"/>
                <w:szCs w:val="22"/>
              </w:rPr>
              <w:t>投标人名称</w:t>
            </w:r>
          </w:p>
        </w:tc>
        <w:tc>
          <w:tcPr>
            <w:tcW w:w="5783" w:type="dxa"/>
            <w:vAlign w:val="center"/>
          </w:tcPr>
          <w:p>
            <w:pPr>
              <w:rPr>
                <w:rFonts w:ascii="宋体"/>
                <w:sz w:val="22"/>
                <w:szCs w:val="22"/>
              </w:rPr>
            </w:pPr>
            <w:r>
              <w:rPr>
                <w:rFonts w:hint="eastAsia" w:ascii="宋体" w:hAnsi="宋体"/>
                <w:sz w:val="22"/>
                <w:szCs w:val="22"/>
              </w:rPr>
              <w:t>与营业执照、资质证书、安全生产许可证（如有）一致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pStyle w:val="20"/>
              <w:spacing w:line="340" w:lineRule="exact"/>
              <w:jc w:val="center"/>
              <w:rPr>
                <w:rFonts w:hAnsi="宋体"/>
                <w:color w:val="auto"/>
                <w:kern w:val="2"/>
                <w:sz w:val="22"/>
                <w:szCs w:val="22"/>
              </w:rPr>
            </w:pPr>
            <w:r>
              <w:rPr>
                <w:rFonts w:hint="eastAsia" w:hAnsi="宋体"/>
                <w:color w:val="auto"/>
                <w:kern w:val="2"/>
                <w:sz w:val="22"/>
                <w:szCs w:val="22"/>
              </w:rPr>
              <w:t>投标文件签字盖章</w:t>
            </w:r>
          </w:p>
        </w:tc>
        <w:tc>
          <w:tcPr>
            <w:tcW w:w="5783" w:type="dxa"/>
            <w:vAlign w:val="center"/>
          </w:tcPr>
          <w:p>
            <w:pPr>
              <w:pStyle w:val="20"/>
              <w:spacing w:line="340" w:lineRule="exact"/>
              <w:jc w:val="both"/>
              <w:rPr>
                <w:rFonts w:hAnsi="宋体"/>
                <w:color w:val="auto"/>
                <w:kern w:val="2"/>
                <w:sz w:val="22"/>
                <w:szCs w:val="22"/>
              </w:rPr>
            </w:pPr>
            <w:r>
              <w:rPr>
                <w:rFonts w:hint="eastAsia" w:hAnsi="宋体"/>
                <w:color w:val="auto"/>
                <w:kern w:val="2"/>
                <w:sz w:val="22"/>
                <w:szCs w:val="22"/>
              </w:rPr>
              <w:t>按招标文件的规定及格式进行签字或盖章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投标文件格式</w:t>
            </w:r>
          </w:p>
        </w:tc>
        <w:tc>
          <w:tcPr>
            <w:tcW w:w="5783" w:type="dxa"/>
            <w:vAlign w:val="center"/>
          </w:tcPr>
          <w:p>
            <w:pPr>
              <w:rPr>
                <w:rFonts w:ascii="宋体"/>
                <w:sz w:val="22"/>
                <w:szCs w:val="22"/>
              </w:rPr>
            </w:pPr>
            <w:r>
              <w:rPr>
                <w:rFonts w:hint="eastAsia" w:ascii="宋体" w:hAnsi="宋体"/>
                <w:sz w:val="22"/>
                <w:szCs w:val="22"/>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报价唯一</w:t>
            </w:r>
          </w:p>
        </w:tc>
        <w:tc>
          <w:tcPr>
            <w:tcW w:w="5783" w:type="dxa"/>
            <w:vAlign w:val="center"/>
          </w:tcPr>
          <w:p>
            <w:pPr>
              <w:rPr>
                <w:rFonts w:ascii="宋体"/>
                <w:sz w:val="22"/>
                <w:szCs w:val="22"/>
              </w:rPr>
            </w:pPr>
            <w:r>
              <w:rPr>
                <w:rFonts w:hint="eastAsia" w:ascii="宋体" w:hAnsi="宋体"/>
                <w:sz w:val="22"/>
                <w:szCs w:val="22"/>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41" w:type="dxa"/>
            <w:vMerge w:val="restart"/>
            <w:vAlign w:val="center"/>
          </w:tcPr>
          <w:p>
            <w:pPr>
              <w:jc w:val="center"/>
              <w:rPr>
                <w:rFonts w:ascii="宋体"/>
                <w:sz w:val="22"/>
                <w:szCs w:val="22"/>
              </w:rPr>
            </w:pPr>
            <w:r>
              <w:rPr>
                <w:rFonts w:ascii="宋体" w:hAnsi="宋体"/>
                <w:sz w:val="22"/>
                <w:szCs w:val="22"/>
              </w:rPr>
              <w:t>2.1.2</w:t>
            </w:r>
          </w:p>
        </w:tc>
        <w:tc>
          <w:tcPr>
            <w:tcW w:w="782" w:type="dxa"/>
            <w:vMerge w:val="restart"/>
            <w:vAlign w:val="center"/>
          </w:tcPr>
          <w:p>
            <w:pPr>
              <w:jc w:val="center"/>
              <w:rPr>
                <w:rFonts w:ascii="宋体"/>
                <w:sz w:val="22"/>
                <w:szCs w:val="22"/>
              </w:rPr>
            </w:pPr>
            <w:r>
              <w:rPr>
                <w:rFonts w:hint="eastAsia" w:ascii="宋体" w:hAnsi="宋体"/>
                <w:sz w:val="22"/>
                <w:szCs w:val="22"/>
              </w:rPr>
              <w:t>资格评审标准</w:t>
            </w:r>
          </w:p>
        </w:tc>
        <w:tc>
          <w:tcPr>
            <w:tcW w:w="1908" w:type="dxa"/>
            <w:vAlign w:val="center"/>
          </w:tcPr>
          <w:p>
            <w:pPr>
              <w:jc w:val="center"/>
              <w:rPr>
                <w:rFonts w:ascii="宋体"/>
                <w:sz w:val="22"/>
                <w:szCs w:val="22"/>
              </w:rPr>
            </w:pPr>
            <w:r>
              <w:rPr>
                <w:rFonts w:hint="eastAsia" w:ascii="宋体" w:hAnsi="宋体"/>
                <w:sz w:val="22"/>
                <w:szCs w:val="22"/>
              </w:rPr>
              <w:t>营业执照</w:t>
            </w:r>
          </w:p>
        </w:tc>
        <w:tc>
          <w:tcPr>
            <w:tcW w:w="5783" w:type="dxa"/>
            <w:vAlign w:val="center"/>
          </w:tcPr>
          <w:p>
            <w:pPr>
              <w:rPr>
                <w:rFonts w:ascii="宋体"/>
                <w:sz w:val="22"/>
                <w:szCs w:val="22"/>
              </w:rPr>
            </w:pPr>
            <w:r>
              <w:rPr>
                <w:rFonts w:hint="eastAsia" w:ascii="宋体" w:hAnsi="宋体"/>
                <w:sz w:val="22"/>
                <w:szCs w:val="22"/>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安全生产许可证</w:t>
            </w:r>
          </w:p>
        </w:tc>
        <w:tc>
          <w:tcPr>
            <w:tcW w:w="5783" w:type="dxa"/>
            <w:vAlign w:val="center"/>
          </w:tcPr>
          <w:p>
            <w:pPr>
              <w:rPr>
                <w:rFonts w:ascii="宋体"/>
                <w:sz w:val="22"/>
                <w:szCs w:val="22"/>
              </w:rPr>
            </w:pPr>
            <w:r>
              <w:rPr>
                <w:rFonts w:hint="eastAsia" w:ascii="宋体" w:hAnsi="宋体"/>
                <w:sz w:val="22"/>
                <w:szCs w:val="22"/>
              </w:rPr>
              <w:t>具备有效的安全生产许可证（如有）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color w:val="FF0000"/>
                <w:sz w:val="22"/>
                <w:szCs w:val="22"/>
              </w:rPr>
            </w:pPr>
            <w:r>
              <w:rPr>
                <w:rFonts w:hint="eastAsia" w:ascii="宋体" w:hAnsi="宋体"/>
                <w:sz w:val="22"/>
                <w:szCs w:val="22"/>
              </w:rPr>
              <w:t>资质等级</w:t>
            </w:r>
          </w:p>
        </w:tc>
        <w:tc>
          <w:tcPr>
            <w:tcW w:w="5783" w:type="dxa"/>
            <w:vAlign w:val="center"/>
          </w:tcPr>
          <w:p>
            <w:pPr>
              <w:autoSpaceDE w:val="0"/>
              <w:spacing w:line="360" w:lineRule="auto"/>
              <w:rPr>
                <w:rFonts w:ascii="宋体" w:hAnsi="宋体" w:cs="宋体"/>
                <w:bCs/>
                <w:color w:val="FF0000"/>
                <w:sz w:val="22"/>
                <w:szCs w:val="22"/>
              </w:rPr>
            </w:pPr>
            <w:r>
              <w:rPr>
                <w:rFonts w:hint="eastAsia" w:ascii="宋体" w:hAnsi="宋体" w:cs="宋体"/>
                <w:bCs/>
                <w:sz w:val="22"/>
                <w:szCs w:val="22"/>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hAnsi="宋体" w:cs="宋体"/>
                <w:bCs/>
                <w:sz w:val="22"/>
                <w:szCs w:val="22"/>
              </w:rPr>
            </w:pPr>
            <w:r>
              <w:rPr>
                <w:rFonts w:hint="eastAsia" w:ascii="宋体" w:hAnsi="宋体"/>
                <w:sz w:val="22"/>
                <w:szCs w:val="22"/>
              </w:rPr>
              <w:t>项目负责人</w:t>
            </w:r>
          </w:p>
        </w:tc>
        <w:tc>
          <w:tcPr>
            <w:tcW w:w="5783" w:type="dxa"/>
            <w:vAlign w:val="center"/>
          </w:tcPr>
          <w:p>
            <w:pPr>
              <w:rPr>
                <w:rFonts w:ascii="宋体" w:hAnsi="宋体" w:cs="宋体"/>
                <w:bCs/>
                <w:sz w:val="22"/>
                <w:szCs w:val="22"/>
              </w:rPr>
            </w:pPr>
            <w:r>
              <w:rPr>
                <w:rFonts w:hint="eastAsia" w:ascii="宋体" w:hAnsi="宋体" w:cs="宋体"/>
                <w:bCs/>
                <w:sz w:val="22"/>
                <w:szCs w:val="22"/>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sz w:val="22"/>
                <w:szCs w:val="22"/>
              </w:rPr>
              <w:t>信用查询</w:t>
            </w:r>
          </w:p>
        </w:tc>
        <w:tc>
          <w:tcPr>
            <w:tcW w:w="5783" w:type="dxa"/>
            <w:vAlign w:val="center"/>
          </w:tcPr>
          <w:p>
            <w:pPr>
              <w:rPr>
                <w:rFonts w:ascii="宋体" w:hAnsi="宋体" w:cs="宋体"/>
                <w:bCs/>
                <w:sz w:val="22"/>
                <w:szCs w:val="22"/>
              </w:rPr>
            </w:pPr>
            <w:r>
              <w:rPr>
                <w:rFonts w:hint="eastAsia" w:ascii="宋体" w:hAnsi="宋体" w:cs="宋体"/>
                <w:bCs/>
                <w:sz w:val="22"/>
                <w:szCs w:val="22"/>
              </w:rPr>
              <w:t>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autoSpaceDE w:val="0"/>
              <w:spacing w:line="360" w:lineRule="auto"/>
              <w:jc w:val="center"/>
              <w:rPr>
                <w:rFonts w:ascii="宋体" w:hAnsi="宋体" w:cs="宋体"/>
                <w:sz w:val="22"/>
                <w:szCs w:val="22"/>
              </w:rPr>
            </w:pPr>
            <w:r>
              <w:rPr>
                <w:rFonts w:hint="eastAsia" w:ascii="宋体" w:hAnsi="宋体" w:cs="宋体"/>
                <w:sz w:val="22"/>
                <w:szCs w:val="22"/>
              </w:rPr>
              <w:t>其他要求</w:t>
            </w:r>
          </w:p>
        </w:tc>
        <w:tc>
          <w:tcPr>
            <w:tcW w:w="5783" w:type="dxa"/>
            <w:vAlign w:val="center"/>
          </w:tcPr>
          <w:p>
            <w:pPr>
              <w:autoSpaceDE w:val="0"/>
              <w:spacing w:line="360" w:lineRule="auto"/>
              <w:rPr>
                <w:rFonts w:ascii="宋体" w:hAnsi="宋体" w:cs="宋体"/>
                <w:sz w:val="22"/>
                <w:szCs w:val="22"/>
              </w:rPr>
            </w:pPr>
            <w:r>
              <w:rPr>
                <w:rFonts w:hint="eastAsia" w:ascii="宋体" w:hAnsi="宋体" w:cs="宋体"/>
                <w:sz w:val="22"/>
                <w:szCs w:val="22"/>
              </w:rPr>
              <w:t>1.投标人可最多对两个标段进行投标，但只可按标段由前至后的顺序中前一个标段。2.本项目不接受联合体投标；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restart"/>
            <w:vAlign w:val="center"/>
          </w:tcPr>
          <w:p>
            <w:pPr>
              <w:jc w:val="center"/>
              <w:rPr>
                <w:rFonts w:ascii="宋体"/>
                <w:sz w:val="22"/>
                <w:szCs w:val="22"/>
              </w:rPr>
            </w:pPr>
            <w:r>
              <w:rPr>
                <w:rFonts w:ascii="宋体" w:hAnsi="宋体"/>
                <w:sz w:val="22"/>
                <w:szCs w:val="22"/>
              </w:rPr>
              <w:t>2.1.3</w:t>
            </w:r>
          </w:p>
        </w:tc>
        <w:tc>
          <w:tcPr>
            <w:tcW w:w="782" w:type="dxa"/>
            <w:vMerge w:val="restart"/>
            <w:vAlign w:val="center"/>
          </w:tcPr>
          <w:p>
            <w:pPr>
              <w:jc w:val="center"/>
              <w:rPr>
                <w:rFonts w:ascii="宋体"/>
                <w:sz w:val="22"/>
                <w:szCs w:val="22"/>
              </w:rPr>
            </w:pPr>
            <w:r>
              <w:rPr>
                <w:rFonts w:hint="eastAsia" w:ascii="宋体" w:hAnsi="宋体"/>
                <w:sz w:val="22"/>
                <w:szCs w:val="22"/>
              </w:rPr>
              <w:t>响应性</w:t>
            </w:r>
          </w:p>
          <w:p>
            <w:pPr>
              <w:jc w:val="center"/>
              <w:rPr>
                <w:rFonts w:ascii="宋体"/>
                <w:sz w:val="22"/>
                <w:szCs w:val="22"/>
              </w:rPr>
            </w:pPr>
            <w:r>
              <w:rPr>
                <w:rFonts w:hint="eastAsia" w:ascii="宋体" w:hAnsi="宋体"/>
                <w:sz w:val="22"/>
                <w:szCs w:val="22"/>
              </w:rPr>
              <w:t>评审标准</w:t>
            </w:r>
          </w:p>
        </w:tc>
        <w:tc>
          <w:tcPr>
            <w:tcW w:w="1908" w:type="dxa"/>
            <w:vAlign w:val="center"/>
          </w:tcPr>
          <w:p>
            <w:pPr>
              <w:autoSpaceDE w:val="0"/>
              <w:spacing w:line="360" w:lineRule="auto"/>
              <w:jc w:val="center"/>
              <w:rPr>
                <w:rFonts w:ascii="宋体" w:hAnsi="宋体" w:cs="宋体"/>
                <w:sz w:val="24"/>
                <w:szCs w:val="24"/>
              </w:rPr>
            </w:pPr>
            <w:r>
              <w:rPr>
                <w:rFonts w:hint="eastAsia" w:ascii="宋体" w:hAnsi="宋体" w:cs="宋体"/>
                <w:sz w:val="24"/>
                <w:szCs w:val="24"/>
              </w:rPr>
              <w:t>投标内容</w:t>
            </w:r>
          </w:p>
        </w:tc>
        <w:tc>
          <w:tcPr>
            <w:tcW w:w="5783" w:type="dxa"/>
            <w:vAlign w:val="center"/>
          </w:tcPr>
          <w:p>
            <w:pPr>
              <w:autoSpaceDE w:val="0"/>
              <w:spacing w:line="360" w:lineRule="auto"/>
              <w:rPr>
                <w:rFonts w:ascii="宋体" w:hAnsi="宋体" w:cs="宋体"/>
                <w:sz w:val="24"/>
                <w:szCs w:val="24"/>
              </w:rPr>
            </w:pPr>
            <w:r>
              <w:rPr>
                <w:rFonts w:hint="eastAsia" w:ascii="宋体" w:hAnsi="宋体" w:cs="宋体"/>
                <w:sz w:val="24"/>
                <w:szCs w:val="24"/>
              </w:rPr>
              <w:t>招标文件、答疑纪要以及补充文件范围内的全部内容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工期</w:t>
            </w:r>
          </w:p>
        </w:tc>
        <w:tc>
          <w:tcPr>
            <w:tcW w:w="5783" w:type="dxa"/>
            <w:vAlign w:val="center"/>
          </w:tcPr>
          <w:p>
            <w:pPr>
              <w:rPr>
                <w:rFonts w:ascii="宋体"/>
                <w:sz w:val="22"/>
                <w:szCs w:val="22"/>
              </w:rPr>
            </w:pPr>
            <w:r>
              <w:rPr>
                <w:rFonts w:hint="eastAsia" w:ascii="宋体" w:hAnsi="宋体"/>
                <w:sz w:val="22"/>
                <w:szCs w:val="22"/>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工程质量</w:t>
            </w:r>
          </w:p>
        </w:tc>
        <w:tc>
          <w:tcPr>
            <w:tcW w:w="5783" w:type="dxa"/>
            <w:vAlign w:val="center"/>
          </w:tcPr>
          <w:p>
            <w:pPr>
              <w:rPr>
                <w:rFonts w:ascii="宋体"/>
                <w:sz w:val="22"/>
                <w:szCs w:val="22"/>
              </w:rPr>
            </w:pPr>
            <w:r>
              <w:rPr>
                <w:rFonts w:hint="eastAsia" w:ascii="宋体" w:hAnsi="宋体"/>
                <w:sz w:val="22"/>
                <w:szCs w:val="22"/>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投标有效期</w:t>
            </w:r>
          </w:p>
        </w:tc>
        <w:tc>
          <w:tcPr>
            <w:tcW w:w="5783" w:type="dxa"/>
            <w:vAlign w:val="center"/>
          </w:tcPr>
          <w:p>
            <w:pPr>
              <w:rPr>
                <w:rFonts w:ascii="宋体"/>
                <w:sz w:val="22"/>
                <w:szCs w:val="22"/>
              </w:rPr>
            </w:pPr>
            <w:r>
              <w:rPr>
                <w:rFonts w:ascii="宋体" w:hAnsi="宋体"/>
                <w:sz w:val="22"/>
                <w:szCs w:val="22"/>
              </w:rPr>
              <w:t>60</w:t>
            </w:r>
            <w:r>
              <w:rPr>
                <w:rFonts w:hint="eastAsia" w:ascii="宋体" w:hAnsi="宋体"/>
                <w:sz w:val="22"/>
                <w:szCs w:val="22"/>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投标保证金</w:t>
            </w:r>
          </w:p>
        </w:tc>
        <w:tc>
          <w:tcPr>
            <w:tcW w:w="5783" w:type="dxa"/>
            <w:vAlign w:val="center"/>
          </w:tcPr>
          <w:p>
            <w:pPr>
              <w:rPr>
                <w:rFonts w:ascii="宋体"/>
                <w:sz w:val="22"/>
                <w:szCs w:val="22"/>
              </w:rPr>
            </w:pPr>
            <w:r>
              <w:rPr>
                <w:rFonts w:hint="eastAsia" w:ascii="宋体" w:hAnsi="宋体"/>
                <w:sz w:val="22"/>
                <w:szCs w:val="22"/>
              </w:rPr>
              <w:t>符合第二章“投标人须知”第</w:t>
            </w:r>
            <w:r>
              <w:rPr>
                <w:rFonts w:ascii="宋体" w:hAnsi="宋体"/>
                <w:sz w:val="22"/>
                <w:szCs w:val="22"/>
              </w:rPr>
              <w:t>3.4.1</w:t>
            </w:r>
            <w:r>
              <w:rPr>
                <w:rFonts w:hint="eastAsia" w:ascii="宋体" w:hAnsi="宋体"/>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已标价工程量清单</w:t>
            </w:r>
          </w:p>
        </w:tc>
        <w:tc>
          <w:tcPr>
            <w:tcW w:w="5783" w:type="dxa"/>
            <w:vAlign w:val="center"/>
          </w:tcPr>
          <w:p>
            <w:pPr>
              <w:rPr>
                <w:rFonts w:ascii="宋体"/>
                <w:sz w:val="22"/>
                <w:szCs w:val="22"/>
              </w:rPr>
            </w:pPr>
            <w:r>
              <w:rPr>
                <w:rFonts w:hint="eastAsia" w:ascii="宋体" w:hAnsi="宋体"/>
                <w:sz w:val="22"/>
                <w:szCs w:val="22"/>
              </w:rPr>
              <w:t>符合第五章“工程量清单”。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pStyle w:val="20"/>
              <w:spacing w:line="340" w:lineRule="exact"/>
              <w:jc w:val="center"/>
              <w:rPr>
                <w:rFonts w:ascii="新宋体" w:hAnsi="新宋体" w:eastAsia="新宋体" w:cs="宋体"/>
                <w:color w:val="auto"/>
              </w:rPr>
            </w:pPr>
            <w:r>
              <w:rPr>
                <w:rFonts w:hint="eastAsia" w:ascii="新宋体" w:hAnsi="新宋体" w:eastAsia="新宋体" w:cs="宋体"/>
                <w:color w:val="auto"/>
                <w:sz w:val="22"/>
                <w:szCs w:val="22"/>
              </w:rPr>
              <w:t>权利义务</w:t>
            </w:r>
          </w:p>
        </w:tc>
        <w:tc>
          <w:tcPr>
            <w:tcW w:w="5783" w:type="dxa"/>
            <w:vAlign w:val="center"/>
          </w:tcPr>
          <w:p>
            <w:pPr>
              <w:spacing w:line="340" w:lineRule="exact"/>
              <w:rPr>
                <w:sz w:val="22"/>
                <w:szCs w:val="22"/>
              </w:rPr>
            </w:pPr>
            <w:r>
              <w:rPr>
                <w:rFonts w:hint="eastAsia" w:ascii="新宋体" w:hAnsi="新宋体" w:eastAsia="新宋体" w:cs="宋体"/>
                <w:kern w:val="0"/>
                <w:sz w:val="22"/>
                <w:szCs w:val="22"/>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投标价格</w:t>
            </w:r>
          </w:p>
        </w:tc>
        <w:tc>
          <w:tcPr>
            <w:tcW w:w="5783" w:type="dxa"/>
            <w:vAlign w:val="center"/>
          </w:tcPr>
          <w:p>
            <w:pPr>
              <w:rPr>
                <w:rFonts w:ascii="宋体"/>
                <w:sz w:val="22"/>
                <w:szCs w:val="22"/>
              </w:rPr>
            </w:pPr>
            <w:r>
              <w:rPr>
                <w:rFonts w:hint="eastAsia" w:ascii="宋体" w:hAnsi="宋体"/>
                <w:sz w:val="22"/>
                <w:szCs w:val="22"/>
              </w:rPr>
              <w:t>不超过招标控制价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spacing w:line="340" w:lineRule="exact"/>
              <w:jc w:val="center"/>
              <w:rPr>
                <w:rFonts w:ascii="宋体" w:cs="宋体"/>
                <w:kern w:val="0"/>
                <w:sz w:val="22"/>
                <w:szCs w:val="22"/>
              </w:rPr>
            </w:pPr>
            <w:r>
              <w:rPr>
                <w:rFonts w:hint="eastAsia" w:ascii="宋体" w:hAnsi="宋体" w:cs="宋体"/>
                <w:kern w:val="0"/>
                <w:sz w:val="22"/>
                <w:szCs w:val="22"/>
              </w:rPr>
              <w:t>其他实质性条款</w:t>
            </w:r>
          </w:p>
        </w:tc>
        <w:tc>
          <w:tcPr>
            <w:tcW w:w="5783" w:type="dxa"/>
            <w:vAlign w:val="center"/>
          </w:tcPr>
          <w:p>
            <w:pPr>
              <w:spacing w:line="340" w:lineRule="exact"/>
              <w:rPr>
                <w:rFonts w:ascii="宋体"/>
                <w:sz w:val="22"/>
                <w:szCs w:val="22"/>
              </w:rPr>
            </w:pPr>
            <w:r>
              <w:rPr>
                <w:rFonts w:hint="eastAsia" w:ascii="宋体" w:hAnsi="宋体"/>
                <w:sz w:val="22"/>
                <w:szCs w:val="22"/>
              </w:rPr>
              <w:t>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523" w:type="dxa"/>
            <w:gridSpan w:val="2"/>
            <w:vAlign w:val="center"/>
          </w:tcPr>
          <w:p>
            <w:pPr>
              <w:jc w:val="center"/>
              <w:rPr>
                <w:rFonts w:ascii="宋体"/>
                <w:sz w:val="22"/>
                <w:szCs w:val="22"/>
              </w:rPr>
            </w:pPr>
            <w:r>
              <w:rPr>
                <w:rFonts w:hint="eastAsia" w:ascii="宋体" w:hAnsi="宋体"/>
                <w:sz w:val="22"/>
                <w:szCs w:val="22"/>
              </w:rPr>
              <w:t>条款号</w:t>
            </w:r>
          </w:p>
        </w:tc>
        <w:tc>
          <w:tcPr>
            <w:tcW w:w="1908" w:type="dxa"/>
            <w:vAlign w:val="center"/>
          </w:tcPr>
          <w:p>
            <w:pPr>
              <w:jc w:val="center"/>
              <w:rPr>
                <w:rFonts w:ascii="宋体"/>
                <w:sz w:val="22"/>
                <w:szCs w:val="22"/>
              </w:rPr>
            </w:pPr>
            <w:r>
              <w:rPr>
                <w:rFonts w:hint="eastAsia" w:ascii="宋体" w:hAnsi="宋体"/>
                <w:sz w:val="22"/>
                <w:szCs w:val="22"/>
              </w:rPr>
              <w:t>条款内容</w:t>
            </w:r>
          </w:p>
        </w:tc>
        <w:tc>
          <w:tcPr>
            <w:tcW w:w="5783" w:type="dxa"/>
            <w:vAlign w:val="center"/>
          </w:tcPr>
          <w:p>
            <w:pPr>
              <w:jc w:val="center"/>
              <w:rPr>
                <w:rFonts w:ascii="宋体"/>
                <w:sz w:val="22"/>
                <w:szCs w:val="22"/>
              </w:rPr>
            </w:pPr>
            <w:r>
              <w:rPr>
                <w:rFonts w:hint="eastAsia" w:ascii="宋体" w:hAnsi="宋体"/>
                <w:sz w:val="22"/>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523" w:type="dxa"/>
            <w:gridSpan w:val="2"/>
            <w:vAlign w:val="center"/>
          </w:tcPr>
          <w:p>
            <w:pPr>
              <w:jc w:val="center"/>
              <w:rPr>
                <w:rFonts w:ascii="宋体"/>
                <w:sz w:val="22"/>
                <w:szCs w:val="22"/>
              </w:rPr>
            </w:pPr>
            <w:r>
              <w:rPr>
                <w:rFonts w:ascii="宋体" w:hAnsi="宋体"/>
                <w:sz w:val="22"/>
                <w:szCs w:val="22"/>
              </w:rPr>
              <w:t>2.2.1</w:t>
            </w:r>
          </w:p>
        </w:tc>
        <w:tc>
          <w:tcPr>
            <w:tcW w:w="1908" w:type="dxa"/>
            <w:vAlign w:val="center"/>
          </w:tcPr>
          <w:p>
            <w:pPr>
              <w:jc w:val="center"/>
              <w:rPr>
                <w:rFonts w:ascii="宋体"/>
                <w:sz w:val="22"/>
                <w:szCs w:val="22"/>
              </w:rPr>
            </w:pPr>
            <w:r>
              <w:rPr>
                <w:rFonts w:hint="eastAsia" w:ascii="宋体" w:hAnsi="宋体"/>
                <w:sz w:val="22"/>
                <w:szCs w:val="22"/>
              </w:rPr>
              <w:t>分值构成</w:t>
            </w:r>
          </w:p>
          <w:p>
            <w:pPr>
              <w:jc w:val="center"/>
              <w:rPr>
                <w:rFonts w:ascii="宋体"/>
                <w:sz w:val="22"/>
                <w:szCs w:val="22"/>
              </w:rPr>
            </w:pPr>
            <w:r>
              <w:rPr>
                <w:rFonts w:hint="eastAsia" w:ascii="宋体" w:hAnsi="宋体"/>
                <w:sz w:val="22"/>
                <w:szCs w:val="22"/>
              </w:rPr>
              <w:t>（总分</w:t>
            </w:r>
            <w:r>
              <w:rPr>
                <w:rFonts w:ascii="宋体" w:hAnsi="宋体"/>
                <w:sz w:val="22"/>
                <w:szCs w:val="22"/>
              </w:rPr>
              <w:t>100</w:t>
            </w:r>
            <w:r>
              <w:rPr>
                <w:rFonts w:hint="eastAsia" w:ascii="宋体" w:hAnsi="宋体"/>
                <w:sz w:val="22"/>
                <w:szCs w:val="22"/>
              </w:rPr>
              <w:t>分）</w:t>
            </w:r>
          </w:p>
        </w:tc>
        <w:tc>
          <w:tcPr>
            <w:tcW w:w="5783" w:type="dxa"/>
            <w:vAlign w:val="center"/>
          </w:tcPr>
          <w:p>
            <w:pPr>
              <w:rPr>
                <w:rFonts w:ascii="宋体"/>
                <w:sz w:val="22"/>
                <w:szCs w:val="22"/>
              </w:rPr>
            </w:pPr>
            <w:r>
              <w:rPr>
                <w:rFonts w:hint="eastAsia" w:ascii="宋体" w:hAnsi="宋体"/>
                <w:sz w:val="22"/>
                <w:szCs w:val="22"/>
              </w:rPr>
              <w:t>商务标：</w:t>
            </w:r>
            <w:r>
              <w:rPr>
                <w:rFonts w:ascii="宋体" w:hAnsi="宋体"/>
                <w:sz w:val="22"/>
                <w:szCs w:val="22"/>
              </w:rPr>
              <w:t>7</w:t>
            </w:r>
            <w:r>
              <w:rPr>
                <w:rFonts w:ascii="宋体"/>
                <w:sz w:val="22"/>
                <w:szCs w:val="22"/>
              </w:rPr>
              <w:t>0</w:t>
            </w:r>
            <w:r>
              <w:rPr>
                <w:rFonts w:hint="eastAsia" w:ascii="宋体" w:hAnsi="宋体"/>
                <w:sz w:val="22"/>
                <w:szCs w:val="22"/>
              </w:rPr>
              <w:t>分</w:t>
            </w:r>
          </w:p>
          <w:p>
            <w:pPr>
              <w:rPr>
                <w:rFonts w:ascii="宋体"/>
                <w:sz w:val="22"/>
                <w:szCs w:val="22"/>
              </w:rPr>
            </w:pPr>
            <w:r>
              <w:rPr>
                <w:rFonts w:hint="eastAsia" w:ascii="宋体" w:hAnsi="宋体"/>
                <w:sz w:val="22"/>
                <w:szCs w:val="22"/>
              </w:rPr>
              <w:t>技术标：</w:t>
            </w:r>
            <w:r>
              <w:rPr>
                <w:rFonts w:ascii="宋体" w:hAnsi="宋体"/>
                <w:sz w:val="22"/>
                <w:szCs w:val="22"/>
              </w:rPr>
              <w:t>3</w:t>
            </w:r>
            <w:r>
              <w:rPr>
                <w:rFonts w:ascii="宋体"/>
                <w:sz w:val="22"/>
                <w:szCs w:val="22"/>
              </w:rPr>
              <w:t>0</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523" w:type="dxa"/>
            <w:gridSpan w:val="2"/>
            <w:vAlign w:val="center"/>
          </w:tcPr>
          <w:p>
            <w:pPr>
              <w:jc w:val="center"/>
              <w:rPr>
                <w:rFonts w:ascii="宋体"/>
                <w:sz w:val="22"/>
                <w:szCs w:val="22"/>
              </w:rPr>
            </w:pPr>
            <w:r>
              <w:rPr>
                <w:rFonts w:ascii="宋体" w:hAnsi="宋体"/>
                <w:sz w:val="22"/>
                <w:szCs w:val="22"/>
              </w:rPr>
              <w:t>2.2.2</w:t>
            </w:r>
          </w:p>
        </w:tc>
        <w:tc>
          <w:tcPr>
            <w:tcW w:w="1908" w:type="dxa"/>
            <w:vAlign w:val="center"/>
          </w:tcPr>
          <w:p>
            <w:pPr>
              <w:jc w:val="center"/>
              <w:rPr>
                <w:rFonts w:ascii="宋体"/>
                <w:sz w:val="22"/>
                <w:szCs w:val="22"/>
              </w:rPr>
            </w:pPr>
            <w:r>
              <w:rPr>
                <w:rFonts w:hint="eastAsia" w:ascii="宋体" w:hAnsi="宋体"/>
                <w:sz w:val="22"/>
                <w:szCs w:val="22"/>
              </w:rPr>
              <w:t>评标基准价计算方法</w:t>
            </w:r>
          </w:p>
        </w:tc>
        <w:tc>
          <w:tcPr>
            <w:tcW w:w="5783" w:type="dxa"/>
            <w:vAlign w:val="center"/>
          </w:tcPr>
          <w:p>
            <w:pPr>
              <w:spacing w:line="400" w:lineRule="exact"/>
              <w:ind w:firstLine="330" w:firstLineChars="150"/>
              <w:rPr>
                <w:rFonts w:ascii="宋体" w:cs="宋体"/>
                <w:sz w:val="22"/>
                <w:szCs w:val="22"/>
              </w:rPr>
            </w:pPr>
            <w:r>
              <w:rPr>
                <w:rFonts w:hint="eastAsia" w:ascii="宋体" w:hAnsi="宋体" w:cs="宋体"/>
                <w:sz w:val="22"/>
                <w:szCs w:val="22"/>
              </w:rPr>
              <w:t>本工程设招标控制价，投标报价超过招标控制价的按废标处理。</w:t>
            </w:r>
          </w:p>
          <w:p>
            <w:pPr>
              <w:spacing w:line="400" w:lineRule="exact"/>
              <w:rPr>
                <w:rFonts w:ascii="宋体" w:cs="宋体"/>
                <w:sz w:val="22"/>
                <w:szCs w:val="22"/>
              </w:rPr>
            </w:pPr>
            <w:r>
              <w:rPr>
                <w:rFonts w:ascii="宋体" w:hAnsi="宋体" w:cs="宋体"/>
                <w:sz w:val="22"/>
                <w:szCs w:val="22"/>
              </w:rPr>
              <w:t xml:space="preserve">  </w:t>
            </w:r>
            <w:r>
              <w:rPr>
                <w:rFonts w:hint="eastAsia" w:ascii="宋体" w:hAnsi="宋体" w:cs="宋体"/>
                <w:sz w:val="22"/>
                <w:szCs w:val="22"/>
              </w:rPr>
              <w:t>评标基准价</w:t>
            </w:r>
            <w:r>
              <w:rPr>
                <w:rFonts w:ascii="宋体" w:hAnsi="宋体" w:cs="宋体"/>
                <w:sz w:val="22"/>
                <w:szCs w:val="22"/>
              </w:rPr>
              <w:t xml:space="preserve"> </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招标控制价×</w:t>
            </w:r>
            <w:r>
              <w:rPr>
                <w:rFonts w:ascii="宋体" w:hAnsi="宋体" w:cs="宋体"/>
                <w:sz w:val="22"/>
                <w:szCs w:val="22"/>
              </w:rPr>
              <w:t xml:space="preserve">K + </w:t>
            </w:r>
            <w:r>
              <w:rPr>
                <w:rFonts w:hint="eastAsia" w:ascii="宋体" w:hAnsi="宋体" w:cs="宋体"/>
                <w:sz w:val="22"/>
                <w:szCs w:val="22"/>
              </w:rPr>
              <w:t>投标报价×（</w:t>
            </w:r>
            <w:r>
              <w:rPr>
                <w:rFonts w:ascii="宋体" w:hAnsi="宋体" w:cs="宋体"/>
                <w:sz w:val="22"/>
                <w:szCs w:val="22"/>
              </w:rPr>
              <w:t>1</w:t>
            </w:r>
            <w:r>
              <w:rPr>
                <w:rFonts w:hint="eastAsia" w:ascii="宋体" w:hAnsi="宋体" w:cs="宋体"/>
                <w:sz w:val="22"/>
                <w:szCs w:val="22"/>
              </w:rPr>
              <w:t>－</w:t>
            </w:r>
            <w:r>
              <w:rPr>
                <w:rFonts w:ascii="宋体" w:hAnsi="宋体" w:cs="宋体"/>
                <w:sz w:val="22"/>
                <w:szCs w:val="22"/>
              </w:rPr>
              <w:t>K</w:t>
            </w:r>
            <w:r>
              <w:rPr>
                <w:rFonts w:hint="eastAsia" w:ascii="宋体" w:hAnsi="宋体" w:cs="宋体"/>
                <w:sz w:val="22"/>
                <w:szCs w:val="22"/>
              </w:rPr>
              <w:t>）。</w:t>
            </w:r>
          </w:p>
          <w:p>
            <w:pPr>
              <w:spacing w:line="400" w:lineRule="exact"/>
              <w:rPr>
                <w:rFonts w:ascii="宋体" w:cs="宋体"/>
                <w:sz w:val="22"/>
                <w:szCs w:val="22"/>
              </w:rPr>
            </w:pPr>
            <w:r>
              <w:rPr>
                <w:rFonts w:ascii="宋体" w:hAnsi="宋体" w:cs="宋体"/>
                <w:sz w:val="22"/>
                <w:szCs w:val="22"/>
              </w:rPr>
              <w:t xml:space="preserve">  </w:t>
            </w:r>
            <w:r>
              <w:rPr>
                <w:rFonts w:hint="eastAsia" w:ascii="宋体" w:hAnsi="宋体" w:cs="宋体"/>
                <w:sz w:val="22"/>
                <w:szCs w:val="22"/>
              </w:rPr>
              <w:t>其中：参与评标基准价计算的招标控制价及各投标人有效投标报价。</w:t>
            </w:r>
          </w:p>
          <w:p>
            <w:pPr>
              <w:spacing w:line="400" w:lineRule="exact"/>
              <w:rPr>
                <w:rFonts w:ascii="宋体" w:cs="宋体"/>
                <w:sz w:val="22"/>
                <w:szCs w:val="22"/>
              </w:rPr>
            </w:pPr>
            <w:r>
              <w:rPr>
                <w:rFonts w:ascii="宋体" w:hAnsi="宋体" w:cs="宋体"/>
                <w:sz w:val="22"/>
                <w:szCs w:val="22"/>
              </w:rPr>
              <w:t xml:space="preserve">  </w:t>
            </w:r>
            <w:r>
              <w:rPr>
                <w:rFonts w:hint="eastAsia" w:ascii="宋体" w:hAnsi="宋体" w:cs="宋体"/>
                <w:sz w:val="22"/>
                <w:szCs w:val="22"/>
              </w:rPr>
              <w:t>当有效投标多于</w:t>
            </w:r>
            <w:r>
              <w:rPr>
                <w:rFonts w:ascii="宋体" w:hAnsi="宋体" w:cs="宋体"/>
                <w:sz w:val="22"/>
                <w:szCs w:val="22"/>
              </w:rPr>
              <w:t>5</w:t>
            </w:r>
            <w:r>
              <w:rPr>
                <w:rFonts w:hint="eastAsia" w:ascii="宋体" w:hAnsi="宋体" w:cs="宋体"/>
                <w:sz w:val="22"/>
                <w:szCs w:val="22"/>
              </w:rPr>
              <w:t>家（含）去掉一个最高和一个最低报价后的，其余投标人的有效投标报价算术平均值。当有效投标少于</w:t>
            </w:r>
            <w:r>
              <w:rPr>
                <w:rFonts w:ascii="宋体" w:hAnsi="宋体" w:cs="宋体"/>
                <w:sz w:val="22"/>
                <w:szCs w:val="22"/>
              </w:rPr>
              <w:t>5</w:t>
            </w:r>
            <w:r>
              <w:rPr>
                <w:rFonts w:hint="eastAsia" w:ascii="宋体" w:hAnsi="宋体" w:cs="宋体"/>
                <w:sz w:val="22"/>
                <w:szCs w:val="22"/>
              </w:rPr>
              <w:t>家时（不含</w:t>
            </w:r>
            <w:r>
              <w:rPr>
                <w:rFonts w:ascii="宋体" w:hAnsi="宋体" w:cs="宋体"/>
                <w:sz w:val="22"/>
                <w:szCs w:val="22"/>
              </w:rPr>
              <w:t>5</w:t>
            </w:r>
            <w:r>
              <w:rPr>
                <w:rFonts w:hint="eastAsia" w:ascii="宋体" w:hAnsi="宋体" w:cs="宋体"/>
                <w:sz w:val="22"/>
                <w:szCs w:val="22"/>
              </w:rPr>
              <w:t>家），则以所有有效投标报价的算术平均值作为投标报价。</w:t>
            </w:r>
          </w:p>
          <w:p>
            <w:pPr>
              <w:spacing w:line="400" w:lineRule="exact"/>
              <w:rPr>
                <w:rFonts w:ascii="宋体"/>
                <w:bCs/>
                <w:sz w:val="22"/>
                <w:szCs w:val="22"/>
                <w:highlight w:val="yellow"/>
              </w:rPr>
            </w:pPr>
            <w:r>
              <w:rPr>
                <w:rFonts w:ascii="宋体" w:hAnsi="宋体" w:cs="宋体"/>
                <w:sz w:val="22"/>
                <w:szCs w:val="22"/>
              </w:rPr>
              <w:t xml:space="preserve">  K</w:t>
            </w:r>
            <w:r>
              <w:rPr>
                <w:rFonts w:hint="eastAsia" w:ascii="宋体" w:hAnsi="宋体" w:cs="宋体"/>
                <w:sz w:val="22"/>
                <w:szCs w:val="22"/>
              </w:rPr>
              <w:t>为招标控制价权重系数，</w:t>
            </w:r>
            <w:r>
              <w:rPr>
                <w:rFonts w:ascii="宋体" w:hAnsi="宋体" w:cs="宋体"/>
                <w:sz w:val="22"/>
                <w:szCs w:val="22"/>
              </w:rPr>
              <w:t>K</w:t>
            </w:r>
            <w:r>
              <w:rPr>
                <w:rFonts w:hint="eastAsia" w:ascii="宋体" w:hAnsi="宋体" w:cs="宋体"/>
                <w:sz w:val="22"/>
                <w:szCs w:val="22"/>
              </w:rPr>
              <w:t>值为</w:t>
            </w:r>
            <w:r>
              <w:rPr>
                <w:rFonts w:ascii="宋体" w:hAnsi="宋体" w:cs="宋体"/>
                <w:sz w:val="22"/>
                <w:szCs w:val="22"/>
              </w:rPr>
              <w:t>0.5</w:t>
            </w:r>
            <w:r>
              <w:rPr>
                <w:rFonts w:hint="eastAsia"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523" w:type="dxa"/>
            <w:gridSpan w:val="2"/>
            <w:vAlign w:val="center"/>
          </w:tcPr>
          <w:p>
            <w:pPr>
              <w:jc w:val="center"/>
              <w:rPr>
                <w:rFonts w:ascii="宋体"/>
                <w:sz w:val="22"/>
                <w:szCs w:val="22"/>
              </w:rPr>
            </w:pPr>
            <w:r>
              <w:rPr>
                <w:rFonts w:ascii="宋体" w:hAnsi="宋体"/>
                <w:sz w:val="22"/>
                <w:szCs w:val="22"/>
              </w:rPr>
              <w:t>2.2.3</w:t>
            </w:r>
          </w:p>
        </w:tc>
        <w:tc>
          <w:tcPr>
            <w:tcW w:w="1908" w:type="dxa"/>
            <w:vAlign w:val="center"/>
          </w:tcPr>
          <w:p>
            <w:pPr>
              <w:jc w:val="center"/>
              <w:rPr>
                <w:rFonts w:ascii="宋体"/>
                <w:sz w:val="22"/>
                <w:szCs w:val="22"/>
              </w:rPr>
            </w:pPr>
            <w:r>
              <w:rPr>
                <w:rFonts w:hint="eastAsia" w:ascii="宋体" w:hAnsi="宋体"/>
                <w:sz w:val="22"/>
                <w:szCs w:val="22"/>
              </w:rPr>
              <w:t>投标报价的偏差率计算公式</w:t>
            </w:r>
          </w:p>
        </w:tc>
        <w:tc>
          <w:tcPr>
            <w:tcW w:w="5783" w:type="dxa"/>
            <w:vAlign w:val="center"/>
          </w:tcPr>
          <w:p>
            <w:pPr>
              <w:spacing w:line="400" w:lineRule="exact"/>
              <w:rPr>
                <w:rFonts w:ascii="宋体" w:cs="宋体"/>
                <w:sz w:val="22"/>
                <w:szCs w:val="22"/>
              </w:rPr>
            </w:pPr>
            <w:r>
              <w:rPr>
                <w:rFonts w:ascii="宋体" w:hAnsi="宋体" w:cs="宋体"/>
                <w:sz w:val="22"/>
                <w:szCs w:val="22"/>
              </w:rPr>
              <w:t xml:space="preserve">  </w:t>
            </w:r>
            <w:r>
              <w:rPr>
                <w:rFonts w:hint="eastAsia" w:ascii="宋体" w:hAnsi="宋体" w:cs="宋体"/>
                <w:sz w:val="22"/>
                <w:szCs w:val="22"/>
              </w:rPr>
              <w:t>偏差率</w:t>
            </w:r>
            <w:r>
              <w:rPr>
                <w:rFonts w:ascii="宋体" w:hAnsi="宋体" w:cs="宋体"/>
                <w:sz w:val="22"/>
                <w:szCs w:val="22"/>
              </w:rPr>
              <w:t xml:space="preserve"> = 100%</w:t>
            </w:r>
            <w:r>
              <w:rPr>
                <w:rFonts w:hint="eastAsia" w:ascii="宋体" w:hAnsi="宋体" w:cs="宋体"/>
                <w:sz w:val="22"/>
                <w:szCs w:val="22"/>
              </w:rPr>
              <w:t>×（投标人评标报价－评标基准价）</w:t>
            </w:r>
            <w:r>
              <w:rPr>
                <w:rFonts w:ascii="宋体" w:hAnsi="宋体" w:cs="宋体"/>
                <w:sz w:val="22"/>
                <w:szCs w:val="22"/>
              </w:rPr>
              <w:t xml:space="preserve">/ </w:t>
            </w:r>
            <w:r>
              <w:rPr>
                <w:rFonts w:hint="eastAsia" w:ascii="宋体" w:hAnsi="宋体" w:cs="宋体"/>
                <w:sz w:val="22"/>
                <w:szCs w:val="22"/>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523" w:type="dxa"/>
            <w:gridSpan w:val="2"/>
            <w:vAlign w:val="center"/>
          </w:tcPr>
          <w:p>
            <w:pPr>
              <w:jc w:val="center"/>
              <w:rPr>
                <w:rFonts w:ascii="宋体"/>
                <w:sz w:val="22"/>
                <w:szCs w:val="22"/>
              </w:rPr>
            </w:pPr>
            <w:r>
              <w:rPr>
                <w:rFonts w:hint="eastAsia" w:ascii="宋体" w:hAnsi="宋体"/>
                <w:sz w:val="22"/>
                <w:szCs w:val="22"/>
              </w:rPr>
              <w:t>条款号</w:t>
            </w:r>
          </w:p>
        </w:tc>
        <w:tc>
          <w:tcPr>
            <w:tcW w:w="1908" w:type="dxa"/>
            <w:vAlign w:val="center"/>
          </w:tcPr>
          <w:p>
            <w:pPr>
              <w:jc w:val="center"/>
              <w:rPr>
                <w:rFonts w:ascii="宋体"/>
                <w:sz w:val="22"/>
                <w:szCs w:val="22"/>
              </w:rPr>
            </w:pPr>
            <w:r>
              <w:rPr>
                <w:rFonts w:hint="eastAsia" w:ascii="宋体" w:hAnsi="宋体"/>
                <w:sz w:val="22"/>
                <w:szCs w:val="22"/>
              </w:rPr>
              <w:t>评分因素</w:t>
            </w:r>
          </w:p>
        </w:tc>
        <w:tc>
          <w:tcPr>
            <w:tcW w:w="5783" w:type="dxa"/>
            <w:vAlign w:val="center"/>
          </w:tcPr>
          <w:p>
            <w:pPr>
              <w:rPr>
                <w:sz w:val="22"/>
                <w:szCs w:val="22"/>
              </w:rPr>
            </w:pPr>
            <w:r>
              <w:rPr>
                <w:rFonts w:hint="eastAsia"/>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jc w:val="center"/>
        </w:trPr>
        <w:tc>
          <w:tcPr>
            <w:tcW w:w="1523" w:type="dxa"/>
            <w:gridSpan w:val="2"/>
            <w:vMerge w:val="restart"/>
            <w:vAlign w:val="center"/>
          </w:tcPr>
          <w:p>
            <w:pPr>
              <w:jc w:val="center"/>
              <w:rPr>
                <w:rFonts w:ascii="宋体"/>
                <w:sz w:val="22"/>
                <w:szCs w:val="22"/>
              </w:rPr>
            </w:pPr>
            <w:r>
              <w:rPr>
                <w:rFonts w:ascii="宋体" w:hAnsi="宋体"/>
                <w:sz w:val="22"/>
                <w:szCs w:val="22"/>
              </w:rPr>
              <w:t>2.2.4</w:t>
            </w:r>
          </w:p>
          <w:p>
            <w:pPr>
              <w:jc w:val="center"/>
              <w:rPr>
                <w:rFonts w:ascii="宋体"/>
                <w:sz w:val="22"/>
                <w:szCs w:val="22"/>
              </w:rPr>
            </w:pPr>
            <w:r>
              <w:rPr>
                <w:rFonts w:ascii="宋体" w:hAnsi="宋体"/>
                <w:sz w:val="22"/>
                <w:szCs w:val="22"/>
              </w:rPr>
              <w:t>(1)</w:t>
            </w:r>
            <w:r>
              <w:rPr>
                <w:rFonts w:hint="eastAsia" w:ascii="宋体" w:hAnsi="宋体"/>
                <w:sz w:val="22"/>
                <w:szCs w:val="22"/>
              </w:rPr>
              <w:t>商务标70分</w:t>
            </w:r>
          </w:p>
        </w:tc>
        <w:tc>
          <w:tcPr>
            <w:tcW w:w="1908" w:type="dxa"/>
            <w:vAlign w:val="center"/>
          </w:tcPr>
          <w:p>
            <w:pPr>
              <w:spacing w:line="360" w:lineRule="exact"/>
              <w:jc w:val="center"/>
              <w:rPr>
                <w:sz w:val="22"/>
                <w:szCs w:val="22"/>
              </w:rPr>
            </w:pPr>
            <w:r>
              <w:rPr>
                <w:rFonts w:hint="eastAsia"/>
                <w:sz w:val="22"/>
                <w:szCs w:val="22"/>
              </w:rPr>
              <w:t>投标报价</w:t>
            </w:r>
          </w:p>
          <w:p>
            <w:pPr>
              <w:spacing w:line="360" w:lineRule="exact"/>
              <w:jc w:val="center"/>
              <w:rPr>
                <w:sz w:val="22"/>
                <w:szCs w:val="22"/>
              </w:rPr>
            </w:pPr>
            <w:r>
              <w:rPr>
                <w:rFonts w:hint="eastAsia"/>
                <w:sz w:val="22"/>
                <w:szCs w:val="22"/>
              </w:rPr>
              <w:t>评审标准</w:t>
            </w:r>
          </w:p>
          <w:p>
            <w:pPr>
              <w:spacing w:line="360" w:lineRule="exact"/>
              <w:jc w:val="center"/>
              <w:rPr>
                <w:sz w:val="22"/>
                <w:szCs w:val="22"/>
              </w:rPr>
            </w:pPr>
            <w:r>
              <w:rPr>
                <w:sz w:val="22"/>
                <w:szCs w:val="22"/>
              </w:rPr>
              <w:t>40</w:t>
            </w:r>
            <w:r>
              <w:rPr>
                <w:rFonts w:hint="eastAsia"/>
                <w:sz w:val="22"/>
                <w:szCs w:val="22"/>
              </w:rPr>
              <w:t>分</w:t>
            </w:r>
          </w:p>
        </w:tc>
        <w:tc>
          <w:tcPr>
            <w:tcW w:w="5783" w:type="dxa"/>
            <w:vAlign w:val="center"/>
          </w:tcPr>
          <w:p>
            <w:pPr>
              <w:spacing w:line="276" w:lineRule="auto"/>
              <w:rPr>
                <w:sz w:val="22"/>
                <w:szCs w:val="22"/>
              </w:rPr>
            </w:pPr>
            <w:r>
              <w:rPr>
                <w:sz w:val="22"/>
                <w:szCs w:val="22"/>
              </w:rPr>
              <w:t xml:space="preserve">    </w:t>
            </w:r>
            <w:r>
              <w:rPr>
                <w:rFonts w:hint="eastAsia"/>
                <w:sz w:val="22"/>
                <w:szCs w:val="22"/>
              </w:rPr>
              <w:t>投标报价与评标基准价相等得基本分</w:t>
            </w:r>
            <w:r>
              <w:rPr>
                <w:sz w:val="22"/>
                <w:szCs w:val="22"/>
              </w:rPr>
              <w:t>35</w:t>
            </w:r>
            <w:r>
              <w:rPr>
                <w:rFonts w:hint="eastAsia"/>
                <w:sz w:val="22"/>
                <w:szCs w:val="22"/>
              </w:rPr>
              <w:t>分。当投标报价低于评标基准价时，每低</w:t>
            </w:r>
            <w:r>
              <w:rPr>
                <w:sz w:val="22"/>
                <w:szCs w:val="22"/>
              </w:rPr>
              <w:t>1%</w:t>
            </w:r>
            <w:r>
              <w:rPr>
                <w:rFonts w:hint="eastAsia"/>
                <w:sz w:val="22"/>
                <w:szCs w:val="22"/>
              </w:rPr>
              <w:t>在基本分</w:t>
            </w:r>
            <w:r>
              <w:rPr>
                <w:sz w:val="22"/>
                <w:szCs w:val="22"/>
              </w:rPr>
              <w:t>35</w:t>
            </w:r>
            <w:r>
              <w:rPr>
                <w:rFonts w:hint="eastAsia"/>
                <w:sz w:val="22"/>
                <w:szCs w:val="22"/>
              </w:rPr>
              <w:t>分的基础上加</w:t>
            </w:r>
            <w:r>
              <w:rPr>
                <w:sz w:val="22"/>
                <w:szCs w:val="22"/>
              </w:rPr>
              <w:t>1</w:t>
            </w:r>
            <w:r>
              <w:rPr>
                <w:rFonts w:hint="eastAsia"/>
                <w:sz w:val="22"/>
                <w:szCs w:val="22"/>
              </w:rPr>
              <w:t>分，最多加</w:t>
            </w:r>
            <w:r>
              <w:rPr>
                <w:sz w:val="22"/>
                <w:szCs w:val="22"/>
              </w:rPr>
              <w:t>5</w:t>
            </w:r>
            <w:r>
              <w:rPr>
                <w:rFonts w:hint="eastAsia"/>
                <w:sz w:val="22"/>
                <w:szCs w:val="22"/>
              </w:rPr>
              <w:t>分；当投标报价低于评标基准价</w:t>
            </w:r>
            <w:r>
              <w:rPr>
                <w:sz w:val="22"/>
                <w:szCs w:val="22"/>
              </w:rPr>
              <w:t>5%</w:t>
            </w:r>
            <w:r>
              <w:rPr>
                <w:rFonts w:hint="eastAsia"/>
                <w:sz w:val="22"/>
                <w:szCs w:val="22"/>
              </w:rPr>
              <w:t>以上（不含</w:t>
            </w:r>
            <w:r>
              <w:rPr>
                <w:sz w:val="22"/>
                <w:szCs w:val="22"/>
              </w:rPr>
              <w:t>5%</w:t>
            </w:r>
            <w:r>
              <w:rPr>
                <w:rFonts w:hint="eastAsia"/>
                <w:sz w:val="22"/>
                <w:szCs w:val="22"/>
              </w:rPr>
              <w:t>）时，每再低</w:t>
            </w:r>
            <w:r>
              <w:rPr>
                <w:sz w:val="22"/>
                <w:szCs w:val="22"/>
              </w:rPr>
              <w:t>1%</w:t>
            </w:r>
            <w:r>
              <w:rPr>
                <w:rFonts w:hint="eastAsia"/>
                <w:sz w:val="22"/>
                <w:szCs w:val="22"/>
              </w:rPr>
              <w:t>在满分</w:t>
            </w:r>
            <w:r>
              <w:rPr>
                <w:sz w:val="22"/>
                <w:szCs w:val="22"/>
              </w:rPr>
              <w:t>40</w:t>
            </w:r>
            <w:r>
              <w:rPr>
                <w:rFonts w:hint="eastAsia"/>
                <w:sz w:val="22"/>
                <w:szCs w:val="22"/>
              </w:rPr>
              <w:t>分的基础上扣</w:t>
            </w:r>
            <w:r>
              <w:rPr>
                <w:sz w:val="22"/>
                <w:szCs w:val="22"/>
              </w:rPr>
              <w:t>2</w:t>
            </w:r>
            <w:r>
              <w:rPr>
                <w:rFonts w:hint="eastAsia"/>
                <w:sz w:val="22"/>
                <w:szCs w:val="22"/>
              </w:rPr>
              <w:t>分，扣完为止；当投标报价高于评标基准价时，每高</w:t>
            </w:r>
            <w:r>
              <w:rPr>
                <w:sz w:val="22"/>
                <w:szCs w:val="22"/>
              </w:rPr>
              <w:t>1%</w:t>
            </w:r>
            <w:r>
              <w:rPr>
                <w:rFonts w:hint="eastAsia"/>
                <w:sz w:val="22"/>
                <w:szCs w:val="22"/>
              </w:rPr>
              <w:t>在基本分</w:t>
            </w:r>
            <w:r>
              <w:rPr>
                <w:sz w:val="22"/>
                <w:szCs w:val="22"/>
              </w:rPr>
              <w:t>35</w:t>
            </w:r>
            <w:r>
              <w:rPr>
                <w:rFonts w:hint="eastAsia"/>
                <w:sz w:val="22"/>
                <w:szCs w:val="22"/>
              </w:rPr>
              <w:t>分的基础上扣</w:t>
            </w:r>
            <w:r>
              <w:rPr>
                <w:sz w:val="22"/>
                <w:szCs w:val="22"/>
              </w:rPr>
              <w:t>1</w:t>
            </w:r>
            <w:r>
              <w:rPr>
                <w:rFonts w:hint="eastAsia"/>
                <w:sz w:val="22"/>
                <w:szCs w:val="22"/>
              </w:rPr>
              <w:t>分，扣完为止。不足</w:t>
            </w:r>
            <w:r>
              <w:rPr>
                <w:sz w:val="22"/>
                <w:szCs w:val="22"/>
              </w:rPr>
              <w:t>1%</w:t>
            </w:r>
            <w:r>
              <w:rPr>
                <w:rFonts w:hint="eastAsia"/>
                <w:sz w:val="22"/>
                <w:szCs w:val="22"/>
              </w:rPr>
              <w:t>的，按直线内插法计算。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23" w:type="dxa"/>
            <w:gridSpan w:val="2"/>
            <w:vMerge w:val="continue"/>
            <w:vAlign w:val="center"/>
          </w:tcPr>
          <w:p>
            <w:pPr>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财务状况</w:t>
            </w:r>
            <w:r>
              <w:rPr>
                <w:sz w:val="22"/>
                <w:szCs w:val="22"/>
              </w:rPr>
              <w:t>1-</w:t>
            </w:r>
            <w:r>
              <w:rPr>
                <w:rFonts w:hint="eastAsia"/>
                <w:sz w:val="22"/>
                <w:szCs w:val="22"/>
              </w:rPr>
              <w:t>5分</w:t>
            </w:r>
          </w:p>
        </w:tc>
        <w:tc>
          <w:tcPr>
            <w:tcW w:w="5783" w:type="dxa"/>
            <w:vAlign w:val="center"/>
          </w:tcPr>
          <w:p>
            <w:pPr>
              <w:widowControl/>
              <w:spacing w:line="360" w:lineRule="exact"/>
              <w:rPr>
                <w:sz w:val="22"/>
                <w:szCs w:val="22"/>
              </w:rPr>
            </w:pPr>
            <w:r>
              <w:rPr>
                <w:rFonts w:hint="eastAsia"/>
                <w:sz w:val="22"/>
                <w:szCs w:val="22"/>
              </w:rPr>
              <w:t>投标人提交</w:t>
            </w:r>
            <w:r>
              <w:rPr>
                <w:sz w:val="22"/>
                <w:szCs w:val="22"/>
              </w:rPr>
              <w:t>201</w:t>
            </w:r>
            <w:r>
              <w:rPr>
                <w:rFonts w:hint="eastAsia"/>
                <w:sz w:val="22"/>
                <w:szCs w:val="22"/>
              </w:rPr>
              <w:t>5、</w:t>
            </w:r>
            <w:r>
              <w:rPr>
                <w:sz w:val="22"/>
                <w:szCs w:val="22"/>
              </w:rPr>
              <w:t>201</w:t>
            </w:r>
            <w:r>
              <w:rPr>
                <w:rFonts w:hint="eastAsia"/>
                <w:sz w:val="22"/>
                <w:szCs w:val="22"/>
              </w:rPr>
              <w:t>6、</w:t>
            </w:r>
            <w:r>
              <w:rPr>
                <w:sz w:val="22"/>
                <w:szCs w:val="22"/>
              </w:rPr>
              <w:t>201</w:t>
            </w:r>
            <w:r>
              <w:rPr>
                <w:rFonts w:hint="eastAsia"/>
                <w:sz w:val="22"/>
                <w:szCs w:val="22"/>
              </w:rPr>
              <w:t>7年度经中介机构审计的财务报告，要素齐全，真实完整，根据其注册资本、财产总额、资产负债率、主营业务收入、利润总额、税金等情况综合评定、得</w:t>
            </w:r>
            <w:r>
              <w:rPr>
                <w:sz w:val="22"/>
                <w:szCs w:val="22"/>
              </w:rPr>
              <w:t>1-</w:t>
            </w:r>
            <w:r>
              <w:rPr>
                <w:rFonts w:hint="eastAsia"/>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业绩</w:t>
            </w:r>
            <w:r>
              <w:rPr>
                <w:sz w:val="22"/>
                <w:szCs w:val="22"/>
              </w:rPr>
              <w:t>0-</w:t>
            </w:r>
            <w:r>
              <w:rPr>
                <w:rFonts w:hint="eastAsia"/>
                <w:sz w:val="22"/>
                <w:szCs w:val="22"/>
              </w:rPr>
              <w:t>9分</w:t>
            </w:r>
          </w:p>
        </w:tc>
        <w:tc>
          <w:tcPr>
            <w:tcW w:w="5783" w:type="dxa"/>
            <w:vAlign w:val="center"/>
          </w:tcPr>
          <w:p>
            <w:pPr>
              <w:spacing w:line="360" w:lineRule="exact"/>
              <w:ind w:firstLine="110" w:firstLineChars="50"/>
              <w:rPr>
                <w:sz w:val="22"/>
                <w:szCs w:val="22"/>
              </w:rPr>
            </w:pPr>
            <w:r>
              <w:rPr>
                <w:rFonts w:hint="eastAsia"/>
                <w:sz w:val="22"/>
                <w:szCs w:val="22"/>
              </w:rPr>
              <w:t>自</w:t>
            </w:r>
            <w:r>
              <w:rPr>
                <w:sz w:val="22"/>
                <w:szCs w:val="22"/>
              </w:rPr>
              <w:t>201</w:t>
            </w:r>
            <w:r>
              <w:rPr>
                <w:rFonts w:hint="eastAsia"/>
                <w:sz w:val="22"/>
                <w:szCs w:val="22"/>
              </w:rPr>
              <w:t>5年</w:t>
            </w:r>
            <w:r>
              <w:rPr>
                <w:sz w:val="22"/>
                <w:szCs w:val="22"/>
              </w:rPr>
              <w:t>1</w:t>
            </w:r>
            <w:r>
              <w:rPr>
                <w:rFonts w:hint="eastAsia"/>
                <w:sz w:val="22"/>
                <w:szCs w:val="22"/>
              </w:rPr>
              <w:t>月</w:t>
            </w:r>
            <w:r>
              <w:rPr>
                <w:sz w:val="22"/>
                <w:szCs w:val="22"/>
              </w:rPr>
              <w:t>1</w:t>
            </w:r>
            <w:r>
              <w:rPr>
                <w:rFonts w:hint="eastAsia"/>
                <w:sz w:val="22"/>
                <w:szCs w:val="22"/>
              </w:rPr>
              <w:t>日以来（以合同签订时间为准）：</w:t>
            </w:r>
          </w:p>
          <w:p>
            <w:pPr>
              <w:spacing w:line="360" w:lineRule="exact"/>
              <w:ind w:firstLine="110" w:firstLineChars="50"/>
              <w:rPr>
                <w:sz w:val="22"/>
                <w:szCs w:val="22"/>
              </w:rPr>
            </w:pPr>
            <w:r>
              <w:rPr>
                <w:sz w:val="22"/>
                <w:szCs w:val="22"/>
              </w:rPr>
              <w:t>1</w:t>
            </w:r>
            <w:r>
              <w:rPr>
                <w:rFonts w:hint="eastAsia"/>
                <w:sz w:val="22"/>
                <w:szCs w:val="22"/>
              </w:rPr>
              <w:t>、企业有类似项目业绩，每项得3分，最高得9分（合同协议书和中标通知书或合同协议书和竣工验收证明复印件时间以合同签订的时间为准）；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523" w:type="dxa"/>
            <w:gridSpan w:val="2"/>
            <w:vMerge w:val="continue"/>
            <w:vAlign w:val="center"/>
          </w:tcPr>
          <w:p>
            <w:pPr>
              <w:jc w:val="center"/>
              <w:rPr>
                <w:rFonts w:ascii="宋体"/>
                <w:sz w:val="22"/>
                <w:szCs w:val="22"/>
              </w:rPr>
            </w:pPr>
          </w:p>
        </w:tc>
        <w:tc>
          <w:tcPr>
            <w:tcW w:w="1908" w:type="dxa"/>
            <w:vAlign w:val="center"/>
          </w:tcPr>
          <w:p>
            <w:pPr>
              <w:ind w:firstLine="220" w:firstLineChars="100"/>
              <w:jc w:val="center"/>
              <w:rPr>
                <w:rFonts w:ascii="宋体"/>
                <w:kern w:val="0"/>
                <w:sz w:val="22"/>
                <w:szCs w:val="22"/>
              </w:rPr>
            </w:pPr>
            <w:r>
              <w:rPr>
                <w:rFonts w:hint="eastAsia" w:ascii="宋体" w:hAnsi="宋体"/>
                <w:kern w:val="0"/>
                <w:sz w:val="22"/>
                <w:szCs w:val="22"/>
              </w:rPr>
              <w:t>企业综合实力及项目班子配备</w:t>
            </w:r>
            <w:r>
              <w:rPr>
                <w:rFonts w:ascii="宋体" w:hAnsi="宋体"/>
                <w:kern w:val="0"/>
                <w:sz w:val="22"/>
                <w:szCs w:val="22"/>
              </w:rPr>
              <w:t>0-</w:t>
            </w:r>
            <w:r>
              <w:rPr>
                <w:rFonts w:hint="eastAsia" w:ascii="宋体" w:hAnsi="宋体"/>
                <w:kern w:val="0"/>
                <w:sz w:val="22"/>
                <w:szCs w:val="22"/>
              </w:rPr>
              <w:t>11分</w:t>
            </w:r>
          </w:p>
        </w:tc>
        <w:tc>
          <w:tcPr>
            <w:tcW w:w="5783" w:type="dxa"/>
            <w:vAlign w:val="center"/>
          </w:tcPr>
          <w:p>
            <w:pPr>
              <w:spacing w:line="360" w:lineRule="exact"/>
              <w:rPr>
                <w:sz w:val="22"/>
                <w:szCs w:val="22"/>
              </w:rPr>
            </w:pPr>
            <w:r>
              <w:rPr>
                <w:sz w:val="22"/>
                <w:szCs w:val="22"/>
              </w:rPr>
              <w:t>1</w:t>
            </w:r>
            <w:r>
              <w:rPr>
                <w:rFonts w:hint="eastAsia"/>
                <w:sz w:val="22"/>
                <w:szCs w:val="22"/>
              </w:rPr>
              <w:t>、自</w:t>
            </w:r>
            <w:r>
              <w:rPr>
                <w:sz w:val="22"/>
                <w:szCs w:val="22"/>
              </w:rPr>
              <w:t>201</w:t>
            </w:r>
            <w:r>
              <w:rPr>
                <w:rFonts w:hint="eastAsia"/>
                <w:sz w:val="22"/>
                <w:szCs w:val="22"/>
              </w:rPr>
              <w:t>5年</w:t>
            </w:r>
            <w:r>
              <w:rPr>
                <w:sz w:val="22"/>
                <w:szCs w:val="22"/>
              </w:rPr>
              <w:t>1</w:t>
            </w:r>
            <w:r>
              <w:rPr>
                <w:rFonts w:hint="eastAsia"/>
                <w:sz w:val="22"/>
                <w:szCs w:val="22"/>
              </w:rPr>
              <w:t>月</w:t>
            </w:r>
            <w:r>
              <w:rPr>
                <w:sz w:val="22"/>
                <w:szCs w:val="22"/>
              </w:rPr>
              <w:t>1</w:t>
            </w:r>
            <w:r>
              <w:rPr>
                <w:rFonts w:hint="eastAsia"/>
                <w:sz w:val="22"/>
                <w:szCs w:val="22"/>
              </w:rPr>
              <w:t>日以来企业获得先进企业或优秀企业者，省级每项得</w:t>
            </w:r>
            <w:r>
              <w:rPr>
                <w:sz w:val="22"/>
                <w:szCs w:val="22"/>
              </w:rPr>
              <w:t>3</w:t>
            </w:r>
            <w:r>
              <w:rPr>
                <w:rFonts w:hint="eastAsia"/>
                <w:sz w:val="22"/>
                <w:szCs w:val="22"/>
              </w:rPr>
              <w:t>分，市级每项得</w:t>
            </w:r>
            <w:r>
              <w:rPr>
                <w:sz w:val="22"/>
                <w:szCs w:val="22"/>
              </w:rPr>
              <w:t>2</w:t>
            </w:r>
            <w:r>
              <w:rPr>
                <w:rFonts w:hint="eastAsia"/>
                <w:sz w:val="22"/>
                <w:szCs w:val="22"/>
              </w:rPr>
              <w:t>分，最高得</w:t>
            </w:r>
            <w:r>
              <w:rPr>
                <w:sz w:val="22"/>
                <w:szCs w:val="22"/>
              </w:rPr>
              <w:t>5</w:t>
            </w:r>
            <w:r>
              <w:rPr>
                <w:rFonts w:hint="eastAsia"/>
                <w:sz w:val="22"/>
                <w:szCs w:val="22"/>
              </w:rPr>
              <w:t>分（提供证书和同级奖励文件）。</w:t>
            </w:r>
          </w:p>
          <w:p>
            <w:pPr>
              <w:rPr>
                <w:sz w:val="22"/>
                <w:szCs w:val="22"/>
              </w:rPr>
            </w:pPr>
            <w:r>
              <w:rPr>
                <w:sz w:val="22"/>
                <w:szCs w:val="22"/>
              </w:rPr>
              <w:t>2</w:t>
            </w:r>
            <w:r>
              <w:rPr>
                <w:rFonts w:hint="eastAsia"/>
                <w:sz w:val="22"/>
                <w:szCs w:val="22"/>
              </w:rPr>
              <w:t>、项目班子人员配备齐全、合理、各专业人员持证上岗，在</w:t>
            </w:r>
            <w:r>
              <w:rPr>
                <w:sz w:val="22"/>
                <w:szCs w:val="22"/>
              </w:rPr>
              <w:t>0-</w:t>
            </w:r>
            <w:r>
              <w:rPr>
                <w:rFonts w:hint="eastAsia"/>
                <w:sz w:val="22"/>
                <w:szCs w:val="22"/>
              </w:rPr>
              <w:t>6分范围内酌情赋分。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523" w:type="dxa"/>
            <w:gridSpan w:val="2"/>
            <w:vMerge w:val="continue"/>
            <w:vAlign w:val="center"/>
          </w:tcPr>
          <w:p>
            <w:pPr>
              <w:jc w:val="center"/>
              <w:rPr>
                <w:rFonts w:ascii="宋体"/>
                <w:sz w:val="22"/>
                <w:szCs w:val="22"/>
              </w:rPr>
            </w:pPr>
          </w:p>
        </w:tc>
        <w:tc>
          <w:tcPr>
            <w:tcW w:w="1908" w:type="dxa"/>
            <w:vAlign w:val="center"/>
          </w:tcPr>
          <w:p>
            <w:pPr>
              <w:ind w:firstLine="220" w:firstLineChars="100"/>
              <w:jc w:val="center"/>
              <w:rPr>
                <w:rFonts w:ascii="宋体"/>
                <w:kern w:val="0"/>
                <w:sz w:val="22"/>
                <w:szCs w:val="22"/>
              </w:rPr>
            </w:pPr>
            <w:r>
              <w:rPr>
                <w:rFonts w:hint="eastAsia" w:ascii="宋体" w:hAnsi="宋体"/>
                <w:kern w:val="0"/>
                <w:sz w:val="22"/>
                <w:szCs w:val="22"/>
              </w:rPr>
              <w:t>服务承诺</w:t>
            </w:r>
            <w:r>
              <w:rPr>
                <w:rFonts w:ascii="宋体" w:hAnsi="宋体"/>
                <w:kern w:val="0"/>
                <w:sz w:val="22"/>
                <w:szCs w:val="22"/>
              </w:rPr>
              <w:t>1-5</w:t>
            </w:r>
            <w:r>
              <w:rPr>
                <w:rFonts w:hint="eastAsia" w:ascii="宋体" w:hAnsi="宋体"/>
                <w:kern w:val="0"/>
                <w:sz w:val="22"/>
                <w:szCs w:val="22"/>
              </w:rPr>
              <w:t>分</w:t>
            </w:r>
          </w:p>
        </w:tc>
        <w:tc>
          <w:tcPr>
            <w:tcW w:w="5783" w:type="dxa"/>
            <w:vAlign w:val="center"/>
          </w:tcPr>
          <w:p>
            <w:pPr>
              <w:spacing w:line="380" w:lineRule="exact"/>
              <w:rPr>
                <w:sz w:val="22"/>
                <w:szCs w:val="22"/>
              </w:rPr>
            </w:pPr>
            <w:r>
              <w:rPr>
                <w:rFonts w:hint="eastAsia"/>
                <w:sz w:val="22"/>
                <w:szCs w:val="22"/>
              </w:rPr>
              <w:t>评委对各投标人的服务承诺进行对比，在</w:t>
            </w:r>
            <w:r>
              <w:rPr>
                <w:sz w:val="22"/>
                <w:szCs w:val="22"/>
              </w:rPr>
              <w:t>1-5</w:t>
            </w:r>
            <w:r>
              <w:rPr>
                <w:rFonts w:hint="eastAsia"/>
                <w:sz w:val="22"/>
                <w:szCs w:val="22"/>
              </w:rPr>
              <w:t>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1523" w:type="dxa"/>
            <w:gridSpan w:val="2"/>
            <w:vMerge w:val="restart"/>
            <w:vAlign w:val="center"/>
          </w:tcPr>
          <w:p>
            <w:pPr>
              <w:widowControl/>
              <w:spacing w:line="400" w:lineRule="exact"/>
              <w:jc w:val="center"/>
              <w:rPr>
                <w:kern w:val="0"/>
                <w:sz w:val="22"/>
                <w:szCs w:val="22"/>
              </w:rPr>
            </w:pPr>
            <w:r>
              <w:rPr>
                <w:kern w:val="0"/>
                <w:sz w:val="22"/>
                <w:szCs w:val="22"/>
              </w:rPr>
              <w:t>2.2.4</w:t>
            </w:r>
            <w:r>
              <w:rPr>
                <w:rFonts w:hint="eastAsia"/>
                <w:kern w:val="0"/>
                <w:sz w:val="22"/>
                <w:szCs w:val="22"/>
              </w:rPr>
              <w:t>（</w:t>
            </w:r>
            <w:r>
              <w:rPr>
                <w:kern w:val="0"/>
                <w:sz w:val="22"/>
                <w:szCs w:val="22"/>
              </w:rPr>
              <w:t>2</w:t>
            </w:r>
            <w:r>
              <w:rPr>
                <w:rFonts w:hint="eastAsia"/>
                <w:kern w:val="0"/>
                <w:sz w:val="22"/>
                <w:szCs w:val="22"/>
              </w:rPr>
              <w:t>）技术标30分</w:t>
            </w:r>
          </w:p>
        </w:tc>
        <w:tc>
          <w:tcPr>
            <w:tcW w:w="1908" w:type="dxa"/>
            <w:vAlign w:val="center"/>
          </w:tcPr>
          <w:p>
            <w:pPr>
              <w:spacing w:line="360" w:lineRule="exact"/>
              <w:jc w:val="center"/>
              <w:rPr>
                <w:sz w:val="22"/>
                <w:szCs w:val="22"/>
              </w:rPr>
            </w:pPr>
            <w:r>
              <w:rPr>
                <w:rFonts w:hint="eastAsia"/>
                <w:sz w:val="22"/>
                <w:szCs w:val="22"/>
              </w:rPr>
              <w:t>施工方案与技术措施</w:t>
            </w:r>
            <w:r>
              <w:rPr>
                <w:sz w:val="22"/>
                <w:szCs w:val="22"/>
              </w:rPr>
              <w:t>1-6</w:t>
            </w:r>
            <w:r>
              <w:rPr>
                <w:rFonts w:hint="eastAsia"/>
                <w:sz w:val="22"/>
                <w:szCs w:val="22"/>
              </w:rPr>
              <w:t>分</w:t>
            </w:r>
          </w:p>
        </w:tc>
        <w:tc>
          <w:tcPr>
            <w:tcW w:w="5783" w:type="dxa"/>
            <w:vAlign w:val="center"/>
          </w:tcPr>
          <w:p>
            <w:pPr>
              <w:spacing w:line="380" w:lineRule="exact"/>
              <w:rPr>
                <w:sz w:val="22"/>
                <w:szCs w:val="22"/>
              </w:rPr>
            </w:pPr>
            <w:r>
              <w:rPr>
                <w:rFonts w:hint="eastAsia"/>
                <w:sz w:val="22"/>
                <w:szCs w:val="22"/>
              </w:rPr>
              <w:t>根据施工方法的合理性，可实施性的方面进行对比，在</w:t>
            </w:r>
            <w:r>
              <w:rPr>
                <w:sz w:val="22"/>
                <w:szCs w:val="22"/>
              </w:rPr>
              <w:t>1-6</w:t>
            </w:r>
            <w:r>
              <w:rPr>
                <w:rFonts w:hint="eastAsia"/>
                <w:sz w:val="22"/>
                <w:szCs w:val="22"/>
              </w:rPr>
              <w:t>分范围内酌情打分。缺项为</w:t>
            </w:r>
            <w:r>
              <w:rPr>
                <w:sz w:val="22"/>
                <w:szCs w:val="22"/>
              </w:rPr>
              <w:t>0</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质量管理体系与措施</w:t>
            </w:r>
            <w:r>
              <w:rPr>
                <w:sz w:val="22"/>
                <w:szCs w:val="22"/>
              </w:rPr>
              <w:t>1-4</w:t>
            </w:r>
            <w:r>
              <w:rPr>
                <w:rFonts w:hint="eastAsia"/>
                <w:sz w:val="22"/>
                <w:szCs w:val="22"/>
              </w:rPr>
              <w:t>分</w:t>
            </w:r>
          </w:p>
        </w:tc>
        <w:tc>
          <w:tcPr>
            <w:tcW w:w="5783" w:type="dxa"/>
            <w:vAlign w:val="center"/>
          </w:tcPr>
          <w:p>
            <w:pPr>
              <w:spacing w:line="380" w:lineRule="exact"/>
              <w:rPr>
                <w:sz w:val="22"/>
                <w:szCs w:val="22"/>
              </w:rPr>
            </w:pPr>
            <w:r>
              <w:rPr>
                <w:rFonts w:hint="eastAsia"/>
                <w:sz w:val="22"/>
                <w:szCs w:val="22"/>
              </w:rPr>
              <w:t>根据管理体系和措施的合理性，科学性的方面进行对比，在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冬雨季施工方案与技术措施1-4分</w:t>
            </w:r>
          </w:p>
        </w:tc>
        <w:tc>
          <w:tcPr>
            <w:tcW w:w="5783" w:type="dxa"/>
            <w:vAlign w:val="center"/>
          </w:tcPr>
          <w:p>
            <w:pPr>
              <w:spacing w:line="380" w:lineRule="exact"/>
              <w:rPr>
                <w:sz w:val="22"/>
                <w:szCs w:val="22"/>
              </w:rPr>
            </w:pPr>
            <w:r>
              <w:rPr>
                <w:rFonts w:hint="eastAsia"/>
                <w:sz w:val="22"/>
                <w:szCs w:val="22"/>
              </w:rPr>
              <w:t xml:space="preserve"> 根据冬雨季施工方案的合理性、科学性的方面进行对比，在1-4分范围内酌情打分。缺项为0分。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安全管理体系与措施</w:t>
            </w:r>
            <w:r>
              <w:rPr>
                <w:sz w:val="22"/>
                <w:szCs w:val="22"/>
              </w:rPr>
              <w:t>1-4</w:t>
            </w:r>
            <w:r>
              <w:rPr>
                <w:rFonts w:hint="eastAsia"/>
                <w:sz w:val="22"/>
                <w:szCs w:val="22"/>
              </w:rPr>
              <w:t>分</w:t>
            </w:r>
          </w:p>
        </w:tc>
        <w:tc>
          <w:tcPr>
            <w:tcW w:w="5783" w:type="dxa"/>
            <w:vAlign w:val="center"/>
          </w:tcPr>
          <w:p>
            <w:pPr>
              <w:spacing w:line="380" w:lineRule="exact"/>
              <w:rPr>
                <w:sz w:val="22"/>
                <w:szCs w:val="22"/>
              </w:rPr>
            </w:pPr>
            <w:r>
              <w:rPr>
                <w:rFonts w:hint="eastAsia"/>
                <w:sz w:val="22"/>
                <w:szCs w:val="22"/>
              </w:rPr>
              <w:t>根据安全管理体系和措施的合理性，科学性的方面进行对比，在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工程进度计划与措施</w:t>
            </w:r>
            <w:r>
              <w:rPr>
                <w:sz w:val="22"/>
                <w:szCs w:val="22"/>
              </w:rPr>
              <w:t>1-4</w:t>
            </w:r>
            <w:r>
              <w:rPr>
                <w:rFonts w:hint="eastAsia"/>
                <w:sz w:val="22"/>
                <w:szCs w:val="22"/>
              </w:rPr>
              <w:t>分</w:t>
            </w:r>
          </w:p>
        </w:tc>
        <w:tc>
          <w:tcPr>
            <w:tcW w:w="5783" w:type="dxa"/>
            <w:vAlign w:val="center"/>
          </w:tcPr>
          <w:p>
            <w:pPr>
              <w:spacing w:line="380" w:lineRule="exact"/>
              <w:rPr>
                <w:sz w:val="22"/>
                <w:szCs w:val="22"/>
              </w:rPr>
            </w:pPr>
            <w:r>
              <w:rPr>
                <w:rFonts w:hint="eastAsia"/>
                <w:sz w:val="22"/>
                <w:szCs w:val="22"/>
              </w:rPr>
              <w:t>根据计划和措施的合理性，科学性的方面进行对比，在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资源配备计划</w:t>
            </w:r>
            <w:r>
              <w:rPr>
                <w:sz w:val="22"/>
                <w:szCs w:val="22"/>
              </w:rPr>
              <w:t>1-4</w:t>
            </w:r>
            <w:r>
              <w:rPr>
                <w:rFonts w:hint="eastAsia"/>
                <w:sz w:val="22"/>
                <w:szCs w:val="22"/>
              </w:rPr>
              <w:t>分</w:t>
            </w:r>
          </w:p>
        </w:tc>
        <w:tc>
          <w:tcPr>
            <w:tcW w:w="5783" w:type="dxa"/>
            <w:vAlign w:val="center"/>
          </w:tcPr>
          <w:p>
            <w:pPr>
              <w:spacing w:line="380" w:lineRule="exact"/>
              <w:rPr>
                <w:sz w:val="22"/>
                <w:szCs w:val="22"/>
              </w:rPr>
            </w:pPr>
            <w:r>
              <w:rPr>
                <w:rFonts w:hint="eastAsia"/>
                <w:sz w:val="22"/>
                <w:szCs w:val="22"/>
              </w:rPr>
              <w:t>根据配备计划是否合理、科学性的方面进行对比，在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环境保护管理体系与措施</w:t>
            </w:r>
            <w:r>
              <w:rPr>
                <w:sz w:val="22"/>
                <w:szCs w:val="22"/>
              </w:rPr>
              <w:t>1-4</w:t>
            </w:r>
            <w:r>
              <w:rPr>
                <w:rFonts w:hint="eastAsia"/>
                <w:sz w:val="22"/>
                <w:szCs w:val="22"/>
              </w:rPr>
              <w:t>分</w:t>
            </w:r>
          </w:p>
        </w:tc>
        <w:tc>
          <w:tcPr>
            <w:tcW w:w="5783" w:type="dxa"/>
            <w:vAlign w:val="center"/>
          </w:tcPr>
          <w:p>
            <w:pPr>
              <w:spacing w:line="360" w:lineRule="exact"/>
              <w:rPr>
                <w:sz w:val="22"/>
                <w:szCs w:val="22"/>
              </w:rPr>
            </w:pPr>
            <w:r>
              <w:rPr>
                <w:rFonts w:hint="eastAsia"/>
                <w:sz w:val="22"/>
                <w:szCs w:val="22"/>
              </w:rPr>
              <w:t>根据管理体系和措施的合理性，科学性的方面进行对比，在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9214" w:type="dxa"/>
            <w:gridSpan w:val="4"/>
            <w:vAlign w:val="center"/>
          </w:tcPr>
          <w:p>
            <w:pPr>
              <w:spacing w:line="360" w:lineRule="exact"/>
              <w:rPr>
                <w:sz w:val="22"/>
                <w:szCs w:val="22"/>
              </w:rPr>
            </w:pPr>
            <w:r>
              <w:rPr>
                <w:rFonts w:hint="eastAsia"/>
                <w:sz w:val="22"/>
                <w:szCs w:val="22"/>
              </w:rPr>
              <w:t>投标人的最终得分：</w:t>
            </w:r>
            <w:r>
              <w:rPr>
                <w:sz w:val="22"/>
                <w:szCs w:val="22"/>
              </w:rPr>
              <w:t>1</w:t>
            </w:r>
            <w:r>
              <w:rPr>
                <w:rFonts w:hint="eastAsia"/>
                <w:sz w:val="22"/>
                <w:szCs w:val="22"/>
              </w:rPr>
              <w:t>、评标委员会由</w:t>
            </w:r>
            <w:r>
              <w:rPr>
                <w:sz w:val="22"/>
                <w:szCs w:val="22"/>
              </w:rPr>
              <w:t>7</w:t>
            </w:r>
            <w:r>
              <w:rPr>
                <w:rFonts w:hint="eastAsia"/>
                <w:sz w:val="22"/>
                <w:szCs w:val="22"/>
              </w:rPr>
              <w:t>名评委组成时，投标人最终得分</w:t>
            </w:r>
            <w:r>
              <w:rPr>
                <w:sz w:val="22"/>
                <w:szCs w:val="22"/>
              </w:rPr>
              <w:t>=</w:t>
            </w:r>
            <w:r>
              <w:rPr>
                <w:rFonts w:hint="eastAsia"/>
                <w:sz w:val="22"/>
                <w:szCs w:val="22"/>
              </w:rPr>
              <w:t>所有评委打分去掉一个最高一个最低后算术平均值；</w:t>
            </w:r>
          </w:p>
          <w:p>
            <w:pPr>
              <w:rPr>
                <w:sz w:val="22"/>
                <w:szCs w:val="22"/>
              </w:rPr>
            </w:pPr>
            <w:r>
              <w:rPr>
                <w:sz w:val="22"/>
                <w:szCs w:val="22"/>
              </w:rPr>
              <w:t>2</w:t>
            </w:r>
            <w:r>
              <w:rPr>
                <w:rFonts w:hint="eastAsia"/>
                <w:sz w:val="22"/>
                <w:szCs w:val="22"/>
              </w:rPr>
              <w:t>、本办法计算过程中分值按四舍五入保留三位小数，结果按四舍五入保留两位小数。</w:t>
            </w:r>
          </w:p>
          <w:p>
            <w:pPr>
              <w:rPr>
                <w:rFonts w:ascii="宋体"/>
                <w:sz w:val="22"/>
                <w:szCs w:val="22"/>
              </w:rPr>
            </w:pPr>
            <w:r>
              <w:rPr>
                <w:rFonts w:hint="eastAsia"/>
                <w:sz w:val="22"/>
                <w:szCs w:val="22"/>
              </w:rPr>
              <w:t>3、</w:t>
            </w:r>
            <w:r>
              <w:rPr>
                <w:sz w:val="22"/>
                <w:szCs w:val="22"/>
              </w:rPr>
              <w:t>上述规定</w:t>
            </w:r>
            <w:r>
              <w:rPr>
                <w:rFonts w:hint="eastAsia"/>
                <w:sz w:val="22"/>
                <w:szCs w:val="22"/>
              </w:rPr>
              <w:t>在投标文件中附复印件的资料</w:t>
            </w:r>
            <w:r>
              <w:rPr>
                <w:sz w:val="22"/>
                <w:szCs w:val="22"/>
              </w:rPr>
              <w:t>，</w:t>
            </w:r>
            <w:r>
              <w:rPr>
                <w:rFonts w:hint="eastAsia"/>
                <w:sz w:val="22"/>
                <w:szCs w:val="22"/>
              </w:rPr>
              <w:t>以投标文件所附复印件为准</w:t>
            </w:r>
            <w:r>
              <w:rPr>
                <w:sz w:val="22"/>
                <w:szCs w:val="22"/>
              </w:rPr>
              <w:t>。</w:t>
            </w:r>
          </w:p>
        </w:tc>
      </w:tr>
    </w:tbl>
    <w:p>
      <w:pPr>
        <w:pStyle w:val="5"/>
        <w:pageBreakBefore w:val="0"/>
        <w:widowControl w:val="0"/>
        <w:kinsoku/>
        <w:wordWrap/>
        <w:overflowPunct/>
        <w:topLinePunct w:val="0"/>
        <w:autoSpaceDE/>
        <w:autoSpaceDN/>
        <w:bidi w:val="0"/>
        <w:adjustRightInd/>
        <w:snapToGrid/>
        <w:spacing w:line="360" w:lineRule="auto"/>
        <w:textAlignment w:val="auto"/>
        <w:rPr>
          <w:sz w:val="28"/>
        </w:rPr>
      </w:pPr>
      <w:r>
        <w:rPr>
          <w:rFonts w:hint="eastAsia"/>
          <w:sz w:val="28"/>
        </w:rPr>
        <w:t>1. 评标方法</w:t>
      </w:r>
      <w:bookmarkEnd w:id="49"/>
      <w:bookmarkEnd w:id="50"/>
    </w:p>
    <w:p>
      <w:pPr>
        <w:pageBreakBefore w:val="0"/>
        <w:widowControl w:val="0"/>
        <w:kinsoku/>
        <w:wordWrap/>
        <w:overflowPunct/>
        <w:topLinePunct w:val="0"/>
        <w:autoSpaceDE/>
        <w:autoSpaceDN/>
        <w:bidi w:val="0"/>
        <w:adjustRightInd/>
        <w:snapToGrid/>
        <w:spacing w:line="360" w:lineRule="auto"/>
        <w:ind w:firstLine="440" w:firstLineChars="200"/>
        <w:textAlignment w:val="auto"/>
        <w:rPr>
          <w:sz w:val="22"/>
        </w:rPr>
      </w:pPr>
      <w:r>
        <w:rPr>
          <w:rFonts w:hint="eastAsia"/>
          <w:sz w:val="22"/>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自行确定。</w:t>
      </w:r>
      <w:bookmarkStart w:id="52" w:name="_Toc179632619"/>
      <w:bookmarkStart w:id="53" w:name="_Toc364931957"/>
      <w:bookmarkStart w:id="54" w:name="_Toc144974568"/>
      <w:bookmarkStart w:id="55" w:name="_Toc152045601"/>
      <w:bookmarkStart w:id="56" w:name="_Toc152042378"/>
    </w:p>
    <w:p>
      <w:pPr>
        <w:pStyle w:val="5"/>
        <w:pageBreakBefore w:val="0"/>
        <w:widowControl w:val="0"/>
        <w:kinsoku/>
        <w:wordWrap/>
        <w:overflowPunct/>
        <w:topLinePunct w:val="0"/>
        <w:bidi w:val="0"/>
        <w:snapToGrid/>
        <w:spacing w:line="360" w:lineRule="auto"/>
        <w:textAlignment w:val="auto"/>
        <w:rPr>
          <w:sz w:val="28"/>
        </w:rPr>
      </w:pPr>
      <w:bookmarkStart w:id="57" w:name="_Toc430026936"/>
      <w:r>
        <w:rPr>
          <w:rFonts w:hint="eastAsia"/>
          <w:sz w:val="28"/>
        </w:rPr>
        <w:t>2. 评审标准</w:t>
      </w:r>
      <w:bookmarkEnd w:id="52"/>
      <w:bookmarkEnd w:id="53"/>
      <w:bookmarkEnd w:id="54"/>
      <w:bookmarkEnd w:id="55"/>
      <w:bookmarkEnd w:id="56"/>
      <w:bookmarkEnd w:id="57"/>
    </w:p>
    <w:p>
      <w:pPr>
        <w:pageBreakBefore w:val="0"/>
        <w:widowControl w:val="0"/>
        <w:kinsoku/>
        <w:wordWrap/>
        <w:overflowPunct/>
        <w:topLinePunct w:val="0"/>
        <w:autoSpaceDE w:val="0"/>
        <w:autoSpaceDN w:val="0"/>
        <w:bidi w:val="0"/>
        <w:adjustRightInd w:val="0"/>
        <w:snapToGrid/>
        <w:spacing w:line="360" w:lineRule="auto"/>
        <w:ind w:right="-20"/>
        <w:jc w:val="left"/>
        <w:textAlignment w:val="auto"/>
        <w:rPr>
          <w:b/>
          <w:kern w:val="0"/>
          <w:sz w:val="22"/>
        </w:rPr>
      </w:pPr>
      <w:bookmarkStart w:id="58" w:name="_Toc144974569"/>
      <w:bookmarkStart w:id="59" w:name="_Toc152042379"/>
      <w:bookmarkStart w:id="60" w:name="_Toc179632620"/>
      <w:bookmarkStart w:id="61" w:name="_Toc152045602"/>
      <w:r>
        <w:rPr>
          <w:rFonts w:hint="eastAsia"/>
          <w:b/>
          <w:kern w:val="0"/>
          <w:sz w:val="22"/>
        </w:rPr>
        <w:t>2.1 初步评审标准</w:t>
      </w:r>
      <w:bookmarkEnd w:id="58"/>
      <w:bookmarkEnd w:id="59"/>
      <w:bookmarkEnd w:id="60"/>
      <w:bookmarkEnd w:id="61"/>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2.1.1 形式评审标准：见评标办法前附表。</w:t>
      </w:r>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2.1.2 资格评审标准：见评标办法前附表。</w:t>
      </w:r>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2.1.3 响应性评审标准：见评标办法前附表。</w:t>
      </w:r>
    </w:p>
    <w:p>
      <w:pPr>
        <w:pageBreakBefore w:val="0"/>
        <w:widowControl w:val="0"/>
        <w:kinsoku/>
        <w:wordWrap/>
        <w:overflowPunct/>
        <w:topLinePunct w:val="0"/>
        <w:autoSpaceDE w:val="0"/>
        <w:autoSpaceDN w:val="0"/>
        <w:bidi w:val="0"/>
        <w:adjustRightInd w:val="0"/>
        <w:snapToGrid/>
        <w:spacing w:line="360" w:lineRule="auto"/>
        <w:ind w:right="-20"/>
        <w:jc w:val="left"/>
        <w:textAlignment w:val="auto"/>
        <w:rPr>
          <w:rFonts w:cs="MingLiU"/>
          <w:b/>
          <w:kern w:val="0"/>
          <w:sz w:val="22"/>
        </w:rPr>
      </w:pPr>
      <w:bookmarkStart w:id="62" w:name="_Toc152045604"/>
      <w:bookmarkStart w:id="63" w:name="_Toc179632622"/>
      <w:bookmarkStart w:id="64" w:name="_Toc152042381"/>
      <w:bookmarkStart w:id="65" w:name="_Toc144974571"/>
      <w:r>
        <w:rPr>
          <w:b/>
          <w:kern w:val="0"/>
          <w:sz w:val="22"/>
        </w:rPr>
        <w:t xml:space="preserve">2.2 </w:t>
      </w:r>
      <w:r>
        <w:rPr>
          <w:rFonts w:hint="eastAsia" w:cs="MingLiU"/>
          <w:b/>
          <w:kern w:val="0"/>
          <w:sz w:val="22"/>
        </w:rPr>
        <w:t>分值构成与评分标准</w:t>
      </w:r>
    </w:p>
    <w:p>
      <w:pPr>
        <w:pageBreakBefore w:val="0"/>
        <w:widowControl w:val="0"/>
        <w:kinsoku/>
        <w:wordWrap/>
        <w:overflowPunct/>
        <w:topLinePunct w:val="0"/>
        <w:autoSpaceDE w:val="0"/>
        <w:autoSpaceDN w:val="0"/>
        <w:bidi w:val="0"/>
        <w:adjustRightInd w:val="0"/>
        <w:snapToGrid/>
        <w:spacing w:line="360" w:lineRule="auto"/>
        <w:ind w:right="-23" w:firstLine="444" w:firstLineChars="200"/>
        <w:jc w:val="left"/>
        <w:textAlignment w:val="auto"/>
        <w:rPr>
          <w:kern w:val="0"/>
          <w:sz w:val="22"/>
        </w:rPr>
      </w:pPr>
      <w:r>
        <w:rPr>
          <w:spacing w:val="1"/>
          <w:kern w:val="0"/>
          <w:sz w:val="22"/>
        </w:rPr>
        <w:t>2</w:t>
      </w:r>
      <w:r>
        <w:rPr>
          <w:kern w:val="0"/>
          <w:sz w:val="22"/>
        </w:rPr>
        <w:t>.2.1 分值</w:t>
      </w:r>
      <w:r>
        <w:rPr>
          <w:spacing w:val="-1"/>
          <w:kern w:val="0"/>
          <w:sz w:val="22"/>
        </w:rPr>
        <w:t>构</w:t>
      </w:r>
      <w:r>
        <w:rPr>
          <w:kern w:val="0"/>
          <w:sz w:val="22"/>
        </w:rPr>
        <w:t>成</w:t>
      </w:r>
    </w:p>
    <w:p>
      <w:pPr>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kern w:val="0"/>
          <w:sz w:val="22"/>
        </w:rPr>
      </w:pPr>
      <w:r>
        <w:rPr>
          <w:kern w:val="0"/>
          <w:sz w:val="22"/>
        </w:rPr>
        <w:t>分值</w:t>
      </w:r>
      <w:r>
        <w:rPr>
          <w:spacing w:val="-1"/>
          <w:kern w:val="0"/>
          <w:sz w:val="22"/>
        </w:rPr>
        <w:t>构</w:t>
      </w:r>
      <w:r>
        <w:rPr>
          <w:kern w:val="0"/>
          <w:sz w:val="22"/>
        </w:rPr>
        <w:t>成</w:t>
      </w:r>
      <w:r>
        <w:rPr>
          <w:rFonts w:hint="eastAsia"/>
          <w:kern w:val="0"/>
          <w:sz w:val="22"/>
        </w:rPr>
        <w:t>：</w:t>
      </w:r>
      <w:r>
        <w:rPr>
          <w:kern w:val="0"/>
          <w:sz w:val="22"/>
        </w:rPr>
        <w:t>见评标办法前附表</w:t>
      </w:r>
      <w:r>
        <w:rPr>
          <w:rFonts w:hint="eastAsia"/>
          <w:kern w:val="0"/>
          <w:sz w:val="22"/>
        </w:rPr>
        <w:t>。</w:t>
      </w:r>
    </w:p>
    <w:p>
      <w:pPr>
        <w:pageBreakBefore w:val="0"/>
        <w:widowControl w:val="0"/>
        <w:kinsoku/>
        <w:wordWrap/>
        <w:overflowPunct/>
        <w:topLinePunct w:val="0"/>
        <w:autoSpaceDE w:val="0"/>
        <w:autoSpaceDN w:val="0"/>
        <w:bidi w:val="0"/>
        <w:adjustRightInd w:val="0"/>
        <w:snapToGrid/>
        <w:spacing w:line="360" w:lineRule="auto"/>
        <w:ind w:right="-23" w:firstLine="444" w:firstLineChars="200"/>
        <w:jc w:val="left"/>
        <w:textAlignment w:val="auto"/>
        <w:rPr>
          <w:rFonts w:cs="MingLiU"/>
          <w:kern w:val="0"/>
          <w:sz w:val="22"/>
        </w:rPr>
      </w:pPr>
      <w:r>
        <w:rPr>
          <w:spacing w:val="1"/>
          <w:kern w:val="0"/>
          <w:sz w:val="22"/>
        </w:rPr>
        <w:t>2</w:t>
      </w:r>
      <w:r>
        <w:rPr>
          <w:kern w:val="0"/>
          <w:sz w:val="22"/>
        </w:rPr>
        <w:t xml:space="preserve">.2.2 </w:t>
      </w:r>
      <w:r>
        <w:rPr>
          <w:rFonts w:hint="eastAsia" w:cs="MingLiU"/>
          <w:kern w:val="0"/>
          <w:sz w:val="22"/>
        </w:rPr>
        <w:t>评标</w:t>
      </w:r>
      <w:r>
        <w:rPr>
          <w:rFonts w:hint="eastAsia" w:cs="MingLiU"/>
          <w:spacing w:val="-1"/>
          <w:kern w:val="0"/>
          <w:sz w:val="22"/>
        </w:rPr>
        <w:t>基</w:t>
      </w:r>
      <w:r>
        <w:rPr>
          <w:rFonts w:hint="eastAsia" w:cs="MingLiU"/>
          <w:kern w:val="0"/>
          <w:sz w:val="22"/>
        </w:rPr>
        <w:t>准价计算</w:t>
      </w:r>
    </w:p>
    <w:p>
      <w:pPr>
        <w:pageBreakBefore w:val="0"/>
        <w:widowControl w:val="0"/>
        <w:kinsoku/>
        <w:wordWrap/>
        <w:overflowPunct/>
        <w:topLinePunct w:val="0"/>
        <w:autoSpaceDE w:val="0"/>
        <w:autoSpaceDN w:val="0"/>
        <w:bidi w:val="0"/>
        <w:adjustRightInd w:val="0"/>
        <w:snapToGrid/>
        <w:spacing w:line="360" w:lineRule="auto"/>
        <w:ind w:right="-23" w:firstLine="440" w:firstLineChars="200"/>
        <w:jc w:val="left"/>
        <w:textAlignment w:val="auto"/>
        <w:rPr>
          <w:rFonts w:cs="MingLiU"/>
          <w:kern w:val="0"/>
          <w:sz w:val="22"/>
        </w:rPr>
      </w:pPr>
      <w:r>
        <w:rPr>
          <w:rFonts w:hint="eastAsia" w:cs="MingLiU"/>
          <w:kern w:val="0"/>
          <w:sz w:val="22"/>
        </w:rPr>
        <w:t>评标基准价计算方法：见评标办法前附表。</w:t>
      </w:r>
    </w:p>
    <w:p>
      <w:pPr>
        <w:pageBreakBefore w:val="0"/>
        <w:widowControl w:val="0"/>
        <w:kinsoku/>
        <w:wordWrap/>
        <w:overflowPunct/>
        <w:topLinePunct w:val="0"/>
        <w:autoSpaceDE w:val="0"/>
        <w:autoSpaceDN w:val="0"/>
        <w:bidi w:val="0"/>
        <w:adjustRightInd w:val="0"/>
        <w:snapToGrid/>
        <w:spacing w:line="360" w:lineRule="auto"/>
        <w:ind w:firstLine="444" w:firstLineChars="200"/>
        <w:jc w:val="left"/>
        <w:textAlignment w:val="auto"/>
        <w:rPr>
          <w:rFonts w:cs="MingLiU"/>
          <w:kern w:val="0"/>
          <w:sz w:val="22"/>
        </w:rPr>
      </w:pPr>
      <w:r>
        <w:rPr>
          <w:spacing w:val="1"/>
          <w:kern w:val="0"/>
          <w:sz w:val="22"/>
        </w:rPr>
        <w:t>2</w:t>
      </w:r>
      <w:r>
        <w:rPr>
          <w:kern w:val="0"/>
          <w:sz w:val="22"/>
        </w:rPr>
        <w:t>.2.3</w:t>
      </w:r>
      <w:r>
        <w:rPr>
          <w:rFonts w:hint="eastAsia"/>
          <w:kern w:val="0"/>
          <w:sz w:val="22"/>
        </w:rPr>
        <w:t xml:space="preserve"> </w:t>
      </w:r>
      <w:r>
        <w:rPr>
          <w:rFonts w:hint="eastAsia" w:cs="MingLiU"/>
          <w:kern w:val="0"/>
          <w:sz w:val="22"/>
        </w:rPr>
        <w:t>投标</w:t>
      </w:r>
      <w:r>
        <w:rPr>
          <w:rFonts w:hint="eastAsia" w:cs="MingLiU"/>
          <w:spacing w:val="-1"/>
          <w:kern w:val="0"/>
          <w:sz w:val="22"/>
        </w:rPr>
        <w:t>报</w:t>
      </w:r>
      <w:r>
        <w:rPr>
          <w:rFonts w:hint="eastAsia" w:cs="MingLiU"/>
          <w:kern w:val="0"/>
          <w:sz w:val="22"/>
        </w:rPr>
        <w:t>价的偏差率计算</w:t>
      </w:r>
    </w:p>
    <w:p>
      <w:pPr>
        <w:pageBreakBefore w:val="0"/>
        <w:widowControl w:val="0"/>
        <w:kinsoku/>
        <w:wordWrap/>
        <w:overflowPunct/>
        <w:topLinePunct w:val="0"/>
        <w:autoSpaceDE w:val="0"/>
        <w:autoSpaceDN w:val="0"/>
        <w:bidi w:val="0"/>
        <w:adjustRightInd w:val="0"/>
        <w:snapToGrid/>
        <w:spacing w:line="360" w:lineRule="auto"/>
        <w:ind w:firstLine="440" w:firstLineChars="200"/>
        <w:jc w:val="left"/>
        <w:textAlignment w:val="auto"/>
        <w:rPr>
          <w:rFonts w:cs="MingLiU"/>
          <w:kern w:val="0"/>
          <w:sz w:val="22"/>
        </w:rPr>
      </w:pPr>
      <w:r>
        <w:rPr>
          <w:rFonts w:hint="eastAsia" w:cs="MingLiU"/>
          <w:kern w:val="0"/>
          <w:sz w:val="22"/>
        </w:rPr>
        <w:t>投标报价的偏差率计算公式：见评标办法前附表。</w:t>
      </w:r>
    </w:p>
    <w:p>
      <w:pPr>
        <w:pageBreakBefore w:val="0"/>
        <w:widowControl w:val="0"/>
        <w:kinsoku/>
        <w:wordWrap/>
        <w:overflowPunct/>
        <w:topLinePunct w:val="0"/>
        <w:autoSpaceDE w:val="0"/>
        <w:autoSpaceDN w:val="0"/>
        <w:bidi w:val="0"/>
        <w:adjustRightInd w:val="0"/>
        <w:snapToGrid/>
        <w:spacing w:line="360" w:lineRule="auto"/>
        <w:ind w:firstLine="444" w:firstLineChars="200"/>
        <w:jc w:val="left"/>
        <w:textAlignment w:val="auto"/>
        <w:rPr>
          <w:rFonts w:cs="MingLiU"/>
          <w:kern w:val="0"/>
          <w:sz w:val="22"/>
        </w:rPr>
      </w:pPr>
      <w:r>
        <w:rPr>
          <w:spacing w:val="1"/>
          <w:kern w:val="0"/>
          <w:sz w:val="22"/>
        </w:rPr>
        <w:t>2</w:t>
      </w:r>
      <w:r>
        <w:rPr>
          <w:kern w:val="0"/>
          <w:sz w:val="22"/>
        </w:rPr>
        <w:t xml:space="preserve">.2.4 </w:t>
      </w:r>
      <w:r>
        <w:rPr>
          <w:rFonts w:hint="eastAsia" w:cs="MingLiU"/>
          <w:kern w:val="0"/>
          <w:sz w:val="22"/>
        </w:rPr>
        <w:t>评审</w:t>
      </w:r>
      <w:r>
        <w:rPr>
          <w:rFonts w:hint="eastAsia" w:cs="MingLiU"/>
          <w:spacing w:val="-1"/>
          <w:kern w:val="0"/>
          <w:sz w:val="22"/>
        </w:rPr>
        <w:t>标</w:t>
      </w:r>
      <w:r>
        <w:rPr>
          <w:rFonts w:hint="eastAsia" w:cs="MingLiU"/>
          <w:kern w:val="0"/>
          <w:sz w:val="22"/>
        </w:rPr>
        <w:t>准</w:t>
      </w:r>
    </w:p>
    <w:p>
      <w:pPr>
        <w:pageBreakBefore w:val="0"/>
        <w:widowControl w:val="0"/>
        <w:kinsoku/>
        <w:wordWrap/>
        <w:overflowPunct/>
        <w:topLinePunct w:val="0"/>
        <w:autoSpaceDE w:val="0"/>
        <w:autoSpaceDN w:val="0"/>
        <w:bidi w:val="0"/>
        <w:adjustRightInd w:val="0"/>
        <w:snapToGrid/>
        <w:spacing w:line="360" w:lineRule="auto"/>
        <w:ind w:firstLine="440" w:firstLineChars="200"/>
        <w:jc w:val="left"/>
        <w:textAlignment w:val="auto"/>
        <w:rPr>
          <w:rFonts w:cs="MingLiU"/>
          <w:kern w:val="0"/>
          <w:sz w:val="22"/>
        </w:rPr>
      </w:pPr>
      <w:r>
        <w:rPr>
          <w:rFonts w:hint="eastAsia" w:cs="MingLiU"/>
          <w:kern w:val="0"/>
          <w:sz w:val="22"/>
        </w:rPr>
        <w:t>评审</w:t>
      </w:r>
      <w:r>
        <w:rPr>
          <w:rFonts w:hint="eastAsia" w:cs="MingLiU"/>
          <w:spacing w:val="-1"/>
          <w:kern w:val="0"/>
          <w:sz w:val="22"/>
        </w:rPr>
        <w:t>标</w:t>
      </w:r>
      <w:r>
        <w:rPr>
          <w:rFonts w:hint="eastAsia" w:cs="MingLiU"/>
          <w:kern w:val="0"/>
          <w:sz w:val="22"/>
        </w:rPr>
        <w:t>准：见评标办法前附表</w:t>
      </w:r>
      <w:bookmarkStart w:id="66" w:name="_Toc364931958"/>
      <w:r>
        <w:rPr>
          <w:rFonts w:hint="eastAsia" w:cs="MingLiU"/>
          <w:kern w:val="0"/>
          <w:sz w:val="22"/>
        </w:rPr>
        <w:t>。</w:t>
      </w:r>
    </w:p>
    <w:p>
      <w:pPr>
        <w:pStyle w:val="5"/>
        <w:pageBreakBefore w:val="0"/>
        <w:widowControl w:val="0"/>
        <w:kinsoku/>
        <w:wordWrap/>
        <w:overflowPunct/>
        <w:topLinePunct w:val="0"/>
        <w:bidi w:val="0"/>
        <w:snapToGrid/>
        <w:spacing w:line="360" w:lineRule="auto"/>
        <w:textAlignment w:val="auto"/>
        <w:rPr>
          <w:sz w:val="28"/>
        </w:rPr>
      </w:pPr>
      <w:bookmarkStart w:id="67" w:name="_Toc430026937"/>
      <w:r>
        <w:rPr>
          <w:rFonts w:hint="eastAsia"/>
          <w:sz w:val="28"/>
        </w:rPr>
        <w:t>3. 评标程序</w:t>
      </w:r>
      <w:bookmarkEnd w:id="62"/>
      <w:bookmarkEnd w:id="63"/>
      <w:bookmarkEnd w:id="64"/>
      <w:bookmarkEnd w:id="65"/>
      <w:bookmarkEnd w:id="66"/>
      <w:bookmarkEnd w:id="67"/>
    </w:p>
    <w:p>
      <w:pPr>
        <w:pageBreakBefore w:val="0"/>
        <w:widowControl w:val="0"/>
        <w:kinsoku/>
        <w:wordWrap/>
        <w:overflowPunct/>
        <w:topLinePunct w:val="0"/>
        <w:bidi w:val="0"/>
        <w:snapToGrid/>
        <w:spacing w:line="360" w:lineRule="auto"/>
        <w:textAlignment w:val="auto"/>
        <w:rPr>
          <w:b/>
          <w:sz w:val="22"/>
        </w:rPr>
      </w:pPr>
      <w:bookmarkStart w:id="68" w:name="_Toc179632623"/>
      <w:bookmarkStart w:id="69" w:name="_Toc152042382"/>
      <w:bookmarkStart w:id="70" w:name="_Toc144974572"/>
      <w:bookmarkStart w:id="71" w:name="_Toc152045605"/>
      <w:r>
        <w:rPr>
          <w:rFonts w:hint="eastAsia"/>
          <w:b/>
          <w:sz w:val="22"/>
        </w:rPr>
        <w:t>3.1 初步评审</w:t>
      </w:r>
      <w:bookmarkEnd w:id="68"/>
      <w:bookmarkEnd w:id="69"/>
      <w:bookmarkEnd w:id="70"/>
      <w:bookmarkEnd w:id="71"/>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3.1.1 评标委员会可以要求投标人提交第二章“投标人须知”第3.5.1项至第3.5.5项规定的有关证明，以便核验。评标委员会依据本章第2.1款规定的标准对投标文件进行初步评审。有一项不符合评审标准的，作废标处理。</w:t>
      </w:r>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3.1.2 投标人有以下情形之一的，其投标作废标处理：</w:t>
      </w:r>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（1）第二章“投标人须知”第1.4.3项规定的任何一种情形的；</w:t>
      </w:r>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（2）串通投标或弄虚作假或有其他违法行为的；</w:t>
      </w:r>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（3）不按评标委员会要求澄清、说明或补正的。</w:t>
      </w:r>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3.1.3投标报价有算术错误的，评标委员会按以下原则对投标报价进行修正，修正的价格经投标人书面确认后具有约束力。投标人不接受修正价格的，其投标作废标处理。</w:t>
      </w:r>
      <w:bookmarkStart w:id="72" w:name="_Toc152042383"/>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（1）投标文件中的大写金额与小写金额不一致的，以大写金额为准；</w:t>
      </w:r>
      <w:bookmarkEnd w:id="72"/>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（2）总价金额与依据单价计算出的结果不一致的，以单价金额为准修正总价，但单价金额小数点有明显错误的除外。</w:t>
      </w:r>
    </w:p>
    <w:p>
      <w:pPr>
        <w:pageBreakBefore w:val="0"/>
        <w:widowControl w:val="0"/>
        <w:kinsoku/>
        <w:wordWrap/>
        <w:overflowPunct/>
        <w:topLinePunct w:val="0"/>
        <w:bidi w:val="0"/>
        <w:snapToGrid/>
        <w:spacing w:line="360" w:lineRule="auto"/>
        <w:textAlignment w:val="auto"/>
        <w:rPr>
          <w:b/>
          <w:sz w:val="22"/>
        </w:rPr>
      </w:pPr>
      <w:bookmarkStart w:id="73" w:name="_Toc152045606"/>
      <w:bookmarkStart w:id="74" w:name="_Toc152042384"/>
      <w:bookmarkStart w:id="75" w:name="_Toc179632624"/>
      <w:bookmarkStart w:id="76" w:name="_Toc144974573"/>
      <w:r>
        <w:rPr>
          <w:rFonts w:hint="eastAsia"/>
          <w:b/>
          <w:sz w:val="22"/>
        </w:rPr>
        <w:t>3.2 详细评审</w:t>
      </w:r>
      <w:bookmarkEnd w:id="73"/>
      <w:bookmarkEnd w:id="74"/>
      <w:bookmarkEnd w:id="75"/>
      <w:bookmarkEnd w:id="76"/>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3.2.1 评标委员会按本章第2.2款规定的量化因素和分值进行打分，并计算出综合评估得分。</w:t>
      </w:r>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3.2.2 评分分值计算保留小数点后两位，小数点后第三位“四舍五入”。</w:t>
      </w:r>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3.2.3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pageBreakBefore w:val="0"/>
        <w:widowControl w:val="0"/>
        <w:kinsoku/>
        <w:wordWrap/>
        <w:overflowPunct/>
        <w:topLinePunct w:val="0"/>
        <w:bidi w:val="0"/>
        <w:snapToGrid/>
        <w:spacing w:line="360" w:lineRule="auto"/>
        <w:textAlignment w:val="auto"/>
        <w:rPr>
          <w:b/>
          <w:sz w:val="22"/>
        </w:rPr>
      </w:pPr>
      <w:bookmarkStart w:id="77" w:name="_Toc144974575"/>
      <w:bookmarkStart w:id="78" w:name="_Toc152042385"/>
      <w:bookmarkStart w:id="79" w:name="_Toc179632625"/>
      <w:bookmarkStart w:id="80" w:name="_Toc152045607"/>
      <w:r>
        <w:rPr>
          <w:rFonts w:hint="eastAsia"/>
          <w:b/>
          <w:sz w:val="22"/>
        </w:rPr>
        <w:t>3.3 投标文件的澄清</w:t>
      </w:r>
      <w:bookmarkEnd w:id="77"/>
      <w:r>
        <w:rPr>
          <w:rFonts w:hint="eastAsia"/>
          <w:b/>
          <w:sz w:val="22"/>
        </w:rPr>
        <w:t>和补正</w:t>
      </w:r>
      <w:bookmarkEnd w:id="78"/>
      <w:bookmarkEnd w:id="79"/>
      <w:bookmarkEnd w:id="80"/>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3.3.1在评标过程中，评标委员会可以书面形式要求投标人对所提交投标文件中不明确的内容进行书面澄清或说明，或者对细微偏差进行补正。评标委员会不接受投标人主动提出的澄清、说明或补正。</w:t>
      </w:r>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3.3.2 澄清、说明和补正不得改变投标文件的实质性内容（算术性错误修正的除外）。投标人的书面澄清、说明和补正属于投标文件的组成部分。</w:t>
      </w:r>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3.3.3 评标委员会对投标人提交的澄清、说明或补正有疑问的，可以要求投标人进一步澄清、说明或补正，直至满足评标委员会的要求。</w:t>
      </w:r>
    </w:p>
    <w:p>
      <w:pPr>
        <w:pageBreakBefore w:val="0"/>
        <w:widowControl w:val="0"/>
        <w:kinsoku/>
        <w:wordWrap/>
        <w:overflowPunct/>
        <w:topLinePunct w:val="0"/>
        <w:bidi w:val="0"/>
        <w:snapToGrid/>
        <w:spacing w:line="360" w:lineRule="auto"/>
        <w:textAlignment w:val="auto"/>
        <w:rPr>
          <w:b/>
          <w:sz w:val="22"/>
        </w:rPr>
      </w:pPr>
      <w:bookmarkStart w:id="81" w:name="_Toc152045608"/>
      <w:bookmarkStart w:id="82" w:name="_Toc144974576"/>
      <w:bookmarkStart w:id="83" w:name="_Toc179632626"/>
      <w:bookmarkStart w:id="84" w:name="_Toc152042386"/>
      <w:r>
        <w:rPr>
          <w:rFonts w:hint="eastAsia"/>
          <w:b/>
          <w:sz w:val="22"/>
        </w:rPr>
        <w:t>3.4 评标结果</w:t>
      </w:r>
      <w:bookmarkEnd w:id="81"/>
      <w:bookmarkEnd w:id="82"/>
      <w:bookmarkEnd w:id="83"/>
      <w:bookmarkEnd w:id="84"/>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3.4.1 除第二章“投标人须知”前附表授权直接确定中标人外，评标委员会按照得分由高到低的顺序推荐中标候选人。</w:t>
      </w:r>
    </w:p>
    <w:p>
      <w:pPr>
        <w:pageBreakBefore w:val="0"/>
        <w:widowControl w:val="0"/>
        <w:kinsoku/>
        <w:wordWrap/>
        <w:overflowPunct/>
        <w:topLinePunct w:val="0"/>
        <w:bidi w:val="0"/>
        <w:snapToGrid/>
        <w:spacing w:line="360" w:lineRule="auto"/>
        <w:ind w:firstLine="440" w:firstLineChars="200"/>
        <w:textAlignment w:val="auto"/>
        <w:rPr>
          <w:sz w:val="22"/>
        </w:rPr>
      </w:pPr>
      <w:r>
        <w:rPr>
          <w:rFonts w:hint="eastAsia"/>
          <w:sz w:val="22"/>
        </w:rPr>
        <w:t>3.4.2 评标委员会完成评标后，应当向招标人提交书面评标报告。</w:t>
      </w:r>
    </w:p>
    <w:p/>
    <w:p/>
    <w:p/>
    <w:p>
      <w:pPr>
        <w:widowControl/>
        <w:jc w:val="left"/>
      </w:pPr>
      <w:bookmarkStart w:id="85" w:name="_Toc426467388"/>
      <w:r>
        <w:br w:type="page"/>
      </w:r>
    </w:p>
    <w:p>
      <w:pPr>
        <w:spacing w:line="360" w:lineRule="auto"/>
        <w:jc w:val="center"/>
        <w:outlineLvl w:val="1"/>
        <w:rPr>
          <w:rFonts w:ascii="宋体" w:hAnsi="宋体" w:cs="宋体"/>
          <w:b/>
          <w:sz w:val="48"/>
          <w:szCs w:val="48"/>
        </w:rPr>
      </w:pPr>
    </w:p>
    <w:p>
      <w:pPr>
        <w:spacing w:line="360" w:lineRule="auto"/>
        <w:jc w:val="center"/>
        <w:outlineLvl w:val="1"/>
        <w:rPr>
          <w:rFonts w:ascii="宋体" w:hAnsi="宋体" w:cs="宋体"/>
          <w:sz w:val="24"/>
          <w:szCs w:val="24"/>
        </w:rPr>
      </w:pPr>
      <w:r>
        <w:rPr>
          <w:rFonts w:hint="eastAsia" w:ascii="宋体" w:hAnsi="宋体" w:cs="宋体"/>
          <w:b/>
          <w:sz w:val="48"/>
          <w:szCs w:val="48"/>
        </w:rPr>
        <w:t>第四章 合同条款及格式</w:t>
      </w:r>
      <w:bookmarkEnd w:id="85"/>
    </w:p>
    <w:p>
      <w:pPr>
        <w:spacing w:after="468" w:afterLines="150" w:line="380" w:lineRule="exact"/>
        <w:jc w:val="center"/>
        <w:rPr>
          <w:rFonts w:asciiTheme="minorEastAsia" w:hAnsiTheme="minorEastAsia" w:eastAsiaTheme="minorEastAsia" w:cstheme="minorEastAsia"/>
          <w:b/>
          <w:sz w:val="24"/>
          <w:szCs w:val="36"/>
        </w:rPr>
      </w:pPr>
    </w:p>
    <w:p>
      <w:pPr>
        <w:spacing w:after="468" w:afterLines="150" w:line="380" w:lineRule="exact"/>
        <w:jc w:val="center"/>
        <w:rPr>
          <w:rFonts w:asciiTheme="minorEastAsia" w:hAnsiTheme="minorEastAsia" w:eastAsiaTheme="minorEastAsia" w:cstheme="minorEastAsia"/>
          <w:b/>
          <w:sz w:val="24"/>
          <w:szCs w:val="36"/>
        </w:rPr>
      </w:pPr>
      <w:r>
        <w:rPr>
          <w:rFonts w:hint="eastAsia" w:asciiTheme="minorEastAsia" w:hAnsiTheme="minorEastAsia" w:eastAsiaTheme="minorEastAsia" w:cstheme="minorEastAsia"/>
          <w:b/>
          <w:sz w:val="24"/>
          <w:szCs w:val="36"/>
        </w:rPr>
        <w:t>具体事项中标后由双方根据相关法规、招标文件、项目情况友好平等协商。</w:t>
      </w:r>
    </w:p>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（使用《建设工程施工合同》范本（GF-2013-0201））</w:t>
      </w:r>
    </w:p>
    <w:p>
      <w:pPr>
        <w:spacing w:line="520" w:lineRule="exact"/>
        <w:rPr>
          <w:rFonts w:ascii="宋体" w:hAnsi="宋体"/>
          <w:b/>
          <w:sz w:val="28"/>
          <w:szCs w:val="28"/>
        </w:rPr>
      </w:pPr>
    </w:p>
    <w:p>
      <w:pPr>
        <w:widowControl/>
        <w:jc w:val="left"/>
        <w:rPr>
          <w:rFonts w:ascii="宋体" w:hAnsi="宋体"/>
          <w:kern w:val="0"/>
          <w:sz w:val="24"/>
        </w:rPr>
      </w:pPr>
      <w:r>
        <w:rPr>
          <w:rFonts w:ascii="宋体" w:hAnsi="宋体"/>
          <w:kern w:val="0"/>
          <w:sz w:val="24"/>
        </w:rPr>
        <w:br w:type="page"/>
      </w:r>
    </w:p>
    <w:p>
      <w:pPr>
        <w:spacing w:line="360" w:lineRule="auto"/>
        <w:jc w:val="center"/>
        <w:outlineLvl w:val="1"/>
        <w:rPr>
          <w:rFonts w:ascii="仿宋_GB2312" w:hAnsi="宋体" w:eastAsia="仿宋_GB2312"/>
          <w:b/>
          <w:color w:val="000000"/>
          <w:sz w:val="48"/>
          <w:szCs w:val="48"/>
        </w:rPr>
      </w:pPr>
      <w:bookmarkStart w:id="86" w:name="_Toc426467401"/>
      <w:bookmarkStart w:id="87" w:name="_Toc152045772"/>
      <w:bookmarkStart w:id="88" w:name="_Toc144974834"/>
      <w:bookmarkStart w:id="89" w:name="_Toc152042554"/>
      <w:bookmarkStart w:id="90" w:name="_Toc281577546"/>
      <w:bookmarkStart w:id="91" w:name="_Toc281577289"/>
      <w:r>
        <w:rPr>
          <w:rFonts w:hint="eastAsia" w:ascii="仿宋_GB2312" w:hAnsi="宋体" w:eastAsia="仿宋_GB2312"/>
          <w:b/>
          <w:color w:val="000000"/>
          <w:sz w:val="48"/>
          <w:szCs w:val="48"/>
        </w:rPr>
        <w:t>第五章  工程量清单</w:t>
      </w:r>
      <w:bookmarkEnd w:id="86"/>
    </w:p>
    <w:bookmarkEnd w:id="87"/>
    <w:bookmarkEnd w:id="88"/>
    <w:bookmarkEnd w:id="89"/>
    <w:bookmarkEnd w:id="90"/>
    <w:bookmarkEnd w:id="91"/>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 工程量清单说明</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1.2 本工程量清单应与招标文件中的投标人须知、通用合同条款、专用合同条款、技术标准和要求及图纸等一起阅读和理解。</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1.3 本工程量清单仅是投标报价的共同基础，实际工程计量和工程价款的支付应遵循合同条款的约定和第七章“技术标准和要求”的有关规定。</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 投标报价说明</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2.1 工程量清单中的每一子目须填入单价或价格，且只允许有一个报价。每一子目须有子目单价分析表。</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2.2 工程量清单中标价的单价或金额，应包括所需人工费、施工机械使用费、材料费、其他（运杂费、质检费、安装费、缺陷修复费、保险费，以及合同明示或暗示的风险、责任和义务等），以及管理费、利润等。</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2.3 工程量清单中投标人没有填入单价或价格的子目，其费用视为已分摊在工程量清单中其他相关子目的单价或价格之中。</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2.4 暂列金额的数量及拟用子目的说明：   /    </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2.5暂估价的数量及拟用子目的说明：    /    </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 其他说明</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3.1工程量清单中有计算或汇总中的算术错误时，应按以下原则改正：</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（1）投标文件中的大写与小写金额不一致的，以大写金额为准；</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3.2投标人在编制报价时，其定额及费用标准可参考有关规定，并发挥自身的优势，招标人在此不作统一规定。</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3.3进入单价的材料均应以当地实际材料预算价计入单价，不再计取材料价差，投标人的报价在合同实施期间不进行单价调整。</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3.4所列工程量的变化，丝毫不会使合同条件或条款无效或降低，也不免除承包人按要求的标准进行施工和缺陷修复的责任。</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3.5图纸中所列工程量表及数量汇总仅为提供资料，不应视为工程量报价单的扩大或延伸。</w:t>
      </w:r>
    </w:p>
    <w:p>
      <w:pPr>
        <w:rPr>
          <w:rFonts w:ascii="仿宋_GB2312" w:hAnsi="宋体" w:eastAsia="仿宋_GB2312"/>
          <w:b/>
          <w:sz w:val="30"/>
          <w:szCs w:val="30"/>
        </w:rPr>
      </w:pPr>
    </w:p>
    <w:p>
      <w:pPr>
        <w:widowControl/>
        <w:jc w:val="left"/>
        <w:rPr>
          <w:rFonts w:ascii="仿宋_GB2312" w:hAnsi="宋体" w:eastAsia="仿宋_GB2312"/>
          <w:b/>
          <w:sz w:val="30"/>
          <w:szCs w:val="30"/>
        </w:rPr>
      </w:pPr>
      <w:r>
        <w:rPr>
          <w:rFonts w:ascii="仿宋_GB2312" w:hAnsi="宋体" w:eastAsia="仿宋_GB2312"/>
          <w:b/>
          <w:sz w:val="30"/>
          <w:szCs w:val="30"/>
        </w:rPr>
        <w:br w:type="page"/>
      </w:r>
    </w:p>
    <w:p>
      <w:pPr>
        <w:rPr>
          <w:rFonts w:ascii="仿宋_GB2312" w:hAnsi="宋体" w:eastAsia="仿宋_GB2312"/>
          <w:b/>
          <w:sz w:val="30"/>
          <w:szCs w:val="30"/>
        </w:rPr>
      </w:pPr>
    </w:p>
    <w:p>
      <w:pPr>
        <w:jc w:val="center"/>
        <w:rPr>
          <w:rFonts w:ascii="仿宋_GB2312" w:hAnsi="宋体" w:eastAsia="仿宋_GB2312"/>
          <w:b/>
          <w:sz w:val="48"/>
          <w:szCs w:val="48"/>
        </w:rPr>
      </w:pPr>
      <w:bookmarkStart w:id="92" w:name="_Toc426467403"/>
    </w:p>
    <w:p>
      <w:pPr>
        <w:numPr>
          <w:ilvl w:val="0"/>
          <w:numId w:val="4"/>
        </w:numPr>
        <w:jc w:val="center"/>
        <w:rPr>
          <w:rFonts w:ascii="仿宋_GB2312" w:hAnsi="宋体" w:eastAsia="仿宋_GB2312"/>
          <w:b/>
          <w:sz w:val="48"/>
          <w:szCs w:val="48"/>
        </w:rPr>
      </w:pPr>
      <w:r>
        <w:rPr>
          <w:rFonts w:hint="eastAsia" w:ascii="仿宋_GB2312" w:hAnsi="宋体" w:eastAsia="仿宋_GB2312"/>
          <w:b/>
          <w:sz w:val="48"/>
          <w:szCs w:val="48"/>
        </w:rPr>
        <w:t xml:space="preserve"> 图  纸</w:t>
      </w:r>
    </w:p>
    <w:p>
      <w:pPr>
        <w:ind w:firstLine="720" w:firstLineChars="300"/>
        <w:rPr>
          <w:rFonts w:ascii="仿宋_GB2312" w:hAnsi="宋体" w:eastAsia="仿宋_GB2312"/>
          <w:b/>
          <w:sz w:val="48"/>
          <w:szCs w:val="48"/>
        </w:rPr>
      </w:pPr>
      <w:r>
        <w:rPr>
          <w:rFonts w:hint="eastAsia" w:hAnsi="宋体" w:cs="黑体"/>
          <w:sz w:val="24"/>
          <w:szCs w:val="22"/>
        </w:rPr>
        <w:t>（根</w:t>
      </w:r>
      <w:r>
        <w:rPr>
          <w:rFonts w:hint="eastAsia" w:hAnsi="宋体" w:cs="黑体"/>
          <w:sz w:val="24"/>
        </w:rPr>
        <w:t>据招标文件第二章投标人须知前附表第2.1项给出的网址自行下载。</w:t>
      </w:r>
      <w:r>
        <w:rPr>
          <w:rFonts w:hint="eastAsia" w:hAnsi="宋体" w:cs="黑体"/>
          <w:sz w:val="24"/>
          <w:szCs w:val="22"/>
        </w:rPr>
        <w:t>）</w:t>
      </w:r>
      <w:bookmarkEnd w:id="92"/>
    </w:p>
    <w:p>
      <w:pPr>
        <w:jc w:val="center"/>
        <w:rPr>
          <w:rFonts w:ascii="仿宋_GB2312" w:hAnsi="宋体" w:eastAsia="仿宋_GB2312"/>
          <w:b/>
          <w:sz w:val="48"/>
          <w:szCs w:val="48"/>
        </w:rPr>
      </w:pPr>
    </w:p>
    <w:p>
      <w:pPr>
        <w:jc w:val="center"/>
        <w:rPr>
          <w:rFonts w:ascii="仿宋_GB2312" w:hAnsi="宋体" w:eastAsia="仿宋_GB2312"/>
          <w:b/>
          <w:sz w:val="48"/>
          <w:szCs w:val="48"/>
        </w:rPr>
      </w:pPr>
    </w:p>
    <w:p>
      <w:pPr>
        <w:jc w:val="center"/>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bookmarkStart w:id="93" w:name="_Toc426467405"/>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r>
        <w:rPr>
          <w:rFonts w:hint="eastAsia" w:ascii="仿宋_GB2312" w:hAnsi="宋体" w:eastAsia="仿宋_GB2312"/>
          <w:b/>
          <w:sz w:val="48"/>
          <w:szCs w:val="48"/>
        </w:rPr>
        <w:br w:type="page"/>
      </w:r>
    </w:p>
    <w:p>
      <w:pPr>
        <w:spacing w:line="360" w:lineRule="auto"/>
        <w:jc w:val="center"/>
        <w:outlineLvl w:val="1"/>
        <w:rPr>
          <w:rFonts w:ascii="仿宋_GB2312" w:hAnsi="宋体" w:eastAsia="仿宋_GB2312"/>
          <w:b/>
          <w:sz w:val="48"/>
          <w:szCs w:val="48"/>
        </w:rPr>
      </w:pPr>
      <w:r>
        <w:rPr>
          <w:rFonts w:hint="eastAsia" w:ascii="仿宋_GB2312" w:hAnsi="宋体" w:eastAsia="仿宋_GB2312"/>
          <w:b/>
          <w:sz w:val="48"/>
          <w:szCs w:val="48"/>
        </w:rPr>
        <w:t>第七章  技术标准和要求</w:t>
      </w:r>
      <w:bookmarkEnd w:id="93"/>
    </w:p>
    <w:p>
      <w:pPr>
        <w:spacing w:line="360" w:lineRule="auto"/>
        <w:jc w:val="center"/>
        <w:rPr>
          <w:rFonts w:ascii="宋体" w:hAnsi="宋体" w:cs="宋体"/>
          <w:sz w:val="24"/>
          <w:szCs w:val="24"/>
        </w:rPr>
      </w:pPr>
      <w:r>
        <w:rPr>
          <w:rFonts w:hint="eastAsia" w:ascii="仿宋_GB2312" w:hAnsi="宋体" w:eastAsia="仿宋_GB2312"/>
          <w:sz w:val="24"/>
          <w:szCs w:val="24"/>
        </w:rPr>
        <w:t xml:space="preserve"> </w:t>
      </w:r>
      <w:r>
        <w:rPr>
          <w:rFonts w:hint="eastAsia" w:ascii="宋体" w:hAnsi="宋体" w:cs="宋体"/>
          <w:sz w:val="24"/>
          <w:szCs w:val="24"/>
        </w:rPr>
        <w:t xml:space="preserve">   </w:t>
      </w:r>
    </w:p>
    <w:p>
      <w:pPr>
        <w:spacing w:line="500" w:lineRule="exact"/>
        <w:ind w:firstLine="480" w:firstLineChars="200"/>
        <w:jc w:val="left"/>
        <w:rPr>
          <w:rFonts w:ascii="新宋体" w:hAnsi="新宋体" w:eastAsia="新宋体"/>
          <w:sz w:val="24"/>
        </w:rPr>
      </w:pPr>
      <w:r>
        <w:rPr>
          <w:rFonts w:hint="eastAsia" w:ascii="宋体" w:hAnsi="宋体" w:cs="宋体"/>
          <w:sz w:val="24"/>
          <w:szCs w:val="24"/>
        </w:rPr>
        <w:t xml:space="preserve">  </w:t>
      </w: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szCs w:val="22"/>
        </w:rPr>
      </w:pPr>
      <w:r>
        <w:rPr>
          <w:rFonts w:hint="eastAsia" w:ascii="新宋体" w:hAnsi="新宋体" w:eastAsia="新宋体"/>
          <w:sz w:val="24"/>
          <w:szCs w:val="22"/>
        </w:rPr>
        <w:t>3、投标单位须承诺：施工期间，到场项目管理人员与投标文件内拟派项目管理人员须保持一致，除不可抗力因素外，变更项目管理人员项目负责人的，应按照招标文件和施工合同约定的处罚，并承担全部责任。</w:t>
      </w:r>
    </w:p>
    <w:p>
      <w:pPr>
        <w:spacing w:line="500" w:lineRule="exact"/>
        <w:ind w:firstLine="480" w:firstLineChars="200"/>
        <w:jc w:val="left"/>
        <w:rPr>
          <w:rFonts w:ascii="新宋体" w:hAnsi="新宋体" w:eastAsia="新宋体"/>
          <w:sz w:val="24"/>
          <w:szCs w:val="22"/>
        </w:rPr>
      </w:pPr>
      <w:r>
        <w:rPr>
          <w:rFonts w:hint="eastAsia" w:ascii="新宋体" w:hAnsi="新宋体" w:eastAsia="新宋体"/>
          <w:sz w:val="24"/>
          <w:szCs w:val="22"/>
        </w:rPr>
        <w:t>4、投标单位须承诺：承诺施工期间加强安全防护，保证不发生各种安全事故，如有发生，一切损失由投标单位承担。</w:t>
      </w:r>
    </w:p>
    <w:p>
      <w:pPr>
        <w:pStyle w:val="6"/>
        <w:ind w:firstLine="210"/>
      </w:pPr>
    </w:p>
    <w:p>
      <w:pPr>
        <w:spacing w:line="500" w:lineRule="exact"/>
        <w:ind w:firstLine="480" w:firstLineChars="200"/>
        <w:jc w:val="left"/>
        <w:rPr>
          <w:rFonts w:ascii="新宋体" w:hAnsi="新宋体" w:eastAsia="新宋体"/>
          <w:sz w:val="24"/>
          <w:szCs w:val="22"/>
        </w:rPr>
      </w:pPr>
    </w:p>
    <w:p>
      <w:pPr>
        <w:spacing w:line="500" w:lineRule="exact"/>
        <w:ind w:firstLine="480" w:firstLineChars="200"/>
        <w:jc w:val="left"/>
        <w:rPr>
          <w:rFonts w:ascii="新宋体" w:hAnsi="新宋体" w:eastAsia="新宋体"/>
          <w:sz w:val="24"/>
          <w:szCs w:val="22"/>
        </w:rPr>
      </w:pPr>
    </w:p>
    <w:p>
      <w:pPr>
        <w:widowControl/>
        <w:jc w:val="left"/>
        <w:rPr>
          <w:rFonts w:ascii="仿宋_GB2312" w:hAnsi="宋体" w:eastAsia="仿宋_GB2312"/>
          <w:b/>
          <w:sz w:val="48"/>
          <w:szCs w:val="48"/>
        </w:rPr>
      </w:pPr>
      <w:r>
        <w:rPr>
          <w:rFonts w:ascii="仿宋_GB2312" w:hAnsi="宋体" w:eastAsia="仿宋_GB2312"/>
          <w:b/>
          <w:sz w:val="48"/>
          <w:szCs w:val="48"/>
        </w:rPr>
        <w:br w:type="page"/>
      </w:r>
    </w:p>
    <w:p/>
    <w:p/>
    <w:p>
      <w:pPr>
        <w:numPr>
          <w:ilvl w:val="0"/>
          <w:numId w:val="5"/>
        </w:numPr>
        <w:spacing w:line="360" w:lineRule="auto"/>
        <w:jc w:val="center"/>
        <w:outlineLvl w:val="1"/>
        <w:rPr>
          <w:rFonts w:ascii="仿宋_GB2312" w:hAnsi="宋体" w:eastAsia="仿宋_GB2312"/>
          <w:b/>
          <w:sz w:val="48"/>
          <w:szCs w:val="48"/>
        </w:rPr>
      </w:pPr>
      <w:bookmarkStart w:id="94" w:name="_Toc426467407"/>
      <w:r>
        <w:rPr>
          <w:rFonts w:hint="eastAsia" w:ascii="仿宋_GB2312" w:hAnsi="宋体" w:eastAsia="仿宋_GB2312"/>
          <w:b/>
          <w:sz w:val="48"/>
          <w:szCs w:val="48"/>
        </w:rPr>
        <w:t xml:space="preserve"> 投标文件格式</w:t>
      </w:r>
      <w:bookmarkEnd w:id="94"/>
    </w:p>
    <w:p>
      <w:pPr>
        <w:spacing w:line="360" w:lineRule="auto"/>
        <w:outlineLvl w:val="1"/>
        <w:rPr>
          <w:rFonts w:ascii="仿宋_GB2312" w:hAnsi="宋体" w:eastAsia="仿宋_GB2312"/>
          <w:b/>
          <w:sz w:val="48"/>
          <w:szCs w:val="48"/>
        </w:rPr>
      </w:pPr>
    </w:p>
    <w:p>
      <w:pPr>
        <w:spacing w:line="360" w:lineRule="auto"/>
        <w:ind w:right="241"/>
        <w:jc w:val="right"/>
        <w:rPr>
          <w:rFonts w:ascii="仿宋_GB2312" w:hAnsi="宋体" w:eastAsia="仿宋_GB2312"/>
          <w:b/>
          <w:sz w:val="36"/>
          <w:szCs w:val="36"/>
        </w:rPr>
      </w:pPr>
      <w:r>
        <w:rPr>
          <w:rFonts w:hint="eastAsia" w:ascii="仿宋_GB2312" w:hAnsi="宋体" w:eastAsia="仿宋_GB2312"/>
          <w:b/>
          <w:sz w:val="36"/>
          <w:szCs w:val="36"/>
        </w:rPr>
        <w:t>（正本或副本）</w:t>
      </w:r>
    </w:p>
    <w:p>
      <w:pPr>
        <w:spacing w:line="360" w:lineRule="auto"/>
        <w:rPr>
          <w:rFonts w:ascii="仿宋_GB2312" w:hAnsi="宋体" w:eastAsia="仿宋_GB2312"/>
          <w:b/>
          <w:sz w:val="36"/>
          <w:szCs w:val="36"/>
        </w:rPr>
      </w:pPr>
    </w:p>
    <w:p>
      <w:pPr>
        <w:spacing w:line="360" w:lineRule="auto"/>
        <w:jc w:val="center"/>
        <w:rPr>
          <w:rFonts w:ascii="仿宋_GB2312" w:hAnsi="宋体" w:eastAsia="仿宋_GB2312"/>
          <w:b/>
          <w:sz w:val="36"/>
          <w:szCs w:val="36"/>
          <w:u w:val="single"/>
        </w:rPr>
      </w:pPr>
      <w:r>
        <w:rPr>
          <w:rFonts w:hint="eastAsia" w:ascii="仿宋_GB2312" w:hAnsi="宋体" w:eastAsia="仿宋_GB2312"/>
          <w:b/>
          <w:sz w:val="36"/>
          <w:szCs w:val="36"/>
          <w:u w:val="single"/>
        </w:rPr>
        <w:t>项目名称及标段</w:t>
      </w:r>
    </w:p>
    <w:p>
      <w:pPr>
        <w:spacing w:line="360" w:lineRule="auto"/>
        <w:rPr>
          <w:rFonts w:ascii="仿宋_GB2312" w:hAnsi="宋体" w:eastAsia="仿宋_GB2312"/>
          <w:b/>
          <w:sz w:val="36"/>
          <w:szCs w:val="36"/>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jc w:val="center"/>
        <w:rPr>
          <w:rFonts w:ascii="仿宋_GB2312" w:hAnsi="宋体" w:eastAsia="仿宋_GB2312"/>
          <w:b/>
          <w:sz w:val="72"/>
          <w:szCs w:val="72"/>
        </w:rPr>
      </w:pPr>
      <w:r>
        <w:rPr>
          <w:rFonts w:hint="eastAsia" w:ascii="仿宋_GB2312" w:hAnsi="宋体" w:eastAsia="仿宋_GB2312"/>
          <w:b/>
          <w:sz w:val="72"/>
          <w:szCs w:val="72"/>
        </w:rPr>
        <w:t>投  标  文  件</w:t>
      </w:r>
    </w:p>
    <w:p>
      <w:pPr>
        <w:spacing w:line="360" w:lineRule="auto"/>
        <w:jc w:val="center"/>
        <w:rPr>
          <w:rFonts w:ascii="仿宋_GB2312" w:hAnsi="宋体" w:eastAsia="仿宋_GB2312"/>
          <w:b/>
          <w:sz w:val="72"/>
          <w:szCs w:val="72"/>
        </w:rPr>
      </w:pPr>
      <w:r>
        <w:rPr>
          <w:rFonts w:hint="eastAsia" w:ascii="仿宋_GB2312" w:hAnsi="宋体" w:eastAsia="仿宋_GB2312"/>
          <w:b/>
          <w:sz w:val="36"/>
          <w:szCs w:val="36"/>
        </w:rPr>
        <w:t>（商务标）</w:t>
      </w: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jc w:val="center"/>
        <w:rPr>
          <w:rFonts w:ascii="仿宋_GB2312" w:hAnsi="宋体" w:eastAsia="仿宋_GB2312"/>
          <w:b/>
          <w:sz w:val="28"/>
          <w:szCs w:val="28"/>
          <w:u w:val="single"/>
        </w:rPr>
      </w:pPr>
      <w:r>
        <w:rPr>
          <w:rFonts w:hint="eastAsia" w:ascii="仿宋_GB2312" w:hAnsi="宋体" w:eastAsia="仿宋_GB2312"/>
          <w:b/>
          <w:sz w:val="28"/>
          <w:szCs w:val="28"/>
        </w:rPr>
        <w:t>投标人：</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（盖单位章）</w:t>
      </w:r>
    </w:p>
    <w:p>
      <w:pPr>
        <w:spacing w:line="360" w:lineRule="auto"/>
        <w:jc w:val="center"/>
        <w:rPr>
          <w:rFonts w:ascii="仿宋_GB2312" w:hAnsi="宋体" w:eastAsia="仿宋_GB2312"/>
          <w:b/>
          <w:sz w:val="28"/>
          <w:szCs w:val="28"/>
        </w:rPr>
      </w:pPr>
      <w:r>
        <w:rPr>
          <w:rFonts w:hint="eastAsia" w:ascii="仿宋_GB2312" w:hAnsi="宋体" w:eastAsia="仿宋_GB2312"/>
          <w:b/>
          <w:sz w:val="28"/>
          <w:szCs w:val="28"/>
        </w:rPr>
        <w:t>法定代表人或其委托代理人：</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（签字）</w:t>
      </w:r>
    </w:p>
    <w:p>
      <w:pPr>
        <w:jc w:val="center"/>
        <w:rPr>
          <w:rFonts w:ascii="仿宋_GB2312" w:hAnsi="宋体" w:eastAsia="仿宋_GB2312"/>
          <w:b/>
          <w:sz w:val="28"/>
          <w:szCs w:val="28"/>
        </w:rPr>
      </w:pP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年</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月</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日</w:t>
      </w:r>
    </w:p>
    <w:p>
      <w:pPr>
        <w:widowControl/>
        <w:jc w:val="left"/>
        <w:rPr>
          <w:rFonts w:ascii="仿宋_GB2312" w:hAnsi="宋体" w:eastAsia="仿宋_GB2312"/>
          <w:b/>
          <w:sz w:val="28"/>
          <w:szCs w:val="28"/>
        </w:rPr>
      </w:pPr>
      <w:r>
        <w:rPr>
          <w:rFonts w:ascii="仿宋_GB2312" w:hAnsi="宋体" w:eastAsia="仿宋_GB2312"/>
          <w:b/>
          <w:sz w:val="28"/>
          <w:szCs w:val="28"/>
        </w:rPr>
        <w:br w:type="page"/>
      </w:r>
    </w:p>
    <w:p>
      <w:pPr>
        <w:jc w:val="center"/>
        <w:rPr>
          <w:rFonts w:ascii="仿宋_GB2312" w:hAnsi="宋体" w:eastAsia="仿宋_GB2312"/>
          <w:b/>
          <w:sz w:val="28"/>
          <w:szCs w:val="28"/>
        </w:rPr>
      </w:pPr>
    </w:p>
    <w:p>
      <w:pPr>
        <w:spacing w:line="360" w:lineRule="auto"/>
        <w:jc w:val="center"/>
        <w:outlineLvl w:val="1"/>
        <w:rPr>
          <w:rFonts w:ascii="仿宋_GB2312" w:hAnsi="宋体" w:eastAsia="仿宋_GB2312"/>
          <w:b/>
          <w:sz w:val="48"/>
          <w:szCs w:val="48"/>
        </w:rPr>
      </w:pPr>
      <w:bookmarkStart w:id="95" w:name="_Toc426467408"/>
    </w:p>
    <w:p>
      <w:pPr>
        <w:pStyle w:val="2"/>
      </w:pPr>
    </w:p>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r>
        <w:rPr>
          <w:rFonts w:hint="eastAsia" w:ascii="仿宋_GB2312" w:hAnsi="宋体" w:eastAsia="仿宋_GB2312"/>
          <w:b/>
          <w:sz w:val="48"/>
          <w:szCs w:val="48"/>
        </w:rPr>
        <w:t>商务标</w:t>
      </w:r>
      <w:bookmarkEnd w:id="95"/>
    </w:p>
    <w:p>
      <w:pPr>
        <w:spacing w:line="360" w:lineRule="auto"/>
        <w:jc w:val="center"/>
        <w:rPr>
          <w:rFonts w:ascii="仿宋_GB2312" w:hAnsi="宋体" w:eastAsia="仿宋_GB2312"/>
          <w:sz w:val="24"/>
          <w:szCs w:val="24"/>
        </w:rPr>
      </w:pPr>
      <w:r>
        <w:rPr>
          <w:rFonts w:ascii="仿宋_GB2312" w:hAnsi="宋体" w:eastAsia="仿宋_GB2312"/>
          <w:sz w:val="24"/>
          <w:szCs w:val="24"/>
        </w:rPr>
        <w:br w:type="page"/>
      </w:r>
    </w:p>
    <w:p>
      <w:pPr>
        <w:spacing w:line="360" w:lineRule="auto"/>
        <w:jc w:val="center"/>
        <w:rPr>
          <w:rFonts w:ascii="宋体" w:hAnsi="宋体" w:cs="宋体"/>
          <w:b/>
          <w:sz w:val="32"/>
          <w:szCs w:val="32"/>
        </w:rPr>
      </w:pPr>
      <w:r>
        <w:rPr>
          <w:rFonts w:hint="eastAsia" w:ascii="宋体" w:hAnsi="宋体" w:cs="宋体"/>
          <w:b/>
          <w:sz w:val="32"/>
          <w:szCs w:val="32"/>
        </w:rPr>
        <w:t>目    录</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一、投标函及投标函附录</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二、法定代表人身份证明或附有法定代表人身份证明的授权委托书</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三、投标保证金</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四、项目管理机构配备情况</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五、投标单位基本信息表</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六、资格证明文件</w:t>
      </w:r>
    </w:p>
    <w:p>
      <w:pPr>
        <w:adjustRightInd w:val="0"/>
        <w:snapToGrid w:val="0"/>
        <w:spacing w:line="360" w:lineRule="auto"/>
        <w:ind w:left="945" w:leftChars="450" w:firstLine="120" w:firstLineChars="50"/>
        <w:rPr>
          <w:rFonts w:ascii="宋体" w:hAnsi="宋体" w:cs="宋体"/>
          <w:sz w:val="24"/>
          <w:szCs w:val="24"/>
        </w:rPr>
      </w:pPr>
      <w:r>
        <w:rPr>
          <w:rFonts w:hint="eastAsia" w:ascii="宋体" w:hAnsi="宋体" w:cs="宋体"/>
          <w:sz w:val="24"/>
          <w:szCs w:val="24"/>
        </w:rPr>
        <w:t>七、近年财务状况</w:t>
      </w:r>
    </w:p>
    <w:p>
      <w:pPr>
        <w:adjustRightInd w:val="0"/>
        <w:snapToGrid w:val="0"/>
        <w:spacing w:line="360" w:lineRule="auto"/>
        <w:ind w:left="945" w:leftChars="450" w:firstLine="120" w:firstLineChars="50"/>
        <w:rPr>
          <w:rFonts w:ascii="宋体" w:hAnsi="宋体" w:cs="宋体"/>
          <w:sz w:val="24"/>
          <w:szCs w:val="24"/>
        </w:rPr>
      </w:pPr>
      <w:r>
        <w:rPr>
          <w:rFonts w:hint="eastAsia" w:ascii="宋体" w:hAnsi="宋体" w:cs="宋体"/>
          <w:sz w:val="24"/>
          <w:szCs w:val="24"/>
        </w:rPr>
        <w:t>八、近年完成的类似项目情况</w:t>
      </w:r>
    </w:p>
    <w:p>
      <w:pPr>
        <w:adjustRightInd w:val="0"/>
        <w:snapToGrid w:val="0"/>
        <w:spacing w:line="360" w:lineRule="auto"/>
        <w:ind w:left="945" w:leftChars="450" w:firstLine="120" w:firstLineChars="50"/>
        <w:rPr>
          <w:rFonts w:ascii="宋体" w:hAnsi="宋体" w:cs="宋体"/>
          <w:sz w:val="24"/>
          <w:szCs w:val="24"/>
        </w:rPr>
      </w:pPr>
      <w:r>
        <w:rPr>
          <w:rFonts w:hint="eastAsia" w:ascii="宋体" w:hAnsi="宋体" w:cs="宋体"/>
          <w:sz w:val="24"/>
          <w:szCs w:val="24"/>
        </w:rPr>
        <w:t>九、正在施工的和新承接的项目情况</w:t>
      </w:r>
    </w:p>
    <w:p>
      <w:pPr>
        <w:adjustRightInd w:val="0"/>
        <w:snapToGrid w:val="0"/>
        <w:spacing w:line="360" w:lineRule="auto"/>
        <w:ind w:left="945" w:leftChars="450" w:firstLine="120" w:firstLineChars="50"/>
        <w:rPr>
          <w:rFonts w:ascii="宋体" w:hAnsi="宋体" w:cs="宋体"/>
          <w:sz w:val="24"/>
          <w:szCs w:val="24"/>
        </w:rPr>
      </w:pPr>
      <w:r>
        <w:rPr>
          <w:rFonts w:hint="eastAsia" w:ascii="宋体" w:hAnsi="宋体" w:cs="宋体"/>
          <w:sz w:val="24"/>
          <w:szCs w:val="24"/>
        </w:rPr>
        <w:t>十、近年发生的诉讼及仲裁情况</w:t>
      </w:r>
    </w:p>
    <w:p>
      <w:pPr>
        <w:adjustRightInd w:val="0"/>
        <w:snapToGrid w:val="0"/>
        <w:spacing w:line="360" w:lineRule="auto"/>
        <w:ind w:left="945" w:leftChars="450" w:firstLine="120" w:firstLineChars="50"/>
        <w:rPr>
          <w:rFonts w:ascii="宋体" w:hAnsi="宋体" w:cs="宋体"/>
          <w:sz w:val="24"/>
          <w:szCs w:val="24"/>
        </w:rPr>
      </w:pPr>
      <w:r>
        <w:rPr>
          <w:rFonts w:hint="eastAsia" w:ascii="宋体" w:hAnsi="宋体" w:cs="宋体"/>
          <w:sz w:val="24"/>
          <w:szCs w:val="24"/>
        </w:rPr>
        <w:t>十一、承诺书</w:t>
      </w:r>
    </w:p>
    <w:p>
      <w:pPr>
        <w:spacing w:line="360" w:lineRule="auto"/>
        <w:ind w:left="945" w:leftChars="450" w:firstLine="120" w:firstLineChars="50"/>
        <w:rPr>
          <w:rFonts w:hint="eastAsia" w:ascii="宋体" w:hAnsi="宋体" w:cs="宋体"/>
          <w:sz w:val="24"/>
          <w:szCs w:val="24"/>
        </w:rPr>
      </w:pPr>
      <w:r>
        <w:rPr>
          <w:rFonts w:hint="eastAsia" w:ascii="宋体" w:hAnsi="宋体" w:cs="宋体"/>
          <w:sz w:val="24"/>
          <w:szCs w:val="24"/>
        </w:rPr>
        <w:t>十二、其他材料</w:t>
      </w:r>
    </w:p>
    <w:p>
      <w:pPr>
        <w:autoSpaceDE w:val="0"/>
        <w:autoSpaceDN w:val="0"/>
        <w:adjustRightInd w:val="0"/>
        <w:spacing w:line="360" w:lineRule="auto"/>
        <w:ind w:firstLine="1092" w:firstLineChars="455"/>
        <w:jc w:val="left"/>
        <w:rPr>
          <w:rFonts w:ascii="宋体" w:hAnsi="宋体" w:cs="宋体"/>
          <w:kern w:val="0"/>
          <w:sz w:val="24"/>
          <w:szCs w:val="24"/>
        </w:rPr>
      </w:pPr>
      <w:r>
        <w:rPr>
          <w:rFonts w:hint="eastAsia" w:ascii="宋体" w:hAnsi="宋体" w:cs="宋体"/>
          <w:kern w:val="0"/>
          <w:sz w:val="24"/>
          <w:szCs w:val="24"/>
        </w:rPr>
        <w:t>十三、已标价的工程量清单</w:t>
      </w:r>
    </w:p>
    <w:p>
      <w:pPr>
        <w:pStyle w:val="2"/>
        <w:rPr>
          <w:b w:val="0"/>
          <w:bCs w:val="0"/>
        </w:rPr>
      </w:pPr>
    </w:p>
    <w:p>
      <w:pPr>
        <w:spacing w:line="360" w:lineRule="auto"/>
        <w:rPr>
          <w:rFonts w:ascii="仿宋_GB2312" w:hAnsi="宋体" w:eastAsia="仿宋_GB2312"/>
          <w:sz w:val="24"/>
          <w:szCs w:val="24"/>
        </w:rPr>
      </w:pPr>
    </w:p>
    <w:p>
      <w:pPr>
        <w:spacing w:line="600" w:lineRule="exact"/>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autoSpaceDE w:val="0"/>
        <w:autoSpaceDN w:val="0"/>
        <w:adjustRightInd w:val="0"/>
        <w:spacing w:line="312" w:lineRule="auto"/>
        <w:jc w:val="left"/>
        <w:rPr>
          <w:rFonts w:ascii="宋体" w:hAnsi="宋体" w:cs="宋体"/>
          <w:kern w:val="0"/>
          <w:sz w:val="24"/>
        </w:rPr>
      </w:pPr>
      <w:r>
        <w:rPr>
          <w:rFonts w:hint="eastAsia" w:ascii="新宋体" w:hAnsi="新宋体" w:eastAsia="新宋体"/>
          <w:b/>
          <w:sz w:val="24"/>
        </w:rPr>
        <w:t xml:space="preserve">       如有本章未提供的格式，投标人可自行编制。</w:t>
      </w:r>
    </w:p>
    <w:p>
      <w:pPr>
        <w:pStyle w:val="19"/>
        <w:spacing w:before="0" w:line="360" w:lineRule="auto"/>
        <w:jc w:val="center"/>
        <w:outlineLvl w:val="3"/>
        <w:rPr>
          <w:rFonts w:ascii="宋体" w:hAnsi="宋体" w:eastAsia="宋体" w:cs="宋体"/>
          <w:b/>
          <w:sz w:val="24"/>
          <w:szCs w:val="24"/>
        </w:rPr>
      </w:pPr>
      <w:r>
        <w:rPr>
          <w:rFonts w:hint="eastAsia" w:ascii="宋体" w:hAnsi="宋体" w:eastAsia="宋体" w:cs="宋体"/>
          <w:b/>
          <w:sz w:val="24"/>
          <w:szCs w:val="24"/>
        </w:rPr>
        <w:br w:type="page"/>
      </w:r>
      <w:bookmarkStart w:id="96" w:name="_Toc152042577"/>
      <w:bookmarkStart w:id="97" w:name="_Toc281577299"/>
      <w:bookmarkStart w:id="98" w:name="_Toc152045788"/>
      <w:bookmarkStart w:id="99" w:name="_Toc358275285"/>
      <w:bookmarkStart w:id="100" w:name="_Toc225214935"/>
      <w:bookmarkStart w:id="101" w:name="_Toc392081409"/>
      <w:bookmarkStart w:id="102" w:name="_Toc144974857"/>
      <w:bookmarkStart w:id="103" w:name="_Toc358274757"/>
      <w:bookmarkStart w:id="104" w:name="_Toc257985753"/>
      <w:bookmarkStart w:id="105" w:name="_Toc387851725"/>
      <w:bookmarkStart w:id="106" w:name="_Toc281579371"/>
      <w:bookmarkStart w:id="107" w:name="_Toc281577556"/>
      <w:bookmarkStart w:id="108" w:name="_Toc358276052"/>
      <w:bookmarkStart w:id="109" w:name="_Toc426467409"/>
    </w:p>
    <w:p>
      <w:pPr>
        <w:pStyle w:val="19"/>
        <w:spacing w:before="0" w:line="360" w:lineRule="auto"/>
        <w:jc w:val="center"/>
        <w:outlineLvl w:val="3"/>
        <w:rPr>
          <w:rFonts w:ascii="宋体" w:hAnsi="宋体" w:eastAsia="宋体" w:cs="宋体"/>
          <w:sz w:val="30"/>
          <w:szCs w:val="30"/>
        </w:rPr>
      </w:pPr>
      <w:r>
        <w:rPr>
          <w:rFonts w:hint="eastAsia" w:ascii="宋体" w:hAnsi="宋体" w:eastAsia="宋体" w:cs="宋体"/>
          <w:b/>
          <w:sz w:val="30"/>
          <w:szCs w:val="30"/>
        </w:rPr>
        <w:t>一、投标函及投标函附录</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24"/>
        <w:spacing w:line="360" w:lineRule="auto"/>
        <w:jc w:val="center"/>
        <w:outlineLvl w:val="4"/>
        <w:rPr>
          <w:rFonts w:ascii="宋体" w:hAnsi="宋体" w:eastAsia="宋体" w:cs="宋体"/>
          <w:b/>
          <w:sz w:val="30"/>
          <w:szCs w:val="30"/>
        </w:rPr>
      </w:pPr>
      <w:bookmarkStart w:id="110" w:name="_Toc225214936"/>
      <w:bookmarkStart w:id="111" w:name="_Toc144974858"/>
      <w:bookmarkStart w:id="112" w:name="_Toc358276053"/>
      <w:bookmarkStart w:id="113" w:name="_Toc152042578"/>
      <w:bookmarkStart w:id="114" w:name="_Toc281579372"/>
      <w:bookmarkStart w:id="115" w:name="_Toc358274758"/>
      <w:bookmarkStart w:id="116" w:name="_Toc281577557"/>
      <w:bookmarkStart w:id="117" w:name="_Toc387851726"/>
      <w:bookmarkStart w:id="118" w:name="_Toc152045789"/>
      <w:bookmarkStart w:id="119" w:name="_Toc392081410"/>
      <w:bookmarkStart w:id="120" w:name="_Toc358275286"/>
      <w:bookmarkStart w:id="121" w:name="_Toc281577300"/>
      <w:bookmarkStart w:id="122" w:name="_Toc227752068"/>
      <w:bookmarkStart w:id="123" w:name="_Toc257985754"/>
      <w:bookmarkStart w:id="124" w:name="_Toc426467410"/>
      <w:r>
        <w:rPr>
          <w:rFonts w:hint="eastAsia" w:ascii="宋体" w:hAnsi="宋体" w:eastAsia="宋体" w:cs="宋体"/>
          <w:b/>
          <w:sz w:val="30"/>
          <w:szCs w:val="30"/>
        </w:rPr>
        <w:t>（一）投标函</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spacing w:line="312" w:lineRule="auto"/>
        <w:jc w:val="center"/>
        <w:outlineLvl w:val="1"/>
        <w:rPr>
          <w:rFonts w:ascii="黑体" w:hAnsi="黑体" w:eastAsia="黑体" w:cs="黑体"/>
          <w:kern w:val="0"/>
          <w:sz w:val="28"/>
          <w:szCs w:val="28"/>
        </w:rPr>
      </w:pPr>
      <w:bookmarkStart w:id="125" w:name="_Toc9303"/>
      <w:bookmarkStart w:id="126" w:name="_Toc6391"/>
      <w:bookmarkStart w:id="127" w:name="_Toc6618"/>
      <w:bookmarkStart w:id="128" w:name="_Toc11744"/>
      <w:bookmarkStart w:id="129" w:name="_Toc32211"/>
      <w:bookmarkStart w:id="130" w:name="_Toc152042579"/>
      <w:bookmarkStart w:id="131" w:name="_Toc392081411"/>
      <w:bookmarkStart w:id="132" w:name="_Toc387851727"/>
      <w:bookmarkStart w:id="133" w:name="_Toc426467411"/>
      <w:bookmarkStart w:id="134" w:name="_Toc281579373"/>
      <w:bookmarkStart w:id="135" w:name="_Toc257985755"/>
      <w:bookmarkStart w:id="136" w:name="_Toc230166245"/>
      <w:bookmarkStart w:id="137" w:name="_Toc152045790"/>
      <w:bookmarkStart w:id="138" w:name="_Toc144974859"/>
      <w:bookmarkStart w:id="139" w:name="_Toc281577558"/>
      <w:bookmarkStart w:id="140" w:name="_Toc281577301"/>
      <w:bookmarkStart w:id="141" w:name="_Toc144974860"/>
      <w:bookmarkStart w:id="142" w:name="_Toc225214938"/>
      <w:bookmarkStart w:id="143" w:name="_Toc152045791"/>
      <w:bookmarkStart w:id="144" w:name="_Toc152042580"/>
      <w:bookmarkStart w:id="145" w:name="_Toc227752074"/>
      <w:r>
        <w:rPr>
          <w:rFonts w:hint="eastAsia" w:ascii="黑体" w:hAnsi="黑体" w:eastAsia="黑体" w:cs="黑体"/>
          <w:kern w:val="0"/>
          <w:sz w:val="28"/>
          <w:szCs w:val="28"/>
        </w:rPr>
        <w:t>一、投标函</w:t>
      </w:r>
      <w:bookmarkEnd w:id="125"/>
      <w:bookmarkEnd w:id="126"/>
      <w:bookmarkEnd w:id="127"/>
      <w:bookmarkEnd w:id="128"/>
      <w:r>
        <w:rPr>
          <w:rFonts w:hint="eastAsia" w:ascii="黑体" w:hAnsi="黑体" w:eastAsia="黑体" w:cs="黑体"/>
          <w:kern w:val="0"/>
          <w:sz w:val="28"/>
          <w:szCs w:val="28"/>
        </w:rPr>
        <w:t>及投标函附录</w:t>
      </w:r>
      <w:bookmarkEnd w:id="129"/>
    </w:p>
    <w:p>
      <w:pPr>
        <w:spacing w:line="312" w:lineRule="auto"/>
        <w:jc w:val="center"/>
        <w:outlineLvl w:val="2"/>
        <w:rPr>
          <w:rFonts w:ascii="宋体" w:hAnsi="宋体" w:cs="宋体"/>
          <w:sz w:val="24"/>
        </w:rPr>
      </w:pPr>
      <w:bookmarkStart w:id="146" w:name="_Toc296678831"/>
      <w:bookmarkStart w:id="147" w:name="_Toc296676346"/>
      <w:bookmarkStart w:id="148" w:name="_Toc280271338"/>
      <w:bookmarkStart w:id="149" w:name="_Toc280271191"/>
      <w:bookmarkStart w:id="150" w:name="_Toc215282239"/>
      <w:bookmarkStart w:id="151" w:name="_Toc280275169"/>
      <w:r>
        <w:rPr>
          <w:rFonts w:hint="eastAsia" w:ascii="宋体" w:hAnsi="宋体" w:cs="宋体"/>
          <w:sz w:val="24"/>
        </w:rPr>
        <w:t>（一）投标函</w:t>
      </w:r>
      <w:bookmarkEnd w:id="146"/>
      <w:bookmarkEnd w:id="147"/>
    </w:p>
    <w:p>
      <w:pPr>
        <w:tabs>
          <w:tab w:val="left" w:pos="360"/>
          <w:tab w:val="left" w:pos="540"/>
          <w:tab w:val="left" w:pos="900"/>
        </w:tabs>
        <w:spacing w:line="360" w:lineRule="auto"/>
        <w:rPr>
          <w:rFonts w:ascii="宋体" w:hAnsi="宋体" w:cs="宋体"/>
          <w:sz w:val="24"/>
        </w:rPr>
      </w:pPr>
      <w:r>
        <w:rPr>
          <w:rFonts w:hint="eastAsia" w:ascii="宋体" w:hAnsi="宋体" w:cs="宋体"/>
          <w:sz w:val="24"/>
          <w:u w:val="single"/>
        </w:rPr>
        <w:t>（招标人名称）</w:t>
      </w:r>
      <w:r>
        <w:rPr>
          <w:rFonts w:hint="eastAsia" w:ascii="宋体" w:hAnsi="宋体" w:cs="宋体"/>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sz w:val="24"/>
        </w:rPr>
        <w:t>1、我方仔细研究了</w:t>
      </w:r>
      <w:r>
        <w:rPr>
          <w:rFonts w:hint="eastAsia" w:ascii="宋体" w:hAnsi="宋体" w:cs="宋体"/>
          <w:bCs/>
          <w:sz w:val="24"/>
          <w:u w:val="single"/>
        </w:rPr>
        <w:t xml:space="preserve">     （招标工程名称、标段）    </w:t>
      </w:r>
      <w:r>
        <w:rPr>
          <w:rFonts w:hint="eastAsia" w:ascii="宋体" w:hAnsi="宋体" w:cs="宋体"/>
          <w:bCs/>
          <w:sz w:val="24"/>
        </w:rPr>
        <w:t>招标文件（包括补充通知）的全部内容并勘察了现场，愿意以人民币（大写）</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bCs/>
          <w:sz w:val="24"/>
          <w:u w:val="single"/>
        </w:rPr>
        <w:t xml:space="preserve">        </w:t>
      </w:r>
      <w:r>
        <w:rPr>
          <w:rFonts w:hint="eastAsia" w:ascii="宋体" w:hAnsi="宋体" w:cs="宋体"/>
          <w:bCs/>
          <w:sz w:val="24"/>
        </w:rPr>
        <w:t>）的投标总报价，按招标文件规定的条件和要求承包合同规定的全部工作，并承担相关的责任。</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3、随同本投标文件附上</w:t>
      </w:r>
      <w:r>
        <w:rPr>
          <w:rFonts w:hint="eastAsia" w:ascii="宋体" w:hAnsi="宋体" w:cs="宋体"/>
          <w:bCs/>
          <w:sz w:val="24"/>
          <w:u w:val="single"/>
        </w:rPr>
        <w:t xml:space="preserve">        </w:t>
      </w:r>
      <w:r>
        <w:rPr>
          <w:rFonts w:hint="eastAsia" w:ascii="宋体" w:hAnsi="宋体" w:cs="宋体"/>
          <w:bCs/>
          <w:sz w:val="24"/>
        </w:rPr>
        <w:t>元投标保证金，作为我方投标的担保。</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4、本次投标，我方投标工期：</w:t>
      </w:r>
      <w:r>
        <w:rPr>
          <w:rFonts w:hint="eastAsia" w:ascii="宋体" w:hAnsi="宋体" w:cs="宋体"/>
          <w:bCs/>
          <w:sz w:val="24"/>
          <w:u w:val="single"/>
        </w:rPr>
        <w:t xml:space="preserve">        </w:t>
      </w:r>
      <w:r>
        <w:rPr>
          <w:rFonts w:hint="eastAsia" w:ascii="宋体" w:hAnsi="宋体" w:cs="宋体"/>
          <w:bCs/>
          <w:sz w:val="24"/>
        </w:rPr>
        <w:t>天，质量：</w:t>
      </w:r>
      <w:r>
        <w:rPr>
          <w:rFonts w:hint="eastAsia" w:ascii="宋体" w:hAnsi="宋体" w:cs="宋体"/>
          <w:bCs/>
          <w:sz w:val="24"/>
          <w:u w:val="single"/>
        </w:rPr>
        <w:t>　　　　</w:t>
      </w:r>
      <w:r>
        <w:rPr>
          <w:rFonts w:hint="eastAsia" w:ascii="宋体" w:hAnsi="宋体" w:cs="宋体"/>
          <w:bCs/>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5、若我方中标：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（1）我方保证在收到你方的中标通知书后，按招标文件规定的期限，及时派代表前去签定合同。</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（2）随同本投标文件提交的投标辅助资料中的任何部分，经你方确认后作为合同文件的组成部分。</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（3）我方保证向你方按时提交招标文件规定的履约保证金，作为我方的履约担保。</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（4）我方保证接到开工通知后立即调遣人员和调配施工设备、材料进入工地进行施工准备，并保证在合同规定的期限内完成合同规定的全部工作。</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6、我方完全理解你方不保证投标报价最低的投标人中标。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7、我方承诺，若我方中标，愿意按要求交纳代理费等相关费用。</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投标人（盖章）：</w:t>
      </w:r>
    </w:p>
    <w:p>
      <w:pPr>
        <w:spacing w:line="360" w:lineRule="auto"/>
        <w:ind w:firstLine="480" w:firstLineChars="200"/>
        <w:rPr>
          <w:rFonts w:ascii="宋体" w:hAnsi="宋体" w:cs="宋体"/>
          <w:sz w:val="24"/>
        </w:rPr>
      </w:pPr>
      <w:r>
        <w:rPr>
          <w:rFonts w:hint="eastAsia" w:ascii="宋体" w:hAnsi="宋体" w:cs="宋体"/>
          <w:sz w:val="24"/>
        </w:rPr>
        <w:t>法人代表或委托代理人（签字或盖章）：</w:t>
      </w:r>
    </w:p>
    <w:p>
      <w:pPr>
        <w:spacing w:line="360" w:lineRule="auto"/>
        <w:ind w:firstLine="480" w:firstLineChars="2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bookmarkEnd w:id="148"/>
    <w:bookmarkEnd w:id="149"/>
    <w:bookmarkEnd w:id="150"/>
    <w:bookmarkEnd w:id="151"/>
    <w:p>
      <w:pPr>
        <w:pStyle w:val="24"/>
        <w:spacing w:line="360" w:lineRule="auto"/>
        <w:jc w:val="center"/>
        <w:outlineLvl w:val="4"/>
        <w:rPr>
          <w:rFonts w:ascii="宋体" w:hAnsi="宋体" w:eastAsia="宋体" w:cs="宋体"/>
          <w:b/>
          <w:szCs w:val="24"/>
        </w:rPr>
      </w:pPr>
      <w:r>
        <w:rPr>
          <w:rFonts w:hint="eastAsia" w:ascii="宋体" w:hAnsi="宋体" w:eastAsia="宋体" w:cs="宋体"/>
          <w:b/>
          <w:sz w:val="30"/>
          <w:szCs w:val="30"/>
        </w:rPr>
        <w:t>（二）投标函附录</w:t>
      </w:r>
      <w:bookmarkEnd w:id="130"/>
      <w:bookmarkEnd w:id="131"/>
      <w:bookmarkEnd w:id="132"/>
      <w:bookmarkEnd w:id="133"/>
      <w:bookmarkEnd w:id="134"/>
      <w:bookmarkEnd w:id="135"/>
      <w:bookmarkEnd w:id="136"/>
      <w:bookmarkEnd w:id="137"/>
      <w:bookmarkEnd w:id="138"/>
      <w:bookmarkEnd w:id="139"/>
      <w:bookmarkEnd w:id="140"/>
    </w:p>
    <w:bookmarkEnd w:id="141"/>
    <w:bookmarkEnd w:id="142"/>
    <w:bookmarkEnd w:id="143"/>
    <w:bookmarkEnd w:id="144"/>
    <w:bookmarkEnd w:id="145"/>
    <w:p>
      <w:pPr>
        <w:tabs>
          <w:tab w:val="left" w:pos="360"/>
          <w:tab w:val="left" w:pos="540"/>
          <w:tab w:val="left" w:pos="900"/>
        </w:tabs>
        <w:spacing w:line="460" w:lineRule="exact"/>
        <w:ind w:firstLine="420" w:firstLineChars="200"/>
        <w:rPr>
          <w:rFonts w:ascii="宋体" w:hAnsi="宋体" w:cs="宋体"/>
          <w:b/>
          <w:sz w:val="30"/>
          <w:szCs w:val="30"/>
        </w:rPr>
      </w:pPr>
      <w:r>
        <w:rPr>
          <w:rFonts w:hint="eastAsia"/>
          <w:szCs w:val="21"/>
        </w:rPr>
        <w:t xml:space="preserve">              </w:t>
      </w:r>
      <w:bookmarkStart w:id="152" w:name="_Toc426467412"/>
      <w:bookmarkStart w:id="153" w:name="_Toc387851728"/>
      <w:bookmarkStart w:id="154" w:name="_Toc392081412"/>
    </w:p>
    <w:tbl>
      <w:tblPr>
        <w:tblStyle w:val="18"/>
        <w:tblW w:w="91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149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exac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投标项目、标段</w:t>
            </w:r>
          </w:p>
        </w:tc>
        <w:tc>
          <w:tcPr>
            <w:tcW w:w="6676" w:type="dxa"/>
            <w:gridSpan w:val="3"/>
          </w:tcPr>
          <w:p>
            <w:pPr>
              <w:pStyle w:val="25"/>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exac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投标单位</w:t>
            </w:r>
          </w:p>
        </w:tc>
        <w:tc>
          <w:tcPr>
            <w:tcW w:w="6676" w:type="dxa"/>
            <w:gridSpan w:val="3"/>
          </w:tcPr>
          <w:p>
            <w:pPr>
              <w:pStyle w:val="25"/>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投标报价</w:t>
            </w:r>
          </w:p>
        </w:tc>
        <w:tc>
          <w:tcPr>
            <w:tcW w:w="6676" w:type="dxa"/>
            <w:gridSpan w:val="3"/>
            <w:vAlign w:val="center"/>
          </w:tcPr>
          <w:p>
            <w:pPr>
              <w:pStyle w:val="25"/>
              <w:spacing w:line="312" w:lineRule="auto"/>
              <w:ind w:right="210"/>
              <w:jc w:val="both"/>
              <w:textAlignment w:val="top"/>
              <w:rPr>
                <w:rFonts w:ascii="宋体" w:hAnsi="宋体" w:cs="宋体"/>
                <w:sz w:val="24"/>
                <w:szCs w:val="24"/>
              </w:rPr>
            </w:pPr>
            <w:r>
              <w:rPr>
                <w:rFonts w:hint="eastAsia" w:ascii="宋体" w:hAnsi="宋体" w:cs="宋体"/>
                <w:sz w:val="24"/>
                <w:szCs w:val="24"/>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25"/>
              <w:spacing w:line="312" w:lineRule="auto"/>
              <w:jc w:val="center"/>
              <w:textAlignment w:val="top"/>
              <w:rPr>
                <w:rFonts w:ascii="宋体" w:hAnsi="宋体" w:cs="宋体"/>
                <w:sz w:val="24"/>
                <w:szCs w:val="24"/>
              </w:rPr>
            </w:pPr>
            <w:r>
              <w:rPr>
                <w:rFonts w:hint="eastAsia" w:ascii="宋体" w:hAnsi="宋体" w:cs="宋体"/>
                <w:sz w:val="24"/>
                <w:szCs w:val="24"/>
              </w:rPr>
              <w:t>投标工期</w:t>
            </w:r>
          </w:p>
        </w:tc>
        <w:tc>
          <w:tcPr>
            <w:tcW w:w="6676" w:type="dxa"/>
            <w:gridSpan w:val="3"/>
            <w:vAlign w:val="center"/>
          </w:tcPr>
          <w:p>
            <w:pPr>
              <w:pStyle w:val="25"/>
              <w:spacing w:line="312" w:lineRule="auto"/>
              <w:jc w:val="center"/>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25"/>
              <w:spacing w:line="312" w:lineRule="auto"/>
              <w:jc w:val="center"/>
              <w:textAlignment w:val="top"/>
              <w:rPr>
                <w:rFonts w:ascii="宋体" w:hAnsi="宋体" w:cs="宋体"/>
                <w:sz w:val="24"/>
                <w:szCs w:val="24"/>
              </w:rPr>
            </w:pPr>
            <w:r>
              <w:rPr>
                <w:rFonts w:hint="eastAsia" w:ascii="宋体" w:hAnsi="宋体" w:cs="宋体"/>
                <w:sz w:val="24"/>
                <w:szCs w:val="24"/>
              </w:rPr>
              <w:t>投标有效期</w:t>
            </w:r>
          </w:p>
        </w:tc>
        <w:tc>
          <w:tcPr>
            <w:tcW w:w="6676" w:type="dxa"/>
            <w:gridSpan w:val="3"/>
            <w:vAlign w:val="center"/>
          </w:tcPr>
          <w:p>
            <w:pPr>
              <w:pStyle w:val="25"/>
              <w:spacing w:line="312" w:lineRule="auto"/>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投标质量等级</w:t>
            </w:r>
          </w:p>
        </w:tc>
        <w:tc>
          <w:tcPr>
            <w:tcW w:w="6676" w:type="dxa"/>
            <w:gridSpan w:val="3"/>
            <w:vAlign w:val="center"/>
          </w:tcPr>
          <w:p>
            <w:pPr>
              <w:pStyle w:val="25"/>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exac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拟派项目负责人</w:t>
            </w:r>
          </w:p>
        </w:tc>
        <w:tc>
          <w:tcPr>
            <w:tcW w:w="2280" w:type="dxa"/>
            <w:vAlign w:val="center"/>
          </w:tcPr>
          <w:p>
            <w:pPr>
              <w:pStyle w:val="25"/>
              <w:spacing w:line="312" w:lineRule="auto"/>
              <w:jc w:val="center"/>
              <w:textAlignment w:val="center"/>
              <w:rPr>
                <w:rFonts w:ascii="宋体" w:hAnsi="宋体" w:cs="宋体"/>
                <w:sz w:val="24"/>
                <w:szCs w:val="24"/>
              </w:rPr>
            </w:pPr>
          </w:p>
        </w:tc>
        <w:tc>
          <w:tcPr>
            <w:tcW w:w="149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25"/>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vAlign w:val="center"/>
          </w:tcPr>
          <w:p>
            <w:pPr>
              <w:pStyle w:val="25"/>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exac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拟派技术负责人</w:t>
            </w:r>
          </w:p>
        </w:tc>
        <w:tc>
          <w:tcPr>
            <w:tcW w:w="2280" w:type="dxa"/>
            <w:vAlign w:val="center"/>
          </w:tcPr>
          <w:p>
            <w:pPr>
              <w:pStyle w:val="25"/>
              <w:spacing w:line="312" w:lineRule="auto"/>
              <w:jc w:val="center"/>
              <w:textAlignment w:val="center"/>
              <w:rPr>
                <w:rFonts w:ascii="宋体" w:hAnsi="宋体" w:cs="宋体"/>
                <w:sz w:val="24"/>
                <w:szCs w:val="24"/>
              </w:rPr>
            </w:pPr>
          </w:p>
        </w:tc>
        <w:tc>
          <w:tcPr>
            <w:tcW w:w="149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25"/>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vAlign w:val="center"/>
          </w:tcPr>
          <w:p>
            <w:pPr>
              <w:pStyle w:val="25"/>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0" w:hRule="exact"/>
        </w:trPr>
        <w:tc>
          <w:tcPr>
            <w:tcW w:w="4800" w:type="dxa"/>
            <w:gridSpan w:val="2"/>
          </w:tcPr>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r>
              <w:rPr>
                <w:rFonts w:hint="eastAsia" w:ascii="宋体" w:hAnsi="宋体" w:cs="宋体"/>
                <w:sz w:val="24"/>
                <w:szCs w:val="24"/>
              </w:rPr>
              <w:t xml:space="preserve">              投标人：</w:t>
            </w: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r>
              <w:rPr>
                <w:rFonts w:hint="eastAsia" w:ascii="宋体" w:hAnsi="宋体" w:cs="宋体"/>
                <w:sz w:val="24"/>
                <w:szCs w:val="24"/>
              </w:rPr>
              <w:t xml:space="preserve">              （盖章）</w:t>
            </w:r>
          </w:p>
        </w:tc>
        <w:tc>
          <w:tcPr>
            <w:tcW w:w="4396" w:type="dxa"/>
            <w:gridSpan w:val="2"/>
          </w:tcPr>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ind w:firstLine="720" w:firstLineChars="300"/>
              <w:textAlignment w:val="top"/>
              <w:rPr>
                <w:rFonts w:ascii="宋体" w:hAnsi="宋体" w:cs="宋体"/>
                <w:sz w:val="24"/>
                <w:szCs w:val="24"/>
              </w:rPr>
            </w:pPr>
            <w:r>
              <w:rPr>
                <w:rFonts w:hint="eastAsia" w:ascii="宋体" w:hAnsi="宋体" w:cs="宋体"/>
                <w:sz w:val="24"/>
                <w:szCs w:val="24"/>
              </w:rPr>
              <w:t>投标人法人代表或委托代理人：</w:t>
            </w: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r>
              <w:rPr>
                <w:rFonts w:hint="eastAsia" w:ascii="宋体" w:hAnsi="宋体" w:cs="宋体"/>
                <w:sz w:val="24"/>
                <w:szCs w:val="24"/>
              </w:rPr>
              <w:t xml:space="preserve">            （签字或盖章）</w:t>
            </w:r>
          </w:p>
        </w:tc>
      </w:tr>
    </w:tbl>
    <w:p>
      <w:pPr>
        <w:spacing w:line="312" w:lineRule="auto"/>
        <w:ind w:right="315"/>
        <w:rPr>
          <w:rFonts w:ascii="宋体" w:hAnsi="宋体" w:cs="宋体"/>
          <w:bCs/>
          <w:kern w:val="0"/>
          <w:sz w:val="24"/>
        </w:rPr>
      </w:pPr>
    </w:p>
    <w:p>
      <w:pPr>
        <w:tabs>
          <w:tab w:val="left" w:pos="360"/>
          <w:tab w:val="left" w:pos="540"/>
          <w:tab w:val="left" w:pos="900"/>
        </w:tabs>
        <w:spacing w:line="460" w:lineRule="exact"/>
        <w:ind w:firstLine="602" w:firstLineChars="200"/>
        <w:rPr>
          <w:rFonts w:ascii="宋体" w:hAnsi="宋体" w:cs="宋体"/>
          <w:b/>
          <w:sz w:val="30"/>
          <w:szCs w:val="30"/>
        </w:rPr>
      </w:pPr>
    </w:p>
    <w:p>
      <w:pPr>
        <w:pStyle w:val="19"/>
        <w:spacing w:before="0" w:line="360" w:lineRule="auto"/>
        <w:jc w:val="center"/>
        <w:outlineLvl w:val="3"/>
        <w:rPr>
          <w:rFonts w:ascii="宋体" w:hAnsi="宋体" w:eastAsia="宋体" w:cs="宋体"/>
          <w:b/>
          <w:sz w:val="30"/>
          <w:szCs w:val="30"/>
        </w:rPr>
      </w:pPr>
    </w:p>
    <w:p>
      <w:pPr>
        <w:pStyle w:val="19"/>
        <w:spacing w:before="0" w:line="360" w:lineRule="auto"/>
        <w:jc w:val="center"/>
        <w:outlineLvl w:val="3"/>
        <w:rPr>
          <w:rFonts w:ascii="宋体" w:hAnsi="宋体" w:eastAsia="宋体" w:cs="宋体"/>
          <w:b/>
          <w:sz w:val="24"/>
          <w:szCs w:val="24"/>
        </w:rPr>
      </w:pPr>
      <w:r>
        <w:rPr>
          <w:rFonts w:hint="eastAsia" w:ascii="宋体" w:hAnsi="宋体" w:eastAsia="宋体" w:cs="宋体"/>
          <w:b/>
          <w:sz w:val="30"/>
          <w:szCs w:val="30"/>
        </w:rPr>
        <w:t>二、法定代表人身份证明或附有法定代表人身份证明的授权委托书</w:t>
      </w:r>
      <w:bookmarkEnd w:id="152"/>
      <w:bookmarkEnd w:id="153"/>
      <w:bookmarkEnd w:id="154"/>
    </w:p>
    <w:p>
      <w:pPr>
        <w:spacing w:line="360" w:lineRule="auto"/>
        <w:jc w:val="center"/>
        <w:outlineLvl w:val="4"/>
        <w:rPr>
          <w:rFonts w:ascii="宋体" w:hAnsi="宋体" w:cs="宋体"/>
          <w:b/>
          <w:sz w:val="30"/>
          <w:szCs w:val="30"/>
        </w:rPr>
      </w:pPr>
      <w:r>
        <w:rPr>
          <w:rFonts w:hint="eastAsia" w:ascii="宋体" w:hAnsi="宋体" w:cs="宋体"/>
          <w:b/>
          <w:sz w:val="30"/>
          <w:szCs w:val="30"/>
        </w:rPr>
        <w:t>（一）法定代表人身份证明</w:t>
      </w:r>
    </w:p>
    <w:p>
      <w:pPr>
        <w:spacing w:line="360" w:lineRule="auto"/>
        <w:jc w:val="center"/>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 xml:space="preserve"> 年</w:t>
      </w:r>
      <w:r>
        <w:rPr>
          <w:rFonts w:hint="eastAsia" w:ascii="宋体" w:hAnsi="宋体" w:cs="宋体"/>
          <w:sz w:val="24"/>
          <w:szCs w:val="24"/>
          <w:u w:val="single"/>
        </w:rPr>
        <w:t xml:space="preserve">       </w:t>
      </w:r>
      <w:r>
        <w:rPr>
          <w:rFonts w:hint="eastAsia" w:ascii="宋体" w:hAnsi="宋体" w:cs="宋体"/>
          <w:sz w:val="24"/>
          <w:szCs w:val="24"/>
        </w:rPr>
        <w:t xml:space="preserve"> 月</w:t>
      </w:r>
      <w:r>
        <w:rPr>
          <w:rFonts w:hint="eastAsia" w:ascii="宋体" w:hAnsi="宋体" w:cs="宋体"/>
          <w:sz w:val="24"/>
          <w:szCs w:val="24"/>
          <w:u w:val="single"/>
        </w:rPr>
        <w:t xml:space="preserve">       </w:t>
      </w:r>
      <w:r>
        <w:rPr>
          <w:rFonts w:hint="eastAsia" w:ascii="宋体" w:hAnsi="宋体" w:cs="宋体"/>
          <w:sz w:val="24"/>
          <w:szCs w:val="24"/>
        </w:rPr>
        <w:t xml:space="preserve"> 日</w:t>
      </w:r>
    </w:p>
    <w:p>
      <w:pPr>
        <w:spacing w:line="360" w:lineRule="auto"/>
        <w:rPr>
          <w:rFonts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（投标人名称）的法定代表人。</w:t>
      </w:r>
    </w:p>
    <w:p>
      <w:pPr>
        <w:spacing w:line="360" w:lineRule="auto"/>
        <w:ind w:firstLine="480" w:firstLineChars="200"/>
        <w:rPr>
          <w:rFonts w:ascii="宋体" w:hAnsi="宋体" w:cs="宋体"/>
          <w:sz w:val="24"/>
          <w:szCs w:val="24"/>
        </w:rPr>
      </w:pPr>
      <w:r>
        <w:rPr>
          <w:rFonts w:hint="eastAsia" w:ascii="宋体" w:hAnsi="宋体" w:cs="宋体"/>
          <w:sz w:val="24"/>
          <w:szCs w:val="24"/>
        </w:rPr>
        <w:t>特此证明。</w:t>
      </w:r>
    </w:p>
    <w:p>
      <w:pPr>
        <w:spacing w:line="360" w:lineRule="auto"/>
        <w:rPr>
          <w:rFonts w:ascii="宋体" w:hAnsi="宋体" w:cs="宋体"/>
          <w:sz w:val="24"/>
          <w:szCs w:val="24"/>
        </w:rPr>
      </w:pPr>
      <w:r>
        <w:rPr>
          <w:rFonts w:hint="eastAsia" w:ascii="宋体" w:hAnsi="宋体" w:cs="宋体"/>
          <w:sz w:val="24"/>
          <w:szCs w:val="24"/>
        </w:rPr>
        <w:t>附：法定代表人身份证复印件</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投标人：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p>
      <w:pPr>
        <w:spacing w:line="360" w:lineRule="auto"/>
        <w:rPr>
          <w:rFonts w:ascii="仿宋_GB2312" w:hAnsi="宋体" w:eastAsia="仿宋_GB2312"/>
          <w:sz w:val="24"/>
          <w:szCs w:val="24"/>
        </w:rPr>
      </w:pPr>
      <w:r>
        <w:rPr>
          <w:rFonts w:hint="eastAsia" w:ascii="仿宋_GB2312" w:hAnsi="宋体" w:eastAsia="仿宋_GB2312"/>
          <w:sz w:val="24"/>
          <w:szCs w:val="24"/>
        </w:rPr>
        <w:t xml:space="preserve">          </w:t>
      </w:r>
    </w:p>
    <w:p>
      <w:pPr>
        <w:widowControl/>
        <w:jc w:val="left"/>
        <w:rPr>
          <w:rFonts w:ascii="仿宋_GB2312" w:hAnsi="宋体" w:eastAsia="仿宋_GB2312"/>
          <w:b/>
          <w:sz w:val="28"/>
          <w:szCs w:val="28"/>
        </w:rPr>
      </w:pPr>
      <w:r>
        <w:rPr>
          <w:rFonts w:ascii="仿宋_GB2312" w:hAnsi="宋体" w:eastAsia="仿宋_GB2312"/>
          <w:b/>
          <w:sz w:val="28"/>
          <w:szCs w:val="28"/>
        </w:rPr>
        <w:br w:type="page"/>
      </w:r>
    </w:p>
    <w:p>
      <w:pPr>
        <w:rPr>
          <w:rFonts w:ascii="仿宋_GB2312" w:hAnsi="宋体" w:eastAsia="仿宋_GB2312"/>
          <w:b/>
          <w:sz w:val="28"/>
          <w:szCs w:val="28"/>
        </w:rPr>
      </w:pPr>
    </w:p>
    <w:p>
      <w:pPr>
        <w:spacing w:line="360" w:lineRule="auto"/>
        <w:jc w:val="center"/>
        <w:outlineLvl w:val="4"/>
        <w:rPr>
          <w:rFonts w:ascii="宋体" w:hAnsi="宋体" w:cs="宋体"/>
          <w:b/>
          <w:szCs w:val="24"/>
        </w:rPr>
      </w:pPr>
      <w:r>
        <w:rPr>
          <w:rFonts w:hint="eastAsia" w:ascii="宋体" w:hAnsi="宋体" w:cs="宋体"/>
          <w:b/>
          <w:sz w:val="30"/>
          <w:szCs w:val="30"/>
        </w:rPr>
        <w:t>（二）授权委托书</w:t>
      </w:r>
    </w:p>
    <w:p>
      <w:pPr>
        <w:spacing w:line="360" w:lineRule="auto"/>
        <w:rPr>
          <w:rFonts w:ascii="宋体" w:hAnsi="宋体" w:cs="宋体"/>
          <w:sz w:val="24"/>
          <w:szCs w:val="24"/>
        </w:rPr>
      </w:pPr>
    </w:p>
    <w:p>
      <w:pPr>
        <w:topLinePunct/>
        <w:spacing w:line="360" w:lineRule="auto"/>
        <w:ind w:firstLine="480" w:firstLineChars="200"/>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（投标人名称）的法定代表人，现委托</w:t>
      </w:r>
      <w:r>
        <w:rPr>
          <w:rFonts w:hint="eastAsia" w:ascii="宋体" w:hAnsi="宋体" w:cs="宋体"/>
          <w:sz w:val="24"/>
          <w:szCs w:val="24"/>
          <w:u w:val="single"/>
        </w:rPr>
        <w:t xml:space="preserve">        </w:t>
      </w:r>
      <w:r>
        <w:rPr>
          <w:rFonts w:hint="eastAsia" w:ascii="宋体" w:hAnsi="宋体" w:cs="宋体"/>
          <w:sz w:val="24"/>
          <w:szCs w:val="24"/>
        </w:rPr>
        <w:t>（姓名）为我方代理人。代理人根据授权，以我方名义签署、澄清、说明、补正、递交、撤回、修改</w:t>
      </w:r>
      <w:r>
        <w:rPr>
          <w:rFonts w:hint="eastAsia" w:ascii="宋体" w:hAnsi="宋体" w:cs="宋体"/>
          <w:sz w:val="24"/>
          <w:szCs w:val="24"/>
          <w:u w:val="single"/>
        </w:rPr>
        <w:t xml:space="preserve">           （项目名称）           </w:t>
      </w:r>
      <w:r>
        <w:rPr>
          <w:rFonts w:hint="eastAsia" w:ascii="宋体" w:hAnsi="宋体" w:cs="宋体"/>
          <w:sz w:val="24"/>
          <w:szCs w:val="24"/>
        </w:rPr>
        <w:t>投标文件、签订合同和处理有关事宜，其法律后果由我方承担。</w:t>
      </w:r>
    </w:p>
    <w:p>
      <w:pPr>
        <w:spacing w:line="360" w:lineRule="auto"/>
        <w:rPr>
          <w:rFonts w:ascii="宋体" w:hAnsi="宋体" w:cs="宋体"/>
          <w:sz w:val="24"/>
          <w:szCs w:val="24"/>
        </w:rPr>
      </w:pPr>
      <w:r>
        <w:rPr>
          <w:rFonts w:hint="eastAsia" w:ascii="宋体" w:hAnsi="宋体" w:cs="宋体"/>
          <w:sz w:val="24"/>
          <w:szCs w:val="24"/>
        </w:rPr>
        <w:t xml:space="preserve">    委托期限：</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代理人无转委托权。</w:t>
      </w:r>
    </w:p>
    <w:p>
      <w:pPr>
        <w:spacing w:line="360" w:lineRule="auto"/>
        <w:ind w:firstLine="480" w:firstLineChars="200"/>
        <w:rPr>
          <w:rFonts w:ascii="宋体" w:hAnsi="宋体" w:cs="宋体"/>
          <w:sz w:val="24"/>
          <w:szCs w:val="24"/>
        </w:rPr>
      </w:pPr>
      <w:r>
        <w:rPr>
          <w:rFonts w:hint="eastAsia" w:ascii="宋体" w:hAnsi="宋体" w:cs="宋体"/>
          <w:sz w:val="24"/>
          <w:szCs w:val="24"/>
        </w:rPr>
        <w:t>附：1、法定代表人身份证明和授权代理人身份证复印件</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2、受托代理人的</w:t>
      </w:r>
      <w:r>
        <w:rPr>
          <w:rFonts w:hint="eastAsia" w:ascii="宋体" w:hAnsi="宋体" w:cs="宋体"/>
          <w:sz w:val="24"/>
        </w:rPr>
        <w:t>劳务合同及养老统筹证明的复印件</w:t>
      </w:r>
    </w:p>
    <w:p>
      <w:pPr>
        <w:spacing w:line="360" w:lineRule="auto"/>
        <w:rPr>
          <w:rFonts w:ascii="宋体" w:hAnsi="宋体" w:cs="宋体"/>
          <w:sz w:val="24"/>
          <w:szCs w:val="24"/>
        </w:rPr>
      </w:pPr>
    </w:p>
    <w:p>
      <w:pPr>
        <w:spacing w:line="360" w:lineRule="auto"/>
        <w:ind w:firstLine="3240" w:firstLineChars="1350"/>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ind w:firstLine="3240" w:firstLineChars="135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auto"/>
        <w:ind w:firstLine="3240" w:firstLineChars="135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spacing w:line="360" w:lineRule="auto"/>
        <w:ind w:firstLine="3240" w:firstLineChars="1350"/>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auto"/>
        <w:ind w:firstLine="3240" w:firstLineChars="135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spacing w:line="360" w:lineRule="auto"/>
        <w:ind w:firstLine="2640" w:firstLineChars="1100"/>
        <w:rPr>
          <w:rFonts w:ascii="宋体" w:hAnsi="宋体" w:cs="宋体"/>
          <w:sz w:val="24"/>
          <w:szCs w:val="24"/>
        </w:rPr>
      </w:pPr>
    </w:p>
    <w:p>
      <w:pPr>
        <w:spacing w:line="360" w:lineRule="auto"/>
        <w:ind w:firstLine="5880" w:firstLineChars="2450"/>
        <w:rPr>
          <w:rFonts w:ascii="宋体" w:hAnsi="宋体" w:cs="宋体"/>
          <w:b/>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bookmarkStart w:id="155" w:name="_Toc152045794"/>
      <w:bookmarkStart w:id="156" w:name="_Toc230166248"/>
      <w:bookmarkStart w:id="157" w:name="_Toc144974862"/>
      <w:bookmarkStart w:id="158" w:name="_Toc152042583"/>
      <w:bookmarkStart w:id="159" w:name="_Toc257985758"/>
      <w:bookmarkStart w:id="160" w:name="_Toc281579383"/>
      <w:bookmarkStart w:id="161" w:name="_Toc281577568"/>
      <w:bookmarkStart w:id="162" w:name="_Toc281577311"/>
    </w:p>
    <w:p>
      <w:pPr>
        <w:pStyle w:val="26"/>
        <w:spacing w:line="360" w:lineRule="auto"/>
        <w:rPr>
          <w:rFonts w:ascii="宋体" w:hAnsi="宋体" w:eastAsia="宋体" w:cs="宋体"/>
          <w:sz w:val="24"/>
          <w:szCs w:val="24"/>
        </w:rPr>
      </w:pPr>
    </w:p>
    <w:p>
      <w:pPr>
        <w:pStyle w:val="19"/>
        <w:spacing w:before="0" w:line="360" w:lineRule="auto"/>
        <w:jc w:val="center"/>
        <w:outlineLvl w:val="3"/>
        <w:rPr>
          <w:rFonts w:ascii="宋体" w:hAnsi="宋体" w:eastAsia="宋体" w:cs="宋体"/>
          <w:b/>
          <w:bCs/>
          <w:sz w:val="24"/>
          <w:szCs w:val="24"/>
        </w:rPr>
      </w:pPr>
      <w:r>
        <w:rPr>
          <w:rFonts w:hint="eastAsia" w:ascii="宋体" w:hAnsi="宋体" w:eastAsia="宋体" w:cs="宋体"/>
          <w:sz w:val="24"/>
          <w:szCs w:val="24"/>
        </w:rPr>
        <w:br w:type="page"/>
      </w:r>
      <w:bookmarkStart w:id="163" w:name="_Toc387851729"/>
      <w:bookmarkStart w:id="164" w:name="_Toc392081413"/>
      <w:bookmarkStart w:id="165" w:name="_Toc426467413"/>
      <w:r>
        <w:rPr>
          <w:rFonts w:hint="eastAsia" w:ascii="宋体" w:hAnsi="宋体" w:eastAsia="宋体" w:cs="宋体"/>
          <w:b/>
          <w:sz w:val="30"/>
          <w:szCs w:val="30"/>
        </w:rPr>
        <w:t>三、投标</w:t>
      </w:r>
      <w:bookmarkEnd w:id="155"/>
      <w:bookmarkEnd w:id="156"/>
      <w:bookmarkEnd w:id="157"/>
      <w:bookmarkEnd w:id="158"/>
      <w:bookmarkEnd w:id="159"/>
      <w:r>
        <w:rPr>
          <w:rFonts w:hint="eastAsia" w:ascii="宋体" w:hAnsi="宋体" w:eastAsia="宋体" w:cs="宋体"/>
          <w:b/>
          <w:sz w:val="30"/>
          <w:szCs w:val="30"/>
        </w:rPr>
        <w:t>保</w:t>
      </w:r>
      <w:bookmarkEnd w:id="160"/>
      <w:bookmarkEnd w:id="161"/>
      <w:bookmarkEnd w:id="162"/>
      <w:r>
        <w:rPr>
          <w:rFonts w:hint="eastAsia" w:ascii="宋体" w:hAnsi="宋体" w:eastAsia="宋体" w:cs="宋体"/>
          <w:b/>
          <w:sz w:val="30"/>
          <w:szCs w:val="30"/>
        </w:rPr>
        <w:t>证金</w:t>
      </w:r>
      <w:bookmarkEnd w:id="163"/>
      <w:bookmarkEnd w:id="164"/>
      <w:bookmarkEnd w:id="165"/>
    </w:p>
    <w:p>
      <w:pPr>
        <w:pStyle w:val="26"/>
        <w:spacing w:line="360" w:lineRule="auto"/>
        <w:ind w:firstLine="0"/>
        <w:jc w:val="center"/>
        <w:rPr>
          <w:rFonts w:ascii="宋体" w:hAnsi="宋体" w:eastAsia="宋体" w:cs="宋体"/>
          <w:sz w:val="24"/>
          <w:szCs w:val="24"/>
        </w:rPr>
      </w:pPr>
      <w:bookmarkStart w:id="166" w:name="_Toc281579384"/>
      <w:bookmarkStart w:id="167" w:name="_Toc152045795"/>
      <w:bookmarkStart w:id="168" w:name="_Toc281577312"/>
      <w:bookmarkStart w:id="169" w:name="_Toc144974863"/>
      <w:bookmarkStart w:id="170" w:name="_Toc230166249"/>
      <w:bookmarkStart w:id="171" w:name="_Toc281577569"/>
      <w:bookmarkStart w:id="172" w:name="_Toc152042584"/>
      <w:bookmarkStart w:id="173" w:name="_Toc257985759"/>
    </w:p>
    <w:p>
      <w:pPr>
        <w:spacing w:line="312" w:lineRule="auto"/>
        <w:ind w:firstLine="480" w:firstLineChars="200"/>
        <w:rPr>
          <w:rFonts w:ascii="宋体" w:hAnsi="宋体" w:cs="宋体"/>
          <w:sz w:val="24"/>
        </w:rPr>
      </w:pPr>
      <w:r>
        <w:rPr>
          <w:rFonts w:hint="eastAsia" w:ascii="宋体" w:hAnsi="宋体" w:cs="宋体"/>
          <w:sz w:val="24"/>
        </w:rPr>
        <w:t>投标保证金复印件：</w:t>
      </w:r>
    </w:p>
    <w:p>
      <w:pPr>
        <w:spacing w:line="312" w:lineRule="auto"/>
        <w:ind w:firstLine="480" w:firstLineChars="200"/>
        <w:rPr>
          <w:rFonts w:ascii="宋体" w:hAnsi="宋体" w:cs="宋体"/>
          <w:sz w:val="24"/>
        </w:rPr>
      </w:pPr>
      <w:r>
        <w:rPr>
          <w:rFonts w:ascii="宋体" w:hAnsi="宋体" w:cs="宋体"/>
          <w:sz w:val="24"/>
        </w:rPr>
        <mc:AlternateContent>
          <mc:Choice Requires="wps">
            <w:drawing>
              <wp:anchor distT="0" distB="0" distL="114300" distR="114300" simplePos="0" relativeHeight="251658240" behindDoc="0" locked="0" layoutInCell="1" allowOverlap="1">
                <wp:simplePos x="0" y="0"/>
                <wp:positionH relativeFrom="column">
                  <wp:posOffset>305435</wp:posOffset>
                </wp:positionH>
                <wp:positionV relativeFrom="paragraph">
                  <wp:posOffset>198755</wp:posOffset>
                </wp:positionV>
                <wp:extent cx="4909185" cy="2377440"/>
                <wp:effectExtent l="4445" t="4445" r="20320" b="18415"/>
                <wp:wrapNone/>
                <wp:docPr id="1" name="文本框 1"/>
                <wp:cNvGraphicFramePr/>
                <a:graphic xmlns:a="http://schemas.openxmlformats.org/drawingml/2006/main">
                  <a:graphicData uri="http://schemas.microsoft.com/office/word/2010/wordprocessingShape">
                    <wps:wsp>
                      <wps:cNvSpPr txBox="1"/>
                      <wps:spPr>
                        <a:xfrm>
                          <a:off x="0" y="0"/>
                          <a:ext cx="490918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eastAsia="黑体"/>
                                <w:color w:val="FF0000"/>
                                <w:szCs w:val="21"/>
                              </w:rPr>
                            </w:pPr>
                            <w:r>
                              <w:rPr>
                                <w:rFonts w:hint="eastAsia"/>
                                <w:b/>
                                <w:szCs w:val="21"/>
                              </w:rPr>
                              <w:t xml:space="preserve">        附有效投标保证金已到账银行转账凭证</w:t>
                            </w:r>
                          </w:p>
                          <w:p>
                            <w:pPr>
                              <w:ind w:firstLine="525" w:firstLineChars="250"/>
                              <w:jc w:val="center"/>
                            </w:pPr>
                          </w:p>
                        </w:txbxContent>
                      </wps:txbx>
                      <wps:bodyPr upright="1"/>
                    </wps:wsp>
                  </a:graphicData>
                </a:graphic>
              </wp:anchor>
            </w:drawing>
          </mc:Choice>
          <mc:Fallback>
            <w:pict>
              <v:shape id="_x0000_s1026" o:spid="_x0000_s1026" o:spt="202" type="#_x0000_t202" style="position:absolute;left:0pt;margin-left:24.05pt;margin-top:15.65pt;height:187.2pt;width:386.55pt;z-index:251658240;mso-width-relative:page;mso-height-relative:page;" fillcolor="#FFFFFF" filled="t" stroked="t" coordsize="21600,21600"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scKjTYAAAACQEAAA8AAAAAAAAAAQAgAAAAIgAAAGRycy9kb3ducmV2LnhtbFBLAQIU&#10;ABQAAAAIAIdO4kBl6oLH8wEAAOkDAAAOAAAAAAAAAAEAIAAAACcBAABkcnMvZTJvRG9jLnhtbFBL&#10;BQYAAAAABgAGAFkBAACMBQAAAAA=&#10;">
                <v:fill on="t" focussize="0,0"/>
                <v:stroke color="#000000" joinstyle="miter"/>
                <v:imagedata o:title=""/>
                <o:lock v:ext="edit" aspectratio="f"/>
                <v:textbo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eastAsia="黑体"/>
                          <w:color w:val="FF0000"/>
                          <w:szCs w:val="21"/>
                        </w:rPr>
                      </w:pPr>
                      <w:r>
                        <w:rPr>
                          <w:rFonts w:hint="eastAsia"/>
                          <w:b/>
                          <w:szCs w:val="21"/>
                        </w:rPr>
                        <w:t xml:space="preserve">        附有效投标保证金已到账银行转账凭证</w:t>
                      </w:r>
                    </w:p>
                    <w:p>
                      <w:pPr>
                        <w:ind w:firstLine="525" w:firstLineChars="250"/>
                        <w:jc w:val="center"/>
                      </w:pPr>
                    </w:p>
                  </w:txbxContent>
                </v:textbox>
              </v:shape>
            </w:pict>
          </mc:Fallback>
        </mc:AlternateConten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5520" w:firstLineChars="2300"/>
        <w:rPr>
          <w:rFonts w:ascii="宋体" w:hAnsi="宋体" w:cs="宋体"/>
          <w:sz w:val="24"/>
        </w:rPr>
      </w:pPr>
    </w:p>
    <w:p>
      <w:pPr>
        <w:spacing w:line="312" w:lineRule="auto"/>
        <w:ind w:firstLine="5520" w:firstLineChars="2300"/>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19"/>
        <w:spacing w:before="0" w:line="360" w:lineRule="auto"/>
        <w:jc w:val="center"/>
        <w:outlineLvl w:val="3"/>
        <w:rPr>
          <w:rFonts w:ascii="宋体" w:hAnsi="宋体" w:eastAsia="宋体" w:cs="宋体"/>
          <w:b/>
          <w:sz w:val="30"/>
          <w:szCs w:val="30"/>
        </w:rPr>
      </w:pPr>
      <w:bookmarkStart w:id="174" w:name="_Toc426467414"/>
      <w:r>
        <w:rPr>
          <w:rFonts w:hint="eastAsia" w:ascii="宋体" w:hAnsi="宋体" w:eastAsia="宋体" w:cs="宋体"/>
          <w:b/>
          <w:sz w:val="30"/>
          <w:szCs w:val="30"/>
        </w:rPr>
        <w:t>四、项目管理机构配备情况</w:t>
      </w:r>
      <w:bookmarkEnd w:id="174"/>
    </w:p>
    <w:p>
      <w:pPr>
        <w:spacing w:line="312" w:lineRule="auto"/>
        <w:outlineLvl w:val="2"/>
        <w:rPr>
          <w:rFonts w:ascii="宋体" w:hAnsi="宋体" w:cs="宋体"/>
          <w:b/>
          <w:bCs/>
          <w:sz w:val="24"/>
        </w:rPr>
      </w:pPr>
      <w:bookmarkStart w:id="175" w:name="_Toc27720"/>
      <w:bookmarkStart w:id="176" w:name="_Toc26208"/>
      <w:bookmarkStart w:id="177" w:name="_Toc21137"/>
      <w:bookmarkStart w:id="178" w:name="_Toc25342"/>
      <w:bookmarkStart w:id="179" w:name="_Toc8921"/>
      <w:r>
        <w:rPr>
          <w:rFonts w:hint="eastAsia" w:ascii="宋体" w:hAnsi="宋体" w:cs="宋体"/>
          <w:b/>
          <w:bCs/>
          <w:sz w:val="24"/>
        </w:rPr>
        <w:t>（一）项目管理机构组成表</w:t>
      </w:r>
      <w:bookmarkEnd w:id="175"/>
      <w:bookmarkEnd w:id="176"/>
      <w:bookmarkEnd w:id="177"/>
      <w:bookmarkEnd w:id="178"/>
      <w:bookmarkEnd w:id="179"/>
    </w:p>
    <w:tbl>
      <w:tblPr>
        <w:tblStyle w:val="18"/>
        <w:tblW w:w="8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职务</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职称</w:t>
            </w:r>
          </w:p>
        </w:tc>
        <w:tc>
          <w:tcPr>
            <w:tcW w:w="5892"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708"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9"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900"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900"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677" w:type="dxa"/>
            <w:vAlign w:val="center"/>
          </w:tcPr>
          <w:p>
            <w:pPr>
              <w:spacing w:line="312" w:lineRule="auto"/>
              <w:jc w:val="center"/>
              <w:rPr>
                <w:rFonts w:ascii="宋体" w:hAnsi="宋体" w:cs="宋体"/>
                <w:sz w:val="24"/>
              </w:rPr>
            </w:pPr>
            <w:r>
              <w:rPr>
                <w:rFonts w:hint="eastAsia" w:ascii="宋体" w:hAnsi="宋体" w:cs="宋体"/>
                <w:sz w:val="24"/>
              </w:rPr>
              <w:t>养老保险</w:t>
            </w:r>
          </w:p>
        </w:tc>
        <w:tc>
          <w:tcPr>
            <w:tcW w:w="708"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spacing w:line="312" w:lineRule="auto"/>
        <w:outlineLvl w:val="2"/>
        <w:rPr>
          <w:rFonts w:ascii="宋体" w:hAnsi="宋体" w:cs="宋体"/>
          <w:sz w:val="24"/>
        </w:rPr>
      </w:pPr>
      <w:bookmarkStart w:id="180" w:name="_Toc26047"/>
      <w:bookmarkStart w:id="181" w:name="_Toc22776"/>
      <w:bookmarkStart w:id="182" w:name="_Toc3522"/>
      <w:bookmarkStart w:id="183" w:name="_Toc590"/>
      <w:bookmarkStart w:id="184" w:name="_Toc27110"/>
      <w:r>
        <w:rPr>
          <w:rFonts w:hint="eastAsia" w:ascii="宋体" w:hAnsi="宋体" w:cs="宋体"/>
          <w:b/>
          <w:bCs/>
          <w:sz w:val="24"/>
        </w:rPr>
        <w:t>（二）主要人员简历表</w:t>
      </w:r>
      <w:bookmarkEnd w:id="180"/>
      <w:bookmarkEnd w:id="181"/>
      <w:bookmarkEnd w:id="182"/>
      <w:bookmarkEnd w:id="183"/>
      <w:bookmarkEnd w:id="184"/>
    </w:p>
    <w:p>
      <w:pPr>
        <w:spacing w:line="312" w:lineRule="auto"/>
        <w:rPr>
          <w:rFonts w:ascii="宋体" w:hAnsi="宋体" w:cs="宋体"/>
          <w:b/>
          <w:sz w:val="24"/>
        </w:rPr>
      </w:pPr>
      <w:bookmarkStart w:id="185" w:name="_Toc13679"/>
      <w:bookmarkStart w:id="186" w:name="_Toc9814"/>
      <w:bookmarkStart w:id="187" w:name="_Toc20036"/>
      <w:bookmarkStart w:id="188" w:name="_Toc20732"/>
      <w:bookmarkStart w:id="189" w:name="_Toc23995"/>
      <w:r>
        <w:rPr>
          <w:rFonts w:hint="eastAsia" w:ascii="宋体" w:hAnsi="宋体" w:cs="宋体"/>
          <w:b/>
          <w:sz w:val="24"/>
        </w:rPr>
        <w:t>附1：技术负责人简历表</w:t>
      </w:r>
      <w:bookmarkEnd w:id="185"/>
      <w:bookmarkEnd w:id="186"/>
      <w:bookmarkEnd w:id="187"/>
      <w:bookmarkEnd w:id="188"/>
      <w:bookmarkEnd w:id="189"/>
    </w:p>
    <w:p>
      <w:pPr>
        <w:spacing w:line="312" w:lineRule="auto"/>
        <w:ind w:firstLine="600" w:firstLineChars="250"/>
        <w:rPr>
          <w:rFonts w:ascii="宋体" w:hAnsi="宋体" w:cs="宋体"/>
          <w:sz w:val="24"/>
        </w:rPr>
      </w:pPr>
      <w:r>
        <w:rPr>
          <w:rFonts w:hint="eastAsia" w:ascii="宋体" w:hAnsi="宋体" w:cs="宋体"/>
          <w:sz w:val="24"/>
        </w:rPr>
        <w:t>技术负责人应附技术负责人身份证、职称证、学历证、劳动合同、养老保险复印件。</w:t>
      </w:r>
    </w:p>
    <w:tbl>
      <w:tblPr>
        <w:tblStyle w:val="18"/>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394"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15"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06"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76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15"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25"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spacing w:line="312" w:lineRule="auto"/>
        <w:jc w:val="center"/>
        <w:outlineLvl w:val="1"/>
        <w:rPr>
          <w:rFonts w:ascii="黑体" w:hAnsi="黑体" w:eastAsia="黑体" w:cs="黑体"/>
          <w:kern w:val="0"/>
          <w:sz w:val="28"/>
          <w:szCs w:val="28"/>
        </w:rPr>
      </w:pPr>
    </w:p>
    <w:p>
      <w:pPr>
        <w:spacing w:line="312" w:lineRule="auto"/>
        <w:rPr>
          <w:rFonts w:ascii="宋体" w:hAnsi="宋体" w:cs="宋体"/>
          <w:b/>
          <w:sz w:val="24"/>
        </w:rPr>
      </w:pPr>
    </w:p>
    <w:p>
      <w:pPr>
        <w:spacing w:line="312" w:lineRule="auto"/>
        <w:rPr>
          <w:rFonts w:ascii="宋体" w:hAnsi="宋体" w:cs="宋体"/>
          <w:b/>
          <w:sz w:val="24"/>
        </w:rPr>
      </w:pPr>
      <w:r>
        <w:rPr>
          <w:rFonts w:hint="eastAsia" w:ascii="宋体" w:hAnsi="宋体" w:cs="宋体"/>
          <w:b/>
          <w:sz w:val="24"/>
        </w:rPr>
        <w:t>附2：项目负责人简历表</w:t>
      </w:r>
    </w:p>
    <w:p>
      <w:pPr>
        <w:spacing w:line="312" w:lineRule="auto"/>
        <w:ind w:firstLine="600" w:firstLineChars="250"/>
        <w:rPr>
          <w:rFonts w:ascii="宋体" w:hAnsi="宋体" w:cs="宋体"/>
          <w:sz w:val="24"/>
        </w:rPr>
      </w:pPr>
      <w:r>
        <w:rPr>
          <w:rFonts w:hint="eastAsia" w:ascii="宋体" w:hAnsi="宋体" w:cs="宋体"/>
          <w:sz w:val="24"/>
        </w:rPr>
        <w:t>项目负责人应附项目负责人身份证、职称证、学历证、劳动合同、养老保险复印件及未担任其他在施建设工程项目负责人的承诺书，管理过的类似项目业绩须附合同协议书和中标通知书（合同协议书和竣工验收备案登记表）复印件。</w:t>
      </w:r>
    </w:p>
    <w:tbl>
      <w:tblPr>
        <w:tblStyle w:val="18"/>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50" w:type="dxa"/>
            <w:vAlign w:val="center"/>
          </w:tcPr>
          <w:p>
            <w:pPr>
              <w:spacing w:line="312" w:lineRule="auto"/>
              <w:jc w:val="center"/>
              <w:rPr>
                <w:rFonts w:ascii="宋体" w:hAnsi="宋体" w:cs="宋体"/>
                <w:sz w:val="24"/>
              </w:rPr>
            </w:pPr>
            <w:r>
              <w:rPr>
                <w:rFonts w:hint="eastAsia" w:ascii="宋体"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409"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37"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93"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80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37"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50"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bl>
    <w:p>
      <w:pPr>
        <w:pStyle w:val="6"/>
        <w:ind w:firstLine="280"/>
        <w:rPr>
          <w:rFonts w:ascii="黑体" w:hAnsi="黑体" w:eastAsia="黑体" w:cs="黑体"/>
          <w:kern w:val="0"/>
          <w:sz w:val="28"/>
          <w:szCs w:val="28"/>
        </w:rPr>
      </w:pPr>
    </w:p>
    <w:p>
      <w:pPr>
        <w:topLinePunct/>
        <w:spacing w:line="360" w:lineRule="auto"/>
        <w:jc w:val="center"/>
        <w:rPr>
          <w:rFonts w:ascii="宋体" w:hAnsi="宋体" w:cs="宋体"/>
          <w:sz w:val="24"/>
          <w:szCs w:val="24"/>
        </w:rPr>
      </w:pPr>
    </w:p>
    <w:p>
      <w:pPr>
        <w:pStyle w:val="19"/>
        <w:spacing w:before="0" w:line="360" w:lineRule="auto"/>
        <w:jc w:val="center"/>
        <w:outlineLvl w:val="3"/>
        <w:rPr>
          <w:rFonts w:ascii="宋体" w:hAnsi="宋体" w:eastAsia="宋体" w:cs="宋体"/>
          <w:szCs w:val="24"/>
        </w:rPr>
      </w:pPr>
      <w:bookmarkStart w:id="190" w:name="_Toc281577573"/>
      <w:bookmarkStart w:id="191" w:name="_Toc230166253"/>
      <w:bookmarkStart w:id="192" w:name="_Toc144974875"/>
      <w:bookmarkStart w:id="193" w:name="_Toc257985763"/>
      <w:bookmarkStart w:id="194" w:name="_Toc152045807"/>
      <w:bookmarkStart w:id="195" w:name="_Toc152042596"/>
      <w:bookmarkStart w:id="196" w:name="_Toc281577316"/>
      <w:bookmarkStart w:id="197" w:name="_Toc281579388"/>
      <w:bookmarkStart w:id="198" w:name="_Toc358274765"/>
      <w:bookmarkStart w:id="199" w:name="_Toc358275293"/>
      <w:bookmarkStart w:id="200" w:name="_Toc358276060"/>
      <w:r>
        <w:rPr>
          <w:rFonts w:hint="eastAsia" w:ascii="宋体" w:hAnsi="宋体" w:eastAsia="宋体" w:cs="宋体"/>
          <w:b/>
          <w:sz w:val="24"/>
          <w:szCs w:val="24"/>
        </w:rPr>
        <w:br w:type="page"/>
      </w:r>
      <w:bookmarkStart w:id="201" w:name="_Toc426467417"/>
      <w:bookmarkStart w:id="202" w:name="_Toc387851733"/>
      <w:bookmarkStart w:id="203" w:name="_Toc392081417"/>
      <w:r>
        <w:rPr>
          <w:rFonts w:hint="eastAsia" w:ascii="宋体" w:hAnsi="宋体" w:eastAsia="宋体" w:cs="宋体"/>
          <w:b/>
          <w:sz w:val="30"/>
          <w:szCs w:val="30"/>
        </w:rPr>
        <w:t>五、</w:t>
      </w:r>
      <w:bookmarkEnd w:id="190"/>
      <w:bookmarkEnd w:id="191"/>
      <w:bookmarkEnd w:id="192"/>
      <w:bookmarkEnd w:id="193"/>
      <w:bookmarkEnd w:id="194"/>
      <w:bookmarkEnd w:id="195"/>
      <w:bookmarkEnd w:id="196"/>
      <w:bookmarkEnd w:id="197"/>
      <w:r>
        <w:rPr>
          <w:rFonts w:hint="eastAsia" w:ascii="宋体" w:hAnsi="宋体" w:eastAsia="宋体" w:cs="宋体"/>
          <w:b/>
          <w:sz w:val="30"/>
          <w:szCs w:val="30"/>
        </w:rPr>
        <w:t>投标单位基本信息表</w:t>
      </w:r>
      <w:bookmarkEnd w:id="198"/>
      <w:bookmarkEnd w:id="199"/>
      <w:bookmarkEnd w:id="200"/>
      <w:bookmarkEnd w:id="201"/>
      <w:bookmarkEnd w:id="202"/>
      <w:bookmarkEnd w:id="203"/>
    </w:p>
    <w:tbl>
      <w:tblPr>
        <w:tblStyle w:val="18"/>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956"/>
        <w:gridCol w:w="1012"/>
        <w:gridCol w:w="894"/>
        <w:gridCol w:w="447"/>
        <w:gridCol w:w="155"/>
        <w:gridCol w:w="1323"/>
        <w:gridCol w:w="521"/>
        <w:gridCol w:w="91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投标人名称</w:t>
            </w:r>
          </w:p>
        </w:tc>
        <w:tc>
          <w:tcPr>
            <w:tcW w:w="7279" w:type="dxa"/>
            <w:gridSpan w:val="9"/>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注册地址</w:t>
            </w:r>
          </w:p>
        </w:tc>
        <w:tc>
          <w:tcPr>
            <w:tcW w:w="3464" w:type="dxa"/>
            <w:gridSpan w:val="5"/>
            <w:vAlign w:val="center"/>
          </w:tcPr>
          <w:p>
            <w:pPr>
              <w:topLinePunct/>
              <w:spacing w:line="360" w:lineRule="auto"/>
              <w:jc w:val="center"/>
              <w:rPr>
                <w:rFonts w:ascii="宋体" w:hAnsi="宋体" w:cs="宋体"/>
                <w:sz w:val="24"/>
                <w:szCs w:val="24"/>
              </w:rPr>
            </w:pPr>
          </w:p>
        </w:tc>
        <w:tc>
          <w:tcPr>
            <w:tcW w:w="1323"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邮政编码</w:t>
            </w:r>
          </w:p>
        </w:tc>
        <w:tc>
          <w:tcPr>
            <w:tcW w:w="2492" w:type="dxa"/>
            <w:gridSpan w:val="3"/>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839" w:type="dxa"/>
            <w:vMerge w:val="restart"/>
            <w:vAlign w:val="center"/>
          </w:tcPr>
          <w:p>
            <w:pPr>
              <w:topLinePunct/>
              <w:spacing w:line="360" w:lineRule="auto"/>
              <w:jc w:val="center"/>
              <w:rPr>
                <w:rFonts w:ascii="宋体" w:hAnsi="宋体" w:cs="宋体"/>
                <w:sz w:val="24"/>
                <w:szCs w:val="24"/>
              </w:rPr>
            </w:pPr>
            <w:r>
              <w:rPr>
                <w:rFonts w:hint="eastAsia" w:ascii="宋体" w:hAnsi="宋体" w:cs="宋体"/>
                <w:sz w:val="24"/>
                <w:szCs w:val="24"/>
              </w:rPr>
              <w:t>联系方式</w:t>
            </w:r>
          </w:p>
        </w:tc>
        <w:tc>
          <w:tcPr>
            <w:tcW w:w="956"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联系人</w:t>
            </w:r>
          </w:p>
        </w:tc>
        <w:tc>
          <w:tcPr>
            <w:tcW w:w="2508" w:type="dxa"/>
            <w:gridSpan w:val="4"/>
            <w:vAlign w:val="center"/>
          </w:tcPr>
          <w:p>
            <w:pPr>
              <w:topLinePunct/>
              <w:spacing w:line="360" w:lineRule="auto"/>
              <w:jc w:val="center"/>
              <w:rPr>
                <w:rFonts w:ascii="宋体" w:hAnsi="宋体" w:cs="宋体"/>
                <w:sz w:val="24"/>
                <w:szCs w:val="24"/>
              </w:rPr>
            </w:pPr>
          </w:p>
        </w:tc>
        <w:tc>
          <w:tcPr>
            <w:tcW w:w="1323"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电 话</w:t>
            </w:r>
          </w:p>
        </w:tc>
        <w:tc>
          <w:tcPr>
            <w:tcW w:w="2492" w:type="dxa"/>
            <w:gridSpan w:val="3"/>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839" w:type="dxa"/>
            <w:vMerge w:val="continue"/>
            <w:vAlign w:val="center"/>
          </w:tcPr>
          <w:p>
            <w:pPr>
              <w:topLinePunct/>
              <w:spacing w:line="360" w:lineRule="auto"/>
              <w:jc w:val="center"/>
              <w:rPr>
                <w:rFonts w:ascii="宋体" w:hAnsi="宋体" w:cs="宋体"/>
                <w:sz w:val="24"/>
                <w:szCs w:val="24"/>
              </w:rPr>
            </w:pPr>
          </w:p>
        </w:tc>
        <w:tc>
          <w:tcPr>
            <w:tcW w:w="956"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传  真</w:t>
            </w:r>
          </w:p>
        </w:tc>
        <w:tc>
          <w:tcPr>
            <w:tcW w:w="2508" w:type="dxa"/>
            <w:gridSpan w:val="4"/>
            <w:vAlign w:val="center"/>
          </w:tcPr>
          <w:p>
            <w:pPr>
              <w:topLinePunct/>
              <w:spacing w:line="360" w:lineRule="auto"/>
              <w:jc w:val="center"/>
              <w:rPr>
                <w:rFonts w:ascii="宋体" w:hAnsi="宋体" w:cs="宋体"/>
                <w:sz w:val="24"/>
                <w:szCs w:val="24"/>
              </w:rPr>
            </w:pPr>
          </w:p>
        </w:tc>
        <w:tc>
          <w:tcPr>
            <w:tcW w:w="1323"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网 址</w:t>
            </w:r>
          </w:p>
        </w:tc>
        <w:tc>
          <w:tcPr>
            <w:tcW w:w="2492" w:type="dxa"/>
            <w:gridSpan w:val="3"/>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组织结构</w:t>
            </w:r>
          </w:p>
        </w:tc>
        <w:tc>
          <w:tcPr>
            <w:tcW w:w="7279" w:type="dxa"/>
            <w:gridSpan w:val="9"/>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法定代表人</w:t>
            </w:r>
          </w:p>
        </w:tc>
        <w:tc>
          <w:tcPr>
            <w:tcW w:w="956"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姓名</w:t>
            </w:r>
          </w:p>
        </w:tc>
        <w:tc>
          <w:tcPr>
            <w:tcW w:w="1012" w:type="dxa"/>
            <w:vAlign w:val="center"/>
          </w:tcPr>
          <w:p>
            <w:pPr>
              <w:topLinePunct/>
              <w:spacing w:line="360" w:lineRule="auto"/>
              <w:jc w:val="center"/>
              <w:rPr>
                <w:rFonts w:ascii="宋体" w:hAnsi="宋体" w:cs="宋体"/>
                <w:sz w:val="24"/>
                <w:szCs w:val="24"/>
              </w:rPr>
            </w:pPr>
          </w:p>
        </w:tc>
        <w:tc>
          <w:tcPr>
            <w:tcW w:w="1341" w:type="dxa"/>
            <w:gridSpan w:val="2"/>
            <w:vAlign w:val="center"/>
          </w:tcPr>
          <w:p>
            <w:pPr>
              <w:topLinePunct/>
              <w:spacing w:line="360" w:lineRule="auto"/>
              <w:jc w:val="center"/>
              <w:rPr>
                <w:rFonts w:ascii="宋体" w:hAnsi="宋体" w:cs="宋体"/>
                <w:sz w:val="24"/>
                <w:szCs w:val="24"/>
              </w:rPr>
            </w:pPr>
            <w:r>
              <w:rPr>
                <w:rFonts w:hint="eastAsia" w:ascii="宋体" w:hAnsi="宋体" w:cs="宋体"/>
                <w:sz w:val="24"/>
                <w:szCs w:val="24"/>
              </w:rPr>
              <w:t>技术职称</w:t>
            </w:r>
          </w:p>
        </w:tc>
        <w:tc>
          <w:tcPr>
            <w:tcW w:w="1999" w:type="dxa"/>
            <w:gridSpan w:val="3"/>
            <w:vAlign w:val="center"/>
          </w:tcPr>
          <w:p>
            <w:pPr>
              <w:topLinePunct/>
              <w:spacing w:line="360" w:lineRule="auto"/>
              <w:jc w:val="center"/>
              <w:rPr>
                <w:rFonts w:ascii="宋体" w:hAnsi="宋体" w:cs="宋体"/>
                <w:sz w:val="24"/>
                <w:szCs w:val="24"/>
              </w:rPr>
            </w:pPr>
          </w:p>
        </w:tc>
        <w:tc>
          <w:tcPr>
            <w:tcW w:w="915"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电话</w:t>
            </w:r>
          </w:p>
        </w:tc>
        <w:tc>
          <w:tcPr>
            <w:tcW w:w="1056" w:type="dxa"/>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技术负责人</w:t>
            </w:r>
          </w:p>
        </w:tc>
        <w:tc>
          <w:tcPr>
            <w:tcW w:w="956"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姓名</w:t>
            </w:r>
          </w:p>
        </w:tc>
        <w:tc>
          <w:tcPr>
            <w:tcW w:w="1012" w:type="dxa"/>
            <w:vAlign w:val="center"/>
          </w:tcPr>
          <w:p>
            <w:pPr>
              <w:topLinePunct/>
              <w:spacing w:line="360" w:lineRule="auto"/>
              <w:jc w:val="center"/>
              <w:rPr>
                <w:rFonts w:ascii="宋体" w:hAnsi="宋体" w:cs="宋体"/>
                <w:sz w:val="24"/>
                <w:szCs w:val="24"/>
              </w:rPr>
            </w:pPr>
          </w:p>
        </w:tc>
        <w:tc>
          <w:tcPr>
            <w:tcW w:w="1341" w:type="dxa"/>
            <w:gridSpan w:val="2"/>
            <w:vAlign w:val="center"/>
          </w:tcPr>
          <w:p>
            <w:pPr>
              <w:topLinePunct/>
              <w:spacing w:line="360" w:lineRule="auto"/>
              <w:jc w:val="center"/>
              <w:rPr>
                <w:rFonts w:ascii="宋体" w:hAnsi="宋体" w:cs="宋体"/>
                <w:sz w:val="24"/>
                <w:szCs w:val="24"/>
              </w:rPr>
            </w:pPr>
            <w:r>
              <w:rPr>
                <w:rFonts w:hint="eastAsia" w:ascii="宋体" w:hAnsi="宋体" w:cs="宋体"/>
                <w:sz w:val="24"/>
                <w:szCs w:val="24"/>
              </w:rPr>
              <w:t>技术职称</w:t>
            </w:r>
          </w:p>
        </w:tc>
        <w:tc>
          <w:tcPr>
            <w:tcW w:w="1999" w:type="dxa"/>
            <w:gridSpan w:val="3"/>
            <w:vAlign w:val="center"/>
          </w:tcPr>
          <w:p>
            <w:pPr>
              <w:topLinePunct/>
              <w:spacing w:line="360" w:lineRule="auto"/>
              <w:jc w:val="center"/>
              <w:rPr>
                <w:rFonts w:ascii="宋体" w:hAnsi="宋体" w:cs="宋体"/>
                <w:sz w:val="24"/>
                <w:szCs w:val="24"/>
              </w:rPr>
            </w:pPr>
          </w:p>
        </w:tc>
        <w:tc>
          <w:tcPr>
            <w:tcW w:w="915"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电话</w:t>
            </w:r>
          </w:p>
        </w:tc>
        <w:tc>
          <w:tcPr>
            <w:tcW w:w="1056" w:type="dxa"/>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成立时间</w:t>
            </w:r>
          </w:p>
        </w:tc>
        <w:tc>
          <w:tcPr>
            <w:tcW w:w="1968" w:type="dxa"/>
            <w:gridSpan w:val="2"/>
            <w:vAlign w:val="center"/>
          </w:tcPr>
          <w:p>
            <w:pPr>
              <w:topLinePunct/>
              <w:spacing w:line="360" w:lineRule="auto"/>
              <w:jc w:val="center"/>
              <w:rPr>
                <w:rFonts w:ascii="宋体" w:hAnsi="宋体" w:cs="宋体"/>
                <w:sz w:val="24"/>
                <w:szCs w:val="24"/>
              </w:rPr>
            </w:pPr>
          </w:p>
        </w:tc>
        <w:tc>
          <w:tcPr>
            <w:tcW w:w="5311" w:type="dxa"/>
            <w:gridSpan w:val="7"/>
            <w:vAlign w:val="center"/>
          </w:tcPr>
          <w:p>
            <w:pPr>
              <w:topLinePunct/>
              <w:spacing w:line="360" w:lineRule="auto"/>
              <w:ind w:firstLine="120" w:firstLineChars="50"/>
              <w:jc w:val="center"/>
              <w:rPr>
                <w:rFonts w:ascii="宋体" w:hAnsi="宋体" w:cs="宋体"/>
                <w:sz w:val="24"/>
                <w:szCs w:val="24"/>
              </w:rPr>
            </w:pPr>
            <w:r>
              <w:rPr>
                <w:rFonts w:hint="eastAsia" w:ascii="宋体" w:hAnsi="宋体"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企业资质等级</w:t>
            </w:r>
          </w:p>
        </w:tc>
        <w:tc>
          <w:tcPr>
            <w:tcW w:w="1968" w:type="dxa"/>
            <w:gridSpan w:val="2"/>
            <w:vAlign w:val="center"/>
          </w:tcPr>
          <w:p>
            <w:pPr>
              <w:topLinePunct/>
              <w:spacing w:line="360" w:lineRule="auto"/>
              <w:jc w:val="center"/>
              <w:rPr>
                <w:rFonts w:ascii="宋体" w:hAnsi="宋体" w:cs="宋体"/>
                <w:sz w:val="24"/>
                <w:szCs w:val="24"/>
              </w:rPr>
            </w:pPr>
          </w:p>
        </w:tc>
        <w:tc>
          <w:tcPr>
            <w:tcW w:w="894" w:type="dxa"/>
            <w:vMerge w:val="restart"/>
            <w:vAlign w:val="center"/>
          </w:tcPr>
          <w:p>
            <w:pPr>
              <w:topLinePunct/>
              <w:spacing w:line="360" w:lineRule="auto"/>
              <w:jc w:val="center"/>
              <w:rPr>
                <w:rFonts w:ascii="宋体" w:hAnsi="宋体" w:cs="宋体"/>
                <w:sz w:val="24"/>
                <w:szCs w:val="24"/>
              </w:rPr>
            </w:pPr>
            <w:r>
              <w:rPr>
                <w:rFonts w:hint="eastAsia" w:ascii="宋体" w:hAnsi="宋体" w:cs="宋体"/>
                <w:sz w:val="24"/>
                <w:szCs w:val="24"/>
              </w:rPr>
              <w:t>其中</w:t>
            </w:r>
          </w:p>
        </w:tc>
        <w:tc>
          <w:tcPr>
            <w:tcW w:w="2446" w:type="dxa"/>
            <w:gridSpan w:val="4"/>
            <w:vAlign w:val="center"/>
          </w:tcPr>
          <w:p>
            <w:pPr>
              <w:topLinePunct/>
              <w:spacing w:line="360" w:lineRule="auto"/>
              <w:jc w:val="center"/>
              <w:rPr>
                <w:rFonts w:ascii="宋体" w:hAnsi="宋体" w:cs="宋体"/>
                <w:sz w:val="24"/>
                <w:szCs w:val="24"/>
              </w:rPr>
            </w:pPr>
            <w:r>
              <w:rPr>
                <w:rFonts w:hint="eastAsia" w:ascii="宋体" w:hAnsi="宋体" w:cs="宋体"/>
                <w:sz w:val="24"/>
                <w:szCs w:val="24"/>
              </w:rPr>
              <w:t>项目负责人</w:t>
            </w:r>
          </w:p>
        </w:tc>
        <w:tc>
          <w:tcPr>
            <w:tcW w:w="1971" w:type="dxa"/>
            <w:gridSpan w:val="2"/>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营业执照号</w:t>
            </w:r>
          </w:p>
        </w:tc>
        <w:tc>
          <w:tcPr>
            <w:tcW w:w="1968" w:type="dxa"/>
            <w:gridSpan w:val="2"/>
            <w:vAlign w:val="center"/>
          </w:tcPr>
          <w:p>
            <w:pPr>
              <w:topLinePunct/>
              <w:spacing w:line="360" w:lineRule="auto"/>
              <w:jc w:val="center"/>
              <w:rPr>
                <w:rFonts w:ascii="宋体" w:hAnsi="宋体" w:cs="宋体"/>
                <w:sz w:val="24"/>
                <w:szCs w:val="24"/>
              </w:rPr>
            </w:pPr>
          </w:p>
        </w:tc>
        <w:tc>
          <w:tcPr>
            <w:tcW w:w="894" w:type="dxa"/>
            <w:vMerge w:val="continue"/>
            <w:vAlign w:val="center"/>
          </w:tcPr>
          <w:p>
            <w:pPr>
              <w:topLinePunct/>
              <w:spacing w:line="360" w:lineRule="auto"/>
              <w:jc w:val="center"/>
              <w:rPr>
                <w:rFonts w:ascii="宋体" w:hAnsi="宋体" w:cs="宋体"/>
                <w:sz w:val="24"/>
                <w:szCs w:val="24"/>
              </w:rPr>
            </w:pPr>
          </w:p>
        </w:tc>
        <w:tc>
          <w:tcPr>
            <w:tcW w:w="2446" w:type="dxa"/>
            <w:gridSpan w:val="4"/>
            <w:vAlign w:val="center"/>
          </w:tcPr>
          <w:p>
            <w:pPr>
              <w:topLinePunct/>
              <w:spacing w:line="360" w:lineRule="auto"/>
              <w:jc w:val="center"/>
              <w:rPr>
                <w:rFonts w:ascii="宋体" w:hAnsi="宋体" w:cs="宋体"/>
                <w:sz w:val="24"/>
                <w:szCs w:val="24"/>
              </w:rPr>
            </w:pPr>
            <w:r>
              <w:rPr>
                <w:rFonts w:hint="eastAsia" w:ascii="宋体" w:hAnsi="宋体" w:cs="宋体"/>
                <w:sz w:val="24"/>
                <w:szCs w:val="24"/>
              </w:rPr>
              <w:t>高级职称人员</w:t>
            </w:r>
          </w:p>
        </w:tc>
        <w:tc>
          <w:tcPr>
            <w:tcW w:w="1971" w:type="dxa"/>
            <w:gridSpan w:val="2"/>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注册资金</w:t>
            </w:r>
          </w:p>
        </w:tc>
        <w:tc>
          <w:tcPr>
            <w:tcW w:w="1968" w:type="dxa"/>
            <w:gridSpan w:val="2"/>
            <w:vAlign w:val="center"/>
          </w:tcPr>
          <w:p>
            <w:pPr>
              <w:topLinePunct/>
              <w:spacing w:line="360" w:lineRule="auto"/>
              <w:jc w:val="center"/>
              <w:rPr>
                <w:rFonts w:ascii="宋体" w:hAnsi="宋体" w:cs="宋体"/>
                <w:sz w:val="24"/>
                <w:szCs w:val="24"/>
              </w:rPr>
            </w:pPr>
          </w:p>
        </w:tc>
        <w:tc>
          <w:tcPr>
            <w:tcW w:w="894" w:type="dxa"/>
            <w:vMerge w:val="continue"/>
            <w:vAlign w:val="center"/>
          </w:tcPr>
          <w:p>
            <w:pPr>
              <w:topLinePunct/>
              <w:spacing w:line="360" w:lineRule="auto"/>
              <w:jc w:val="center"/>
              <w:rPr>
                <w:rFonts w:ascii="宋体" w:hAnsi="宋体" w:cs="宋体"/>
                <w:sz w:val="24"/>
                <w:szCs w:val="24"/>
              </w:rPr>
            </w:pPr>
          </w:p>
        </w:tc>
        <w:tc>
          <w:tcPr>
            <w:tcW w:w="2446" w:type="dxa"/>
            <w:gridSpan w:val="4"/>
            <w:vAlign w:val="center"/>
          </w:tcPr>
          <w:p>
            <w:pPr>
              <w:topLinePunct/>
              <w:spacing w:line="360" w:lineRule="auto"/>
              <w:jc w:val="center"/>
              <w:rPr>
                <w:rFonts w:ascii="宋体" w:hAnsi="宋体" w:cs="宋体"/>
                <w:sz w:val="24"/>
                <w:szCs w:val="24"/>
              </w:rPr>
            </w:pPr>
            <w:r>
              <w:rPr>
                <w:rFonts w:hint="eastAsia" w:ascii="宋体" w:hAnsi="宋体" w:cs="宋体"/>
                <w:sz w:val="24"/>
                <w:szCs w:val="24"/>
              </w:rPr>
              <w:t>中级职称人员</w:t>
            </w:r>
          </w:p>
        </w:tc>
        <w:tc>
          <w:tcPr>
            <w:tcW w:w="1971" w:type="dxa"/>
            <w:gridSpan w:val="2"/>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开户银行</w:t>
            </w:r>
          </w:p>
        </w:tc>
        <w:tc>
          <w:tcPr>
            <w:tcW w:w="1968" w:type="dxa"/>
            <w:gridSpan w:val="2"/>
            <w:vAlign w:val="center"/>
          </w:tcPr>
          <w:p>
            <w:pPr>
              <w:topLinePunct/>
              <w:spacing w:line="360" w:lineRule="auto"/>
              <w:jc w:val="center"/>
              <w:rPr>
                <w:rFonts w:ascii="宋体" w:hAnsi="宋体" w:cs="宋体"/>
                <w:sz w:val="24"/>
                <w:szCs w:val="24"/>
              </w:rPr>
            </w:pPr>
          </w:p>
        </w:tc>
        <w:tc>
          <w:tcPr>
            <w:tcW w:w="894" w:type="dxa"/>
            <w:vMerge w:val="continue"/>
            <w:vAlign w:val="center"/>
          </w:tcPr>
          <w:p>
            <w:pPr>
              <w:topLinePunct/>
              <w:spacing w:line="360" w:lineRule="auto"/>
              <w:jc w:val="center"/>
              <w:rPr>
                <w:rFonts w:ascii="宋体" w:hAnsi="宋体" w:cs="宋体"/>
                <w:sz w:val="24"/>
                <w:szCs w:val="24"/>
              </w:rPr>
            </w:pPr>
          </w:p>
        </w:tc>
        <w:tc>
          <w:tcPr>
            <w:tcW w:w="2446" w:type="dxa"/>
            <w:gridSpan w:val="4"/>
            <w:vAlign w:val="center"/>
          </w:tcPr>
          <w:p>
            <w:pPr>
              <w:topLinePunct/>
              <w:spacing w:line="360" w:lineRule="auto"/>
              <w:jc w:val="center"/>
              <w:rPr>
                <w:rFonts w:ascii="宋体" w:hAnsi="宋体" w:cs="宋体"/>
                <w:sz w:val="24"/>
                <w:szCs w:val="24"/>
              </w:rPr>
            </w:pPr>
            <w:r>
              <w:rPr>
                <w:rFonts w:hint="eastAsia" w:ascii="宋体" w:hAnsi="宋体" w:cs="宋体"/>
                <w:sz w:val="24"/>
                <w:szCs w:val="24"/>
              </w:rPr>
              <w:t>初级职称人员</w:t>
            </w:r>
          </w:p>
        </w:tc>
        <w:tc>
          <w:tcPr>
            <w:tcW w:w="1971" w:type="dxa"/>
            <w:gridSpan w:val="2"/>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账号</w:t>
            </w:r>
          </w:p>
        </w:tc>
        <w:tc>
          <w:tcPr>
            <w:tcW w:w="1968" w:type="dxa"/>
            <w:gridSpan w:val="2"/>
            <w:vAlign w:val="center"/>
          </w:tcPr>
          <w:p>
            <w:pPr>
              <w:topLinePunct/>
              <w:spacing w:line="360" w:lineRule="auto"/>
              <w:jc w:val="center"/>
              <w:rPr>
                <w:rFonts w:ascii="宋体" w:hAnsi="宋体" w:cs="宋体"/>
                <w:sz w:val="24"/>
                <w:szCs w:val="24"/>
              </w:rPr>
            </w:pPr>
          </w:p>
        </w:tc>
        <w:tc>
          <w:tcPr>
            <w:tcW w:w="894" w:type="dxa"/>
            <w:vMerge w:val="continue"/>
            <w:vAlign w:val="center"/>
          </w:tcPr>
          <w:p>
            <w:pPr>
              <w:topLinePunct/>
              <w:spacing w:line="360" w:lineRule="auto"/>
              <w:jc w:val="center"/>
              <w:rPr>
                <w:rFonts w:ascii="宋体" w:hAnsi="宋体" w:cs="宋体"/>
                <w:sz w:val="24"/>
                <w:szCs w:val="24"/>
              </w:rPr>
            </w:pPr>
          </w:p>
        </w:tc>
        <w:tc>
          <w:tcPr>
            <w:tcW w:w="2446" w:type="dxa"/>
            <w:gridSpan w:val="4"/>
            <w:vAlign w:val="center"/>
          </w:tcPr>
          <w:p>
            <w:pPr>
              <w:pStyle w:val="12"/>
              <w:spacing w:before="0" w:after="0" w:line="360" w:lineRule="auto"/>
              <w:jc w:val="center"/>
              <w:rPr>
                <w:rFonts w:ascii="宋体" w:hAnsi="宋体" w:cs="宋体"/>
                <w:b w:val="0"/>
                <w:sz w:val="24"/>
                <w:szCs w:val="24"/>
              </w:rPr>
            </w:pPr>
            <w:r>
              <w:rPr>
                <w:rFonts w:hint="eastAsia" w:ascii="宋体" w:hAnsi="宋体" w:cs="宋体"/>
                <w:b w:val="0"/>
                <w:sz w:val="24"/>
                <w:szCs w:val="24"/>
              </w:rPr>
              <w:t>技  工</w:t>
            </w:r>
          </w:p>
        </w:tc>
        <w:tc>
          <w:tcPr>
            <w:tcW w:w="1971" w:type="dxa"/>
            <w:gridSpan w:val="2"/>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1839" w:type="dxa"/>
            <w:vAlign w:val="center"/>
          </w:tcPr>
          <w:p>
            <w:pPr>
              <w:topLinePunct/>
              <w:spacing w:line="360" w:lineRule="auto"/>
              <w:ind w:firstLine="240" w:firstLineChars="100"/>
              <w:jc w:val="center"/>
              <w:rPr>
                <w:rFonts w:ascii="宋体" w:hAnsi="宋体" w:cs="宋体"/>
                <w:sz w:val="24"/>
                <w:szCs w:val="24"/>
              </w:rPr>
            </w:pPr>
            <w:r>
              <w:rPr>
                <w:rFonts w:hint="eastAsia" w:ascii="宋体" w:hAnsi="宋体" w:cs="宋体"/>
                <w:sz w:val="24"/>
                <w:szCs w:val="24"/>
              </w:rPr>
              <w:t>经营范围</w:t>
            </w:r>
          </w:p>
        </w:tc>
        <w:tc>
          <w:tcPr>
            <w:tcW w:w="7279" w:type="dxa"/>
            <w:gridSpan w:val="9"/>
            <w:vAlign w:val="center"/>
          </w:tcPr>
          <w:p>
            <w:pPr>
              <w:topLinePunct/>
              <w:spacing w:line="360" w:lineRule="auto"/>
              <w:jc w:val="center"/>
              <w:rPr>
                <w:rFonts w:ascii="宋体" w:hAnsi="宋体" w:cs="宋体"/>
                <w:sz w:val="24"/>
                <w:szCs w:val="24"/>
              </w:rPr>
            </w:pPr>
          </w:p>
          <w:p>
            <w:pPr>
              <w:topLinePunct/>
              <w:spacing w:line="360" w:lineRule="auto"/>
              <w:jc w:val="center"/>
              <w:rPr>
                <w:rFonts w:ascii="宋体" w:hAnsi="宋体" w:cs="宋体"/>
                <w:sz w:val="24"/>
                <w:szCs w:val="24"/>
              </w:rPr>
            </w:pPr>
          </w:p>
          <w:p>
            <w:pPr>
              <w:topLinePunct/>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备注</w:t>
            </w:r>
          </w:p>
        </w:tc>
        <w:tc>
          <w:tcPr>
            <w:tcW w:w="7279" w:type="dxa"/>
            <w:gridSpan w:val="9"/>
            <w:vAlign w:val="center"/>
          </w:tcPr>
          <w:p>
            <w:pPr>
              <w:topLinePunct/>
              <w:spacing w:line="360" w:lineRule="auto"/>
              <w:jc w:val="center"/>
              <w:rPr>
                <w:rFonts w:ascii="宋体" w:hAnsi="宋体" w:cs="宋体"/>
                <w:sz w:val="24"/>
                <w:szCs w:val="24"/>
              </w:rPr>
            </w:pPr>
          </w:p>
        </w:tc>
      </w:tr>
    </w:tbl>
    <w:p>
      <w:pPr>
        <w:pStyle w:val="19"/>
        <w:spacing w:before="0" w:line="360" w:lineRule="auto"/>
        <w:jc w:val="center"/>
        <w:outlineLvl w:val="3"/>
        <w:rPr>
          <w:rFonts w:ascii="宋体" w:hAnsi="宋体" w:eastAsia="宋体" w:cs="宋体"/>
          <w:b/>
          <w:szCs w:val="24"/>
        </w:rPr>
      </w:pPr>
      <w:bookmarkStart w:id="204" w:name="_Toc358274766"/>
      <w:bookmarkStart w:id="205" w:name="_Toc358275294"/>
      <w:bookmarkStart w:id="206" w:name="_Toc358276061"/>
      <w:r>
        <w:rPr>
          <w:rFonts w:hint="eastAsia" w:ascii="宋体" w:hAnsi="宋体" w:eastAsia="宋体" w:cs="宋体"/>
          <w:b/>
          <w:szCs w:val="24"/>
        </w:rPr>
        <w:br w:type="page"/>
      </w:r>
      <w:bookmarkStart w:id="207" w:name="_Toc392081418"/>
      <w:bookmarkStart w:id="208" w:name="_Toc426467418"/>
      <w:bookmarkStart w:id="209" w:name="_Toc387851734"/>
    </w:p>
    <w:p>
      <w:pPr>
        <w:pStyle w:val="19"/>
        <w:spacing w:before="0" w:line="360" w:lineRule="auto"/>
        <w:jc w:val="center"/>
        <w:outlineLvl w:val="3"/>
        <w:rPr>
          <w:rFonts w:ascii="宋体" w:hAnsi="宋体" w:eastAsia="宋体" w:cs="宋体"/>
          <w:b/>
          <w:sz w:val="30"/>
          <w:szCs w:val="30"/>
        </w:rPr>
      </w:pPr>
      <w:r>
        <w:rPr>
          <w:rFonts w:hint="eastAsia" w:ascii="宋体" w:hAnsi="宋体" w:eastAsia="宋体" w:cs="宋体"/>
          <w:b/>
          <w:sz w:val="30"/>
          <w:szCs w:val="30"/>
        </w:rPr>
        <w:t>六、资格证明文件</w:t>
      </w:r>
      <w:bookmarkEnd w:id="204"/>
      <w:bookmarkEnd w:id="205"/>
      <w:bookmarkEnd w:id="206"/>
      <w:bookmarkEnd w:id="207"/>
      <w:bookmarkEnd w:id="208"/>
      <w:bookmarkEnd w:id="209"/>
    </w:p>
    <w:p>
      <w:pPr>
        <w:spacing w:line="360" w:lineRule="auto"/>
        <w:rPr>
          <w:rFonts w:ascii="宋体" w:hAnsi="宋体" w:cs="宋体"/>
          <w:b/>
          <w:bCs/>
          <w:sz w:val="24"/>
          <w:szCs w:val="24"/>
        </w:rPr>
      </w:pPr>
      <w:r>
        <w:rPr>
          <w:rFonts w:hint="eastAsia" w:ascii="宋体" w:hAnsi="宋体" w:cs="宋体"/>
          <w:sz w:val="24"/>
        </w:rPr>
        <w:t xml:space="preserve">    在此附投标人企业法人营业执照、企业资质证书副本等材料的复印件。</w:t>
      </w:r>
    </w:p>
    <w:bookmarkEnd w:id="166"/>
    <w:bookmarkEnd w:id="167"/>
    <w:bookmarkEnd w:id="168"/>
    <w:bookmarkEnd w:id="169"/>
    <w:bookmarkEnd w:id="170"/>
    <w:bookmarkEnd w:id="171"/>
    <w:bookmarkEnd w:id="172"/>
    <w:bookmarkEnd w:id="173"/>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pStyle w:val="19"/>
        <w:spacing w:before="0" w:line="360" w:lineRule="auto"/>
        <w:jc w:val="center"/>
        <w:outlineLvl w:val="3"/>
        <w:rPr>
          <w:rFonts w:ascii="宋体" w:hAnsi="宋体" w:eastAsia="宋体" w:cs="宋体"/>
          <w:b/>
          <w:szCs w:val="24"/>
        </w:rPr>
      </w:pPr>
      <w:bookmarkStart w:id="210" w:name="_Toc426467419"/>
      <w:bookmarkStart w:id="211" w:name="_Toc387851735"/>
      <w:bookmarkStart w:id="212" w:name="_Toc392081419"/>
      <w:r>
        <w:rPr>
          <w:rFonts w:hint="eastAsia" w:ascii="宋体" w:hAnsi="宋体" w:eastAsia="宋体" w:cs="宋体"/>
          <w:b/>
          <w:sz w:val="30"/>
          <w:szCs w:val="30"/>
        </w:rPr>
        <w:t>七、近年财务状况</w:t>
      </w:r>
      <w:bookmarkEnd w:id="210"/>
      <w:bookmarkEnd w:id="211"/>
      <w:bookmarkEnd w:id="212"/>
    </w:p>
    <w:p>
      <w:pPr>
        <w:topLinePunct/>
        <w:spacing w:line="360" w:lineRule="auto"/>
        <w:ind w:firstLine="480" w:firstLineChars="200"/>
        <w:jc w:val="left"/>
        <w:rPr>
          <w:rFonts w:ascii="宋体" w:hAnsi="宋体" w:cs="宋体"/>
          <w:sz w:val="24"/>
          <w:szCs w:val="24"/>
        </w:rPr>
      </w:pPr>
      <w:r>
        <w:rPr>
          <w:rFonts w:hint="eastAsia" w:ascii="宋体" w:hAnsi="宋体" w:cs="宋体"/>
          <w:sz w:val="24"/>
          <w:szCs w:val="24"/>
        </w:rPr>
        <w:t>在此附会计师事所或审计机构审计的财务会计报表，具体年份要求见第二章“投标人须知”的规定。</w:t>
      </w:r>
    </w:p>
    <w:p>
      <w:pPr>
        <w:pStyle w:val="19"/>
        <w:spacing w:before="0" w:line="360" w:lineRule="auto"/>
        <w:jc w:val="center"/>
        <w:outlineLvl w:val="3"/>
        <w:rPr>
          <w:rFonts w:ascii="宋体" w:hAnsi="宋体" w:eastAsia="宋体" w:cs="宋体"/>
          <w:b/>
          <w:szCs w:val="24"/>
        </w:rPr>
      </w:pPr>
      <w:r>
        <w:rPr>
          <w:rFonts w:hint="eastAsia" w:ascii="宋体" w:hAnsi="宋体" w:eastAsia="宋体" w:cs="宋体"/>
          <w:b/>
          <w:bCs/>
          <w:sz w:val="24"/>
          <w:szCs w:val="24"/>
        </w:rPr>
        <w:br w:type="page"/>
      </w:r>
      <w:bookmarkStart w:id="213" w:name="_Toc392081420"/>
      <w:bookmarkStart w:id="214" w:name="_Toc426467420"/>
      <w:r>
        <w:rPr>
          <w:rFonts w:hint="eastAsia" w:ascii="宋体" w:hAnsi="宋体" w:eastAsia="宋体" w:cs="宋体"/>
          <w:b/>
          <w:sz w:val="30"/>
          <w:szCs w:val="30"/>
        </w:rPr>
        <w:t>八、近年完成的类似项目情况</w:t>
      </w:r>
      <w:bookmarkEnd w:id="213"/>
      <w:bookmarkEnd w:id="214"/>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项目名称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项目所在地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发包人名称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发包人地址</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发包人电话</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合同价格</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开工日期</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竣工日期</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承担的工作</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工程质量</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项目负责人</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技术负责人</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spacing w:val="-20"/>
                <w:kern w:val="0"/>
                <w:sz w:val="24"/>
                <w:szCs w:val="24"/>
              </w:rPr>
            </w:pPr>
            <w:r>
              <w:rPr>
                <w:rFonts w:hint="eastAsia" w:ascii="宋体" w:hAnsi="宋体" w:cs="宋体"/>
                <w:spacing w:val="-20"/>
                <w:kern w:val="0"/>
                <w:sz w:val="24"/>
                <w:szCs w:val="24"/>
              </w:rPr>
              <w:t>总监理工程师及电话</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项目描述</w:t>
            </w:r>
          </w:p>
        </w:tc>
        <w:tc>
          <w:tcPr>
            <w:tcW w:w="6675" w:type="dxa"/>
            <w:vAlign w:val="center"/>
          </w:tcPr>
          <w:p>
            <w:pPr>
              <w:autoSpaceDE w:val="0"/>
              <w:autoSpaceDN w:val="0"/>
              <w:adjustRightInd w:val="0"/>
              <w:spacing w:line="360" w:lineRule="auto"/>
              <w:ind w:right="215"/>
              <w:rPr>
                <w:rFonts w:ascii="宋体" w:hAnsi="宋体" w:cs="宋体"/>
                <w:kern w:val="0"/>
                <w:sz w:val="24"/>
                <w:szCs w:val="24"/>
              </w:rPr>
            </w:pPr>
          </w:p>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备注</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p>
            <w:pPr>
              <w:autoSpaceDE w:val="0"/>
              <w:autoSpaceDN w:val="0"/>
              <w:adjustRightInd w:val="0"/>
              <w:spacing w:line="360" w:lineRule="auto"/>
              <w:ind w:right="215"/>
              <w:rPr>
                <w:rFonts w:ascii="宋体" w:hAnsi="宋体" w:cs="宋体"/>
                <w:kern w:val="0"/>
                <w:sz w:val="24"/>
                <w:szCs w:val="24"/>
              </w:rPr>
            </w:pPr>
          </w:p>
        </w:tc>
      </w:tr>
    </w:tbl>
    <w:p>
      <w:pPr>
        <w:spacing w:line="360" w:lineRule="auto"/>
        <w:rPr>
          <w:rFonts w:ascii="宋体" w:hAnsi="宋体" w:cs="宋体"/>
          <w:kern w:val="0"/>
          <w:sz w:val="24"/>
        </w:rPr>
      </w:pPr>
      <w:r>
        <w:rPr>
          <w:rFonts w:hint="eastAsia" w:ascii="宋体" w:hAnsi="宋体" w:cs="宋体"/>
          <w:kern w:val="0"/>
          <w:sz w:val="24"/>
        </w:rPr>
        <w:t>注：1.本表后须附相应的合同协议书和中标通知书或合同协议书和竣工验收证明</w:t>
      </w:r>
      <w:r>
        <w:rPr>
          <w:rFonts w:hint="eastAsia" w:ascii="宋体" w:hAnsi="宋体" w:cs="宋体"/>
          <w:sz w:val="24"/>
          <w:szCs w:val="24"/>
        </w:rPr>
        <w:t>的复印件</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2.如近年来，投标人法人机构发生合法变更或重组或法人名称变更时，应提供相关部门的合法批件或其他相关证明材料来证明其所附业绩的继承性。</w:t>
      </w:r>
    </w:p>
    <w:p>
      <w:pPr>
        <w:spacing w:line="360" w:lineRule="auto"/>
        <w:ind w:firstLine="480" w:firstLineChars="200"/>
        <w:rPr>
          <w:rFonts w:ascii="宋体" w:hAnsi="宋体" w:cs="宋体"/>
          <w:kern w:val="0"/>
          <w:sz w:val="24"/>
        </w:rPr>
      </w:pPr>
      <w:r>
        <w:rPr>
          <w:rFonts w:hint="eastAsia" w:ascii="宋体" w:hAnsi="宋体" w:cs="宋体"/>
          <w:kern w:val="0"/>
          <w:sz w:val="24"/>
        </w:rPr>
        <w:t>3.当本表内容与所附证据材料不一致时，评标委员会应当以相关证据材料为准。</w:t>
      </w:r>
    </w:p>
    <w:p>
      <w:pPr>
        <w:spacing w:line="360" w:lineRule="auto"/>
        <w:rPr>
          <w:rFonts w:ascii="宋体" w:hAnsi="宋体" w:cs="宋体"/>
          <w:kern w:val="0"/>
          <w:sz w:val="24"/>
        </w:rPr>
      </w:pPr>
    </w:p>
    <w:p>
      <w:pPr>
        <w:pStyle w:val="19"/>
        <w:spacing w:before="0" w:line="360" w:lineRule="auto"/>
        <w:jc w:val="center"/>
        <w:outlineLvl w:val="3"/>
        <w:rPr>
          <w:rFonts w:ascii="宋体" w:hAnsi="宋体" w:eastAsia="宋体" w:cs="宋体"/>
          <w:b/>
          <w:szCs w:val="24"/>
        </w:rPr>
      </w:pPr>
      <w:bookmarkStart w:id="215" w:name="_Toc358276064"/>
      <w:bookmarkStart w:id="216" w:name="_Toc358274769"/>
      <w:bookmarkStart w:id="217" w:name="_Toc358275297"/>
      <w:r>
        <w:rPr>
          <w:rFonts w:hint="eastAsia" w:ascii="宋体" w:hAnsi="宋体" w:eastAsia="宋体" w:cs="宋体"/>
          <w:kern w:val="0"/>
          <w:sz w:val="24"/>
        </w:rPr>
        <w:br w:type="page"/>
      </w:r>
      <w:bookmarkStart w:id="218" w:name="_Toc426467421"/>
      <w:bookmarkStart w:id="219" w:name="_Toc392081421"/>
      <w:bookmarkStart w:id="220" w:name="_Toc387851737"/>
      <w:r>
        <w:rPr>
          <w:rFonts w:hint="eastAsia" w:ascii="宋体" w:hAnsi="宋体" w:eastAsia="宋体" w:cs="宋体"/>
          <w:b/>
          <w:sz w:val="30"/>
          <w:szCs w:val="30"/>
        </w:rPr>
        <w:t>九、正在施工的和新承接的项目情况</w:t>
      </w:r>
      <w:bookmarkEnd w:id="215"/>
      <w:bookmarkEnd w:id="216"/>
      <w:bookmarkEnd w:id="217"/>
      <w:bookmarkEnd w:id="218"/>
      <w:bookmarkEnd w:id="219"/>
      <w:bookmarkEnd w:id="220"/>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项目名称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项目所在地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发包人名称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发包人地址</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发包人电话</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签约合同价</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开工日期</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计划竣工日期</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承担的工作</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工程质量</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项目负责人</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技术负责人</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spacing w:val="-20"/>
                <w:kern w:val="0"/>
                <w:sz w:val="24"/>
                <w:szCs w:val="24"/>
              </w:rPr>
            </w:pPr>
            <w:r>
              <w:rPr>
                <w:rFonts w:hint="eastAsia" w:ascii="宋体" w:hAnsi="宋体" w:cs="宋体"/>
                <w:spacing w:val="-20"/>
                <w:kern w:val="0"/>
                <w:sz w:val="24"/>
                <w:szCs w:val="24"/>
              </w:rPr>
              <w:t>总监理工程师及电话</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7"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项目描述</w:t>
            </w:r>
          </w:p>
        </w:tc>
        <w:tc>
          <w:tcPr>
            <w:tcW w:w="6675" w:type="dxa"/>
            <w:vAlign w:val="center"/>
          </w:tcPr>
          <w:p>
            <w:pPr>
              <w:autoSpaceDE w:val="0"/>
              <w:autoSpaceDN w:val="0"/>
              <w:adjustRightInd w:val="0"/>
              <w:spacing w:line="360" w:lineRule="auto"/>
              <w:ind w:right="215"/>
              <w:rPr>
                <w:rFonts w:ascii="宋体" w:hAnsi="宋体" w:cs="宋体"/>
                <w:kern w:val="0"/>
                <w:sz w:val="24"/>
                <w:szCs w:val="24"/>
              </w:rPr>
            </w:pPr>
          </w:p>
          <w:p>
            <w:pPr>
              <w:autoSpaceDE w:val="0"/>
              <w:autoSpaceDN w:val="0"/>
              <w:adjustRightInd w:val="0"/>
              <w:spacing w:line="360" w:lineRule="auto"/>
              <w:ind w:right="215"/>
              <w:jc w:val="center"/>
              <w:rPr>
                <w:rFonts w:ascii="宋体" w:hAnsi="宋体" w:cs="宋体"/>
                <w:kern w:val="0"/>
                <w:sz w:val="24"/>
                <w:szCs w:val="24"/>
              </w:rPr>
            </w:pPr>
          </w:p>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备注</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p>
            <w:pPr>
              <w:autoSpaceDE w:val="0"/>
              <w:autoSpaceDN w:val="0"/>
              <w:adjustRightInd w:val="0"/>
              <w:spacing w:line="360" w:lineRule="auto"/>
              <w:ind w:right="215"/>
              <w:rPr>
                <w:rFonts w:ascii="宋体" w:hAnsi="宋体" w:cs="宋体"/>
                <w:kern w:val="0"/>
                <w:sz w:val="24"/>
                <w:szCs w:val="24"/>
              </w:rPr>
            </w:pPr>
          </w:p>
        </w:tc>
      </w:tr>
    </w:tbl>
    <w:p>
      <w:pPr>
        <w:topLinePunct/>
        <w:spacing w:line="360" w:lineRule="auto"/>
        <w:jc w:val="left"/>
        <w:rPr>
          <w:rFonts w:ascii="宋体" w:hAnsi="宋体" w:cs="宋体"/>
          <w:sz w:val="24"/>
          <w:szCs w:val="24"/>
        </w:rPr>
      </w:pPr>
      <w:r>
        <w:rPr>
          <w:rFonts w:hint="eastAsia" w:ascii="宋体" w:hAnsi="宋体" w:cs="宋体"/>
          <w:kern w:val="0"/>
          <w:sz w:val="24"/>
        </w:rPr>
        <w:t>注：本表后须附相应的中标通知书或合同协议书的复印件。</w:t>
      </w:r>
    </w:p>
    <w:p>
      <w:pPr>
        <w:topLinePunct/>
        <w:spacing w:line="360" w:lineRule="auto"/>
        <w:jc w:val="center"/>
        <w:rPr>
          <w:rFonts w:ascii="宋体" w:hAnsi="宋体" w:cs="宋体"/>
          <w:sz w:val="24"/>
          <w:szCs w:val="24"/>
        </w:rPr>
      </w:pPr>
    </w:p>
    <w:p>
      <w:pPr>
        <w:pStyle w:val="19"/>
        <w:spacing w:before="0" w:line="360" w:lineRule="auto"/>
        <w:jc w:val="center"/>
        <w:outlineLvl w:val="3"/>
        <w:rPr>
          <w:rFonts w:ascii="宋体" w:hAnsi="宋体" w:eastAsia="宋体" w:cs="宋体"/>
          <w:b/>
          <w:sz w:val="30"/>
          <w:szCs w:val="30"/>
        </w:rPr>
      </w:pPr>
      <w:bookmarkStart w:id="221" w:name="_Toc358275298"/>
      <w:bookmarkStart w:id="222" w:name="_Toc358274770"/>
      <w:bookmarkStart w:id="223" w:name="_Toc358276065"/>
      <w:r>
        <w:rPr>
          <w:rFonts w:hint="eastAsia" w:ascii="宋体" w:hAnsi="宋体" w:eastAsia="宋体" w:cs="宋体"/>
          <w:b/>
          <w:sz w:val="30"/>
          <w:szCs w:val="30"/>
        </w:rPr>
        <w:br w:type="page"/>
      </w:r>
      <w:bookmarkStart w:id="224" w:name="_Toc426467422"/>
      <w:bookmarkStart w:id="225" w:name="_Toc387851738"/>
      <w:bookmarkStart w:id="226" w:name="_Toc392081422"/>
      <w:r>
        <w:rPr>
          <w:rFonts w:hint="eastAsia" w:ascii="宋体" w:hAnsi="宋体" w:eastAsia="宋体" w:cs="宋体"/>
          <w:b/>
          <w:sz w:val="30"/>
          <w:szCs w:val="30"/>
        </w:rPr>
        <w:t>十、近年发生的诉讼及仲裁情况</w:t>
      </w:r>
      <w:bookmarkEnd w:id="221"/>
      <w:bookmarkEnd w:id="222"/>
      <w:bookmarkEnd w:id="223"/>
      <w:bookmarkEnd w:id="224"/>
      <w:bookmarkEnd w:id="225"/>
      <w:bookmarkEnd w:id="226"/>
    </w:p>
    <w:p>
      <w:pPr>
        <w:topLinePunct/>
        <w:spacing w:line="360" w:lineRule="auto"/>
        <w:ind w:left="991" w:hanging="991" w:hangingChars="413"/>
        <w:jc w:val="left"/>
        <w:rPr>
          <w:rFonts w:ascii="宋体" w:hAnsi="宋体" w:cs="宋体"/>
          <w:sz w:val="24"/>
        </w:rPr>
      </w:pPr>
      <w:r>
        <w:rPr>
          <w:rFonts w:hint="eastAsia" w:ascii="宋体" w:hAnsi="宋体" w:cs="宋体"/>
          <w:sz w:val="24"/>
        </w:rPr>
        <w:t>说明：1.具体年份要求见投标人须知前附表。</w:t>
      </w:r>
    </w:p>
    <w:p>
      <w:pPr>
        <w:numPr>
          <w:ilvl w:val="0"/>
          <w:numId w:val="6"/>
        </w:numPr>
        <w:topLinePunct/>
        <w:spacing w:line="360" w:lineRule="auto"/>
        <w:ind w:firstLine="720" w:firstLineChars="300"/>
        <w:jc w:val="left"/>
        <w:rPr>
          <w:rFonts w:ascii="宋体" w:hAnsi="宋体" w:cs="宋体"/>
          <w:sz w:val="24"/>
        </w:rPr>
      </w:pPr>
      <w:r>
        <w:rPr>
          <w:rFonts w:hint="eastAsia" w:ascii="宋体" w:hAnsi="宋体" w:cs="宋体"/>
          <w:sz w:val="24"/>
        </w:rPr>
        <w:t>若投标人近年无诉讼及仲裁情况，此部分内容写“无”即可。</w:t>
      </w: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topLinePunct/>
        <w:spacing w:line="360" w:lineRule="auto"/>
        <w:jc w:val="left"/>
        <w:rPr>
          <w:rFonts w:ascii="宋体" w:hAnsi="宋体" w:cs="宋体"/>
          <w:sz w:val="24"/>
        </w:rPr>
      </w:pPr>
    </w:p>
    <w:p>
      <w:pPr>
        <w:pStyle w:val="19"/>
        <w:spacing w:before="0" w:line="360" w:lineRule="auto"/>
        <w:jc w:val="center"/>
        <w:outlineLvl w:val="3"/>
        <w:rPr>
          <w:rFonts w:ascii="宋体" w:hAnsi="宋体" w:eastAsia="宋体" w:cs="宋体"/>
          <w:b/>
          <w:sz w:val="30"/>
          <w:szCs w:val="30"/>
        </w:rPr>
      </w:pPr>
      <w:bookmarkStart w:id="227" w:name="_Toc426467423"/>
      <w:bookmarkStart w:id="228" w:name="_Toc387851739"/>
      <w:bookmarkStart w:id="229" w:name="_Toc392081423"/>
      <w:r>
        <w:rPr>
          <w:rFonts w:hint="eastAsia" w:ascii="宋体" w:hAnsi="宋体" w:eastAsia="宋体" w:cs="宋体"/>
          <w:b/>
          <w:sz w:val="30"/>
          <w:szCs w:val="30"/>
        </w:rPr>
        <w:t>十一、承诺书</w:t>
      </w:r>
      <w:bookmarkEnd w:id="227"/>
      <w:bookmarkEnd w:id="228"/>
      <w:bookmarkEnd w:id="229"/>
    </w:p>
    <w:tbl>
      <w:tblPr>
        <w:tblStyle w:val="18"/>
        <w:tblpPr w:leftFromText="180" w:rightFromText="180" w:vertAnchor="text" w:horzAnchor="page" w:tblpX="1595" w:tblpY="43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投标单位</w:t>
            </w:r>
          </w:p>
        </w:tc>
        <w:tc>
          <w:tcPr>
            <w:tcW w:w="6865" w:type="dxa"/>
            <w:vAlign w:val="bottom"/>
          </w:tcPr>
          <w:p>
            <w:pPr>
              <w:adjustRightInd w:val="0"/>
              <w:snapToGrid w:val="0"/>
              <w:spacing w:line="360" w:lineRule="auto"/>
              <w:jc w:val="right"/>
              <w:rPr>
                <w:rFonts w:ascii="宋体" w:hAnsi="宋体" w:cs="宋体"/>
                <w:sz w:val="24"/>
                <w:szCs w:val="24"/>
              </w:rPr>
            </w:pPr>
            <w:r>
              <w:rPr>
                <w:rFonts w:hint="eastAsia" w:ascii="宋体" w:hAnsi="宋体" w:cs="宋体"/>
                <w:sz w:val="24"/>
                <w:szCs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1" w:hRule="atLeast"/>
        </w:trPr>
        <w:tc>
          <w:tcPr>
            <w:tcW w:w="8897" w:type="dxa"/>
            <w:gridSpan w:val="2"/>
          </w:tcPr>
          <w:p>
            <w:pPr>
              <w:adjustRightInd w:val="0"/>
              <w:snapToGrid w:val="0"/>
              <w:spacing w:line="360" w:lineRule="auto"/>
              <w:rPr>
                <w:rFonts w:ascii="宋体" w:hAnsi="宋体" w:cs="宋体"/>
                <w:sz w:val="24"/>
                <w:szCs w:val="24"/>
              </w:rPr>
            </w:pPr>
            <w:r>
              <w:rPr>
                <w:rFonts w:hint="eastAsia" w:ascii="宋体" w:hAnsi="宋体" w:cs="宋体"/>
                <w:sz w:val="24"/>
                <w:szCs w:val="24"/>
              </w:rPr>
              <w:t>承诺内容：</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ind w:right="480"/>
              <w:rPr>
                <w:rFonts w:ascii="宋体" w:hAnsi="宋体" w:cs="宋体"/>
                <w:sz w:val="24"/>
                <w:szCs w:val="24"/>
              </w:rPr>
            </w:pPr>
            <w:r>
              <w:rPr>
                <w:rFonts w:hint="eastAsia" w:ascii="宋体" w:hAnsi="宋体" w:cs="宋体"/>
                <w:sz w:val="24"/>
                <w:szCs w:val="24"/>
              </w:rPr>
              <w:t>投标人法定代表人（签字）：</w:t>
            </w:r>
          </w:p>
          <w:p>
            <w:pPr>
              <w:adjustRightInd w:val="0"/>
              <w:snapToGrid w:val="0"/>
              <w:spacing w:line="360" w:lineRule="auto"/>
              <w:jc w:val="right"/>
              <w:rPr>
                <w:rFonts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u w:val="single"/>
              </w:rPr>
              <w:t xml:space="preserve">      </w:t>
            </w:r>
          </w:p>
          <w:p>
            <w:pPr>
              <w:adjustRightInd w:val="0"/>
              <w:snapToGrid w:val="0"/>
              <w:spacing w:line="360" w:lineRule="auto"/>
              <w:ind w:right="232"/>
              <w:jc w:val="right"/>
              <w:rPr>
                <w:rFonts w:ascii="宋体" w:hAnsi="宋体" w:cs="宋体"/>
                <w:sz w:val="24"/>
                <w:szCs w:val="24"/>
              </w:rPr>
            </w:pPr>
            <w:r>
              <w:rPr>
                <w:rFonts w:hint="eastAsia" w:ascii="宋体" w:hAnsi="宋体" w:cs="宋体"/>
                <w:spacing w:val="11"/>
                <w:sz w:val="24"/>
                <w:szCs w:val="24"/>
              </w:rPr>
              <w:t xml:space="preserve">日  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c>
      </w:tr>
    </w:tbl>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widowControl/>
        <w:jc w:val="center"/>
        <w:rPr>
          <w:rFonts w:ascii="宋体" w:hAnsi="宋体" w:cs="宋体"/>
          <w:b/>
          <w:sz w:val="28"/>
          <w:szCs w:val="28"/>
        </w:rPr>
      </w:pPr>
      <w:r>
        <w:rPr>
          <w:rFonts w:hint="eastAsia" w:ascii="宋体" w:hAnsi="宋体" w:cs="宋体"/>
          <w:b/>
          <w:sz w:val="28"/>
          <w:szCs w:val="28"/>
        </w:rPr>
        <w:t>企业信誉承诺书</w:t>
      </w:r>
    </w:p>
    <w:p>
      <w:pPr>
        <w:widowControl/>
        <w:jc w:val="center"/>
        <w:rPr>
          <w:rFonts w:ascii="宋体" w:hAnsi="宋体" w:cs="宋体"/>
          <w:b/>
          <w:sz w:val="28"/>
          <w:szCs w:val="28"/>
        </w:rPr>
      </w:pPr>
    </w:p>
    <w:p>
      <w:pPr>
        <w:spacing w:line="360" w:lineRule="auto"/>
        <w:rPr>
          <w:rFonts w:ascii="宋体" w:hAnsi="宋体"/>
          <w:b/>
          <w:sz w:val="24"/>
          <w:u w:val="single"/>
        </w:rPr>
      </w:pPr>
      <w:r>
        <w:rPr>
          <w:rFonts w:hint="eastAsia" w:ascii="宋体" w:hAnsi="宋体"/>
          <w:b/>
          <w:sz w:val="24"/>
        </w:rPr>
        <w:t>致：</w:t>
      </w:r>
      <w:r>
        <w:rPr>
          <w:rFonts w:hint="eastAsia" w:ascii="宋体" w:hAnsi="宋体"/>
          <w:b/>
          <w:sz w:val="24"/>
          <w:u w:val="single"/>
        </w:rPr>
        <w:t xml:space="preserve">                </w:t>
      </w:r>
      <w:r>
        <w:rPr>
          <w:rFonts w:hint="eastAsia"/>
          <w:b/>
          <w:sz w:val="24"/>
          <w:u w:val="single"/>
        </w:rPr>
        <w:t>（招标人全称）</w:t>
      </w:r>
    </w:p>
    <w:p>
      <w:pPr>
        <w:spacing w:line="360" w:lineRule="auto"/>
        <w:ind w:left="-178" w:leftChars="-85" w:firstLine="88" w:firstLineChars="37"/>
        <w:rPr>
          <w:sz w:val="24"/>
        </w:rPr>
      </w:pPr>
      <w:r>
        <w:rPr>
          <w:rFonts w:hint="eastAsia" w:ascii="宋体" w:hAnsi="宋体"/>
          <w:sz w:val="24"/>
        </w:rPr>
        <w:t xml:space="preserve">  </w:t>
      </w:r>
      <w:r>
        <w:rPr>
          <w:rFonts w:hint="eastAsia"/>
          <w:sz w:val="24"/>
        </w:rPr>
        <w:t xml:space="preserve">  我公司郑重承诺：在近三年（自2015年1月1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pPr>
        <w:spacing w:line="360" w:lineRule="auto"/>
        <w:ind w:firstLine="480" w:firstLineChars="200"/>
        <w:rPr>
          <w:sz w:val="24"/>
        </w:rPr>
      </w:pPr>
      <w:r>
        <w:rPr>
          <w:rFonts w:hint="eastAsia"/>
          <w:sz w:val="24"/>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0"/>
        <w:spacing w:line="360" w:lineRule="auto"/>
        <w:ind w:firstLine="3060"/>
        <w:jc w:val="both"/>
        <w:rPr>
          <w:rFonts w:hAnsi="宋体"/>
          <w:color w:val="auto"/>
        </w:rPr>
      </w:pPr>
      <w:r>
        <w:rPr>
          <w:rFonts w:hint="eastAsia" w:hAnsi="宋体"/>
          <w:color w:val="auto"/>
        </w:rPr>
        <w:t>投标人：</w:t>
      </w:r>
      <w:r>
        <w:rPr>
          <w:rFonts w:hint="eastAsia" w:hAnsi="宋体"/>
          <w:color w:val="auto"/>
          <w:u w:val="single"/>
        </w:rPr>
        <w:t xml:space="preserve">                        </w:t>
      </w:r>
      <w:r>
        <w:rPr>
          <w:rFonts w:hint="eastAsia" w:hAnsi="宋体"/>
          <w:color w:val="auto"/>
        </w:rPr>
        <w:t>（盖单位公章）</w:t>
      </w:r>
      <w:r>
        <w:rPr>
          <w:rFonts w:hAnsi="宋体"/>
          <w:color w:val="auto"/>
        </w:rPr>
        <w:t xml:space="preserve"> </w:t>
      </w:r>
    </w:p>
    <w:p>
      <w:pPr>
        <w:pStyle w:val="20"/>
        <w:spacing w:line="360" w:lineRule="auto"/>
        <w:ind w:firstLine="3060"/>
        <w:jc w:val="both"/>
        <w:rPr>
          <w:rFonts w:hAnsi="宋体"/>
          <w:color w:val="auto"/>
        </w:rPr>
      </w:pPr>
      <w:r>
        <w:rPr>
          <w:rFonts w:hint="eastAsia" w:hAnsi="宋体"/>
          <w:color w:val="auto"/>
        </w:rPr>
        <w:t>法定代表人：</w:t>
      </w:r>
      <w:r>
        <w:rPr>
          <w:rFonts w:hint="eastAsia" w:hAnsi="宋体"/>
          <w:color w:val="auto"/>
          <w:u w:val="single"/>
        </w:rPr>
        <w:t xml:space="preserve">                </w:t>
      </w:r>
      <w:r>
        <w:rPr>
          <w:rFonts w:hint="eastAsia" w:hAnsi="宋体"/>
          <w:color w:val="auto"/>
        </w:rPr>
        <w:t>（签字并盖法人章）</w:t>
      </w:r>
      <w:r>
        <w:rPr>
          <w:rFonts w:hAnsi="宋体"/>
          <w:color w:val="auto"/>
        </w:rPr>
        <w:t xml:space="preserve"> </w:t>
      </w:r>
    </w:p>
    <w:p>
      <w:pPr>
        <w:pStyle w:val="20"/>
        <w:spacing w:line="360" w:lineRule="auto"/>
        <w:ind w:firstLine="3120" w:firstLineChars="1300"/>
        <w:jc w:val="both"/>
        <w:rPr>
          <w:rFonts w:hAnsi="宋体"/>
          <w:color w:val="auto"/>
        </w:rPr>
      </w:pPr>
      <w:r>
        <w:rPr>
          <w:rFonts w:hint="eastAsia" w:hAnsi="宋体"/>
          <w:color w:val="auto"/>
        </w:rPr>
        <w:t>固定电话：</w:t>
      </w:r>
      <w:r>
        <w:rPr>
          <w:rFonts w:hint="eastAsia" w:hAnsi="宋体"/>
          <w:color w:val="auto"/>
          <w:u w:val="single"/>
        </w:rPr>
        <w:t xml:space="preserve">                                   </w:t>
      </w:r>
    </w:p>
    <w:p>
      <w:pPr>
        <w:pStyle w:val="20"/>
        <w:spacing w:line="360" w:lineRule="auto"/>
        <w:ind w:firstLine="3120" w:firstLineChars="1300"/>
        <w:jc w:val="both"/>
        <w:rPr>
          <w:rFonts w:hAnsi="宋体"/>
          <w:color w:val="auto"/>
        </w:rPr>
      </w:pPr>
      <w:r>
        <w:rPr>
          <w:rFonts w:hint="eastAsia" w:hAnsi="宋体"/>
          <w:color w:val="auto"/>
        </w:rPr>
        <w:t>投标人地址：</w:t>
      </w:r>
      <w:r>
        <w:rPr>
          <w:rFonts w:hint="eastAsia" w:hAnsi="宋体"/>
          <w:color w:val="auto"/>
          <w:u w:val="single"/>
        </w:rPr>
        <w:t xml:space="preserve">                                 </w:t>
      </w:r>
    </w:p>
    <w:p>
      <w:pPr>
        <w:spacing w:after="312" w:afterLines="100" w:line="360" w:lineRule="auto"/>
        <w:ind w:firstLine="4440" w:firstLineChars="1850"/>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27"/>
        <w:spacing w:before="0" w:beforeAutospacing="0" w:after="0" w:afterAutospacing="0" w:line="360" w:lineRule="auto"/>
        <w:ind w:firstLine="480" w:firstLineChars="200"/>
        <w:rPr>
          <w:rFonts w:ascii="宋体" w:hAnsi="宋体"/>
          <w:b w:val="0"/>
          <w:sz w:val="24"/>
          <w:szCs w:val="24"/>
        </w:rPr>
      </w:pPr>
    </w:p>
    <w:p>
      <w:pPr>
        <w:widowControl/>
        <w:jc w:val="center"/>
        <w:rPr>
          <w:rFonts w:ascii="宋体" w:hAnsi="宋体" w:cs="宋体"/>
          <w:b/>
          <w:sz w:val="24"/>
        </w:rPr>
      </w:pPr>
    </w:p>
    <w:p>
      <w:pPr>
        <w:widowControl/>
        <w:jc w:val="center"/>
        <w:rPr>
          <w:rFonts w:ascii="宋体" w:hAnsi="宋体" w:cs="宋体"/>
          <w:b/>
          <w:sz w:val="24"/>
        </w:rPr>
      </w:pPr>
    </w:p>
    <w:p>
      <w:pPr>
        <w:widowControl/>
        <w:jc w:val="center"/>
        <w:rPr>
          <w:rFonts w:ascii="宋体" w:hAnsi="宋体" w:cs="宋体"/>
          <w:b/>
          <w:sz w:val="24"/>
        </w:rPr>
      </w:pPr>
    </w:p>
    <w:p>
      <w:pPr>
        <w:widowControl/>
        <w:jc w:val="center"/>
        <w:rPr>
          <w:rFonts w:ascii="宋体" w:hAnsi="宋体" w:cs="宋体"/>
          <w:b/>
          <w:sz w:val="24"/>
        </w:rPr>
      </w:pPr>
    </w:p>
    <w:p>
      <w:pPr>
        <w:widowControl/>
        <w:jc w:val="center"/>
        <w:rPr>
          <w:rFonts w:ascii="宋体" w:hAnsi="宋体" w:cs="宋体"/>
          <w:b/>
          <w:sz w:val="24"/>
        </w:rPr>
      </w:pPr>
    </w:p>
    <w:p>
      <w:pPr>
        <w:widowControl/>
        <w:jc w:val="center"/>
        <w:rPr>
          <w:rFonts w:ascii="宋体" w:hAnsi="宋体" w:cs="宋体"/>
          <w:b/>
          <w:sz w:val="24"/>
        </w:rPr>
      </w:pPr>
    </w:p>
    <w:p>
      <w:pPr>
        <w:widowControl/>
        <w:jc w:val="center"/>
        <w:rPr>
          <w:rFonts w:ascii="宋体" w:hAnsi="宋体" w:cs="宋体"/>
          <w:b/>
          <w:sz w:val="24"/>
        </w:rPr>
      </w:pPr>
    </w:p>
    <w:p>
      <w:pPr>
        <w:widowControl/>
        <w:jc w:val="center"/>
        <w:rPr>
          <w:rFonts w:ascii="宋体" w:hAnsi="宋体" w:cs="宋体"/>
          <w:b/>
          <w:sz w:val="24"/>
        </w:rPr>
      </w:pPr>
    </w:p>
    <w:p>
      <w:pPr>
        <w:widowControl/>
        <w:jc w:val="center"/>
        <w:rPr>
          <w:rFonts w:ascii="宋体" w:hAnsi="宋体" w:cs="宋体"/>
          <w:b/>
          <w:sz w:val="24"/>
        </w:rPr>
      </w:pPr>
    </w:p>
    <w:p>
      <w:pPr>
        <w:widowControl/>
        <w:jc w:val="center"/>
        <w:rPr>
          <w:rFonts w:ascii="宋体" w:hAnsi="宋体" w:cs="宋体"/>
          <w:b/>
          <w:sz w:val="24"/>
        </w:rPr>
      </w:pPr>
    </w:p>
    <w:p>
      <w:pPr>
        <w:widowControl/>
        <w:jc w:val="center"/>
        <w:rPr>
          <w:rFonts w:ascii="宋体" w:hAnsi="宋体" w:cs="宋体"/>
          <w:b/>
          <w:sz w:val="24"/>
        </w:rPr>
      </w:pPr>
    </w:p>
    <w:p>
      <w:pPr>
        <w:widowControl/>
        <w:rPr>
          <w:rFonts w:ascii="宋体" w:hAnsi="宋体" w:cs="宋体"/>
          <w:b/>
          <w:sz w:val="24"/>
        </w:rPr>
      </w:pPr>
    </w:p>
    <w:p>
      <w:pPr>
        <w:widowControl/>
        <w:jc w:val="center"/>
        <w:rPr>
          <w:rFonts w:ascii="宋体" w:hAnsi="宋体" w:cs="宋体"/>
          <w:b/>
          <w:bCs/>
          <w:sz w:val="28"/>
          <w:szCs w:val="28"/>
        </w:rPr>
      </w:pPr>
      <w:r>
        <w:rPr>
          <w:rFonts w:hint="eastAsia" w:ascii="宋体" w:hAnsi="宋体" w:cs="宋体"/>
          <w:b/>
          <w:bCs/>
          <w:sz w:val="28"/>
          <w:szCs w:val="28"/>
        </w:rPr>
        <w:t>项目负责人无在建承诺书</w:t>
      </w:r>
    </w:p>
    <w:p>
      <w:pPr>
        <w:spacing w:line="360" w:lineRule="auto"/>
        <w:jc w:val="center"/>
        <w:rPr>
          <w:rFonts w:ascii="黑体" w:hAnsi="宋体" w:eastAsia="黑体"/>
          <w:sz w:val="24"/>
        </w:rPr>
      </w:pPr>
    </w:p>
    <w:p>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（招标人名称）：</w:t>
      </w:r>
    </w:p>
    <w:p>
      <w:pPr>
        <w:spacing w:line="360" w:lineRule="auto"/>
        <w:ind w:firstLine="480" w:firstLineChars="200"/>
        <w:rPr>
          <w:rFonts w:ascii="宋体" w:hAnsi="宋体"/>
          <w:sz w:val="24"/>
        </w:rPr>
      </w:pPr>
      <w:r>
        <w:rPr>
          <w:rFonts w:hint="eastAsia" w:ascii="宋体" w:hAnsi="宋体"/>
          <w:sz w:val="24"/>
        </w:rPr>
        <w:t>我方在此声明，我方拟派往</w:t>
      </w:r>
      <w:r>
        <w:rPr>
          <w:rFonts w:hint="eastAsia" w:ascii="宋体" w:hAnsi="宋体"/>
          <w:sz w:val="24"/>
          <w:u w:val="single"/>
        </w:rPr>
        <w:t xml:space="preserve">         </w:t>
      </w:r>
      <w:r>
        <w:rPr>
          <w:rFonts w:hint="eastAsia" w:ascii="宋体" w:hAnsi="宋体"/>
          <w:sz w:val="24"/>
        </w:rPr>
        <w:t>（项目名称）（以下简称“本工程”）的</w:t>
      </w:r>
      <w:r>
        <w:rPr>
          <w:rFonts w:hint="eastAsia" w:ascii="宋体" w:hAnsi="宋体"/>
          <w:sz w:val="24"/>
          <w:szCs w:val="22"/>
        </w:rPr>
        <w:t>项目负责人</w:t>
      </w:r>
      <w:r>
        <w:rPr>
          <w:rFonts w:hint="eastAsia" w:ascii="宋体" w:hAnsi="宋体"/>
          <w:sz w:val="24"/>
          <w:u w:val="single"/>
        </w:rPr>
        <w:t xml:space="preserve">          </w:t>
      </w:r>
      <w:r>
        <w:rPr>
          <w:rFonts w:hint="eastAsia" w:ascii="宋体" w:hAnsi="宋体"/>
          <w:sz w:val="24"/>
        </w:rPr>
        <w:t>（项目负责人姓名）现阶段未在其他项目中任职。</w:t>
      </w:r>
    </w:p>
    <w:p>
      <w:pPr>
        <w:spacing w:line="360" w:lineRule="auto"/>
        <w:ind w:firstLine="480" w:firstLineChars="200"/>
        <w:rPr>
          <w:rFonts w:ascii="宋体" w:hAnsi="宋体"/>
          <w:sz w:val="24"/>
        </w:rPr>
      </w:pPr>
      <w:r>
        <w:rPr>
          <w:rFonts w:hint="eastAsia" w:ascii="宋体" w:hAnsi="宋体"/>
          <w:sz w:val="24"/>
        </w:rPr>
        <w:t>我方保证上述信息的真实和准确，</w:t>
      </w:r>
      <w:r>
        <w:rPr>
          <w:rFonts w:ascii="宋体" w:hAnsi="宋体"/>
          <w:sz w:val="24"/>
        </w:rPr>
        <w:t>若招标人发现</w:t>
      </w:r>
      <w:r>
        <w:rPr>
          <w:rFonts w:hint="eastAsia" w:ascii="宋体" w:hAnsi="宋体"/>
          <w:sz w:val="24"/>
        </w:rPr>
        <w:t>上述信息</w:t>
      </w:r>
      <w:r>
        <w:rPr>
          <w:rFonts w:ascii="宋体" w:hAnsi="宋体"/>
          <w:sz w:val="24"/>
        </w:rPr>
        <w:t>存在虚假内容，招标人有权取消我单位中标资格、拒签或提前中止合同，并向有关建设主管部门上报作进一步处罚，同时我单位自愿接受招标人要求赔偿的相应损失并</w:t>
      </w:r>
      <w:r>
        <w:rPr>
          <w:rFonts w:hint="eastAsia" w:ascii="宋体" w:hAnsi="宋体"/>
          <w:sz w:val="24"/>
        </w:rPr>
        <w:t>愿意承担因我方就此弄虚作假所引起的一切法律后果。</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特此承诺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wordWrap w:val="0"/>
        <w:spacing w:line="360" w:lineRule="auto"/>
        <w:ind w:firstLine="480" w:firstLineChars="200"/>
        <w:jc w:val="right"/>
        <w:rPr>
          <w:rFonts w:ascii="宋体" w:hAnsi="宋体"/>
          <w:sz w:val="24"/>
        </w:rPr>
      </w:pPr>
      <w:r>
        <w:rPr>
          <w:rFonts w:hint="eastAsia" w:ascii="宋体" w:hAnsi="宋体"/>
          <w:sz w:val="24"/>
        </w:rPr>
        <w:t xml:space="preserve">   投标人：</w:t>
      </w:r>
      <w:r>
        <w:rPr>
          <w:rFonts w:hint="eastAsia" w:ascii="宋体" w:hAnsi="宋体"/>
          <w:sz w:val="24"/>
          <w:u w:val="single"/>
        </w:rPr>
        <w:t xml:space="preserve">                      </w:t>
      </w:r>
      <w:r>
        <w:rPr>
          <w:rFonts w:hint="eastAsia" w:ascii="宋体" w:hAnsi="宋体"/>
          <w:sz w:val="24"/>
        </w:rPr>
        <w:t>（盖单位章）</w:t>
      </w:r>
    </w:p>
    <w:p>
      <w:pPr>
        <w:wordWrap w:val="0"/>
        <w:spacing w:line="360" w:lineRule="auto"/>
        <w:ind w:right="420" w:firstLine="3988" w:firstLineChars="1662"/>
        <w:rPr>
          <w:rFonts w:ascii="宋体" w:hAnsi="宋体"/>
          <w:sz w:val="24"/>
        </w:rPr>
      </w:pPr>
      <w:r>
        <w:rPr>
          <w:rFonts w:hint="eastAsia" w:ascii="宋体" w:hAnsi="宋体"/>
          <w:sz w:val="24"/>
        </w:rPr>
        <w:t xml:space="preserve">    法定代表人：</w:t>
      </w:r>
      <w:r>
        <w:rPr>
          <w:rFonts w:hint="eastAsia" w:ascii="宋体" w:hAnsi="宋体"/>
          <w:sz w:val="24"/>
          <w:u w:val="single"/>
        </w:rPr>
        <w:t xml:space="preserve">                </w:t>
      </w:r>
      <w:r>
        <w:rPr>
          <w:rFonts w:hint="eastAsia" w:ascii="宋体" w:hAnsi="宋体"/>
          <w:sz w:val="24"/>
        </w:rPr>
        <w:t>（签字）</w:t>
      </w:r>
    </w:p>
    <w:p>
      <w:pPr>
        <w:spacing w:line="360" w:lineRule="auto"/>
        <w:ind w:firstLine="480" w:firstLineChars="200"/>
        <w:jc w:val="cente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after="312" w:afterLines="100" w:line="360" w:lineRule="auto"/>
        <w:ind w:firstLine="4440" w:firstLineChars="1850"/>
        <w:rPr>
          <w:rFonts w:hAnsi="宋体"/>
          <w:sz w:val="24"/>
        </w:rPr>
      </w:pPr>
    </w:p>
    <w:p>
      <w:pPr>
        <w:widowControl/>
        <w:jc w:val="left"/>
        <w:rPr>
          <w:rFonts w:ascii="宋体" w:hAnsi="宋体" w:cs="宋体"/>
          <w:bCs/>
          <w:smallCaps/>
          <w:color w:val="000000"/>
          <w:kern w:val="0"/>
          <w:sz w:val="24"/>
          <w:szCs w:val="24"/>
        </w:rPr>
      </w:pPr>
      <w:bookmarkStart w:id="230" w:name="_Toc16547"/>
      <w:r>
        <w:rPr>
          <w:rFonts w:ascii="宋体" w:hAnsi="宋体" w:cs="宋体"/>
          <w:bCs/>
          <w:smallCaps/>
          <w:color w:val="000000"/>
          <w:kern w:val="0"/>
          <w:sz w:val="24"/>
          <w:szCs w:val="24"/>
        </w:rPr>
        <w:br w:type="page"/>
      </w:r>
    </w:p>
    <w:p>
      <w:pPr>
        <w:widowControl/>
        <w:jc w:val="center"/>
        <w:rPr>
          <w:rFonts w:ascii="宋体" w:hAnsi="宋体" w:cs="宋体"/>
          <w:b/>
          <w:bCs/>
          <w:sz w:val="28"/>
          <w:szCs w:val="28"/>
        </w:rPr>
      </w:pPr>
      <w:r>
        <w:rPr>
          <w:rFonts w:hint="eastAsia" w:ascii="宋体" w:hAnsi="宋体" w:cs="宋体"/>
          <w:b/>
          <w:bCs/>
          <w:sz w:val="28"/>
          <w:szCs w:val="28"/>
        </w:rPr>
        <w:t>企业业绩承诺书</w:t>
      </w:r>
      <w:bookmarkEnd w:id="230"/>
    </w:p>
    <w:p>
      <w:pPr>
        <w:rPr>
          <w:rFonts w:ascii="宋体" w:hAnsi="宋体"/>
          <w:sz w:val="24"/>
        </w:rPr>
      </w:pPr>
      <w:r>
        <w:rPr>
          <w:rFonts w:hint="eastAsia" w:ascii="宋体" w:hAnsi="宋体"/>
          <w:b/>
          <w:sz w:val="24"/>
        </w:rPr>
        <w:t>致：</w:t>
      </w:r>
      <w:r>
        <w:rPr>
          <w:rFonts w:hint="eastAsia" w:ascii="宋体" w:hAnsi="宋体"/>
          <w:b/>
          <w:sz w:val="24"/>
          <w:u w:val="single"/>
        </w:rPr>
        <w:t xml:space="preserve">                </w:t>
      </w:r>
      <w:r>
        <w:rPr>
          <w:rFonts w:hint="eastAsia"/>
          <w:b/>
          <w:sz w:val="24"/>
          <w:u w:val="single"/>
        </w:rPr>
        <w:t>（招标人全称）</w:t>
      </w:r>
    </w:p>
    <w:p>
      <w:pPr>
        <w:autoSpaceDN w:val="0"/>
        <w:ind w:firstLine="480"/>
        <w:rPr>
          <w:rFonts w:ascii="宋体" w:hAnsi="宋体"/>
          <w:sz w:val="24"/>
        </w:rPr>
      </w:pPr>
      <w:r>
        <w:rPr>
          <w:rFonts w:ascii="宋体" w:hAnsi="宋体"/>
          <w:sz w:val="24"/>
        </w:rPr>
        <w:t>我单位郑重承诺如下：</w:t>
      </w:r>
    </w:p>
    <w:p>
      <w:pPr>
        <w:autoSpaceDN w:val="0"/>
        <w:ind w:firstLine="480"/>
        <w:rPr>
          <w:rFonts w:ascii="宋体" w:hAnsi="宋体"/>
          <w:sz w:val="24"/>
        </w:rPr>
      </w:pPr>
      <w:r>
        <w:rPr>
          <w:rFonts w:ascii="宋体" w:hAnsi="宋体"/>
          <w:sz w:val="24"/>
        </w:rPr>
        <w:t>一、我单位在本次</w:t>
      </w:r>
      <w:r>
        <w:rPr>
          <w:rFonts w:hint="eastAsia" w:ascii="宋体" w:hAnsi="宋体"/>
          <w:sz w:val="24"/>
        </w:rPr>
        <w:t>投标</w:t>
      </w:r>
      <w:r>
        <w:rPr>
          <w:rFonts w:ascii="宋体" w:hAnsi="宋体"/>
          <w:sz w:val="24"/>
        </w:rPr>
        <w:t>文件中所提供的企业业绩真实有效，符合招标人要求。</w:t>
      </w:r>
    </w:p>
    <w:p>
      <w:pPr>
        <w:autoSpaceDN w:val="0"/>
        <w:ind w:firstLine="480"/>
        <w:rPr>
          <w:rFonts w:ascii="宋体" w:hAnsi="宋体"/>
          <w:sz w:val="24"/>
        </w:rPr>
      </w:pPr>
      <w:r>
        <w:rPr>
          <w:rFonts w:ascii="宋体" w:hAnsi="宋体"/>
          <w:sz w:val="24"/>
        </w:rPr>
        <w:t>二、若招标人通过可能进行的实地或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pPr>
        <w:autoSpaceDN w:val="0"/>
        <w:ind w:firstLine="480"/>
        <w:jc w:val="center"/>
        <w:rPr>
          <w:rFonts w:ascii="Arial"/>
          <w:sz w:val="24"/>
        </w:rPr>
      </w:pPr>
      <w:r>
        <w:rPr>
          <w:rFonts w:ascii="宋体" w:hAnsi="宋体"/>
          <w:sz w:val="24"/>
        </w:rPr>
        <w:t>企业类似业绩情况表</w:t>
      </w:r>
    </w:p>
    <w:tbl>
      <w:tblPr>
        <w:tblStyle w:val="18"/>
        <w:tblW w:w="8660" w:type="dxa"/>
        <w:jc w:val="center"/>
        <w:tblInd w:w="0" w:type="dxa"/>
        <w:tblLayout w:type="fixed"/>
        <w:tblCellMar>
          <w:top w:w="0" w:type="dxa"/>
          <w:left w:w="108" w:type="dxa"/>
          <w:bottom w:w="0" w:type="dxa"/>
          <w:right w:w="108" w:type="dxa"/>
        </w:tblCellMar>
      </w:tblPr>
      <w:tblGrid>
        <w:gridCol w:w="3273"/>
        <w:gridCol w:w="5387"/>
      </w:tblGrid>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项目名称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项目所在地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发包人名称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发包人地址</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593"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发包人</w:t>
            </w:r>
            <w:r>
              <w:rPr>
                <w:rFonts w:ascii="宋体" w:hAnsi="宋体"/>
                <w:sz w:val="24"/>
              </w:rPr>
              <w:t>负责人姓名及</w:t>
            </w:r>
            <w:r>
              <w:rPr>
                <w:rFonts w:hint="eastAsia" w:ascii="宋体" w:hAnsi="宋体"/>
                <w:sz w:val="24"/>
              </w:rPr>
              <w:t>发包人</w:t>
            </w:r>
            <w:r>
              <w:rPr>
                <w:rFonts w:ascii="宋体" w:hAnsi="宋体"/>
                <w:sz w:val="24"/>
              </w:rPr>
              <w:t>固定电话（必须提供）</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合同价格</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开工日期</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竣工日期</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承包范围</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工程质量</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项目负责人</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技术负责人</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ind w:firstLine="48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59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ascii="宋体" w:hAnsi="宋体"/>
                <w:sz w:val="24"/>
              </w:rPr>
              <w:t>总监理工程师及单位固定电话（必须提供）</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Arial"/>
                <w:sz w:val="24"/>
              </w:rPr>
            </w:pPr>
            <w:r>
              <w:rPr>
                <w:rFonts w:ascii="宋体" w:hAnsi="宋体"/>
                <w:b/>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项目描述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宋体" w:hAnsi="宋体"/>
                <w:b/>
                <w:sz w:val="24"/>
              </w:rPr>
            </w:pPr>
          </w:p>
        </w:tc>
      </w:tr>
      <w:tr>
        <w:tblPrEx>
          <w:tblLayout w:type="fixed"/>
          <w:tblCellMar>
            <w:top w:w="0" w:type="dxa"/>
            <w:left w:w="108" w:type="dxa"/>
            <w:bottom w:w="0" w:type="dxa"/>
            <w:right w:w="108" w:type="dxa"/>
          </w:tblCellMar>
        </w:tblPrEx>
        <w:trPr>
          <w:trHeight w:val="47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备  注</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宋体" w:hAnsi="宋体"/>
                <w:b/>
                <w:sz w:val="24"/>
              </w:rPr>
            </w:pPr>
          </w:p>
        </w:tc>
      </w:tr>
    </w:tbl>
    <w:p>
      <w:pPr>
        <w:autoSpaceDN w:val="0"/>
        <w:ind w:firstLine="420"/>
        <w:rPr>
          <w:rFonts w:ascii="Arial"/>
          <w:sz w:val="24"/>
        </w:rPr>
      </w:pPr>
      <w:r>
        <w:rPr>
          <w:rFonts w:ascii="宋体" w:hAnsi="宋体"/>
          <w:sz w:val="24"/>
        </w:rPr>
        <w:t>备注：表后须附工程合同复印件</w:t>
      </w:r>
      <w:r>
        <w:rPr>
          <w:rFonts w:hint="eastAsia" w:ascii="宋体" w:hAnsi="宋体"/>
          <w:sz w:val="24"/>
        </w:rPr>
        <w:t>。</w:t>
      </w:r>
    </w:p>
    <w:p>
      <w:pPr>
        <w:autoSpaceDN w:val="0"/>
        <w:rPr>
          <w:rFonts w:ascii="Arial"/>
          <w:sz w:val="24"/>
        </w:rPr>
      </w:pPr>
      <w:r>
        <w:rPr>
          <w:rFonts w:ascii="宋体" w:hAnsi="宋体"/>
          <w:sz w:val="24"/>
        </w:rPr>
        <w:t xml:space="preserve"> </w:t>
      </w:r>
      <w:r>
        <w:rPr>
          <w:rFonts w:hint="eastAsia" w:ascii="宋体" w:hAnsi="宋体"/>
          <w:sz w:val="24"/>
        </w:rPr>
        <w:t xml:space="preserve">                                   投标</w:t>
      </w:r>
      <w:r>
        <w:rPr>
          <w:rFonts w:ascii="宋体" w:hAnsi="宋体"/>
          <w:sz w:val="24"/>
        </w:rPr>
        <w:t xml:space="preserve">人： </w:t>
      </w:r>
      <w:r>
        <w:rPr>
          <w:rFonts w:ascii="宋体" w:hAnsi="宋体"/>
          <w:sz w:val="24"/>
          <w:u w:val="single"/>
        </w:rPr>
        <w:t xml:space="preserve">               </w:t>
      </w:r>
      <w:r>
        <w:rPr>
          <w:rFonts w:ascii="宋体" w:hAnsi="宋体"/>
          <w:sz w:val="24"/>
        </w:rPr>
        <w:t>(盖单位章)</w:t>
      </w:r>
    </w:p>
    <w:p>
      <w:pPr>
        <w:autoSpaceDN w:val="0"/>
        <w:rPr>
          <w:rFonts w:ascii="宋体" w:hAnsi="宋体" w:cs="宋体"/>
          <w:b/>
          <w:bCs/>
          <w:sz w:val="28"/>
          <w:szCs w:val="28"/>
        </w:rPr>
      </w:pPr>
      <w:r>
        <w:rPr>
          <w:rFonts w:ascii="宋体" w:hAnsi="宋体"/>
          <w:sz w:val="24"/>
        </w:rPr>
        <w:t xml:space="preserve">                                   法定代表人： </w:t>
      </w:r>
      <w:r>
        <w:rPr>
          <w:rFonts w:ascii="宋体" w:hAnsi="宋体"/>
          <w:sz w:val="24"/>
          <w:u w:val="single"/>
        </w:rPr>
        <w:t xml:space="preserve">               </w:t>
      </w:r>
      <w:r>
        <w:rPr>
          <w:rFonts w:ascii="宋体" w:hAnsi="宋体"/>
          <w:sz w:val="24"/>
        </w:rPr>
        <w:t>(签字)</w:t>
      </w:r>
      <w:r>
        <w:rPr>
          <w:rFonts w:ascii="Arial"/>
          <w:sz w:val="24"/>
        </w:rPr>
        <w:br w:type="textWrapping"/>
      </w:r>
      <w:r>
        <w:rPr>
          <w:rFonts w:ascii="宋体" w:hAnsi="宋体"/>
          <w:sz w:val="24"/>
        </w:rPr>
        <w:t xml:space="preserve">                                   </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日</w:t>
      </w:r>
    </w:p>
    <w:p>
      <w:pPr>
        <w:widowControl/>
        <w:jc w:val="center"/>
        <w:rPr>
          <w:rFonts w:ascii="宋体" w:hAnsi="宋体" w:cs="宋体"/>
          <w:b/>
          <w:bCs/>
          <w:sz w:val="28"/>
          <w:szCs w:val="28"/>
        </w:rPr>
      </w:pPr>
    </w:p>
    <w:p>
      <w:pPr>
        <w:widowControl/>
        <w:jc w:val="left"/>
        <w:rPr>
          <w:rFonts w:ascii="宋体" w:hAnsi="宋体" w:cs="宋体"/>
          <w:b/>
          <w:bCs/>
          <w:sz w:val="28"/>
          <w:szCs w:val="28"/>
        </w:rPr>
      </w:pPr>
      <w:r>
        <w:rPr>
          <w:rFonts w:ascii="宋体" w:hAnsi="宋体" w:cs="宋体"/>
          <w:b/>
          <w:bCs/>
          <w:sz w:val="28"/>
          <w:szCs w:val="28"/>
        </w:rPr>
        <w:br w:type="page"/>
      </w:r>
    </w:p>
    <w:p>
      <w:pPr>
        <w:widowControl/>
        <w:jc w:val="center"/>
        <w:rPr>
          <w:rFonts w:ascii="宋体" w:hAnsi="宋体" w:cs="宋体"/>
          <w:b/>
          <w:bCs/>
          <w:sz w:val="28"/>
          <w:szCs w:val="28"/>
        </w:rPr>
      </w:pPr>
      <w:r>
        <w:rPr>
          <w:rFonts w:hint="eastAsia" w:ascii="宋体" w:hAnsi="宋体" w:cs="宋体"/>
          <w:b/>
          <w:bCs/>
          <w:sz w:val="28"/>
          <w:szCs w:val="28"/>
        </w:rPr>
        <w:t>项目负责人业绩承诺书</w:t>
      </w:r>
    </w:p>
    <w:p>
      <w:pPr>
        <w:rPr>
          <w:rFonts w:ascii="宋体" w:hAnsi="宋体"/>
          <w:b/>
          <w:sz w:val="24"/>
          <w:u w:val="single"/>
        </w:rPr>
      </w:pPr>
      <w:r>
        <w:rPr>
          <w:rFonts w:hint="eastAsia" w:ascii="宋体" w:hAnsi="宋体"/>
          <w:b/>
          <w:sz w:val="24"/>
        </w:rPr>
        <w:t>致：</w:t>
      </w:r>
      <w:r>
        <w:rPr>
          <w:rFonts w:hint="eastAsia" w:ascii="宋体" w:hAnsi="宋体"/>
          <w:b/>
          <w:sz w:val="24"/>
          <w:u w:val="single"/>
        </w:rPr>
        <w:t xml:space="preserve">                </w:t>
      </w:r>
      <w:r>
        <w:rPr>
          <w:rFonts w:hint="eastAsia"/>
          <w:b/>
          <w:sz w:val="24"/>
          <w:u w:val="single"/>
        </w:rPr>
        <w:t>（招标人全称）</w:t>
      </w:r>
    </w:p>
    <w:p>
      <w:pPr>
        <w:autoSpaceDN w:val="0"/>
        <w:ind w:firstLine="480"/>
        <w:rPr>
          <w:rFonts w:ascii="宋体" w:hAnsi="宋体"/>
          <w:sz w:val="24"/>
        </w:rPr>
      </w:pPr>
      <w:r>
        <w:rPr>
          <w:rFonts w:ascii="宋体" w:hAnsi="宋体"/>
          <w:sz w:val="24"/>
        </w:rPr>
        <w:t>我单位郑重承诺如下：</w:t>
      </w:r>
    </w:p>
    <w:p>
      <w:pPr>
        <w:autoSpaceDN w:val="0"/>
        <w:ind w:firstLine="480"/>
        <w:rPr>
          <w:rFonts w:ascii="宋体" w:hAnsi="宋体"/>
          <w:sz w:val="24"/>
        </w:rPr>
      </w:pPr>
      <w:r>
        <w:rPr>
          <w:rFonts w:ascii="宋体" w:hAnsi="宋体"/>
          <w:sz w:val="24"/>
        </w:rPr>
        <w:t>一、我单位在本次</w:t>
      </w:r>
      <w:r>
        <w:rPr>
          <w:rFonts w:hint="eastAsia" w:ascii="宋体" w:hAnsi="宋体"/>
          <w:sz w:val="24"/>
        </w:rPr>
        <w:t>投标</w:t>
      </w:r>
      <w:r>
        <w:rPr>
          <w:rFonts w:ascii="宋体" w:hAnsi="宋体"/>
          <w:sz w:val="24"/>
        </w:rPr>
        <w:t>文件中所提供的项目</w:t>
      </w:r>
      <w:r>
        <w:rPr>
          <w:rFonts w:hint="eastAsia" w:ascii="宋体" w:hAnsi="宋体"/>
          <w:sz w:val="24"/>
        </w:rPr>
        <w:t>负责人方</w:t>
      </w:r>
      <w:r>
        <w:rPr>
          <w:rFonts w:ascii="宋体" w:hAnsi="宋体"/>
          <w:sz w:val="24"/>
        </w:rPr>
        <w:t>业绩真实有效，符合招标人要求。</w:t>
      </w:r>
    </w:p>
    <w:p>
      <w:pPr>
        <w:autoSpaceDN w:val="0"/>
        <w:ind w:firstLine="480"/>
        <w:rPr>
          <w:rFonts w:ascii="Arial"/>
          <w:sz w:val="24"/>
        </w:rPr>
      </w:pPr>
      <w:r>
        <w:rPr>
          <w:rFonts w:ascii="宋体" w:hAnsi="宋体"/>
          <w:sz w:val="24"/>
        </w:rPr>
        <w:t>二、若招标人通过可能进行的实地或其他方式的考察发现所提供的项目</w:t>
      </w:r>
      <w:r>
        <w:rPr>
          <w:rFonts w:hint="eastAsia" w:ascii="宋体" w:hAnsi="宋体"/>
          <w:sz w:val="24"/>
        </w:rPr>
        <w:t>负责人</w:t>
      </w:r>
      <w:r>
        <w:rPr>
          <w:rFonts w:ascii="宋体" w:hAnsi="宋体"/>
          <w:sz w:val="24"/>
        </w:rPr>
        <w:t>业绩存在虚假内容，招标人有权取消我单位中标资格、拒签或提前中止合同，并向有关建设主管部门上报作进一步处罚，同时我单位自愿接受招标人要求赔偿的相应损失并承担由此带来的一切法律责任。</w:t>
      </w:r>
    </w:p>
    <w:p>
      <w:pPr>
        <w:autoSpaceDN w:val="0"/>
        <w:ind w:firstLine="480"/>
        <w:jc w:val="center"/>
        <w:rPr>
          <w:rFonts w:ascii="Arial"/>
          <w:sz w:val="24"/>
        </w:rPr>
      </w:pPr>
      <w:r>
        <w:rPr>
          <w:rFonts w:hint="eastAsia" w:ascii="宋体" w:hAnsi="宋体"/>
          <w:sz w:val="24"/>
        </w:rPr>
        <w:t>项目负责人</w:t>
      </w:r>
      <w:r>
        <w:rPr>
          <w:rFonts w:ascii="宋体" w:hAnsi="宋体"/>
          <w:sz w:val="24"/>
        </w:rPr>
        <w:t>类似业绩情况表</w:t>
      </w:r>
    </w:p>
    <w:tbl>
      <w:tblPr>
        <w:tblStyle w:val="18"/>
        <w:tblW w:w="9160" w:type="dxa"/>
        <w:jc w:val="center"/>
        <w:tblInd w:w="0" w:type="dxa"/>
        <w:tblLayout w:type="fixed"/>
        <w:tblCellMar>
          <w:top w:w="0" w:type="dxa"/>
          <w:left w:w="108" w:type="dxa"/>
          <w:bottom w:w="0" w:type="dxa"/>
          <w:right w:w="108" w:type="dxa"/>
        </w:tblCellMar>
      </w:tblPr>
      <w:tblGrid>
        <w:gridCol w:w="3454"/>
        <w:gridCol w:w="5706"/>
      </w:tblGrid>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项目名称</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项目所在地</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发包人名称</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发包人地址</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913"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发包人</w:t>
            </w:r>
            <w:r>
              <w:rPr>
                <w:rFonts w:ascii="宋体" w:hAnsi="宋体"/>
                <w:sz w:val="24"/>
              </w:rPr>
              <w:t>负责人姓名及</w:t>
            </w:r>
            <w:r>
              <w:rPr>
                <w:rFonts w:hint="eastAsia" w:ascii="宋体" w:hAnsi="宋体"/>
                <w:sz w:val="24"/>
              </w:rPr>
              <w:t>发包人</w:t>
            </w:r>
            <w:r>
              <w:rPr>
                <w:rFonts w:ascii="宋体" w:hAnsi="宋体"/>
                <w:sz w:val="24"/>
              </w:rPr>
              <w:t>固定电话（必须提供）</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合同价格</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开工日期</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竣工日期</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承包范围</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工程质量</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技术负责人</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ind w:firstLine="48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913"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ascii="宋体" w:hAnsi="宋体"/>
                <w:sz w:val="24"/>
              </w:rPr>
              <w:t>总监理工程师及单位固定电话（必须提供）</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Arial"/>
                <w:sz w:val="24"/>
              </w:rPr>
            </w:pPr>
            <w:r>
              <w:rPr>
                <w:rFonts w:ascii="宋体" w:hAnsi="宋体"/>
                <w:b/>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项目描述</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宋体" w:hAnsi="宋体"/>
                <w:b/>
                <w:sz w:val="24"/>
              </w:rPr>
            </w:pPr>
          </w:p>
        </w:tc>
      </w:tr>
      <w:tr>
        <w:tblPrEx>
          <w:tblLayout w:type="fixed"/>
          <w:tblCellMar>
            <w:top w:w="0" w:type="dxa"/>
            <w:left w:w="108" w:type="dxa"/>
            <w:bottom w:w="0" w:type="dxa"/>
            <w:right w:w="108" w:type="dxa"/>
          </w:tblCellMar>
        </w:tblPrEx>
        <w:trPr>
          <w:trHeight w:val="48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备  注</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宋体" w:hAnsi="宋体"/>
                <w:b/>
                <w:sz w:val="24"/>
              </w:rPr>
            </w:pPr>
          </w:p>
        </w:tc>
      </w:tr>
    </w:tbl>
    <w:p>
      <w:pPr>
        <w:autoSpaceDN w:val="0"/>
        <w:rPr>
          <w:rFonts w:ascii="Arial"/>
          <w:sz w:val="24"/>
        </w:rPr>
      </w:pPr>
      <w:r>
        <w:rPr>
          <w:rFonts w:ascii="宋体" w:hAnsi="宋体"/>
          <w:sz w:val="24"/>
        </w:rPr>
        <w:t>备注：表后须附工程合同复印件</w:t>
      </w:r>
    </w:p>
    <w:p>
      <w:pPr>
        <w:autoSpaceDN w:val="0"/>
        <w:rPr>
          <w:rFonts w:ascii="Arial"/>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投标</w:t>
      </w:r>
      <w:r>
        <w:rPr>
          <w:rFonts w:ascii="宋体" w:hAnsi="宋体"/>
          <w:sz w:val="24"/>
        </w:rPr>
        <w:t xml:space="preserve">人： </w:t>
      </w:r>
      <w:r>
        <w:rPr>
          <w:rFonts w:ascii="宋体" w:hAnsi="宋体"/>
          <w:sz w:val="24"/>
          <w:u w:val="single"/>
        </w:rPr>
        <w:t xml:space="preserve">               </w:t>
      </w:r>
      <w:r>
        <w:rPr>
          <w:rFonts w:ascii="宋体" w:hAnsi="宋体"/>
          <w:sz w:val="24"/>
        </w:rPr>
        <w:t>(盖单位章)</w:t>
      </w:r>
    </w:p>
    <w:p>
      <w:pPr>
        <w:autoSpaceDN w:val="0"/>
        <w:rPr>
          <w:rFonts w:ascii="Arial"/>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法定代表人： </w:t>
      </w:r>
      <w:r>
        <w:rPr>
          <w:rFonts w:ascii="宋体" w:hAnsi="宋体"/>
          <w:sz w:val="24"/>
          <w:u w:val="single"/>
        </w:rPr>
        <w:t xml:space="preserve">               </w:t>
      </w:r>
      <w:r>
        <w:rPr>
          <w:rFonts w:ascii="宋体" w:hAnsi="宋体"/>
          <w:sz w:val="24"/>
        </w:rPr>
        <w:t>(签字)</w:t>
      </w:r>
    </w:p>
    <w:p>
      <w:pPr>
        <w:autoSpaceDN w:val="0"/>
        <w:jc w:val="center"/>
        <w:rPr>
          <w:rFonts w:ascii="宋体" w:hAnsi="宋体" w:cs="宋体"/>
          <w:b/>
          <w:sz w:val="30"/>
          <w:szCs w:val="30"/>
        </w:rPr>
      </w:pPr>
      <w:r>
        <w:rPr>
          <w:rFonts w:ascii="宋体" w:hAnsi="宋体"/>
          <w:sz w:val="24"/>
        </w:rPr>
        <w:t>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日</w:t>
      </w:r>
      <w:r>
        <w:rPr>
          <w:rFonts w:hint="eastAsia" w:ascii="宋体" w:hAnsi="宋体" w:cs="宋体"/>
          <w:b/>
          <w:sz w:val="30"/>
          <w:szCs w:val="30"/>
        </w:rPr>
        <w:br w:type="page"/>
      </w:r>
      <w:bookmarkStart w:id="231" w:name="_Toc387851740"/>
      <w:bookmarkStart w:id="232" w:name="_Toc426467424"/>
      <w:bookmarkStart w:id="233" w:name="_Toc392081424"/>
      <w:r>
        <w:rPr>
          <w:rFonts w:hint="eastAsia" w:ascii="宋体" w:hAnsi="宋体" w:cs="宋体"/>
          <w:b/>
          <w:sz w:val="30"/>
          <w:szCs w:val="30"/>
        </w:rPr>
        <w:t>十二、其他材料</w:t>
      </w:r>
      <w:bookmarkEnd w:id="231"/>
      <w:bookmarkEnd w:id="232"/>
      <w:bookmarkEnd w:id="233"/>
    </w:p>
    <w:p>
      <w:pPr>
        <w:spacing w:after="120"/>
        <w:ind w:firstLine="1320" w:firstLineChars="550"/>
        <w:rPr>
          <w:szCs w:val="24"/>
        </w:rPr>
      </w:pPr>
      <w:r>
        <w:rPr>
          <w:rFonts w:hint="eastAsia"/>
          <w:sz w:val="24"/>
          <w:szCs w:val="24"/>
        </w:rPr>
        <w:t>如：</w:t>
      </w:r>
      <w:r>
        <w:rPr>
          <w:rFonts w:hint="eastAsia"/>
          <w:szCs w:val="24"/>
        </w:rPr>
        <w:t>农民工工资支付承诺书和廉政承诺书</w:t>
      </w:r>
    </w:p>
    <w:p>
      <w:pPr>
        <w:topLinePunct/>
        <w:spacing w:line="360" w:lineRule="auto"/>
        <w:jc w:val="left"/>
        <w:rPr>
          <w:rFonts w:ascii="仿宋_GB2312" w:hAnsi="宋体" w:eastAsia="仿宋_GB2312"/>
          <w:b/>
          <w:sz w:val="24"/>
          <w:szCs w:val="24"/>
        </w:rPr>
      </w:pPr>
      <w:bookmarkStart w:id="234" w:name="_Toc426467425"/>
    </w:p>
    <w:p>
      <w:pPr>
        <w:topLinePunct/>
        <w:spacing w:line="360" w:lineRule="auto"/>
        <w:jc w:val="left"/>
        <w:rPr>
          <w:rFonts w:ascii="仿宋_GB2312" w:hAnsi="宋体" w:eastAsia="仿宋_GB2312"/>
          <w:b/>
          <w:sz w:val="24"/>
          <w:szCs w:val="24"/>
        </w:rPr>
      </w:pPr>
    </w:p>
    <w:p>
      <w:pPr>
        <w:topLinePunct/>
        <w:spacing w:line="360" w:lineRule="auto"/>
        <w:jc w:val="left"/>
        <w:rPr>
          <w:rFonts w:ascii="仿宋_GB2312" w:hAnsi="宋体" w:eastAsia="仿宋_GB2312"/>
          <w:b/>
          <w:sz w:val="24"/>
          <w:szCs w:val="24"/>
        </w:rPr>
      </w:pPr>
    </w:p>
    <w:p>
      <w:pPr>
        <w:topLinePunct/>
        <w:spacing w:line="360" w:lineRule="auto"/>
        <w:jc w:val="left"/>
        <w:rPr>
          <w:rFonts w:ascii="仿宋_GB2312" w:hAnsi="宋体" w:eastAsia="仿宋_GB2312"/>
          <w:b/>
          <w:sz w:val="24"/>
          <w:szCs w:val="24"/>
        </w:rPr>
      </w:pPr>
    </w:p>
    <w:p>
      <w:pPr>
        <w:topLinePunct/>
        <w:spacing w:line="360" w:lineRule="auto"/>
        <w:jc w:val="left"/>
        <w:rPr>
          <w:rFonts w:ascii="仿宋_GB2312" w:hAnsi="宋体" w:eastAsia="仿宋_GB2312"/>
          <w:b/>
          <w:sz w:val="24"/>
          <w:szCs w:val="24"/>
        </w:rPr>
      </w:pPr>
    </w:p>
    <w:p>
      <w:pPr>
        <w:topLinePunct/>
        <w:spacing w:line="360" w:lineRule="auto"/>
        <w:jc w:val="left"/>
        <w:rPr>
          <w:rFonts w:ascii="仿宋_GB2312" w:hAnsi="宋体" w:eastAsia="仿宋_GB2312"/>
          <w:b/>
          <w:sz w:val="24"/>
          <w:szCs w:val="24"/>
        </w:rPr>
      </w:pPr>
    </w:p>
    <w:p>
      <w:pPr>
        <w:topLinePunct/>
        <w:spacing w:line="360" w:lineRule="auto"/>
        <w:jc w:val="center"/>
        <w:rPr>
          <w:rFonts w:ascii="仿宋_GB2312" w:hAnsi="宋体"/>
          <w:b/>
          <w:sz w:val="48"/>
          <w:szCs w:val="48"/>
        </w:rPr>
      </w:pPr>
      <w:r>
        <w:rPr>
          <w:rFonts w:hint="eastAsia" w:ascii="宋体" w:hAnsi="宋体" w:cs="宋体"/>
          <w:b/>
          <w:sz w:val="30"/>
          <w:szCs w:val="30"/>
        </w:rPr>
        <w:t>十三、已标价的工程量清单</w:t>
      </w: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bookmarkEnd w:id="234"/>
    <w:p>
      <w:pPr>
        <w:autoSpaceDE w:val="0"/>
        <w:autoSpaceDN w:val="0"/>
        <w:adjustRightInd w:val="0"/>
        <w:spacing w:line="360" w:lineRule="auto"/>
        <w:ind w:firstLine="619" w:firstLineChars="257"/>
        <w:jc w:val="center"/>
        <w:rPr>
          <w:rFonts w:ascii="仿宋_GB2312" w:hAnsi="宋体" w:eastAsia="仿宋_GB2312"/>
          <w:sz w:val="24"/>
          <w:szCs w:val="24"/>
        </w:rPr>
      </w:pPr>
      <w:r>
        <w:rPr>
          <w:rFonts w:ascii="仿宋_GB2312" w:hAnsi="宋体" w:eastAsia="仿宋_GB2312"/>
          <w:b/>
          <w:sz w:val="24"/>
          <w:szCs w:val="24"/>
        </w:rPr>
        <w:br w:type="page"/>
      </w: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jc w:val="center"/>
        <w:outlineLvl w:val="1"/>
        <w:rPr>
          <w:rFonts w:ascii="仿宋_GB2312" w:hAnsi="宋体" w:eastAsia="仿宋_GB2312"/>
          <w:b/>
          <w:sz w:val="48"/>
          <w:szCs w:val="48"/>
        </w:rPr>
      </w:pPr>
      <w:bookmarkStart w:id="235" w:name="_Toc426467426"/>
      <w:r>
        <w:rPr>
          <w:rFonts w:hint="eastAsia" w:ascii="仿宋_GB2312" w:hAnsi="宋体" w:eastAsia="仿宋_GB2312"/>
          <w:b/>
          <w:sz w:val="48"/>
          <w:szCs w:val="48"/>
        </w:rPr>
        <w:t>技术标</w:t>
      </w:r>
      <w:bookmarkEnd w:id="235"/>
    </w:p>
    <w:p>
      <w:pPr>
        <w:spacing w:line="360" w:lineRule="auto"/>
        <w:jc w:val="right"/>
        <w:rPr>
          <w:rFonts w:ascii="宋体" w:hAnsi="宋体" w:cs="宋体"/>
          <w:b/>
          <w:sz w:val="36"/>
          <w:szCs w:val="36"/>
        </w:rPr>
      </w:pPr>
      <w:r>
        <w:rPr>
          <w:rFonts w:hint="eastAsia" w:ascii="仿宋_GB2312" w:hAnsi="宋体" w:eastAsia="仿宋_GB2312"/>
          <w:b/>
          <w:sz w:val="24"/>
          <w:szCs w:val="24"/>
        </w:rPr>
        <w:br w:type="page"/>
      </w:r>
      <w:r>
        <w:rPr>
          <w:rFonts w:hint="eastAsia" w:ascii="宋体" w:hAnsi="宋体" w:cs="宋体"/>
          <w:b/>
          <w:sz w:val="36"/>
          <w:szCs w:val="36"/>
        </w:rPr>
        <w:t>（正本或副本）</w:t>
      </w:r>
    </w:p>
    <w:p>
      <w:pPr>
        <w:spacing w:line="360" w:lineRule="auto"/>
        <w:rPr>
          <w:rFonts w:ascii="宋体" w:hAnsi="宋体" w:cs="宋体"/>
          <w:b/>
          <w:sz w:val="24"/>
          <w:szCs w:val="24"/>
        </w:rPr>
      </w:pPr>
    </w:p>
    <w:p>
      <w:pPr>
        <w:spacing w:line="360" w:lineRule="auto"/>
        <w:jc w:val="center"/>
        <w:rPr>
          <w:rFonts w:ascii="宋体" w:hAnsi="宋体" w:cs="宋体"/>
          <w:b/>
          <w:sz w:val="36"/>
          <w:szCs w:val="36"/>
          <w:u w:val="single"/>
        </w:rPr>
      </w:pPr>
    </w:p>
    <w:p>
      <w:pPr>
        <w:spacing w:line="360" w:lineRule="auto"/>
        <w:jc w:val="center"/>
        <w:rPr>
          <w:rFonts w:ascii="宋体" w:hAnsi="宋体" w:cs="宋体"/>
          <w:b/>
          <w:sz w:val="36"/>
          <w:szCs w:val="36"/>
          <w:u w:val="single"/>
        </w:rPr>
      </w:pPr>
    </w:p>
    <w:p>
      <w:pPr>
        <w:spacing w:line="360" w:lineRule="auto"/>
        <w:jc w:val="center"/>
        <w:rPr>
          <w:rFonts w:ascii="宋体" w:hAnsi="宋体" w:cs="宋体"/>
          <w:b/>
          <w:sz w:val="36"/>
          <w:szCs w:val="36"/>
          <w:u w:val="single"/>
        </w:rPr>
      </w:pPr>
      <w:r>
        <w:rPr>
          <w:rFonts w:hint="eastAsia" w:ascii="宋体" w:hAnsi="宋体" w:cs="宋体"/>
          <w:b/>
          <w:sz w:val="36"/>
          <w:szCs w:val="36"/>
          <w:u w:val="single"/>
        </w:rPr>
        <w:t>项目名称及标段</w:t>
      </w: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jc w:val="center"/>
        <w:rPr>
          <w:rFonts w:ascii="宋体" w:hAnsi="宋体" w:cs="宋体"/>
          <w:b/>
          <w:sz w:val="72"/>
          <w:szCs w:val="72"/>
        </w:rPr>
      </w:pPr>
      <w:r>
        <w:rPr>
          <w:rFonts w:hint="eastAsia" w:ascii="宋体" w:hAnsi="宋体" w:cs="宋体"/>
          <w:b/>
          <w:sz w:val="72"/>
          <w:szCs w:val="72"/>
        </w:rPr>
        <w:t>投  标  文  件</w:t>
      </w:r>
    </w:p>
    <w:p>
      <w:pPr>
        <w:spacing w:line="360" w:lineRule="auto"/>
        <w:jc w:val="center"/>
        <w:rPr>
          <w:rFonts w:ascii="宋体" w:hAnsi="宋体" w:cs="宋体"/>
          <w:b/>
          <w:sz w:val="36"/>
          <w:szCs w:val="36"/>
        </w:rPr>
      </w:pPr>
      <w:r>
        <w:rPr>
          <w:rFonts w:hint="eastAsia" w:ascii="宋体" w:hAnsi="宋体" w:cs="宋体"/>
          <w:b/>
          <w:sz w:val="36"/>
          <w:szCs w:val="36"/>
        </w:rPr>
        <w:t>（技术标）</w:t>
      </w: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jc w:val="center"/>
        <w:rPr>
          <w:rFonts w:ascii="宋体" w:hAnsi="宋体" w:cs="宋体"/>
          <w:b/>
          <w:sz w:val="28"/>
          <w:szCs w:val="28"/>
          <w:u w:val="single"/>
        </w:rPr>
      </w:pPr>
      <w:r>
        <w:rPr>
          <w:rFonts w:hint="eastAsia" w:ascii="宋体" w:hAnsi="宋体" w:cs="宋体"/>
          <w:b/>
          <w:sz w:val="28"/>
          <w:szCs w:val="28"/>
        </w:rPr>
        <w:t>投标人：</w:t>
      </w:r>
      <w:r>
        <w:rPr>
          <w:rFonts w:hint="eastAsia" w:ascii="宋体" w:hAnsi="宋体" w:cs="宋体"/>
          <w:b/>
          <w:sz w:val="28"/>
          <w:szCs w:val="28"/>
          <w:u w:val="single"/>
        </w:rPr>
        <w:t xml:space="preserve">                              </w:t>
      </w:r>
      <w:r>
        <w:rPr>
          <w:rFonts w:hint="eastAsia" w:ascii="宋体" w:hAnsi="宋体" w:cs="宋体"/>
          <w:b/>
          <w:sz w:val="28"/>
          <w:szCs w:val="28"/>
        </w:rPr>
        <w:t>（盖单位章）</w:t>
      </w:r>
    </w:p>
    <w:p>
      <w:pPr>
        <w:spacing w:line="360" w:lineRule="auto"/>
        <w:jc w:val="center"/>
        <w:rPr>
          <w:rFonts w:ascii="宋体" w:hAnsi="宋体" w:cs="宋体"/>
          <w:b/>
          <w:sz w:val="28"/>
          <w:szCs w:val="28"/>
        </w:rPr>
      </w:pPr>
      <w:r>
        <w:rPr>
          <w:rFonts w:hint="eastAsia" w:ascii="宋体" w:hAnsi="宋体" w:cs="宋体"/>
          <w:b/>
          <w:sz w:val="28"/>
          <w:szCs w:val="28"/>
        </w:rPr>
        <w:t>法定代表人或其委托代理人：</w:t>
      </w:r>
      <w:r>
        <w:rPr>
          <w:rFonts w:hint="eastAsia" w:ascii="宋体" w:hAnsi="宋体" w:cs="宋体"/>
          <w:b/>
          <w:sz w:val="28"/>
          <w:szCs w:val="28"/>
          <w:u w:val="single"/>
        </w:rPr>
        <w:t xml:space="preserve">                </w:t>
      </w:r>
      <w:r>
        <w:rPr>
          <w:rFonts w:hint="eastAsia" w:ascii="宋体" w:hAnsi="宋体" w:cs="宋体"/>
          <w:b/>
          <w:sz w:val="28"/>
          <w:szCs w:val="28"/>
        </w:rPr>
        <w:t>（签字）</w:t>
      </w:r>
    </w:p>
    <w:p>
      <w:pPr>
        <w:spacing w:line="360" w:lineRule="auto"/>
        <w:jc w:val="center"/>
        <w:rPr>
          <w:rFonts w:ascii="宋体" w:hAnsi="宋体" w:cs="宋体"/>
          <w:b/>
          <w:sz w:val="28"/>
          <w:szCs w:val="28"/>
        </w:rPr>
      </w:pP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360" w:lineRule="auto"/>
        <w:jc w:val="center"/>
        <w:rPr>
          <w:rFonts w:ascii="仿宋_GB2312" w:hAnsi="宋体" w:eastAsia="仿宋_GB2312"/>
          <w:sz w:val="24"/>
          <w:szCs w:val="24"/>
        </w:rPr>
      </w:pPr>
    </w:p>
    <w:p>
      <w:pPr>
        <w:spacing w:line="360" w:lineRule="auto"/>
        <w:jc w:val="center"/>
        <w:rPr>
          <w:rFonts w:ascii="仿宋_GB2312" w:hAnsi="宋体" w:eastAsia="仿宋_GB2312"/>
          <w:sz w:val="24"/>
          <w:szCs w:val="24"/>
        </w:rPr>
      </w:pPr>
    </w:p>
    <w:p>
      <w:pPr>
        <w:spacing w:line="360" w:lineRule="auto"/>
        <w:jc w:val="center"/>
        <w:rPr>
          <w:rFonts w:ascii="仿宋_GB2312" w:hAnsi="宋体" w:eastAsia="仿宋_GB2312"/>
          <w:sz w:val="24"/>
          <w:szCs w:val="24"/>
        </w:rPr>
      </w:pPr>
    </w:p>
    <w:p>
      <w:pPr>
        <w:spacing w:line="360" w:lineRule="auto"/>
        <w:jc w:val="center"/>
        <w:rPr>
          <w:rFonts w:ascii="宋体" w:hAnsi="宋体" w:cs="宋体"/>
          <w:b/>
          <w:sz w:val="30"/>
          <w:szCs w:val="30"/>
        </w:rPr>
      </w:pPr>
    </w:p>
    <w:p>
      <w:pPr>
        <w:spacing w:line="360" w:lineRule="auto"/>
        <w:jc w:val="center"/>
        <w:rPr>
          <w:rFonts w:ascii="宋体" w:hAnsi="宋体" w:cs="宋体"/>
          <w:b/>
          <w:sz w:val="30"/>
          <w:szCs w:val="30"/>
        </w:rPr>
      </w:pPr>
      <w:r>
        <w:rPr>
          <w:rFonts w:hint="eastAsia" w:ascii="宋体" w:hAnsi="宋体" w:cs="宋体"/>
          <w:b/>
          <w:sz w:val="30"/>
          <w:szCs w:val="30"/>
        </w:rPr>
        <w:t>目   录</w:t>
      </w:r>
    </w:p>
    <w:p>
      <w:pPr>
        <w:spacing w:line="360" w:lineRule="auto"/>
        <w:rPr>
          <w:rFonts w:ascii="宋体" w:hAnsi="宋体" w:cs="宋体"/>
          <w:sz w:val="24"/>
          <w:szCs w:val="24"/>
        </w:rPr>
      </w:pPr>
      <w:r>
        <w:rPr>
          <w:rFonts w:hint="eastAsia" w:ascii="宋体" w:hAnsi="宋体" w:cs="宋体"/>
          <w:sz w:val="24"/>
          <w:szCs w:val="24"/>
        </w:rPr>
        <w:t>（1）内容完整性和编制水平； </w:t>
      </w:r>
    </w:p>
    <w:p>
      <w:pPr>
        <w:spacing w:line="360" w:lineRule="auto"/>
        <w:rPr>
          <w:rFonts w:ascii="宋体" w:hAnsi="宋体" w:cs="宋体"/>
          <w:sz w:val="24"/>
          <w:szCs w:val="24"/>
        </w:rPr>
      </w:pPr>
      <w:r>
        <w:rPr>
          <w:rFonts w:hint="eastAsia" w:ascii="宋体" w:hAnsi="宋体" w:cs="宋体"/>
          <w:sz w:val="24"/>
          <w:szCs w:val="24"/>
        </w:rPr>
        <w:t>（2）施工方案和技术措施；</w:t>
      </w:r>
    </w:p>
    <w:p>
      <w:pPr>
        <w:spacing w:line="360" w:lineRule="auto"/>
        <w:rPr>
          <w:rFonts w:ascii="宋体" w:hAnsi="宋体" w:cs="宋体"/>
          <w:sz w:val="24"/>
          <w:szCs w:val="24"/>
        </w:rPr>
      </w:pPr>
      <w:r>
        <w:rPr>
          <w:rFonts w:hint="eastAsia" w:ascii="宋体" w:hAnsi="宋体" w:cs="宋体"/>
          <w:sz w:val="24"/>
          <w:szCs w:val="24"/>
        </w:rPr>
        <w:t>（3）质量管理体系与措施；</w:t>
      </w:r>
    </w:p>
    <w:p>
      <w:pPr>
        <w:spacing w:line="360" w:lineRule="auto"/>
        <w:rPr>
          <w:rFonts w:ascii="宋体" w:hAnsi="宋体" w:cs="宋体"/>
          <w:sz w:val="24"/>
          <w:szCs w:val="24"/>
        </w:rPr>
      </w:pPr>
      <w:r>
        <w:rPr>
          <w:rFonts w:hint="eastAsia" w:ascii="宋体" w:hAnsi="宋体" w:cs="宋体"/>
          <w:sz w:val="24"/>
          <w:szCs w:val="24"/>
        </w:rPr>
        <w:t>（4）冬雨季施工方案与技术措施；</w:t>
      </w:r>
    </w:p>
    <w:p>
      <w:pPr>
        <w:spacing w:line="360" w:lineRule="auto"/>
        <w:rPr>
          <w:rFonts w:ascii="宋体" w:hAnsi="宋体" w:cs="宋体"/>
          <w:sz w:val="24"/>
          <w:szCs w:val="24"/>
        </w:rPr>
      </w:pPr>
      <w:r>
        <w:rPr>
          <w:rFonts w:hint="eastAsia" w:ascii="宋体" w:hAnsi="宋体" w:cs="宋体"/>
          <w:sz w:val="24"/>
          <w:szCs w:val="24"/>
        </w:rPr>
        <w:t>（5）安全管理体系与措施；</w:t>
      </w:r>
    </w:p>
    <w:p>
      <w:pPr>
        <w:spacing w:line="360" w:lineRule="auto"/>
        <w:rPr>
          <w:rFonts w:ascii="宋体" w:hAnsi="宋体" w:cs="宋体"/>
          <w:sz w:val="24"/>
          <w:szCs w:val="24"/>
        </w:rPr>
      </w:pPr>
      <w:r>
        <w:rPr>
          <w:rFonts w:hint="eastAsia" w:ascii="宋体" w:hAnsi="宋体" w:cs="宋体"/>
          <w:sz w:val="24"/>
          <w:szCs w:val="24"/>
        </w:rPr>
        <w:t>（6）环境保护管理体系与措施；</w:t>
      </w:r>
    </w:p>
    <w:p>
      <w:pPr>
        <w:spacing w:line="360" w:lineRule="auto"/>
        <w:rPr>
          <w:rFonts w:ascii="宋体" w:hAnsi="宋体" w:cs="宋体"/>
          <w:sz w:val="24"/>
          <w:szCs w:val="24"/>
        </w:rPr>
      </w:pPr>
      <w:r>
        <w:rPr>
          <w:rFonts w:hint="eastAsia" w:ascii="宋体" w:hAnsi="宋体" w:cs="宋体"/>
          <w:sz w:val="24"/>
          <w:szCs w:val="24"/>
        </w:rPr>
        <w:t>（7）工程进度计划与措施；</w:t>
      </w:r>
    </w:p>
    <w:p>
      <w:pPr>
        <w:spacing w:line="360" w:lineRule="auto"/>
        <w:rPr>
          <w:rFonts w:ascii="宋体" w:hAnsi="宋体" w:cs="宋体"/>
          <w:sz w:val="24"/>
          <w:szCs w:val="24"/>
        </w:rPr>
      </w:pPr>
      <w:r>
        <w:rPr>
          <w:rFonts w:hint="eastAsia" w:ascii="宋体" w:hAnsi="宋体" w:cs="宋体"/>
          <w:sz w:val="24"/>
          <w:szCs w:val="24"/>
        </w:rPr>
        <w:t>（8）拟投入资源配备计划……；</w:t>
      </w:r>
    </w:p>
    <w:p>
      <w:pPr>
        <w:spacing w:line="360" w:lineRule="auto"/>
        <w:rPr>
          <w:rFonts w:ascii="宋体" w:hAnsi="宋体" w:cs="宋体"/>
          <w:sz w:val="24"/>
          <w:szCs w:val="24"/>
        </w:rPr>
      </w:pPr>
      <w:r>
        <w:rPr>
          <w:rFonts w:hint="eastAsia" w:ascii="宋体" w:hAnsi="宋体" w:cs="宋体"/>
          <w:sz w:val="24"/>
          <w:szCs w:val="24"/>
        </w:rPr>
        <w:t>（9）施工进度表或施工网络图； </w:t>
      </w:r>
    </w:p>
    <w:p>
      <w:pPr>
        <w:spacing w:line="360" w:lineRule="auto"/>
        <w:rPr>
          <w:rFonts w:ascii="宋体" w:hAnsi="宋体" w:cs="宋体"/>
          <w:sz w:val="24"/>
          <w:szCs w:val="24"/>
        </w:rPr>
      </w:pPr>
      <w:r>
        <w:rPr>
          <w:rFonts w:hint="eastAsia" w:ascii="宋体" w:hAnsi="宋体" w:cs="宋体"/>
          <w:sz w:val="24"/>
          <w:szCs w:val="24"/>
        </w:rPr>
        <w:t>（10）施工总平面布置图；</w:t>
      </w:r>
    </w:p>
    <w:p>
      <w:pPr>
        <w:spacing w:line="360" w:lineRule="auto"/>
        <w:rPr>
          <w:rFonts w:ascii="宋体" w:hAnsi="宋体" w:cs="宋体"/>
          <w:sz w:val="24"/>
          <w:szCs w:val="24"/>
        </w:rPr>
      </w:pPr>
      <w:r>
        <w:rPr>
          <w:rFonts w:hint="eastAsia" w:ascii="宋体" w:hAnsi="宋体" w:cs="宋体"/>
          <w:sz w:val="24"/>
          <w:szCs w:val="24"/>
        </w:rPr>
        <w:t>（11）在节能减排、绿色施工（含扬尘治理）、工艺创新方面针对本工程有具体措施或企业自有创新技术；</w:t>
      </w:r>
    </w:p>
    <w:p>
      <w:pPr>
        <w:spacing w:line="360" w:lineRule="auto"/>
        <w:rPr>
          <w:rFonts w:ascii="宋体" w:hAnsi="宋体" w:cs="宋体"/>
          <w:sz w:val="24"/>
          <w:szCs w:val="24"/>
        </w:rPr>
      </w:pPr>
      <w:r>
        <w:rPr>
          <w:rFonts w:hint="eastAsia" w:ascii="宋体" w:hAnsi="宋体" w:cs="宋体"/>
          <w:sz w:val="24"/>
          <w:szCs w:val="24"/>
        </w:rPr>
        <w:t>（12）新工艺、新技术、新设备、新材料的采用程度，其在确保质量、降低成本、缩短工期、减轻劳动强度、提高工效等方面的作用；</w:t>
      </w:r>
    </w:p>
    <w:p>
      <w:pPr>
        <w:spacing w:line="360" w:lineRule="auto"/>
        <w:rPr>
          <w:rFonts w:ascii="宋体" w:hAnsi="宋体" w:cs="宋体"/>
          <w:sz w:val="24"/>
          <w:szCs w:val="24"/>
        </w:rPr>
      </w:pPr>
      <w:r>
        <w:rPr>
          <w:rFonts w:hint="eastAsia" w:ascii="宋体" w:hAnsi="宋体" w:cs="宋体"/>
          <w:sz w:val="24"/>
          <w:szCs w:val="24"/>
        </w:rPr>
        <w:t>（13）企业具备信息化管理平台，能够使工程管理者对现场实施监控和数据处理。</w:t>
      </w:r>
    </w:p>
    <w:p>
      <w:pPr>
        <w:spacing w:line="360" w:lineRule="auto"/>
        <w:rPr>
          <w:rFonts w:ascii="仿宋_GB2312" w:hAnsi="宋体" w:eastAsia="仿宋_GB2312"/>
          <w:sz w:val="24"/>
          <w:szCs w:val="24"/>
        </w:rPr>
      </w:pPr>
    </w:p>
    <w:p>
      <w:pPr>
        <w:rPr>
          <w:rFonts w:ascii="仿宋_GB2312" w:hAnsi="宋体" w:eastAsia="仿宋_GB2312"/>
          <w:b/>
          <w:sz w:val="28"/>
          <w:szCs w:val="28"/>
        </w:rPr>
      </w:pPr>
    </w:p>
    <w:p/>
    <w:sectPr>
      <w:headerReference r:id="rId3" w:type="default"/>
      <w:footerReference r:id="rId4" w:type="default"/>
      <w:pgSz w:w="11906" w:h="16838"/>
      <w:pgMar w:top="1417" w:right="1418" w:bottom="141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18"/>
        <w:szCs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r>
      <w:rPr>
        <w:rFonts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pBdr>
      <w:rPr>
        <w:rFonts w:ascii="仿宋_GB2312" w:hAnsi="宋体" w:eastAsia="仿宋_GB2312"/>
        <w:u w:val="single"/>
      </w:rPr>
    </w:pPr>
    <w:r>
      <w:rPr>
        <w:rFonts w:hint="eastAsia" w:ascii="仿宋_GB2312" w:hAnsi="宋体" w:eastAsia="仿宋_GB2312"/>
        <w:u w:val="single"/>
      </w:rPr>
      <w:t xml:space="preserve">                                                                                     施工招标文件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8B250"/>
    <w:multiLevelType w:val="singleLevel"/>
    <w:tmpl w:val="5278B250"/>
    <w:lvl w:ilvl="0" w:tentative="0">
      <w:start w:val="1"/>
      <w:numFmt w:val="decimal"/>
      <w:suff w:val="nothing"/>
      <w:lvlText w:val="（%1）"/>
      <w:lvlJc w:val="left"/>
    </w:lvl>
  </w:abstractNum>
  <w:abstractNum w:abstractNumId="1">
    <w:nsid w:val="560926F2"/>
    <w:multiLevelType w:val="singleLevel"/>
    <w:tmpl w:val="560926F2"/>
    <w:lvl w:ilvl="0" w:tentative="0">
      <w:start w:val="2"/>
      <w:numFmt w:val="chineseCounting"/>
      <w:suff w:val="space"/>
      <w:lvlText w:val="第%1章"/>
      <w:lvlJc w:val="left"/>
    </w:lvl>
  </w:abstractNum>
  <w:abstractNum w:abstractNumId="2">
    <w:nsid w:val="56093240"/>
    <w:multiLevelType w:val="singleLevel"/>
    <w:tmpl w:val="56093240"/>
    <w:lvl w:ilvl="0" w:tentative="0">
      <w:start w:val="6"/>
      <w:numFmt w:val="chineseCounting"/>
      <w:suff w:val="space"/>
      <w:lvlText w:val="第%1章"/>
      <w:lvlJc w:val="left"/>
    </w:lvl>
  </w:abstractNum>
  <w:abstractNum w:abstractNumId="3">
    <w:nsid w:val="56093290"/>
    <w:multiLevelType w:val="singleLevel"/>
    <w:tmpl w:val="56093290"/>
    <w:lvl w:ilvl="0" w:tentative="0">
      <w:start w:val="8"/>
      <w:numFmt w:val="chineseCounting"/>
      <w:suff w:val="space"/>
      <w:lvlText w:val="第%1章"/>
      <w:lvlJc w:val="left"/>
    </w:lvl>
  </w:abstractNum>
  <w:abstractNum w:abstractNumId="4">
    <w:nsid w:val="560933F4"/>
    <w:multiLevelType w:val="singleLevel"/>
    <w:tmpl w:val="560933F4"/>
    <w:lvl w:ilvl="0" w:tentative="0">
      <w:start w:val="2"/>
      <w:numFmt w:val="decimal"/>
      <w:suff w:val="nothing"/>
      <w:lvlText w:val="%1."/>
      <w:lvlJc w:val="left"/>
    </w:lvl>
  </w:abstractNum>
  <w:abstractNum w:abstractNumId="5">
    <w:nsid w:val="7CC607DB"/>
    <w:multiLevelType w:val="multilevel"/>
    <w:tmpl w:val="7CC607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40967"/>
    <w:rsid w:val="000620D0"/>
    <w:rsid w:val="000B1B34"/>
    <w:rsid w:val="00186687"/>
    <w:rsid w:val="0025728F"/>
    <w:rsid w:val="002F5709"/>
    <w:rsid w:val="003B5006"/>
    <w:rsid w:val="004109CB"/>
    <w:rsid w:val="004756F4"/>
    <w:rsid w:val="00481AC2"/>
    <w:rsid w:val="0048788E"/>
    <w:rsid w:val="004C486A"/>
    <w:rsid w:val="00536403"/>
    <w:rsid w:val="00554826"/>
    <w:rsid w:val="005D44A2"/>
    <w:rsid w:val="00770F5C"/>
    <w:rsid w:val="00814155"/>
    <w:rsid w:val="008261BC"/>
    <w:rsid w:val="008B7BA6"/>
    <w:rsid w:val="0092312E"/>
    <w:rsid w:val="00935F03"/>
    <w:rsid w:val="00957856"/>
    <w:rsid w:val="009A7A90"/>
    <w:rsid w:val="009B7073"/>
    <w:rsid w:val="009F5835"/>
    <w:rsid w:val="00A65F67"/>
    <w:rsid w:val="00AC019E"/>
    <w:rsid w:val="00B47BD0"/>
    <w:rsid w:val="00B60F14"/>
    <w:rsid w:val="00BF1B58"/>
    <w:rsid w:val="00CA063F"/>
    <w:rsid w:val="00CA39C5"/>
    <w:rsid w:val="00CC213C"/>
    <w:rsid w:val="00EB4DBE"/>
    <w:rsid w:val="00F53073"/>
    <w:rsid w:val="00F8315A"/>
    <w:rsid w:val="00FF19B7"/>
    <w:rsid w:val="010971F6"/>
    <w:rsid w:val="010E5637"/>
    <w:rsid w:val="04D17731"/>
    <w:rsid w:val="0A175294"/>
    <w:rsid w:val="15386D23"/>
    <w:rsid w:val="15A729C3"/>
    <w:rsid w:val="177C5A3E"/>
    <w:rsid w:val="18667B2F"/>
    <w:rsid w:val="19431D6B"/>
    <w:rsid w:val="1D7129A4"/>
    <w:rsid w:val="1E8A5E44"/>
    <w:rsid w:val="20BA0BC7"/>
    <w:rsid w:val="23E40967"/>
    <w:rsid w:val="24B8047B"/>
    <w:rsid w:val="24C156AD"/>
    <w:rsid w:val="25381158"/>
    <w:rsid w:val="25B84C19"/>
    <w:rsid w:val="27E84E2A"/>
    <w:rsid w:val="29833F3F"/>
    <w:rsid w:val="2B18461C"/>
    <w:rsid w:val="2E191CB1"/>
    <w:rsid w:val="2E592B33"/>
    <w:rsid w:val="317A757F"/>
    <w:rsid w:val="32DC218B"/>
    <w:rsid w:val="331A0789"/>
    <w:rsid w:val="354534BE"/>
    <w:rsid w:val="35851395"/>
    <w:rsid w:val="372A3639"/>
    <w:rsid w:val="3A415BAC"/>
    <w:rsid w:val="3A9D414E"/>
    <w:rsid w:val="3D496607"/>
    <w:rsid w:val="41846616"/>
    <w:rsid w:val="480D29DD"/>
    <w:rsid w:val="4B02145A"/>
    <w:rsid w:val="4B6F6695"/>
    <w:rsid w:val="4B8876F8"/>
    <w:rsid w:val="4B932A19"/>
    <w:rsid w:val="4D5F2F0F"/>
    <w:rsid w:val="4DE16170"/>
    <w:rsid w:val="50104FBA"/>
    <w:rsid w:val="51C92D5F"/>
    <w:rsid w:val="536E460D"/>
    <w:rsid w:val="571539F0"/>
    <w:rsid w:val="58D374C3"/>
    <w:rsid w:val="59C56673"/>
    <w:rsid w:val="5A96707C"/>
    <w:rsid w:val="5BEB5F9F"/>
    <w:rsid w:val="5C82025B"/>
    <w:rsid w:val="625D7062"/>
    <w:rsid w:val="628B0947"/>
    <w:rsid w:val="65436450"/>
    <w:rsid w:val="655E793F"/>
    <w:rsid w:val="67A63EE0"/>
    <w:rsid w:val="6AA84E3A"/>
    <w:rsid w:val="6C730829"/>
    <w:rsid w:val="6D535020"/>
    <w:rsid w:val="70F644F9"/>
    <w:rsid w:val="7165137B"/>
    <w:rsid w:val="71E80490"/>
    <w:rsid w:val="72825EB1"/>
    <w:rsid w:val="747B40AA"/>
    <w:rsid w:val="7606582F"/>
    <w:rsid w:val="7A537911"/>
    <w:rsid w:val="7B2E0B01"/>
    <w:rsid w:val="7DBA0594"/>
    <w:rsid w:val="7FCB6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99"/>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9"/>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Body Text First Indent"/>
    <w:basedOn w:val="7"/>
    <w:qFormat/>
    <w:uiPriority w:val="0"/>
    <w:pPr>
      <w:ind w:firstLine="420" w:firstLineChars="100"/>
    </w:pPr>
  </w:style>
  <w:style w:type="paragraph" w:styleId="7">
    <w:name w:val="Body Text"/>
    <w:basedOn w:val="1"/>
    <w:qFormat/>
    <w:uiPriority w:val="0"/>
    <w:pPr>
      <w:spacing w:after="120"/>
    </w:pPr>
  </w:style>
  <w:style w:type="paragraph" w:styleId="8">
    <w:name w:val="Body Text 3"/>
    <w:basedOn w:val="1"/>
    <w:unhideWhenUsed/>
    <w:qFormat/>
    <w:uiPriority w:val="99"/>
    <w:rPr>
      <w:rFonts w:ascii="宋体"/>
      <w:sz w:val="24"/>
    </w:rPr>
  </w:style>
  <w:style w:type="paragraph" w:styleId="9">
    <w:name w:val="toc 3"/>
    <w:basedOn w:val="1"/>
    <w:next w:val="1"/>
    <w:unhideWhenUsed/>
    <w:qFormat/>
    <w:uiPriority w:val="39"/>
    <w:pPr>
      <w:ind w:left="420"/>
      <w:jc w:val="left"/>
    </w:pPr>
    <w:rPr>
      <w:i/>
      <w:iCs/>
      <w:sz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nhideWhenUsed/>
    <w:qFormat/>
    <w:uiPriority w:val="39"/>
    <w:pPr>
      <w:spacing w:before="120" w:after="120"/>
      <w:jc w:val="left"/>
    </w:pPr>
    <w:rPr>
      <w:b/>
      <w:bCs/>
      <w:caps/>
      <w:sz w:val="20"/>
    </w:rPr>
  </w:style>
  <w:style w:type="paragraph" w:styleId="13">
    <w:name w:val="Normal (Web)"/>
    <w:basedOn w:val="1"/>
    <w:unhideWhenUsed/>
    <w:qFormat/>
    <w:uiPriority w:val="0"/>
    <w:pPr>
      <w:widowControl/>
      <w:spacing w:before="100" w:beforeAutospacing="1" w:after="100" w:afterAutospacing="1"/>
      <w:jc w:val="left"/>
    </w:pPr>
    <w:rPr>
      <w:rFonts w:ascii="宋体" w:hAnsi="宋体"/>
      <w:kern w:val="0"/>
      <w:sz w:val="24"/>
    </w:rPr>
  </w:style>
  <w:style w:type="character" w:styleId="15">
    <w:name w:val="FollowedHyperlink"/>
    <w:basedOn w:val="14"/>
    <w:qFormat/>
    <w:uiPriority w:val="0"/>
    <w:rPr>
      <w:color w:val="000000"/>
      <w:u w:val="none"/>
    </w:rPr>
  </w:style>
  <w:style w:type="character" w:styleId="16">
    <w:name w:val="Emphasis"/>
    <w:basedOn w:val="14"/>
    <w:qFormat/>
    <w:uiPriority w:val="0"/>
  </w:style>
  <w:style w:type="character" w:styleId="17">
    <w:name w:val="Hyperlink"/>
    <w:basedOn w:val="14"/>
    <w:qFormat/>
    <w:uiPriority w:val="0"/>
    <w:rPr>
      <w:color w:val="000000"/>
      <w:u w:val="none"/>
    </w:rPr>
  </w:style>
  <w:style w:type="paragraph" w:customStyle="1" w:styleId="19">
    <w:name w:val="样式 标题 2 + Times New Roman 四号 非加粗 段前: 5 磅 段后: 0 磅 行距: 固定值 20..."/>
    <w:basedOn w:val="4"/>
    <w:qFormat/>
    <w:uiPriority w:val="0"/>
    <w:pPr>
      <w:spacing w:before="100" w:after="0" w:line="400" w:lineRule="exact"/>
    </w:pPr>
    <w:rPr>
      <w:rFonts w:ascii="Times New Roman" w:hAnsi="Times New Roman"/>
      <w:b w:val="0"/>
      <w:sz w:val="28"/>
    </w:rPr>
  </w:style>
  <w:style w:type="paragraph" w:customStyle="1" w:styleId="20">
    <w:name w:val="Default"/>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21">
    <w:name w:val="p17"/>
    <w:basedOn w:val="1"/>
    <w:qFormat/>
    <w:uiPriority w:val="0"/>
    <w:pPr>
      <w:widowControl/>
      <w:spacing w:line="400" w:lineRule="atLeast"/>
    </w:pPr>
    <w:rPr>
      <w:kern w:val="0"/>
      <w:sz w:val="24"/>
    </w:rPr>
  </w:style>
  <w:style w:type="paragraph" w:customStyle="1" w:styleId="22">
    <w:name w:val="p18"/>
    <w:basedOn w:val="1"/>
    <w:qFormat/>
    <w:uiPriority w:val="0"/>
    <w:pPr>
      <w:widowControl/>
      <w:spacing w:after="120" w:line="480" w:lineRule="auto"/>
      <w:ind w:left="420"/>
    </w:pPr>
    <w:rPr>
      <w:kern w:val="0"/>
      <w:szCs w:val="21"/>
    </w:rPr>
  </w:style>
  <w:style w:type="paragraph" w:customStyle="1" w:styleId="23">
    <w:name w:val="p0"/>
    <w:basedOn w:val="1"/>
    <w:qFormat/>
    <w:uiPriority w:val="0"/>
    <w:pPr>
      <w:widowControl/>
    </w:pPr>
    <w:rPr>
      <w:kern w:val="0"/>
      <w:szCs w:val="21"/>
    </w:rPr>
  </w:style>
  <w:style w:type="paragraph" w:customStyle="1" w:styleId="24">
    <w:name w:val="样式 标题 3 + (中文) 黑体 小四 非加粗 段前: 7.8 磅 段后: 0 磅 行距: 固定值 20 磅"/>
    <w:basedOn w:val="5"/>
    <w:qFormat/>
    <w:uiPriority w:val="0"/>
    <w:pPr>
      <w:spacing w:before="0" w:after="0" w:line="400" w:lineRule="exact"/>
    </w:pPr>
    <w:rPr>
      <w:rFonts w:eastAsia="黑体"/>
      <w:b w:val="0"/>
      <w:sz w:val="24"/>
    </w:rPr>
  </w:style>
  <w:style w:type="paragraph" w:customStyle="1" w:styleId="25">
    <w:name w:val="WPS Plain"/>
    <w:qFormat/>
    <w:uiPriority w:val="0"/>
    <w:rPr>
      <w:rFonts w:ascii="Times New Roman" w:hAnsi="Times New Roman" w:eastAsia="宋体" w:cs="Times New Roman"/>
      <w:lang w:val="en-US" w:eastAsia="zh-CN" w:bidi="ar-SA"/>
    </w:rPr>
  </w:style>
  <w:style w:type="paragraph" w:customStyle="1" w:styleId="2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27">
    <w:name w:val="zhang"/>
    <w:basedOn w:val="1"/>
    <w:qFormat/>
    <w:uiPriority w:val="0"/>
    <w:pPr>
      <w:widowControl/>
      <w:spacing w:before="100" w:beforeAutospacing="1" w:after="100" w:afterAutospacing="1"/>
      <w:jc w:val="left"/>
    </w:pPr>
    <w:rPr>
      <w:rFonts w:ascii="̥_GB2312" w:hAnsi="̥_GB2312" w:cs="宋体"/>
      <w:b/>
      <w:bCs/>
      <w:smallCaps/>
      <w:color w:val="000000"/>
      <w:kern w:val="0"/>
      <w:sz w:val="20"/>
    </w:rPr>
  </w:style>
  <w:style w:type="character" w:customStyle="1" w:styleId="28">
    <w:name w:val="green"/>
    <w:basedOn w:val="14"/>
    <w:qFormat/>
    <w:uiPriority w:val="0"/>
    <w:rPr>
      <w:color w:val="66AE00"/>
      <w:sz w:val="18"/>
      <w:szCs w:val="18"/>
    </w:rPr>
  </w:style>
  <w:style w:type="character" w:customStyle="1" w:styleId="29">
    <w:name w:val="green1"/>
    <w:basedOn w:val="14"/>
    <w:qFormat/>
    <w:uiPriority w:val="0"/>
    <w:rPr>
      <w:color w:val="66AE00"/>
      <w:sz w:val="18"/>
      <w:szCs w:val="18"/>
    </w:rPr>
  </w:style>
  <w:style w:type="character" w:customStyle="1" w:styleId="30">
    <w:name w:val="red"/>
    <w:basedOn w:val="14"/>
    <w:qFormat/>
    <w:uiPriority w:val="0"/>
    <w:rPr>
      <w:color w:val="FF0000"/>
      <w:sz w:val="18"/>
      <w:szCs w:val="18"/>
    </w:rPr>
  </w:style>
  <w:style w:type="character" w:customStyle="1" w:styleId="31">
    <w:name w:val="red1"/>
    <w:basedOn w:val="14"/>
    <w:qFormat/>
    <w:uiPriority w:val="0"/>
    <w:rPr>
      <w:color w:val="FF0000"/>
      <w:sz w:val="18"/>
      <w:szCs w:val="18"/>
    </w:rPr>
  </w:style>
  <w:style w:type="character" w:customStyle="1" w:styleId="32">
    <w:name w:val="red2"/>
    <w:basedOn w:val="14"/>
    <w:qFormat/>
    <w:uiPriority w:val="0"/>
    <w:rPr>
      <w:color w:val="CC0000"/>
    </w:rPr>
  </w:style>
  <w:style w:type="character" w:customStyle="1" w:styleId="33">
    <w:name w:val="red3"/>
    <w:basedOn w:val="14"/>
    <w:qFormat/>
    <w:uiPriority w:val="0"/>
    <w:rPr>
      <w:color w:val="FF0000"/>
    </w:rPr>
  </w:style>
  <w:style w:type="character" w:customStyle="1" w:styleId="34">
    <w:name w:val="hover25"/>
    <w:basedOn w:val="14"/>
    <w:qFormat/>
    <w:uiPriority w:val="0"/>
  </w:style>
  <w:style w:type="character" w:customStyle="1" w:styleId="35">
    <w:name w:val="blue"/>
    <w:basedOn w:val="14"/>
    <w:qFormat/>
    <w:uiPriority w:val="0"/>
    <w:rPr>
      <w:color w:val="0371C6"/>
      <w:sz w:val="21"/>
      <w:szCs w:val="21"/>
    </w:rPr>
  </w:style>
  <w:style w:type="character" w:customStyle="1" w:styleId="36">
    <w:name w:val="gb-jt"/>
    <w:basedOn w:val="14"/>
    <w:qFormat/>
    <w:uiPriority w:val="0"/>
  </w:style>
  <w:style w:type="character" w:customStyle="1" w:styleId="37">
    <w:name w:val="right"/>
    <w:basedOn w:val="14"/>
    <w:qFormat/>
    <w:uiPriority w:val="0"/>
    <w:rPr>
      <w:color w:val="999999"/>
      <w:sz w:val="18"/>
      <w:szCs w:val="18"/>
    </w:rPr>
  </w:style>
  <w:style w:type="character" w:customStyle="1" w:styleId="38">
    <w:name w:val="hover"/>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66</Pages>
  <Words>4583</Words>
  <Characters>26129</Characters>
  <Lines>217</Lines>
  <Paragraphs>61</Paragraphs>
  <TotalTime>4</TotalTime>
  <ScaleCrop>false</ScaleCrop>
  <LinksUpToDate>false</LinksUpToDate>
  <CharactersWithSpaces>30651</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2018-09-28T01:18:00Z</dcterms:created>
  <dc:creator>莫。。</dc:creator>
  <cp:lastModifiedBy>Administrator</cp:lastModifiedBy>
  <cp:lastPrinted>2019-01-02T10:50:00Z</cp:lastPrinted>
  <dcterms:modified xsi:type="dcterms:W3CDTF">2019-01-03T08:49:20Z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