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禹州市创业大厦物业费项目</w:t>
      </w:r>
    </w:p>
    <w:p>
      <w:pPr>
        <w:spacing w:line="600" w:lineRule="exact"/>
        <w:jc w:val="center"/>
        <w:rPr>
          <w:rFonts w:hint="eastAsia" w:ascii="黑体" w:hAnsi="黑体" w:eastAsia="黑体" w:cs="黑体"/>
          <w:b/>
          <w:bCs/>
          <w:sz w:val="44"/>
          <w:szCs w:val="44"/>
          <w:lang w:eastAsia="zh-CN"/>
        </w:rPr>
      </w:pP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val="en-US" w:eastAsia="zh-CN"/>
        </w:rPr>
        <w:t>禹州市环境保护局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YZCG-G2019001</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禹州市创业大厦物业费项目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禹州市环境保护局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禹州市创业大厦物业费项目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采购人：禹州市环境保护局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禹州市创业大厦物业费项目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9001</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物业管理服务（详见招标文件）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97.91万元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6、采购限价：97.91万元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具有独立法人资格及相应的经营范围（以营业执照</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10：00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禹州市环境保护局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禹州市创业大厦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朱先生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0374-6066399</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7"/>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spacing w:line="440" w:lineRule="exact"/>
        <w:ind w:firstLine="420" w:firstLineChars="200"/>
        <w:rPr>
          <w:rFonts w:hint="eastAsia" w:ascii="宋体" w:hAnsi="宋体" w:cs="宋体"/>
          <w:bCs/>
          <w:szCs w:val="21"/>
        </w:rPr>
      </w:pPr>
      <w:r>
        <w:rPr>
          <w:rFonts w:hint="eastAsia" w:ascii="宋体" w:hAnsi="宋体" w:cs="宋体"/>
          <w:bCs/>
          <w:szCs w:val="21"/>
        </w:rPr>
        <w:t>本项目是购买服务项目，投标人中标后以中标人为主体，须按照相关法律法规要求满足禹州市</w:t>
      </w:r>
      <w:r>
        <w:rPr>
          <w:rFonts w:hint="eastAsia" w:ascii="宋体" w:hAnsi="宋体" w:cs="宋体"/>
          <w:bCs/>
          <w:szCs w:val="21"/>
          <w:lang w:val="en-US" w:eastAsia="zh-CN"/>
        </w:rPr>
        <w:t>创业大厦物业管理</w:t>
      </w:r>
      <w:r>
        <w:rPr>
          <w:rFonts w:hint="eastAsia" w:ascii="宋体" w:hAnsi="宋体" w:cs="宋体"/>
          <w:bCs/>
          <w:szCs w:val="21"/>
        </w:rPr>
        <w:t>服务工作。</w:t>
      </w:r>
    </w:p>
    <w:p>
      <w:pPr>
        <w:spacing w:line="360" w:lineRule="auto"/>
        <w:rPr>
          <w:rFonts w:hint="eastAsia" w:ascii="宋体" w:hAnsi="宋体"/>
          <w:b/>
          <w:szCs w:val="21"/>
        </w:rPr>
      </w:pPr>
      <w:r>
        <w:rPr>
          <w:rFonts w:hint="eastAsia" w:ascii="宋体" w:hAnsi="宋体"/>
          <w:b/>
          <w:szCs w:val="21"/>
        </w:rPr>
        <w:t>二、</w:t>
      </w:r>
      <w:r>
        <w:rPr>
          <w:rFonts w:hint="eastAsia" w:ascii="黑体" w:hAnsi="宋体" w:cs="宋体"/>
          <w:b/>
          <w:kern w:val="0"/>
          <w:szCs w:val="21"/>
        </w:rPr>
        <w:t>具体服</w:t>
      </w:r>
      <w:r>
        <w:rPr>
          <w:rFonts w:ascii="黑体" w:hAnsi="宋体" w:cs="宋体"/>
          <w:b/>
          <w:kern w:val="0"/>
          <w:szCs w:val="21"/>
        </w:rPr>
        <w:t>务需</w:t>
      </w:r>
      <w:r>
        <w:rPr>
          <w:rFonts w:hint="eastAsia" w:ascii="黑体" w:hAnsi="宋体" w:cs="宋体"/>
          <w:b/>
          <w:kern w:val="0"/>
          <w:szCs w:val="21"/>
        </w:rPr>
        <w:t>求</w:t>
      </w:r>
    </w:p>
    <w:p>
      <w:pPr>
        <w:spacing w:line="360" w:lineRule="auto"/>
        <w:ind w:firstLine="420" w:firstLineChars="200"/>
        <w:rPr>
          <w:rFonts w:hint="eastAsia" w:ascii="宋体" w:hAnsi="宋体"/>
          <w:kern w:val="0"/>
          <w:szCs w:val="21"/>
          <w:lang w:eastAsia="zh-CN"/>
        </w:rPr>
      </w:pPr>
      <w:r>
        <w:rPr>
          <w:rFonts w:hint="eastAsia" w:ascii="宋体" w:hAnsi="宋体"/>
          <w:kern w:val="0"/>
          <w:szCs w:val="21"/>
          <w:lang w:eastAsia="zh-CN"/>
        </w:rPr>
        <w:t>（一）本项目需实现的功能或者目标</w:t>
      </w:r>
    </w:p>
    <w:p>
      <w:pPr>
        <w:spacing w:line="360" w:lineRule="auto"/>
        <w:ind w:firstLine="420" w:firstLineChars="200"/>
        <w:rPr>
          <w:rFonts w:hint="eastAsia" w:ascii="宋体" w:hAnsi="宋体"/>
          <w:kern w:val="0"/>
          <w:szCs w:val="21"/>
          <w:lang w:eastAsia="zh-CN"/>
        </w:rPr>
      </w:pPr>
      <w:r>
        <w:rPr>
          <w:rFonts w:hint="eastAsia" w:ascii="宋体" w:hAnsi="宋体"/>
          <w:kern w:val="0"/>
          <w:szCs w:val="21"/>
          <w:lang w:val="en-US" w:eastAsia="zh-CN"/>
        </w:rPr>
        <w:t>1.</w:t>
      </w:r>
      <w:r>
        <w:rPr>
          <w:rFonts w:hint="eastAsia" w:ascii="宋体" w:hAnsi="宋体"/>
          <w:kern w:val="0"/>
          <w:szCs w:val="21"/>
          <w:lang w:eastAsia="zh-CN"/>
        </w:rPr>
        <w:t>本项目是购买服务项目，投标人中标后以中标人为主体，须按照相关法律法规要求满足</w:t>
      </w:r>
      <w:r>
        <w:rPr>
          <w:rFonts w:hint="eastAsia" w:ascii="宋体" w:hAnsi="宋体"/>
          <w:kern w:val="0"/>
          <w:szCs w:val="21"/>
          <w:lang w:val="en-US" w:eastAsia="zh-CN"/>
        </w:rPr>
        <w:t>禹州市创业大厦</w:t>
      </w:r>
      <w:r>
        <w:rPr>
          <w:rFonts w:hint="eastAsia" w:ascii="宋体" w:hAnsi="宋体"/>
          <w:kern w:val="0"/>
          <w:szCs w:val="21"/>
          <w:lang w:eastAsia="zh-CN"/>
        </w:rPr>
        <w:t>办公楼院</w:t>
      </w:r>
      <w:r>
        <w:rPr>
          <w:rFonts w:hint="eastAsia" w:ascii="宋体" w:hAnsi="宋体"/>
          <w:kern w:val="0"/>
          <w:szCs w:val="21"/>
          <w:lang w:val="en-US" w:eastAsia="zh-CN"/>
        </w:rPr>
        <w:t>综</w:t>
      </w:r>
      <w:r>
        <w:rPr>
          <w:rFonts w:hint="eastAsia" w:ascii="宋体" w:hAnsi="宋体"/>
          <w:kern w:val="0"/>
          <w:szCs w:val="21"/>
          <w:lang w:eastAsia="zh-CN"/>
        </w:rPr>
        <w:t>合管理、房屋日常养护维修、供电设施设备运行管理维护、给排水设施设备运行管理维护、中央空调系统运行管理维护、消防系统运行管理维护、安防报警监控系统运行管理维护、电智能系统运行管理维护、秩序维护与安全管理服务、环境卫生保洁服务、会议服务、电梯运行维护、绿化养护服务等。</w:t>
      </w:r>
    </w:p>
    <w:p>
      <w:pPr>
        <w:spacing w:line="360" w:lineRule="auto"/>
        <w:ind w:firstLine="420" w:firstLineChars="200"/>
        <w:rPr>
          <w:rFonts w:hint="eastAsia" w:ascii="宋体" w:hAnsi="宋体"/>
          <w:kern w:val="0"/>
          <w:szCs w:val="21"/>
          <w:lang w:eastAsia="zh-CN"/>
        </w:rPr>
      </w:pPr>
      <w:r>
        <w:rPr>
          <w:rFonts w:hint="eastAsia" w:ascii="宋体" w:hAnsi="宋体"/>
          <w:kern w:val="0"/>
          <w:szCs w:val="21"/>
          <w:lang w:val="en-US" w:eastAsia="zh-CN"/>
        </w:rPr>
        <w:t>2.</w:t>
      </w:r>
      <w:r>
        <w:rPr>
          <w:rFonts w:hint="eastAsia" w:ascii="宋体" w:hAnsi="宋体"/>
          <w:kern w:val="0"/>
          <w:szCs w:val="21"/>
          <w:lang w:eastAsia="zh-CN"/>
        </w:rPr>
        <w:t>服务范围：</w:t>
      </w:r>
      <w:r>
        <w:rPr>
          <w:rFonts w:hint="eastAsia" w:ascii="宋体" w:hAnsi="宋体"/>
          <w:kern w:val="0"/>
          <w:szCs w:val="21"/>
          <w:lang w:val="en-US" w:eastAsia="zh-CN"/>
        </w:rPr>
        <w:t>禹州市创业大厦和前后院</w:t>
      </w:r>
      <w:r>
        <w:rPr>
          <w:rFonts w:hint="eastAsia" w:ascii="宋体" w:hAnsi="宋体"/>
          <w:kern w:val="0"/>
          <w:szCs w:val="21"/>
          <w:lang w:eastAsia="zh-CN"/>
        </w:rPr>
        <w:t>卫生保洁、公共秩序</w:t>
      </w:r>
      <w:r>
        <w:rPr>
          <w:rFonts w:hint="eastAsia" w:ascii="宋体" w:hAnsi="宋体"/>
          <w:kern w:val="0"/>
          <w:szCs w:val="21"/>
          <w:lang w:val="en-US" w:eastAsia="zh-CN"/>
        </w:rPr>
        <w:t>安全管理</w:t>
      </w:r>
      <w:r>
        <w:rPr>
          <w:rFonts w:hint="eastAsia" w:ascii="宋体" w:hAnsi="宋体"/>
          <w:kern w:val="0"/>
          <w:szCs w:val="21"/>
          <w:lang w:eastAsia="zh-CN"/>
        </w:rPr>
        <w:t>、设施维护维修等。</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（二）项目需求</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2.1</w:t>
      </w:r>
      <w:r>
        <w:rPr>
          <w:rFonts w:hint="eastAsia" w:ascii="宋体" w:hAnsi="宋体"/>
          <w:kern w:val="0"/>
          <w:szCs w:val="21"/>
          <w:lang w:val="en-US" w:eastAsia="zh-CN"/>
        </w:rPr>
        <w:t xml:space="preserve">  综合管理</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（1）物业管理服务企业应具有从事物业管理服务的相应资质；</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（2）设置相适应的办公楼物业管理服务机构，物业管理服务制度完善，配备管理服务人员和服务设施，项目部应建立24小时值班制度；</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（3）有完善的物业管理服务档案制度；项目总负责人应有三年以上的相关管理经验，主要管理人员应取得物业管理服务从业资格证书或岗位证书；</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（4）工程技术人员必须具有相关专业的上岗证书，持证上岗；</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（5）管理服务人员应按规定统一着装，行为言行规范，服务主动。</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 xml:space="preserve">2.2 </w:t>
      </w:r>
      <w:r>
        <w:rPr>
          <w:rFonts w:hint="eastAsia" w:ascii="宋体" w:hAnsi="宋体"/>
          <w:kern w:val="0"/>
          <w:szCs w:val="21"/>
          <w:lang w:val="en-US" w:eastAsia="zh-CN"/>
        </w:rPr>
        <w:t xml:space="preserve"> 房屋日常养护维修</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建立健全房屋档案，检查、督促办公楼物业使用人正确使用房屋，引导物业使用人遵守房屋安全 使用的规范、政策、法规；对房屋进行曰常管理和维修养护，检修记录和保养记录应齐全；根据房屋实际使用年限，定期检查房屋的使用状况；应根据房屋的结构类型、用途和使用年限、使用环境等情况,对房屋进行定期结构检查与沉降测试，检查中发现问题应及时修缮；避雷系统应每年按规定由专业机构进行检测。</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 xml:space="preserve">2.3 </w:t>
      </w:r>
      <w:r>
        <w:rPr>
          <w:rFonts w:hint="eastAsia" w:ascii="宋体" w:hAnsi="宋体"/>
          <w:kern w:val="0"/>
          <w:szCs w:val="21"/>
          <w:lang w:val="en-US" w:eastAsia="zh-CN"/>
        </w:rPr>
        <w:t>供电设施设备运行管理维护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1.按照国家规范对供用电系统进行严格管理。建立严</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格的变配送电运行制度、电气维护制度和配电管理制度等，确保供配电系统运行良好；</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2.供电运行和维护人员必须持证上岗，建立24小时值班制度；</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3.制定临时用电管理措施； 限电、停电应有明确的审批权限，按规定要求通知物业使用人；</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4.对突发事件有应急预案；按照规定的周期进行高压电气设备试验，留存并上报高压电气测试合格的报告；此标准包含高压设备年检费用。</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 </w:t>
      </w:r>
      <w:r>
        <w:rPr>
          <w:rFonts w:hint="eastAsia" w:ascii="宋体" w:hAnsi="宋体"/>
          <w:b/>
          <w:bCs/>
          <w:kern w:val="0"/>
          <w:szCs w:val="21"/>
          <w:lang w:val="en-US" w:eastAsia="zh-CN"/>
        </w:rPr>
        <w:t>2.4</w:t>
      </w:r>
      <w:r>
        <w:rPr>
          <w:rFonts w:hint="eastAsia" w:ascii="宋体" w:hAnsi="宋体"/>
          <w:kern w:val="0"/>
          <w:szCs w:val="21"/>
          <w:lang w:val="en-US" w:eastAsia="zh-CN"/>
        </w:rPr>
        <w:t>给排水设施设备运行管理维护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（1）建立相应的管理制度，制定应急预案；</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（2）应定期对给排水系统进行巡视养护；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（3）用户末端的水压及流量满足使用要求；</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（4）每年两次对二次供水水箱进行清洗，确保水质无污染并符合规定的要求：</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（5）定期对水泵、水质处理和消毒装置及设备控制 柜进行保养；</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（6）每季对楼宇排水系统进行检查，定期对排污泵启动检查，确保系统畅通，设备完好；如遇供水单位限水、停水，应按规定时间通知办公楼内物业使用人。</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2.5</w:t>
      </w:r>
      <w:r>
        <w:rPr>
          <w:rFonts w:hint="eastAsia" w:ascii="宋体" w:hAnsi="宋体"/>
          <w:kern w:val="0"/>
          <w:szCs w:val="21"/>
          <w:lang w:val="en-US" w:eastAsia="zh-CN"/>
        </w:rPr>
        <w:t>中央空调系统运行管理维护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对空调系统的维护保养应该按照规定的频次进行；</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定期对空调 系统主机、冷却塔、水泵、电器控 制箱、膨胀水箱等进行保养检修； </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保证空调主机及附属设施的正常运行和良好保养，提供符合要求的冷冻水；</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定期检查空调机组马达、风机的运转情况，记录运行参数；</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应考虑定期安排对空气品质的测定，定期安排对风管系统的清洗；此标准包含主机专业维保费用。</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2.6</w:t>
      </w:r>
      <w:r>
        <w:rPr>
          <w:rFonts w:hint="eastAsia" w:ascii="宋体" w:hAnsi="宋体"/>
          <w:kern w:val="0"/>
          <w:szCs w:val="21"/>
          <w:lang w:val="en-US" w:eastAsia="zh-CN"/>
        </w:rPr>
        <w:t>消防系统运行管理维护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应建立健全消防管理制度，建立消防责任制；</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消防值班人员必须持证上岗，消防监控24小时双人运行值班；</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办公楼内应设置消防设施，保持消防通道畅通，办公楼明显位置设有消防设施平面示意图； </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定期对消防设备设施进行巡视、检查和维护，保持其完整、完好，能正常使用；</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消防管网压力应在规定范围内；检查记录详细；如发现消防器材有异常情况，应及时予以调换或维修；</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定期进行消防宣传和消防演习，对易燃易爆品设专人专区管理；此标准包含设备专业维保费用。</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   </w:t>
      </w:r>
      <w:r>
        <w:rPr>
          <w:rFonts w:hint="eastAsia" w:ascii="宋体" w:hAnsi="宋体"/>
          <w:b/>
          <w:bCs/>
          <w:kern w:val="0"/>
          <w:szCs w:val="21"/>
          <w:lang w:val="en-US" w:eastAsia="zh-CN"/>
        </w:rPr>
        <w:t>2.7</w:t>
      </w:r>
      <w:r>
        <w:rPr>
          <w:rFonts w:hint="eastAsia" w:ascii="宋体" w:hAnsi="宋体"/>
          <w:kern w:val="0"/>
          <w:szCs w:val="21"/>
          <w:lang w:val="en-US" w:eastAsia="zh-CN"/>
        </w:rPr>
        <w:t>安防报警监控系统运行管理维护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（1）建立相应管理巡捡制度，定期对安防报警监控系统进行巡视、检查和维护；安防报警监控24小时值班；</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（2）保障中央监控系统，巡更系统，周界报警系统，门禁系统等工作正常；此标准包含设备专业维保费用。</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  </w:t>
      </w:r>
      <w:r>
        <w:rPr>
          <w:rFonts w:hint="eastAsia" w:ascii="宋体" w:hAnsi="宋体"/>
          <w:b/>
          <w:bCs/>
          <w:kern w:val="0"/>
          <w:szCs w:val="21"/>
          <w:lang w:val="en-US" w:eastAsia="zh-CN"/>
        </w:rPr>
        <w:t xml:space="preserve"> 2.8</w:t>
      </w:r>
      <w:r>
        <w:rPr>
          <w:rFonts w:hint="eastAsia" w:ascii="宋体" w:hAnsi="宋体"/>
          <w:kern w:val="0"/>
          <w:szCs w:val="21"/>
          <w:lang w:val="en-US" w:eastAsia="zh-CN"/>
        </w:rPr>
        <w:t>秩序维护与安全管理服务</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（1）实行24小时安全管理，人防、机防相结合，监控、巡视、值班相结合，确保无失职现象。</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（2）保安着装应规范统一，各季服装不得混穿，春秋冬季外着长袖保安制式服装，夏季外着短袖保安制式服装，佩戴“xx物业”标识胸牌。上岗期间着装整齐，保持通讯设备畅通。</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（3）明确巡视工作职责，规范巡视工作流程，制定相对 固定的巡视路线。</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（4）根据办公楼的情况设置行车指示标志，规定车辆行驶路线，指定车辆停放区域。</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（5）保安人员应对进出办公楼的各类车辆 进行管理，维护交通秩序，保证车辆便于通行、易于停放；停车场应杜绝漏岗、脱岗、睡岗等现象发生，实行24小时有专人管理。</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（6）对外来人员实行出入登记管理；制定物业突发公共事件的应急预案。</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（7）值班期间禁止饮酒、打牌、下棋等与工作无关行为。</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2.9</w:t>
      </w:r>
      <w:r>
        <w:rPr>
          <w:rFonts w:hint="eastAsia" w:ascii="宋体" w:hAnsi="宋体"/>
          <w:kern w:val="0"/>
          <w:szCs w:val="21"/>
          <w:lang w:val="en-US" w:eastAsia="zh-CN"/>
        </w:rPr>
        <w:t>环境卫生保洁服务</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（1）应建立健全环境卫生管理制度并认真落实，环卫设施设置合理完备，垃圾日清。</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（2）保持办公楼地面、镜面和墙面以及走廊、楼梯扶手、屋顶、公共卫生间、服务性能性用房、地下车库等不同部位清洁。</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（3）各类清洁设施设备配备齐全，并有专人管理，各类管理制度完善。</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（4）保持公共区域整洁、无异味，使用环保的清洁材料，做好卫生虫害的防治工作。</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2.10</w:t>
      </w:r>
      <w:r>
        <w:rPr>
          <w:rFonts w:hint="eastAsia" w:ascii="宋体" w:hAnsi="宋体"/>
          <w:kern w:val="0"/>
          <w:szCs w:val="21"/>
          <w:lang w:val="en-US" w:eastAsia="zh-CN"/>
        </w:rPr>
        <w:t>电梯运行维护</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物业服务企业应配备管理人员每天对电梯进行巡视检查，做好 电梯日常运行的巡检记录；</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保障办公楼电梯24小时运行，电梯运行平稳，乘座舒适，电梯准确启动运行，停层准确；</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轿厢内、外按钮、灯具等配件保持完好，轿厢整洁； </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电梯应经有资质的检测机构检验合格，应由专业资质维修保养单位进行定期保养，每年进行安全检测 并持有有效的《安全使用许可证》， 在有效期内安全运行；发生故障及时抢修处理；制定电梯应急预案。</w:t>
      </w:r>
    </w:p>
    <w:p>
      <w:pPr>
        <w:spacing w:line="360" w:lineRule="auto"/>
        <w:ind w:firstLine="422" w:firstLineChars="200"/>
        <w:rPr>
          <w:rFonts w:hint="eastAsia" w:ascii="宋体" w:hAnsi="宋体"/>
          <w:kern w:val="0"/>
          <w:szCs w:val="21"/>
          <w:lang w:val="en-US" w:eastAsia="zh-CN"/>
        </w:rPr>
      </w:pPr>
      <w:r>
        <w:rPr>
          <w:rFonts w:hint="eastAsia" w:ascii="宋体" w:hAnsi="宋体"/>
          <w:b/>
          <w:bCs/>
          <w:kern w:val="0"/>
          <w:szCs w:val="21"/>
          <w:lang w:val="en-US" w:eastAsia="zh-CN"/>
        </w:rPr>
        <w:t>2.11</w:t>
      </w:r>
      <w:r>
        <w:rPr>
          <w:rFonts w:hint="eastAsia" w:ascii="宋体" w:hAnsi="宋体"/>
          <w:kern w:val="0"/>
          <w:szCs w:val="21"/>
          <w:lang w:val="en-US" w:eastAsia="zh-CN"/>
        </w:rPr>
        <w:t>绿化养护服务</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有专业人员进行绿化管理，各类管理制度健全，物业管理区域内的草坪生长良好，花卉、绿篱、树木根据其品种和生长情况，及时修剪整形；做好病虫害的防治工作。</w:t>
      </w:r>
    </w:p>
    <w:p>
      <w:pPr>
        <w:spacing w:line="360" w:lineRule="auto"/>
        <w:ind w:firstLine="422" w:firstLineChars="200"/>
        <w:rPr>
          <w:rFonts w:hint="eastAsia"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b/>
          <w:kern w:val="0"/>
          <w:szCs w:val="21"/>
          <w:lang w:val="en-US" w:eastAsia="zh-CN"/>
        </w:rPr>
        <w:t>2.12</w:t>
      </w:r>
    </w:p>
    <w:p>
      <w:pPr>
        <w:spacing w:line="360" w:lineRule="auto"/>
        <w:ind w:firstLine="422" w:firstLineChars="200"/>
        <w:rPr>
          <w:rFonts w:hint="eastAsia" w:ascii="黑体" w:hAnsi="宋体" w:cs="宋体"/>
          <w:b/>
          <w:kern w:val="0"/>
          <w:szCs w:val="21"/>
          <w:lang w:val="en-US" w:eastAsia="zh-CN"/>
        </w:rPr>
      </w:pPr>
      <w:r>
        <w:rPr>
          <w:rFonts w:hint="eastAsia" w:ascii="黑体" w:hAnsi="宋体" w:cs="宋体"/>
          <w:b/>
          <w:kern w:val="0"/>
          <w:szCs w:val="21"/>
          <w:lang w:val="en-US" w:eastAsia="zh-CN"/>
        </w:rPr>
        <w:t>本采购清单中所列技术规格或主要参数为最低要求，不允许负偏离，否则将承担其投标被视为非实质性响应投标的风险。</w:t>
      </w:r>
    </w:p>
    <w:p>
      <w:pPr>
        <w:spacing w:line="360" w:lineRule="auto"/>
        <w:ind w:firstLine="422" w:firstLineChars="200"/>
        <w:rPr>
          <w:rFonts w:hint="eastAsia" w:ascii="黑体" w:hAnsi="宋体" w:cs="宋体"/>
          <w:b/>
          <w:kern w:val="0"/>
          <w:szCs w:val="21"/>
          <w:lang w:val="en-US" w:eastAsia="zh-CN"/>
        </w:rPr>
      </w:pPr>
      <w:r>
        <w:rPr>
          <w:rFonts w:hint="eastAsia" w:ascii="黑体" w:hAnsi="宋体" w:cs="宋体"/>
          <w:b/>
          <w:kern w:val="0"/>
          <w:szCs w:val="21"/>
          <w:lang w:val="en-US" w:eastAsia="zh-CN"/>
        </w:rPr>
        <w:t>三、服务标准、期限、效率等要求</w:t>
      </w:r>
    </w:p>
    <w:p>
      <w:pPr>
        <w:pStyle w:val="2"/>
        <w:ind w:left="420" w:leftChars="200" w:firstLine="0" w:firstLineChars="0"/>
        <w:rPr>
          <w:rFonts w:hint="eastAsia"/>
          <w:lang w:val="en-US" w:eastAsia="zh-CN"/>
        </w:rPr>
      </w:pPr>
      <w:r>
        <w:rPr>
          <w:rFonts w:hint="eastAsia"/>
          <w:lang w:val="en-US" w:eastAsia="zh-CN"/>
        </w:rPr>
        <w:t>1、服务期：1年。</w:t>
      </w:r>
    </w:p>
    <w:p>
      <w:pPr>
        <w:pStyle w:val="2"/>
        <w:ind w:left="420" w:leftChars="200" w:firstLine="0" w:firstLineChars="0"/>
        <w:rPr>
          <w:rFonts w:hint="eastAsia"/>
          <w:lang w:val="en-US" w:eastAsia="zh-CN"/>
        </w:rPr>
      </w:pPr>
      <w:r>
        <w:rPr>
          <w:rFonts w:hint="eastAsia"/>
          <w:lang w:val="en-US" w:eastAsia="zh-CN"/>
        </w:rPr>
        <w:t>2、投标人须提供完整可行的服务管理方案，否则为无效投标。</w:t>
      </w:r>
    </w:p>
    <w:p>
      <w:pPr>
        <w:pStyle w:val="2"/>
        <w:ind w:left="420" w:leftChars="200" w:firstLine="0" w:firstLineChars="0"/>
        <w:rPr>
          <w:rFonts w:hint="eastAsia"/>
          <w:lang w:val="en-US" w:eastAsia="zh-CN"/>
        </w:rPr>
      </w:pPr>
      <w:r>
        <w:rPr>
          <w:rFonts w:hint="eastAsia"/>
          <w:lang w:val="en-US" w:eastAsia="zh-CN"/>
        </w:rPr>
        <w:t>3、中标人自备管理服务等项目所需的物资装备。如：公共卫生、公共秩序、公共维修所需设施设备及日常办公用品。</w:t>
      </w:r>
    </w:p>
    <w:p>
      <w:pPr>
        <w:pStyle w:val="2"/>
        <w:ind w:left="420" w:leftChars="200" w:firstLine="0" w:firstLineChars="0"/>
        <w:rPr>
          <w:rFonts w:hint="eastAsia"/>
          <w:lang w:val="en-US" w:eastAsia="zh-CN"/>
        </w:rPr>
      </w:pPr>
      <w:r>
        <w:rPr>
          <w:rFonts w:hint="eastAsia"/>
          <w:lang w:val="en-US" w:eastAsia="zh-CN"/>
        </w:rPr>
        <w:t>4、中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pStyle w:val="2"/>
        <w:ind w:left="420" w:leftChars="200" w:firstLine="0" w:firstLineChars="0"/>
        <w:rPr>
          <w:rFonts w:hint="eastAsia"/>
          <w:lang w:val="en-US" w:eastAsia="zh-CN"/>
        </w:rPr>
      </w:pPr>
      <w:r>
        <w:rPr>
          <w:rFonts w:hint="eastAsia"/>
          <w:lang w:val="en-US" w:eastAsia="zh-CN"/>
        </w:rPr>
        <w:t>5、中标人须定期对管理服务人员进行岗位再培训。</w:t>
      </w:r>
    </w:p>
    <w:p>
      <w:pPr>
        <w:pStyle w:val="2"/>
        <w:ind w:left="420" w:leftChars="200" w:firstLine="0" w:firstLineChars="0"/>
        <w:rPr>
          <w:rFonts w:hint="eastAsia"/>
          <w:lang w:val="en-US" w:eastAsia="zh-CN"/>
        </w:rPr>
      </w:pPr>
      <w:r>
        <w:rPr>
          <w:rFonts w:hint="eastAsia"/>
          <w:lang w:val="en-US" w:eastAsia="zh-CN"/>
        </w:rPr>
        <w:t>6、管理期间保安、保洁等人员对于突发事件必须能够在第一时间进行现场处置。</w:t>
      </w:r>
    </w:p>
    <w:p>
      <w:pPr>
        <w:pStyle w:val="2"/>
        <w:ind w:left="420" w:leftChars="200" w:firstLine="0" w:firstLineChars="0"/>
        <w:rPr>
          <w:rFonts w:hint="eastAsia"/>
          <w:lang w:val="en-US" w:eastAsia="zh-CN"/>
        </w:rPr>
      </w:pPr>
      <w:r>
        <w:rPr>
          <w:rFonts w:hint="eastAsia"/>
          <w:lang w:val="en-US" w:eastAsia="zh-CN"/>
        </w:rPr>
        <w:t>7、本项目为交钥匙服务项目。（包括管理费、人员工资、保洁工器具、低值易耗品购置、税金等）</w:t>
      </w:r>
    </w:p>
    <w:p>
      <w:pPr>
        <w:pStyle w:val="2"/>
        <w:ind w:left="420" w:leftChars="200" w:firstLine="0" w:firstLineChars="0"/>
        <w:rPr>
          <w:rFonts w:hint="eastAsia"/>
          <w:lang w:val="en-US" w:eastAsia="zh-CN"/>
        </w:rPr>
      </w:pPr>
      <w:r>
        <w:rPr>
          <w:rFonts w:hint="eastAsia"/>
          <w:lang w:val="en-US" w:eastAsia="zh-CN"/>
        </w:rPr>
        <w:t xml:space="preserve">8、本项目所有运行管理维护项目所需维修零配件价格标准，均按（豫财行〔2015〕214号）文件规定的标准执行。  </w:t>
      </w:r>
    </w:p>
    <w:p>
      <w:pPr>
        <w:pStyle w:val="2"/>
        <w:ind w:left="420" w:leftChars="200" w:firstLine="0" w:firstLineChars="0"/>
        <w:rPr>
          <w:rFonts w:hint="eastAsia"/>
          <w:lang w:val="en-US" w:eastAsia="zh-CN"/>
        </w:rPr>
      </w:pPr>
      <w:r>
        <w:rPr>
          <w:rFonts w:hint="eastAsia"/>
          <w:lang w:val="en-US" w:eastAsia="zh-CN"/>
        </w:rPr>
        <w:t>9、中标单位认真完成工作标准规定的作业项目，确保卫生质量，达到合同规定要求。</w:t>
      </w:r>
    </w:p>
    <w:p>
      <w:pPr>
        <w:pStyle w:val="2"/>
        <w:ind w:left="420" w:leftChars="200" w:firstLine="0" w:firstLineChars="0"/>
        <w:rPr>
          <w:rFonts w:hint="eastAsia"/>
          <w:lang w:val="en-US" w:eastAsia="zh-CN"/>
        </w:rPr>
      </w:pPr>
      <w:r>
        <w:rPr>
          <w:rFonts w:hint="eastAsia"/>
          <w:lang w:val="en-US" w:eastAsia="zh-CN"/>
        </w:rPr>
        <w:t>10、中标单位对该项目派员的劳务人员办理社会保险，数量应按服务要求，定人定岗。</w:t>
      </w:r>
    </w:p>
    <w:p>
      <w:pPr>
        <w:pStyle w:val="2"/>
        <w:ind w:left="420" w:leftChars="200" w:firstLine="0" w:firstLineChars="0"/>
        <w:rPr>
          <w:rFonts w:hint="eastAsia"/>
          <w:lang w:val="en-US" w:eastAsia="zh-CN"/>
        </w:rPr>
      </w:pPr>
      <w:r>
        <w:rPr>
          <w:rFonts w:hint="eastAsia"/>
          <w:lang w:val="en-US" w:eastAsia="zh-CN"/>
        </w:rPr>
        <w:t>11、中标单位员工在工作期间不得随意离开工作岗位，若中标单位主管责任人不在现场，中标单位临时负责人应接受采购单位主管负责人的监督指导，并按采购单位的工作标准进行检查。</w:t>
      </w:r>
    </w:p>
    <w:p>
      <w:pPr>
        <w:pStyle w:val="2"/>
        <w:ind w:left="420" w:leftChars="200" w:firstLine="0" w:firstLineChars="0"/>
        <w:rPr>
          <w:rFonts w:hint="eastAsia"/>
          <w:lang w:val="en-US" w:eastAsia="zh-CN"/>
        </w:rPr>
      </w:pPr>
      <w:r>
        <w:rPr>
          <w:rFonts w:hint="eastAsia"/>
          <w:lang w:val="en-US" w:eastAsia="zh-CN"/>
        </w:rPr>
        <w:t>12、中标单位派出一名项目负责人工作质量检查和紧急情况的处理，及时应对水、电出现的突发事件，及时采取有效措施并报告，因处置不当、不及时造成的严重后果的，中标单位应承担责任。</w:t>
      </w:r>
    </w:p>
    <w:p>
      <w:pPr>
        <w:pStyle w:val="2"/>
        <w:ind w:left="420" w:leftChars="200" w:firstLine="0" w:firstLineChars="0"/>
        <w:rPr>
          <w:rFonts w:hint="eastAsia"/>
          <w:lang w:val="en-US" w:eastAsia="zh-CN"/>
        </w:rPr>
      </w:pPr>
      <w:r>
        <w:rPr>
          <w:rFonts w:hint="eastAsia"/>
          <w:lang w:val="en-US" w:eastAsia="zh-CN"/>
        </w:rPr>
        <w:t>13、中标单位在作业中应严格要求工作人员，做好各种防护措施，不得擅自挪用采购单位的物品，中标单位应加强管理，安全工作。</w:t>
      </w:r>
    </w:p>
    <w:p>
      <w:pPr>
        <w:pStyle w:val="2"/>
        <w:ind w:left="420" w:leftChars="200" w:firstLine="0" w:firstLineChars="0"/>
        <w:rPr>
          <w:rFonts w:hint="eastAsia"/>
          <w:lang w:val="en-US" w:eastAsia="zh-CN"/>
        </w:rPr>
      </w:pPr>
      <w:r>
        <w:rPr>
          <w:rFonts w:hint="eastAsia"/>
          <w:lang w:val="en-US" w:eastAsia="zh-CN"/>
        </w:rPr>
        <w:t>14、中标单位与招标方自签订合同之日起，中标方全权承担禹州市创业大厦安全责任并签订安全责任书，在作业中应严格要求工作人员，做好各种防护措施，严防安全事故。</w:t>
      </w:r>
    </w:p>
    <w:p>
      <w:pPr>
        <w:spacing w:line="360" w:lineRule="auto"/>
        <w:ind w:firstLine="422" w:firstLineChars="200"/>
        <w:rPr>
          <w:rFonts w:hint="eastAsia" w:ascii="黑体" w:hAnsi="宋体" w:cs="宋体"/>
          <w:b/>
          <w:kern w:val="0"/>
          <w:szCs w:val="21"/>
          <w:lang w:val="en-US" w:eastAsia="zh-CN"/>
        </w:rPr>
      </w:pPr>
      <w:r>
        <w:rPr>
          <w:rFonts w:hint="eastAsia" w:ascii="黑体" w:hAnsi="宋体" w:cs="宋体"/>
          <w:b/>
          <w:kern w:val="0"/>
          <w:szCs w:val="21"/>
          <w:lang w:val="en-US" w:eastAsia="zh-CN"/>
        </w:rPr>
        <w:t>四、验收标准</w:t>
      </w:r>
    </w:p>
    <w:p>
      <w:pPr>
        <w:pStyle w:val="2"/>
        <w:ind w:left="420" w:leftChars="200" w:firstLine="0" w:firstLineChars="0"/>
        <w:rPr>
          <w:rFonts w:hint="eastAsia"/>
          <w:lang w:val="en-US" w:eastAsia="zh-CN"/>
        </w:rPr>
      </w:pPr>
      <w:r>
        <w:rPr>
          <w:rFonts w:hint="eastAsia"/>
          <w:lang w:val="en-US" w:eastAsia="zh-CN"/>
        </w:rPr>
        <w:t xml:space="preserve">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pStyle w:val="2"/>
        <w:numPr>
          <w:ilvl w:val="0"/>
          <w:numId w:val="0"/>
        </w:numPr>
        <w:ind w:firstLine="420" w:firstLineChars="200"/>
        <w:rPr>
          <w:rFonts w:hint="eastAsia"/>
          <w:lang w:val="en-US" w:eastAsia="zh-CN"/>
        </w:rPr>
      </w:pPr>
      <w:r>
        <w:rPr>
          <w:rFonts w:hint="eastAsia"/>
          <w:lang w:val="en-US" w:eastAsia="zh-CN"/>
        </w:rPr>
        <w:t>1、按照国家相关标准、行业标准、地方标准或者其他标准、规范验收</w:t>
      </w:r>
    </w:p>
    <w:p>
      <w:pPr>
        <w:pStyle w:val="2"/>
        <w:numPr>
          <w:ilvl w:val="0"/>
          <w:numId w:val="0"/>
        </w:numPr>
        <w:ind w:firstLine="420" w:firstLineChars="200"/>
        <w:rPr>
          <w:rFonts w:hint="eastAsia"/>
          <w:lang w:val="en-US" w:eastAsia="zh-CN"/>
        </w:rPr>
      </w:pPr>
      <w:r>
        <w:rPr>
          <w:rFonts w:hint="eastAsia"/>
          <w:lang w:val="en-US" w:eastAsia="zh-CN"/>
        </w:rPr>
        <w:t>2、按照招标文件要求、投标文件响应和承诺验收</w:t>
      </w:r>
    </w:p>
    <w:p>
      <w:pPr>
        <w:pStyle w:val="2"/>
        <w:numPr>
          <w:ilvl w:val="0"/>
          <w:numId w:val="0"/>
        </w:numPr>
        <w:ind w:firstLine="422" w:firstLineChars="200"/>
        <w:rPr>
          <w:rFonts w:hint="eastAsia" w:ascii="黑体" w:hAnsi="宋体" w:cs="宋体" w:eastAsiaTheme="minorEastAsia"/>
          <w:b/>
          <w:kern w:val="0"/>
          <w:sz w:val="21"/>
          <w:szCs w:val="21"/>
          <w:lang w:val="en-US" w:eastAsia="zh-CN" w:bidi="ar-SA"/>
        </w:rPr>
      </w:pPr>
      <w:r>
        <w:rPr>
          <w:rFonts w:hint="eastAsia" w:ascii="黑体" w:hAnsi="宋体" w:cs="宋体" w:eastAsiaTheme="minorEastAsia"/>
          <w:b/>
          <w:kern w:val="0"/>
          <w:sz w:val="21"/>
          <w:szCs w:val="21"/>
          <w:lang w:val="en-US" w:eastAsia="zh-CN" w:bidi="ar-SA"/>
        </w:rPr>
        <w:t>五、交付（服务、完工）时间</w:t>
      </w:r>
    </w:p>
    <w:p>
      <w:pPr>
        <w:pStyle w:val="2"/>
        <w:numPr>
          <w:ilvl w:val="0"/>
          <w:numId w:val="0"/>
        </w:numPr>
        <w:ind w:firstLine="420" w:firstLineChars="200"/>
        <w:rPr>
          <w:rFonts w:hint="eastAsia"/>
          <w:lang w:val="en-US" w:eastAsia="zh-CN"/>
        </w:rPr>
      </w:pPr>
      <w:r>
        <w:rPr>
          <w:rFonts w:hint="eastAsia"/>
          <w:lang w:val="en-US" w:eastAsia="zh-CN"/>
        </w:rPr>
        <w:t>以签订合同为准</w:t>
      </w:r>
    </w:p>
    <w:p>
      <w:pPr>
        <w:pStyle w:val="2"/>
        <w:numPr>
          <w:ilvl w:val="0"/>
          <w:numId w:val="0"/>
        </w:numPr>
        <w:ind w:firstLine="422" w:firstLineChars="200"/>
        <w:rPr>
          <w:rFonts w:hint="eastAsia" w:ascii="黑体" w:hAnsi="宋体" w:cs="宋体" w:eastAsiaTheme="minorEastAsia"/>
          <w:b/>
          <w:kern w:val="0"/>
          <w:sz w:val="21"/>
          <w:szCs w:val="21"/>
          <w:lang w:val="en-US" w:eastAsia="zh-CN" w:bidi="ar-SA"/>
        </w:rPr>
      </w:pPr>
      <w:r>
        <w:rPr>
          <w:rFonts w:hint="eastAsia" w:ascii="黑体" w:hAnsi="宋体" w:cs="宋体"/>
          <w:b/>
          <w:kern w:val="0"/>
          <w:sz w:val="21"/>
          <w:szCs w:val="21"/>
          <w:lang w:val="en-US" w:eastAsia="zh-CN" w:bidi="ar-SA"/>
        </w:rPr>
        <w:t>六、</w:t>
      </w:r>
      <w:r>
        <w:rPr>
          <w:rFonts w:hint="eastAsia" w:ascii="黑体" w:hAnsi="宋体" w:cs="宋体" w:eastAsiaTheme="minorEastAsia"/>
          <w:b/>
          <w:kern w:val="0"/>
          <w:sz w:val="21"/>
          <w:szCs w:val="21"/>
          <w:lang w:val="en-US" w:eastAsia="zh-CN" w:bidi="ar-SA"/>
        </w:rPr>
        <w:t>付款方式</w:t>
      </w:r>
    </w:p>
    <w:p>
      <w:pPr>
        <w:pStyle w:val="2"/>
        <w:numPr>
          <w:numId w:val="0"/>
        </w:numPr>
        <w:rPr>
          <w:rFonts w:hint="eastAsia"/>
          <w:lang w:val="en-US" w:eastAsia="zh-CN"/>
        </w:rPr>
      </w:pPr>
      <w:r>
        <w:rPr>
          <w:rFonts w:hint="eastAsia"/>
          <w:lang w:val="en-US" w:eastAsia="zh-CN"/>
        </w:rPr>
        <w:t xml:space="preserve">    以签订合同为准</w:t>
      </w:r>
    </w:p>
    <w:p>
      <w:pPr>
        <w:spacing w:line="360" w:lineRule="auto"/>
        <w:ind w:firstLine="422" w:firstLineChars="200"/>
        <w:rPr>
          <w:rFonts w:hint="eastAsia" w:ascii="黑体" w:hAnsi="宋体" w:cs="宋体"/>
          <w:b/>
          <w:kern w:val="0"/>
          <w:szCs w:val="21"/>
          <w:lang w:val="zh-CN" w:eastAsia="zh-CN"/>
        </w:rPr>
      </w:pPr>
      <w:r>
        <w:rPr>
          <w:rFonts w:hint="eastAsia" w:ascii="黑体" w:hAnsi="宋体" w:cs="宋体"/>
          <w:b/>
          <w:kern w:val="0"/>
          <w:szCs w:val="21"/>
          <w:lang w:val="en-US" w:eastAsia="zh-CN"/>
        </w:rPr>
        <w:t>七</w:t>
      </w:r>
      <w:r>
        <w:rPr>
          <w:rFonts w:hint="eastAsia" w:ascii="黑体" w:hAnsi="宋体" w:cs="宋体"/>
          <w:b/>
          <w:kern w:val="0"/>
          <w:szCs w:val="21"/>
          <w:lang w:val="zh-CN" w:eastAsia="zh-CN"/>
        </w:rPr>
        <w:t>、其他要求</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1</w:t>
      </w:r>
      <w:r>
        <w:rPr>
          <w:rFonts w:hint="eastAsia" w:ascii="宋体" w:hAnsi="宋体"/>
          <w:kern w:val="0"/>
          <w:szCs w:val="21"/>
          <w:lang w:val="zh-CN"/>
        </w:rPr>
        <w:t>、投标人应就该项目完整投标，否则为无效投标。</w:t>
      </w:r>
    </w:p>
    <w:p>
      <w:pPr>
        <w:spacing w:line="360" w:lineRule="auto"/>
        <w:ind w:firstLine="420" w:firstLineChars="200"/>
        <w:rPr>
          <w:rFonts w:hint="eastAsia" w:cs="宋体" w:asciiTheme="majorEastAsia" w:hAnsiTheme="majorEastAsia" w:eastAsiaTheme="majorEastAsia"/>
          <w:b/>
          <w:kern w:val="0"/>
          <w:sz w:val="36"/>
          <w:szCs w:val="36"/>
          <w:lang w:val="en-US" w:eastAsia="zh-CN"/>
        </w:rPr>
      </w:pPr>
      <w:r>
        <w:rPr>
          <w:rFonts w:hint="eastAsia" w:ascii="宋体" w:hAnsi="宋体"/>
          <w:kern w:val="0"/>
          <w:szCs w:val="21"/>
          <w:lang w:val="en-US" w:eastAsia="zh-CN"/>
        </w:rPr>
        <w:t>2</w:t>
      </w:r>
      <w:r>
        <w:rPr>
          <w:rFonts w:hint="eastAsia" w:ascii="宋体" w:hAnsi="宋体"/>
          <w:kern w:val="0"/>
          <w:szCs w:val="21"/>
          <w:lang w:val="zh-CN"/>
        </w:rPr>
        <w:t>、投标文件中须有详细的实施（技术）方案，否则为无效投标。</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禹州市创业大厦物业费项目</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G2019001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物业管理服务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禹州市环境保护局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禹州市创业大厦</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朱先生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0374-6066399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97.91万元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lang w:val="en-US" w:eastAsia="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壹万元（</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r>
              <w:rPr>
                <w:rFonts w:hint="eastAsia" w:cs="仿宋_GB2312" w:asciiTheme="minorEastAsia" w:hAnsiTheme="minorEastAsia"/>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5"/>
        <w:tblW w:w="8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分值构成</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82" w:firstLineChars="20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价格分值：</w:t>
            </w:r>
            <w:r>
              <w:rPr>
                <w:rFonts w:hint="eastAsia" w:ascii="仿宋" w:hAnsi="仿宋" w:eastAsia="仿宋" w:cs="仿宋"/>
                <w:b/>
                <w:bCs/>
                <w:sz w:val="24"/>
                <w:szCs w:val="24"/>
                <w:shd w:val="clear" w:color="auto" w:fill="FFFFFF"/>
                <w:lang w:val="en-US" w:eastAsia="zh-CN"/>
              </w:rPr>
              <w:t>30</w:t>
            </w:r>
            <w:r>
              <w:rPr>
                <w:rFonts w:hint="eastAsia" w:ascii="仿宋" w:hAnsi="仿宋" w:eastAsia="仿宋" w:cs="仿宋"/>
                <w:b/>
                <w:bCs/>
                <w:sz w:val="24"/>
                <w:szCs w:val="24"/>
                <w:shd w:val="clear" w:color="auto" w:fill="FFFFFF"/>
              </w:rPr>
              <w:t>分</w:t>
            </w:r>
          </w:p>
          <w:p>
            <w:pPr>
              <w:autoSpaceDE w:val="0"/>
              <w:autoSpaceDN w:val="0"/>
              <w:adjustRightInd w:val="0"/>
              <w:spacing w:line="480" w:lineRule="exact"/>
              <w:ind w:firstLine="482" w:firstLineChars="20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商务部分：</w:t>
            </w:r>
            <w:r>
              <w:rPr>
                <w:rFonts w:hint="eastAsia" w:ascii="仿宋" w:hAnsi="仿宋" w:eastAsia="仿宋" w:cs="仿宋"/>
                <w:b/>
                <w:bCs/>
                <w:sz w:val="24"/>
                <w:szCs w:val="24"/>
                <w:shd w:val="clear" w:color="auto" w:fill="FFFFFF"/>
                <w:lang w:val="en-US" w:eastAsia="zh-CN"/>
              </w:rPr>
              <w:t>26</w:t>
            </w:r>
            <w:r>
              <w:rPr>
                <w:rFonts w:hint="eastAsia" w:ascii="仿宋" w:hAnsi="仿宋" w:eastAsia="仿宋" w:cs="仿宋"/>
                <w:b/>
                <w:bCs/>
                <w:sz w:val="24"/>
                <w:szCs w:val="24"/>
                <w:shd w:val="clear" w:color="auto" w:fill="FFFFFF"/>
              </w:rPr>
              <w:t>分</w:t>
            </w:r>
          </w:p>
          <w:p>
            <w:pPr>
              <w:autoSpaceDE w:val="0"/>
              <w:autoSpaceDN w:val="0"/>
              <w:adjustRightInd w:val="0"/>
              <w:spacing w:line="480" w:lineRule="exact"/>
              <w:ind w:firstLine="482" w:firstLineChars="200"/>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技术部分：</w:t>
            </w:r>
            <w:r>
              <w:rPr>
                <w:rFonts w:hint="eastAsia" w:ascii="仿宋" w:hAnsi="仿宋" w:eastAsia="仿宋" w:cs="仿宋"/>
                <w:b/>
                <w:bCs/>
                <w:sz w:val="24"/>
                <w:szCs w:val="24"/>
                <w:shd w:val="clear" w:color="auto" w:fill="FFFFFF"/>
                <w:lang w:val="en-US" w:eastAsia="zh-CN"/>
              </w:rPr>
              <w:t>44</w:t>
            </w:r>
            <w:r>
              <w:rPr>
                <w:rFonts w:hint="eastAsia" w:ascii="仿宋" w:hAnsi="仿宋" w:eastAsia="仿宋" w:cs="仿宋"/>
                <w:b/>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2" w:firstLineChars="200"/>
              <w:jc w:val="center"/>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 xml:space="preserve">价格部分（满分 </w:t>
            </w:r>
            <w:r>
              <w:rPr>
                <w:rFonts w:hint="eastAsia" w:ascii="仿宋" w:hAnsi="仿宋" w:eastAsia="仿宋" w:cs="仿宋"/>
                <w:b/>
                <w:bCs/>
                <w:sz w:val="24"/>
                <w:szCs w:val="24"/>
                <w:shd w:val="clear" w:color="auto" w:fill="FFFFFF"/>
                <w:lang w:val="en-US" w:eastAsia="zh-CN"/>
              </w:rPr>
              <w:t>30</w:t>
            </w:r>
            <w:r>
              <w:rPr>
                <w:rFonts w:hint="eastAsia" w:ascii="仿宋" w:hAnsi="仿宋" w:eastAsia="仿宋" w:cs="仿宋"/>
                <w:b/>
                <w:bCs/>
                <w:sz w:val="24"/>
                <w:szCs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82" w:firstLineChars="20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投标报价</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评标基准价</w:t>
            </w:r>
            <w:r>
              <w:rPr>
                <w:rFonts w:hint="eastAsia" w:ascii="仿宋" w:hAnsi="仿宋" w:eastAsia="仿宋" w:cs="仿宋"/>
                <w:sz w:val="24"/>
                <w:szCs w:val="24"/>
                <w:shd w:val="clear" w:color="auto" w:fill="FFFFFF"/>
              </w:rPr>
              <w:t>：满足招标文件要求的有效投标报价中，最低的投标报价为评标基准价。</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投标报价得分=（评标基准价/投标报价）× </w:t>
            </w:r>
            <w:r>
              <w:rPr>
                <w:rFonts w:hint="eastAsia" w:ascii="仿宋" w:hAnsi="仿宋" w:eastAsia="仿宋" w:cs="仿宋"/>
                <w:sz w:val="24"/>
                <w:szCs w:val="24"/>
                <w:shd w:val="clear" w:color="auto" w:fill="FFFFFF"/>
                <w:lang w:val="en-US" w:eastAsia="zh-CN"/>
              </w:rPr>
              <w:t>30</w:t>
            </w:r>
            <w:r>
              <w:rPr>
                <w:rFonts w:hint="eastAsia" w:ascii="仿宋" w:hAnsi="仿宋" w:eastAsia="仿宋" w:cs="仿宋"/>
                <w:sz w:val="24"/>
                <w:szCs w:val="24"/>
                <w:shd w:val="clear" w:color="auto" w:fill="FFFFFF"/>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3373" w:firstLineChars="1400"/>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 xml:space="preserve">商务部分（满分 </w:t>
            </w:r>
            <w:r>
              <w:rPr>
                <w:rFonts w:hint="eastAsia" w:ascii="仿宋" w:hAnsi="仿宋" w:eastAsia="仿宋" w:cs="仿宋"/>
                <w:b/>
                <w:bCs/>
                <w:sz w:val="24"/>
                <w:szCs w:val="24"/>
                <w:shd w:val="clear" w:color="auto" w:fill="FFFFFF"/>
                <w:lang w:val="en-US" w:eastAsia="zh-CN"/>
              </w:rPr>
              <w:t>26</w:t>
            </w:r>
            <w:r>
              <w:rPr>
                <w:rFonts w:hint="eastAsia" w:ascii="仿宋" w:hAnsi="仿宋" w:eastAsia="仿宋" w:cs="仿宋"/>
                <w:b/>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82" w:firstLineChars="20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rPr>
              <w:t>投标人自2015年</w:t>
            </w:r>
            <w:r>
              <w:rPr>
                <w:rFonts w:hint="eastAsia" w:ascii="仿宋" w:hAnsi="仿宋" w:eastAsia="仿宋" w:cs="仿宋"/>
                <w:sz w:val="24"/>
                <w:szCs w:val="24"/>
                <w:shd w:val="clear" w:color="auto" w:fill="FFFFFF"/>
                <w:lang w:val="en-US" w:eastAsia="zh-CN"/>
              </w:rPr>
              <w:t>1月1日</w:t>
            </w:r>
            <w:r>
              <w:rPr>
                <w:rFonts w:hint="eastAsia" w:ascii="仿宋" w:hAnsi="仿宋" w:eastAsia="仿宋" w:cs="仿宋"/>
                <w:sz w:val="24"/>
                <w:szCs w:val="24"/>
                <w:shd w:val="clear" w:color="auto" w:fill="FFFFFF"/>
              </w:rPr>
              <w:t>以来，</w:t>
            </w:r>
            <w:r>
              <w:rPr>
                <w:rFonts w:hint="eastAsia" w:ascii="仿宋" w:hAnsi="仿宋" w:eastAsia="仿宋" w:cs="仿宋"/>
                <w:sz w:val="24"/>
                <w:szCs w:val="24"/>
                <w:shd w:val="clear" w:color="auto" w:fill="FFFFFF"/>
                <w:lang w:eastAsia="zh-CN"/>
              </w:rPr>
              <w:t>类似</w:t>
            </w:r>
            <w:r>
              <w:rPr>
                <w:rFonts w:hint="eastAsia" w:ascii="仿宋" w:hAnsi="仿宋" w:eastAsia="仿宋" w:cs="仿宋"/>
                <w:sz w:val="24"/>
                <w:szCs w:val="24"/>
                <w:shd w:val="clear" w:color="auto" w:fill="FFFFFF"/>
              </w:rPr>
              <w:t>项目</w:t>
            </w:r>
            <w:r>
              <w:rPr>
                <w:rFonts w:hint="eastAsia" w:ascii="仿宋" w:hAnsi="仿宋" w:eastAsia="仿宋" w:cs="仿宋"/>
                <w:sz w:val="24"/>
                <w:szCs w:val="24"/>
                <w:shd w:val="clear" w:color="auto" w:fill="FFFFFF"/>
                <w:lang w:eastAsia="zh-CN"/>
              </w:rPr>
              <w:t>业绩</w:t>
            </w:r>
            <w:r>
              <w:rPr>
                <w:rFonts w:hint="eastAsia" w:ascii="仿宋" w:hAnsi="仿宋" w:eastAsia="仿宋" w:cs="仿宋"/>
                <w:sz w:val="24"/>
                <w:szCs w:val="24"/>
                <w:shd w:val="clear" w:color="auto" w:fill="FFFFFF"/>
              </w:rPr>
              <w:t>且合同金额在</w:t>
            </w:r>
            <w:r>
              <w:rPr>
                <w:rFonts w:hint="eastAsia" w:ascii="仿宋" w:hAnsi="仿宋" w:eastAsia="仿宋" w:cs="仿宋"/>
                <w:sz w:val="24"/>
                <w:szCs w:val="24"/>
                <w:shd w:val="clear" w:color="auto" w:fill="FFFFFF"/>
                <w:lang w:val="en-US" w:eastAsia="zh-CN"/>
              </w:rPr>
              <w:t>8</w:t>
            </w:r>
            <w:r>
              <w:rPr>
                <w:rFonts w:hint="eastAsia" w:ascii="仿宋" w:hAnsi="仿宋" w:eastAsia="仿宋" w:cs="仿宋"/>
                <w:sz w:val="24"/>
                <w:szCs w:val="24"/>
                <w:shd w:val="clear" w:color="auto" w:fill="FFFFFF"/>
              </w:rPr>
              <w:t>0万元以上每个得</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分</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rPr>
              <w:t>本项最高得分20分</w:t>
            </w:r>
            <w:r>
              <w:rPr>
                <w:rFonts w:hint="eastAsia" w:ascii="仿宋" w:hAnsi="仿宋" w:eastAsia="仿宋" w:cs="仿宋"/>
                <w:sz w:val="24"/>
                <w:szCs w:val="24"/>
                <w:shd w:val="clear" w:color="auto" w:fill="FFFFFF"/>
                <w:lang w:eastAsia="zh-CN"/>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left="210" w:hanging="240" w:hangingChars="100"/>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投标人提供质量管理体系认证得</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分、环境管理体系认证得</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分、职业健康安全管理体系认证得</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分。不提供不得分，满分</w:t>
            </w:r>
            <w:r>
              <w:rPr>
                <w:rFonts w:hint="eastAsia" w:ascii="仿宋" w:hAnsi="仿宋" w:eastAsia="仿宋" w:cs="仿宋"/>
                <w:sz w:val="24"/>
                <w:szCs w:val="24"/>
                <w:shd w:val="clear" w:color="auto" w:fill="FFFFFF"/>
                <w:lang w:val="en-US" w:eastAsia="zh-CN"/>
              </w:rPr>
              <w:t>6</w:t>
            </w:r>
            <w:r>
              <w:rPr>
                <w:rFonts w:hint="eastAsia" w:ascii="仿宋" w:hAnsi="仿宋" w:eastAsia="仿宋" w:cs="仿宋"/>
                <w:sz w:val="24"/>
                <w:szCs w:val="24"/>
                <w:shd w:val="clear" w:color="auto" w:fill="FFFFFF"/>
              </w:rPr>
              <w:t>分。</w:t>
            </w:r>
            <w:r>
              <w:rPr>
                <w:rFonts w:hint="eastAsia" w:ascii="仿宋" w:hAnsi="仿宋" w:eastAsia="仿宋" w:cs="仿宋"/>
                <w:sz w:val="24"/>
                <w:szCs w:val="24"/>
                <w:shd w:val="clear" w:color="auto" w:fill="FFFFFF"/>
                <w:lang w:val="en-US" w:eastAsia="zh-CN"/>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891" w:firstLineChars="120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技术部分（满分</w:t>
            </w:r>
            <w:r>
              <w:rPr>
                <w:rFonts w:hint="eastAsia" w:ascii="仿宋" w:hAnsi="仿宋" w:eastAsia="仿宋" w:cs="仿宋"/>
                <w:b/>
                <w:bCs/>
                <w:sz w:val="24"/>
                <w:szCs w:val="24"/>
                <w:shd w:val="clear" w:color="auto" w:fill="FFFFFF"/>
                <w:lang w:val="en-US" w:eastAsia="zh-CN"/>
              </w:rPr>
              <w:t>44</w:t>
            </w:r>
            <w:r>
              <w:rPr>
                <w:rFonts w:hint="eastAsia" w:ascii="仿宋" w:hAnsi="仿宋" w:eastAsia="仿宋" w:cs="仿宋"/>
                <w:b/>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82" w:firstLineChars="200"/>
              <w:jc w:val="cente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投标文件的规范程度</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投标文件编制规范</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rPr>
              <w:t>逻辑严紧、条理清楚、无文字错误的，得</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对招标文件的响应程度</w:t>
            </w:r>
          </w:p>
          <w:p>
            <w:pPr>
              <w:autoSpaceDE w:val="0"/>
              <w:autoSpaceDN w:val="0"/>
              <w:adjustRightInd w:val="0"/>
              <w:spacing w:line="480" w:lineRule="exact"/>
              <w:ind w:firstLine="480" w:firstLineChars="200"/>
              <w:rPr>
                <w:rFonts w:hint="eastAsia" w:ascii="仿宋" w:hAnsi="仿宋" w:eastAsia="仿宋" w:cs="仿宋"/>
                <w:sz w:val="24"/>
                <w:szCs w:val="24"/>
                <w:shd w:val="clear" w:color="auto" w:fill="FFFFFF"/>
              </w:rPr>
            </w:pP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全面满足项目管理需求。下列每具有一项得1分，共6分。</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1、提供</w:t>
            </w:r>
            <w:r>
              <w:rPr>
                <w:rFonts w:hint="eastAsia" w:ascii="仿宋" w:hAnsi="仿宋" w:eastAsia="仿宋" w:cs="仿宋"/>
                <w:sz w:val="24"/>
                <w:szCs w:val="24"/>
                <w:shd w:val="clear" w:color="auto" w:fill="FFFFFF"/>
                <w:lang w:val="en-US" w:eastAsia="zh-CN"/>
              </w:rPr>
              <w:t>大厦</w:t>
            </w:r>
            <w:r>
              <w:rPr>
                <w:rFonts w:hint="eastAsia" w:ascii="仿宋" w:hAnsi="仿宋" w:eastAsia="仿宋" w:cs="仿宋"/>
                <w:sz w:val="24"/>
                <w:szCs w:val="24"/>
                <w:shd w:val="clear" w:color="auto" w:fill="FFFFFF"/>
              </w:rPr>
              <w:t>管理文明规范、清洁安全、配套设施维修及时</w:t>
            </w:r>
            <w:r>
              <w:rPr>
                <w:rFonts w:hint="eastAsia" w:ascii="仿宋" w:hAnsi="仿宋" w:eastAsia="仿宋" w:cs="仿宋"/>
                <w:sz w:val="24"/>
                <w:szCs w:val="24"/>
                <w:shd w:val="clear" w:color="auto" w:fill="FFFFFF"/>
                <w:lang w:val="en-US" w:eastAsia="zh-CN"/>
              </w:rPr>
              <w:t>等</w:t>
            </w:r>
            <w:r>
              <w:rPr>
                <w:rFonts w:hint="eastAsia" w:ascii="仿宋" w:hAnsi="仿宋" w:eastAsia="仿宋" w:cs="仿宋"/>
                <w:sz w:val="24"/>
                <w:szCs w:val="24"/>
                <w:shd w:val="clear" w:color="auto" w:fill="FFFFFF"/>
              </w:rPr>
              <w:t>承诺书。</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2、提供按照招标文件要求</w:t>
            </w:r>
            <w:r>
              <w:rPr>
                <w:rFonts w:hint="eastAsia" w:ascii="仿宋" w:hAnsi="仿宋" w:eastAsia="仿宋" w:cs="仿宋"/>
                <w:sz w:val="24"/>
                <w:szCs w:val="24"/>
                <w:shd w:val="clear" w:color="auto" w:fill="FFFFFF"/>
                <w:lang w:val="en-US" w:eastAsia="zh-CN"/>
              </w:rPr>
              <w:t>合理</w:t>
            </w:r>
            <w:r>
              <w:rPr>
                <w:rFonts w:hint="eastAsia" w:ascii="仿宋" w:hAnsi="仿宋" w:eastAsia="仿宋" w:cs="仿宋"/>
                <w:sz w:val="24"/>
                <w:szCs w:val="24"/>
                <w:shd w:val="clear" w:color="auto" w:fill="FFFFFF"/>
              </w:rPr>
              <w:t>足额配齐工作人员，基本工资不得低于</w:t>
            </w:r>
            <w:r>
              <w:rPr>
                <w:rFonts w:hint="eastAsia" w:ascii="仿宋" w:hAnsi="仿宋" w:eastAsia="仿宋" w:cs="仿宋"/>
                <w:sz w:val="24"/>
                <w:szCs w:val="24"/>
                <w:shd w:val="clear" w:color="auto" w:fill="FFFFFF"/>
                <w:lang w:val="en-US" w:eastAsia="zh-CN"/>
              </w:rPr>
              <w:t>禹州</w:t>
            </w:r>
            <w:r>
              <w:rPr>
                <w:rFonts w:hint="eastAsia" w:ascii="仿宋" w:hAnsi="仿宋" w:eastAsia="仿宋" w:cs="仿宋"/>
                <w:sz w:val="24"/>
                <w:szCs w:val="24"/>
                <w:shd w:val="clear" w:color="auto" w:fill="FFFFFF"/>
              </w:rPr>
              <w:t>市最低工资标准，并为其缴纳社会保险，确保工作人员待遇的承诺书。</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3、提供定期对</w:t>
            </w:r>
            <w:r>
              <w:rPr>
                <w:rFonts w:hint="eastAsia" w:ascii="仿宋" w:hAnsi="仿宋" w:eastAsia="仿宋" w:cs="仿宋"/>
                <w:sz w:val="24"/>
                <w:szCs w:val="24"/>
                <w:shd w:val="clear" w:color="auto" w:fill="FFFFFF"/>
                <w:lang w:val="en-US" w:eastAsia="zh-CN"/>
              </w:rPr>
              <w:t>大厦</w:t>
            </w:r>
            <w:r>
              <w:rPr>
                <w:rFonts w:hint="eastAsia" w:ascii="仿宋" w:hAnsi="仿宋" w:eastAsia="仿宋" w:cs="仿宋"/>
                <w:sz w:val="24"/>
                <w:szCs w:val="24"/>
                <w:shd w:val="clear" w:color="auto" w:fill="FFFFFF"/>
              </w:rPr>
              <w:t>进行安全检查，并对聘用人员进行安全培训的承诺书。</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4、提供企业服务行为规范，服务质量优良，定期收集业主单位意见和建议的承诺书。</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5、提供</w:t>
            </w:r>
            <w:r>
              <w:rPr>
                <w:rFonts w:hint="eastAsia" w:ascii="仿宋" w:hAnsi="仿宋" w:eastAsia="仿宋" w:cs="仿宋"/>
                <w:sz w:val="24"/>
                <w:szCs w:val="24"/>
                <w:shd w:val="clear" w:color="auto" w:fill="FFFFFF"/>
                <w:lang w:val="en-US" w:eastAsia="zh-CN"/>
              </w:rPr>
              <w:t>大厦</w:t>
            </w:r>
            <w:r>
              <w:rPr>
                <w:rFonts w:hint="eastAsia" w:ascii="仿宋" w:hAnsi="仿宋" w:eastAsia="仿宋" w:cs="仿宋"/>
                <w:sz w:val="24"/>
                <w:szCs w:val="24"/>
                <w:shd w:val="clear" w:color="auto" w:fill="FFFFFF"/>
              </w:rPr>
              <w:t>动态管理符合实际情况并及时上报采购单位，服从采购单位管理、监督、验收考核，遵守各项管理制度的承诺书。</w:t>
            </w:r>
          </w:p>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6、提供投标人承担总承包责任，不得转包承诺书。</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物业管理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方案</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1、对该项目的描述及分析合理全面者得</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分，有提供的得1.5分，未提供的不得分。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2、人员配备和人员管理合理完善者得</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3、员工培训方案科学全面者得</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4、具体服务方案全面合理者得</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5、各类规章制度健全者得</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6、档案资料管理措施合理完善得3分，有提供的得1.5分，不提供的不得分。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7、服务流程全面合理者得3分，有提供的得1.5分，不提供的不得分。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8、应急情况处理预案合理全面者得4分；有提供的得2分，不提供的不得分。</w:t>
            </w:r>
          </w:p>
        </w:tc>
        <w:tc>
          <w:tcPr>
            <w:tcW w:w="967" w:type="dxa"/>
            <w:tcBorders>
              <w:top w:val="single" w:color="auto" w:sz="4" w:space="0"/>
              <w:left w:val="nil"/>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ind w:firstLine="240" w:firstLineChars="1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服务承诺</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针对投标人承诺并兑现以下事项的情况进行对比打分。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1、排忧解难内容合理全面得1分，提供者得0.5分，不提供不得分。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2、优惠条款情况合理全面得1分，提供者得0.5分，不提供不得分。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3、其他承诺合理全面得1分，提供者得0.5分，不提供不得分。</w:t>
            </w:r>
          </w:p>
        </w:tc>
        <w:tc>
          <w:tcPr>
            <w:tcW w:w="967" w:type="dxa"/>
            <w:tcBorders>
              <w:top w:val="single" w:color="auto" w:sz="4" w:space="0"/>
              <w:left w:val="nil"/>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bookmarkStart w:id="9" w:name="_GoBack"/>
      <w:bookmarkEnd w:id="9"/>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eastAsia="zh-CN"/>
        </w:rPr>
        <w:t>4.1</w:t>
      </w:r>
      <w:r>
        <w:rPr>
          <w:rFonts w:hint="eastAsia" w:cs="宋体" w:asciiTheme="minorEastAsia" w:hAnsiTheme="minorEastAsia"/>
          <w:b/>
          <w:bCs/>
          <w:sz w:val="36"/>
          <w:szCs w:val="36"/>
          <w:lang w:val="zh-CN"/>
        </w:rPr>
        <w:t>服务项目报价明</w:t>
      </w:r>
      <w:r>
        <w:rPr>
          <w:rFonts w:cs="宋体" w:asciiTheme="minorEastAsia" w:hAnsiTheme="minorEastAsia"/>
          <w:b/>
          <w:bCs/>
          <w:sz w:val="36"/>
          <w:szCs w:val="36"/>
          <w:lang w:val="zh-CN"/>
        </w:rPr>
        <w:t>细表</w:t>
      </w:r>
    </w:p>
    <w:p>
      <w:pPr>
        <w:pStyle w:val="2"/>
        <w:rPr>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5"/>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5"/>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jc w:val="both"/>
        <w:rPr>
          <w:rFonts w:hint="eastAsia"/>
          <w:color w:val="000000"/>
          <w:kern w:val="2"/>
        </w:rPr>
      </w:pPr>
      <w:r>
        <w:rPr>
          <w:rFonts w:hint="eastAsia" w:ascii="宋体" w:hAnsi="宋体" w:eastAsia="宋体" w:cs="Arial"/>
          <w:color w:val="000000"/>
          <w:kern w:val="2"/>
          <w:sz w:val="24"/>
          <w:szCs w:val="24"/>
          <w:lang w:val="en-US" w:eastAsia="zh-CN" w:bidi="ar-SA"/>
        </w:rPr>
        <w:t>3.证明材料请填写“见本投标文件第页，第行”字样。</w:t>
      </w: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8"/>
  </w:num>
  <w:num w:numId="4">
    <w:abstractNumId w:val="6"/>
  </w:num>
  <w:num w:numId="5">
    <w:abstractNumId w:val="9"/>
  </w:num>
  <w:num w:numId="6">
    <w:abstractNumId w:val="0"/>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5A91EF4"/>
    <w:rsid w:val="067E4927"/>
    <w:rsid w:val="085F4592"/>
    <w:rsid w:val="08E1109F"/>
    <w:rsid w:val="0C3D4298"/>
    <w:rsid w:val="0C9523A6"/>
    <w:rsid w:val="0CA67F00"/>
    <w:rsid w:val="116D26CD"/>
    <w:rsid w:val="11C23651"/>
    <w:rsid w:val="147D590A"/>
    <w:rsid w:val="189035FD"/>
    <w:rsid w:val="18D55096"/>
    <w:rsid w:val="1A08396D"/>
    <w:rsid w:val="1BF62ECD"/>
    <w:rsid w:val="1C2D1536"/>
    <w:rsid w:val="1CCF2F1D"/>
    <w:rsid w:val="1EC46823"/>
    <w:rsid w:val="1FE15514"/>
    <w:rsid w:val="2157706F"/>
    <w:rsid w:val="21DD4A96"/>
    <w:rsid w:val="235C42DD"/>
    <w:rsid w:val="25EC0D86"/>
    <w:rsid w:val="271F4B16"/>
    <w:rsid w:val="27C66428"/>
    <w:rsid w:val="29D84A10"/>
    <w:rsid w:val="2A553543"/>
    <w:rsid w:val="2B0860FE"/>
    <w:rsid w:val="30BD7667"/>
    <w:rsid w:val="32646FF9"/>
    <w:rsid w:val="33563CED"/>
    <w:rsid w:val="34B644B7"/>
    <w:rsid w:val="39E37EB1"/>
    <w:rsid w:val="3ADD0A2E"/>
    <w:rsid w:val="3F263B0E"/>
    <w:rsid w:val="43AF27C5"/>
    <w:rsid w:val="45BB7AC4"/>
    <w:rsid w:val="46380FBB"/>
    <w:rsid w:val="4AE22F4C"/>
    <w:rsid w:val="4EB72836"/>
    <w:rsid w:val="50DC0531"/>
    <w:rsid w:val="52324C1B"/>
    <w:rsid w:val="55524C6C"/>
    <w:rsid w:val="58077CBD"/>
    <w:rsid w:val="58A538E9"/>
    <w:rsid w:val="58BC47FB"/>
    <w:rsid w:val="58FD658D"/>
    <w:rsid w:val="59793830"/>
    <w:rsid w:val="5A1F1112"/>
    <w:rsid w:val="5D337D07"/>
    <w:rsid w:val="5E2C7B65"/>
    <w:rsid w:val="62E9411D"/>
    <w:rsid w:val="661239D3"/>
    <w:rsid w:val="68741D48"/>
    <w:rsid w:val="6887053C"/>
    <w:rsid w:val="6DFC3DF2"/>
    <w:rsid w:val="6F272507"/>
    <w:rsid w:val="6F677E65"/>
    <w:rsid w:val="70143BA8"/>
    <w:rsid w:val="70CA52FA"/>
    <w:rsid w:val="71E53350"/>
    <w:rsid w:val="73D40348"/>
    <w:rsid w:val="785F2D30"/>
    <w:rsid w:val="796B1530"/>
    <w:rsid w:val="79E03819"/>
    <w:rsid w:val="7A77760E"/>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semiHidden/>
    <w:unhideWhenUsed/>
    <w:qFormat/>
    <w:uiPriority w:val="99"/>
    <w:pPr>
      <w:spacing w:after="120"/>
    </w:pPr>
  </w:style>
  <w:style w:type="paragraph" w:styleId="7">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3"/>
    <w:qFormat/>
    <w:uiPriority w:val="0"/>
    <w:rPr>
      <w:rFonts w:ascii="Calibri" w:hAnsi="Calibri" w:eastAsia="宋体" w:cs="Times New Roman"/>
      <w:b/>
      <w:bCs/>
      <w:kern w:val="44"/>
      <w:sz w:val="44"/>
      <w:szCs w:val="44"/>
    </w:rPr>
  </w:style>
  <w:style w:type="character" w:customStyle="1" w:styleId="27">
    <w:name w:val="标题 2 Char"/>
    <w:basedOn w:val="20"/>
    <w:link w:val="4"/>
    <w:qFormat/>
    <w:uiPriority w:val="0"/>
    <w:rPr>
      <w:rFonts w:ascii="Arial" w:hAnsi="Arial" w:eastAsia="黑体" w:cs="Times New Roman"/>
      <w:b/>
      <w:bCs/>
      <w:kern w:val="0"/>
      <w:sz w:val="32"/>
      <w:szCs w:val="32"/>
    </w:rPr>
  </w:style>
  <w:style w:type="character" w:customStyle="1" w:styleId="28">
    <w:name w:val="标题 3 Char"/>
    <w:basedOn w:val="20"/>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6"/>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2"/>
    <w:semiHidden/>
    <w:qFormat/>
    <w:uiPriority w:val="99"/>
  </w:style>
  <w:style w:type="character" w:customStyle="1" w:styleId="50">
    <w:name w:val="正文首行缩进 Char"/>
    <w:basedOn w:val="49"/>
    <w:link w:val="7"/>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 w:type="character" w:customStyle="1" w:styleId="56">
    <w:name w:val="Body text|2 + 21 pt"/>
    <w:basedOn w:val="57"/>
    <w:semiHidden/>
    <w:unhideWhenUsed/>
    <w:qFormat/>
    <w:uiPriority w:val="0"/>
    <w:rPr>
      <w:color w:val="000000"/>
      <w:spacing w:val="40"/>
      <w:w w:val="100"/>
      <w:position w:val="0"/>
      <w:sz w:val="42"/>
      <w:szCs w:val="42"/>
      <w:lang w:val="zh-CN" w:eastAsia="zh-CN" w:bidi="zh-CN"/>
    </w:rPr>
  </w:style>
  <w:style w:type="character" w:customStyle="1" w:styleId="57">
    <w:name w:val="Body text|2_"/>
    <w:basedOn w:val="20"/>
    <w:link w:val="58"/>
    <w:qFormat/>
    <w:uiPriority w:val="0"/>
    <w:rPr>
      <w:rFonts w:ascii="PMingLiU" w:hAnsi="PMingLiU" w:eastAsia="PMingLiU" w:cs="PMingLiU"/>
      <w:sz w:val="60"/>
      <w:szCs w:val="60"/>
      <w:u w:val="none"/>
    </w:rPr>
  </w:style>
  <w:style w:type="paragraph" w:customStyle="1" w:styleId="58">
    <w:name w:val="Body text|2"/>
    <w:basedOn w:val="1"/>
    <w:link w:val="57"/>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5</TotalTime>
  <ScaleCrop>false</ScaleCrop>
  <LinksUpToDate>false</LinksUpToDate>
  <CharactersWithSpaces>39247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2019-01-03T05:36:51Z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