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C1B" w:rsidRDefault="006F0C1B" w:rsidP="006F0C1B">
      <w:pPr>
        <w:pStyle w:val="2"/>
        <w:jc w:val="center"/>
        <w:rPr>
          <w:rFonts w:asciiTheme="minorEastAsia" w:eastAsiaTheme="minorEastAsia" w:hAnsiTheme="minorEastAsia" w:cstheme="minorEastAsia"/>
        </w:rPr>
      </w:pPr>
      <w:r>
        <w:rPr>
          <w:rFonts w:asciiTheme="minorEastAsia" w:eastAsiaTheme="minorEastAsia" w:hAnsiTheme="minorEastAsia" w:cstheme="minorEastAsia" w:hint="eastAsia"/>
        </w:rPr>
        <w:t>申报供应商对编制任务服务承诺</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能够参与该项目的投标是我公司的机遇，一旦我公司中标，我方遵守国家和鄢陵县有关行业管理规定，保证提供的服务具有合法性，即不违反国家法律的规定；积极与委托人和被评估单位进行配合，确保有具体的服务内容和服务标准、确保服务质量；具有良好的可操作性、合理性、可行性，力求做到精品工程设计项目。</w:t>
      </w:r>
    </w:p>
    <w:p w:rsidR="006F0C1B" w:rsidRDefault="006F0C1B" w:rsidP="006F0C1B">
      <w:pPr>
        <w:spacing w:line="360" w:lineRule="auto"/>
        <w:ind w:firstLineChars="200" w:firstLine="480"/>
        <w:rPr>
          <w:rFonts w:asciiTheme="minorEastAsia" w:eastAsiaTheme="minorEastAsia" w:hAnsiTheme="minorEastAsia" w:cstheme="minorEastAsia"/>
          <w:sz w:val="24"/>
        </w:rPr>
      </w:pPr>
      <w:proofErr w:type="gramStart"/>
      <w:r>
        <w:rPr>
          <w:rFonts w:asciiTheme="minorEastAsia" w:eastAsiaTheme="minorEastAsia" w:hAnsiTheme="minorEastAsia" w:cstheme="minorEastAsia" w:hint="eastAsia"/>
          <w:sz w:val="24"/>
        </w:rPr>
        <w:t>本承诺</w:t>
      </w:r>
      <w:proofErr w:type="gramEnd"/>
      <w:r>
        <w:rPr>
          <w:rFonts w:asciiTheme="minorEastAsia" w:eastAsiaTheme="minorEastAsia" w:hAnsiTheme="minorEastAsia" w:cstheme="minorEastAsia" w:hint="eastAsia"/>
          <w:sz w:val="24"/>
        </w:rPr>
        <w:t>书作为我方参加《鄢陵县产业集聚区土地集约利用评价及编制空间规划和控制性详细规划项目》投标文件不可分割的一部分，特郑重承诺：</w:t>
      </w:r>
    </w:p>
    <w:p w:rsidR="006F0C1B" w:rsidRDefault="006F0C1B" w:rsidP="006F0C1B">
      <w:pPr>
        <w:spacing w:line="360" w:lineRule="auto"/>
        <w:ind w:firstLineChars="200" w:firstLine="482"/>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（一）项目进度保证承诺</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根据招标人对设计周期的总体要求，我院保证按甲方要求完成各阶段的工作，并采取以下措施保证进度的实施：</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（1）根据提供成果日期的要求，制定进度计划。</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（2）按进度安排，由项目负责人监控相关专业设计组严格执行，并按时互相提供经审核后的有关资料。</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（3）及时向业主和有关方面汇报项目进展情况，以便业主了解情况、提出意见。</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（4）项目负责人全程参与项目，定期对设计进度监控，保证进度始终在控制之内。</w:t>
      </w:r>
    </w:p>
    <w:p w:rsidR="006F0C1B" w:rsidRDefault="006F0C1B" w:rsidP="006F0C1B">
      <w:pPr>
        <w:spacing w:line="360" w:lineRule="auto"/>
        <w:ind w:firstLineChars="200" w:firstLine="482"/>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（二）质量保证承诺</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（1）遵守国家的有关建设法规，按照国家的有关规范和标准进行设计，确保设计质量，建立有完善的质量体系，</w:t>
      </w:r>
      <w:proofErr w:type="gramStart"/>
      <w:r>
        <w:rPr>
          <w:rFonts w:asciiTheme="minorEastAsia" w:eastAsiaTheme="minorEastAsia" w:hAnsiTheme="minorEastAsia" w:cstheme="minorEastAsia" w:hint="eastAsia"/>
          <w:sz w:val="24"/>
        </w:rPr>
        <w:t>由成果</w:t>
      </w:r>
      <w:proofErr w:type="gramEnd"/>
      <w:r>
        <w:rPr>
          <w:rFonts w:asciiTheme="minorEastAsia" w:eastAsiaTheme="minorEastAsia" w:hAnsiTheme="minorEastAsia" w:cstheme="minorEastAsia" w:hint="eastAsia"/>
          <w:sz w:val="24"/>
        </w:rPr>
        <w:t>管理转变为过程管理、进度管理，设计图纸和服务始终贯彻ISO9001质量管理体系系列标准。</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（2）为确保本工程的设计工作不因项目负责人的临时出差等影响，特安排</w:t>
      </w:r>
      <w:proofErr w:type="gramStart"/>
      <w:r>
        <w:rPr>
          <w:rFonts w:asciiTheme="minorEastAsia" w:eastAsiaTheme="minorEastAsia" w:hAnsiTheme="minorEastAsia" w:cstheme="minorEastAsia" w:hint="eastAsia"/>
          <w:sz w:val="24"/>
        </w:rPr>
        <w:t>主副双负责人</w:t>
      </w:r>
      <w:proofErr w:type="gramEnd"/>
      <w:r>
        <w:rPr>
          <w:rFonts w:asciiTheme="minorEastAsia" w:eastAsiaTheme="minorEastAsia" w:hAnsiTheme="minorEastAsia" w:cstheme="minorEastAsia" w:hint="eastAsia"/>
          <w:sz w:val="24"/>
        </w:rPr>
        <w:t>；同时承诺在合同</w:t>
      </w:r>
      <w:proofErr w:type="gramStart"/>
      <w:r>
        <w:rPr>
          <w:rFonts w:asciiTheme="minorEastAsia" w:eastAsiaTheme="minorEastAsia" w:hAnsiTheme="minorEastAsia" w:cstheme="minorEastAsia" w:hint="eastAsia"/>
          <w:sz w:val="24"/>
        </w:rPr>
        <w:t>覆行</w:t>
      </w:r>
      <w:proofErr w:type="gramEnd"/>
      <w:r>
        <w:rPr>
          <w:rFonts w:asciiTheme="minorEastAsia" w:eastAsiaTheme="minorEastAsia" w:hAnsiTheme="minorEastAsia" w:cstheme="minorEastAsia" w:hint="eastAsia"/>
          <w:sz w:val="24"/>
        </w:rPr>
        <w:t>过程中，未经承办方书面同意，不更换项目负责人及专业负责人。 </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（3）按照与业主</w:t>
      </w:r>
      <w:proofErr w:type="gramStart"/>
      <w:r>
        <w:rPr>
          <w:rFonts w:asciiTheme="minorEastAsia" w:eastAsiaTheme="minorEastAsia" w:hAnsiTheme="minorEastAsia" w:cstheme="minorEastAsia" w:hint="eastAsia"/>
          <w:sz w:val="24"/>
        </w:rPr>
        <w:t>签定</w:t>
      </w:r>
      <w:proofErr w:type="gramEnd"/>
      <w:r>
        <w:rPr>
          <w:rFonts w:asciiTheme="minorEastAsia" w:eastAsiaTheme="minorEastAsia" w:hAnsiTheme="minorEastAsia" w:cstheme="minorEastAsia" w:hint="eastAsia"/>
          <w:sz w:val="24"/>
        </w:rPr>
        <w:t>的具体单项规划设计周期按时提交设计文件资料并最终完成设计工作，在资料齐全情况下，尽量满足业主提出的提前交付设计文件的要求。</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（4）完成的所有设计成果等服务项目均应满足业主的要求并符合国家有关</w:t>
      </w:r>
      <w:r>
        <w:rPr>
          <w:rFonts w:asciiTheme="minorEastAsia" w:eastAsiaTheme="minorEastAsia" w:hAnsiTheme="minorEastAsia" w:cstheme="minorEastAsia" w:hint="eastAsia"/>
          <w:sz w:val="24"/>
        </w:rPr>
        <w:lastRenderedPageBreak/>
        <w:t>技术规范的合格要求；同时在项目设计的各个阶段进行技术跟踪服务，对规划调整等后期工作予以全力配合。</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（5）为项目配备经验丰富的审定、审核、项目设计人员以及专业负责人，保障工程项目的可靠性、适用性和经济性。重点放在优化设计方案，提高设计质量，使其符合使用要求，发挥建设项目的投资效益。</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6）配合业主进行项目的审批工作，积极与专家沟通有关问题，积极与业主沟通，并及时汇报技术方案，为业主当好技术参谋，不以任何理由或形式将服务项目转包，若违反规定业主有权终止合同，由此造成的一切经济损失由我方承担。</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（7）我单位将严格进行相关技术人员安排工作，确保项目组成员手机保持24小时通畅，遇到问题第一时间直接到现场进行服务。</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（8）所有设计工作任务均由我单位独立完成，</w:t>
      </w:r>
      <w:proofErr w:type="gramStart"/>
      <w:r>
        <w:rPr>
          <w:rFonts w:asciiTheme="minorEastAsia" w:eastAsiaTheme="minorEastAsia" w:hAnsiTheme="minorEastAsia" w:cstheme="minorEastAsia" w:hint="eastAsia"/>
          <w:sz w:val="24"/>
        </w:rPr>
        <w:t>不</w:t>
      </w:r>
      <w:proofErr w:type="gramEnd"/>
      <w:r>
        <w:rPr>
          <w:rFonts w:asciiTheme="minorEastAsia" w:eastAsiaTheme="minorEastAsia" w:hAnsiTheme="minorEastAsia" w:cstheme="minorEastAsia" w:hint="eastAsia"/>
          <w:sz w:val="24"/>
        </w:rPr>
        <w:t>分包、转包设计工作任务。</w:t>
      </w:r>
    </w:p>
    <w:p w:rsidR="006F0C1B" w:rsidRDefault="006F0C1B" w:rsidP="006F0C1B">
      <w:pPr>
        <w:spacing w:line="360" w:lineRule="auto"/>
        <w:ind w:firstLineChars="200" w:firstLine="482"/>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（三）其他服务承诺</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（1）我方将严格履行采购文件中规定的每一项要求，保证所提供的所有成果均符合国家相关标准规范或强制性规定，符合采购文件各项要求的规定；</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（2）如无法按我方承诺期限，我方愿接受招标人扣除本项目投标保证金的处理,对招标人造成损失的,我方愿承担相应赔偿责任；</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（3）招标人验收时如发现我方所提供各项成果不符合要求，我方将立即无条件更换。如因此造成超期，我方接受招标人扣除履约保证金的处理，同时愿承担合同约定的违约责任；</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（4）我方提供的成果如不能满足采购文件要求的，招标人有权拒绝接收；</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（5）如评标委员会确定我方为本项目的中标（成交）候选人或中标人，在公示期内或领取中标（成交）通知书后，我方无正当理由（如自身报价失误、无法组织及时完工、资金不到位、</w:t>
      </w:r>
      <w:proofErr w:type="gramStart"/>
      <w:r>
        <w:rPr>
          <w:rFonts w:asciiTheme="minorEastAsia" w:eastAsiaTheme="minorEastAsia" w:hAnsiTheme="minorEastAsia" w:cstheme="minorEastAsia" w:hint="eastAsia"/>
          <w:sz w:val="24"/>
        </w:rPr>
        <w:t>帐户</w:t>
      </w:r>
      <w:proofErr w:type="gramEnd"/>
      <w:r>
        <w:rPr>
          <w:rFonts w:asciiTheme="minorEastAsia" w:eastAsiaTheme="minorEastAsia" w:hAnsiTheme="minorEastAsia" w:cstheme="minorEastAsia" w:hint="eastAsia"/>
          <w:sz w:val="24"/>
        </w:rPr>
        <w:t>无法正常使用等）放弃中标（成交）候选人资格或中标资格，我方愿接受财政部门做出的没收投标保证金的处理；</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（6）我方已详细阅读了本招标文件，保证可以</w:t>
      </w:r>
      <w:proofErr w:type="gramStart"/>
      <w:r>
        <w:rPr>
          <w:rFonts w:asciiTheme="minorEastAsia" w:eastAsiaTheme="minorEastAsia" w:hAnsiTheme="minorEastAsia" w:cstheme="minorEastAsia" w:hint="eastAsia"/>
          <w:sz w:val="24"/>
        </w:rPr>
        <w:t>完全响应</w:t>
      </w:r>
      <w:proofErr w:type="gramEnd"/>
      <w:r>
        <w:rPr>
          <w:rFonts w:asciiTheme="minorEastAsia" w:eastAsiaTheme="minorEastAsia" w:hAnsiTheme="minorEastAsia" w:cstheme="minorEastAsia" w:hint="eastAsia"/>
          <w:sz w:val="24"/>
        </w:rPr>
        <w:t>招标文件中所有商务、技术要求，并理解你方或评标委员会对我方进行资格审查的权利，如在资格审查中发现我方存在有违规行为愿承担相应法律责任。</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（7）我方可提供电子成果以方便日后进行数据化管理，并实现后续技术服</w:t>
      </w:r>
      <w:r>
        <w:rPr>
          <w:rFonts w:asciiTheme="minorEastAsia" w:eastAsiaTheme="minorEastAsia" w:hAnsiTheme="minorEastAsia" w:cstheme="minorEastAsia" w:hint="eastAsia"/>
          <w:sz w:val="24"/>
        </w:rPr>
        <w:lastRenderedPageBreak/>
        <w:t>务，在总体规划实施期间以及后续事宜方面，与甲方及时保持技术层次交流，随时提供技术支撑服务，贯彻我院“精品意识、服务意识”，做一方市场，</w:t>
      </w:r>
      <w:proofErr w:type="gramStart"/>
      <w:r>
        <w:rPr>
          <w:rFonts w:asciiTheme="minorEastAsia" w:eastAsiaTheme="minorEastAsia" w:hAnsiTheme="minorEastAsia" w:cstheme="minorEastAsia" w:hint="eastAsia"/>
          <w:sz w:val="24"/>
        </w:rPr>
        <w:t>惠一方</w:t>
      </w:r>
      <w:proofErr w:type="gramEnd"/>
      <w:r>
        <w:rPr>
          <w:rFonts w:asciiTheme="minorEastAsia" w:eastAsiaTheme="minorEastAsia" w:hAnsiTheme="minorEastAsia" w:cstheme="minorEastAsia" w:hint="eastAsia"/>
          <w:sz w:val="24"/>
        </w:rPr>
        <w:t>父老，交四方朋友。</w:t>
      </w:r>
    </w:p>
    <w:p w:rsidR="006F0C1B" w:rsidRDefault="006F0C1B" w:rsidP="006F0C1B">
      <w:pPr>
        <w:spacing w:line="360" w:lineRule="auto"/>
        <w:ind w:firstLineChars="200" w:firstLine="482"/>
        <w:rPr>
          <w:rFonts w:asciiTheme="minorEastAsia" w:eastAsiaTheme="minorEastAsia" w:hAnsiTheme="minorEastAsia" w:cstheme="minorEastAsia"/>
          <w:b/>
          <w:sz w:val="24"/>
        </w:rPr>
      </w:pPr>
      <w:bookmarkStart w:id="0" w:name="_Toc522031500"/>
      <w:r>
        <w:rPr>
          <w:rFonts w:asciiTheme="minorEastAsia" w:eastAsiaTheme="minorEastAsia" w:hAnsiTheme="minorEastAsia" w:cstheme="minorEastAsia" w:hint="eastAsia"/>
          <w:b/>
          <w:sz w:val="24"/>
        </w:rPr>
        <w:t>（四）后续服务的安排及保证措施</w:t>
      </w:r>
      <w:bookmarkEnd w:id="0"/>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1、积极配合报批</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我院将会积极配合招标人进行规划报批，保障规划的可操作性。</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2、讲解及咨询服务</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我院负责配合鄢陵县产业集聚区和城市规划行政主管部门对规划进行讲解服务，并提供在规划实施中遇到的问题和技术纠纷的咨询服务。</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3、批后服务</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在本项目规划编制结束后，我方将继续为招标人提供后续的相关服务保障。甲方提出相关意见后，我方将在24小时内进行回复，根据实际需求由部门总规划</w:t>
      </w:r>
      <w:proofErr w:type="gramStart"/>
      <w:r>
        <w:rPr>
          <w:rFonts w:asciiTheme="minorEastAsia" w:eastAsiaTheme="minorEastAsia" w:hAnsiTheme="minorEastAsia" w:cstheme="minorEastAsia" w:hint="eastAsia"/>
          <w:sz w:val="24"/>
        </w:rPr>
        <w:t>师或者</w:t>
      </w:r>
      <w:proofErr w:type="gramEnd"/>
      <w:r>
        <w:rPr>
          <w:rFonts w:asciiTheme="minorEastAsia" w:eastAsiaTheme="minorEastAsia" w:hAnsiTheme="minorEastAsia" w:cstheme="minorEastAsia" w:hint="eastAsia"/>
          <w:sz w:val="24"/>
        </w:rPr>
        <w:t>项目负责人亲自带队到位进行服务。</w:t>
      </w:r>
    </w:p>
    <w:p w:rsidR="006F0C1B" w:rsidRDefault="006F0C1B" w:rsidP="006F0C1B">
      <w:pPr>
        <w:pStyle w:val="a0"/>
        <w:ind w:firstLine="240"/>
        <w:rPr>
          <w:rFonts w:asciiTheme="minorEastAsia" w:eastAsiaTheme="minorEastAsia" w:hAnsiTheme="minorEastAsia" w:cstheme="minorEastAsia"/>
          <w:sz w:val="24"/>
          <w:szCs w:val="24"/>
        </w:rPr>
      </w:pPr>
    </w:p>
    <w:p w:rsidR="006F0C1B" w:rsidRDefault="006F0C1B" w:rsidP="006F0C1B">
      <w:pPr>
        <w:spacing w:line="360" w:lineRule="auto"/>
        <w:ind w:firstLineChars="450" w:firstLine="1080"/>
        <w:rPr>
          <w:rFonts w:asciiTheme="minorEastAsia" w:eastAsiaTheme="minorEastAsia" w:hAnsiTheme="minorEastAsia" w:cstheme="minorEastAsia"/>
          <w:sz w:val="24"/>
        </w:rPr>
      </w:pPr>
    </w:p>
    <w:p w:rsidR="006F0C1B" w:rsidRDefault="006F0C1B" w:rsidP="006F0C1B">
      <w:pPr>
        <w:spacing w:line="360" w:lineRule="auto"/>
        <w:rPr>
          <w:rFonts w:asciiTheme="minorEastAsia" w:eastAsiaTheme="minorEastAsia" w:hAnsiTheme="minorEastAsia" w:cstheme="minorEastAsia"/>
          <w:sz w:val="24"/>
        </w:rPr>
      </w:pPr>
    </w:p>
    <w:p w:rsidR="006F0C1B" w:rsidRDefault="006F0C1B" w:rsidP="006F0C1B">
      <w:pPr>
        <w:spacing w:line="360" w:lineRule="auto"/>
        <w:ind w:left="718"/>
        <w:rPr>
          <w:rFonts w:asciiTheme="minorEastAsia" w:eastAsiaTheme="minorEastAsia" w:hAnsiTheme="minorEastAsia" w:cstheme="minorEastAsia"/>
          <w:sz w:val="24"/>
        </w:rPr>
      </w:pPr>
    </w:p>
    <w:p w:rsidR="006F0C1B" w:rsidRDefault="006F0C1B" w:rsidP="006F0C1B">
      <w:pPr>
        <w:pStyle w:val="a0"/>
        <w:ind w:firstLine="240"/>
        <w:rPr>
          <w:rFonts w:asciiTheme="minorEastAsia" w:eastAsiaTheme="minorEastAsia" w:hAnsiTheme="minorEastAsia" w:cstheme="minorEastAsia"/>
          <w:sz w:val="24"/>
          <w:szCs w:val="24"/>
        </w:rPr>
      </w:pPr>
    </w:p>
    <w:p w:rsidR="006F0C1B" w:rsidRDefault="006F0C1B" w:rsidP="006F0C1B">
      <w:pPr>
        <w:pStyle w:val="a0"/>
        <w:ind w:firstLine="240"/>
        <w:rPr>
          <w:rFonts w:asciiTheme="minorEastAsia" w:eastAsiaTheme="minorEastAsia" w:hAnsiTheme="minorEastAsia" w:cstheme="minorEastAsia"/>
          <w:sz w:val="24"/>
          <w:szCs w:val="24"/>
        </w:rPr>
      </w:pPr>
    </w:p>
    <w:p w:rsidR="006F0C1B" w:rsidRDefault="006F0C1B" w:rsidP="006F0C1B">
      <w:pPr>
        <w:pStyle w:val="a0"/>
        <w:ind w:firstLine="240"/>
        <w:rPr>
          <w:rFonts w:asciiTheme="minorEastAsia" w:eastAsiaTheme="minorEastAsia" w:hAnsiTheme="minorEastAsia" w:cstheme="minorEastAsia"/>
          <w:sz w:val="24"/>
          <w:szCs w:val="24"/>
        </w:rPr>
      </w:pPr>
    </w:p>
    <w:p w:rsidR="006F0C1B" w:rsidRDefault="006F0C1B" w:rsidP="006F0C1B">
      <w:pPr>
        <w:spacing w:line="360" w:lineRule="auto"/>
        <w:ind w:firstLine="728"/>
        <w:rPr>
          <w:rFonts w:asciiTheme="minorEastAsia" w:eastAsiaTheme="minorEastAsia" w:hAnsiTheme="minorEastAsia" w:cstheme="minorEastAsia"/>
          <w:sz w:val="24"/>
        </w:rPr>
      </w:pPr>
    </w:p>
    <w:p w:rsidR="006F0C1B" w:rsidRDefault="006F0C1B" w:rsidP="006F0C1B">
      <w:pPr>
        <w:spacing w:line="360" w:lineRule="auto"/>
        <w:ind w:firstLine="728"/>
        <w:rPr>
          <w:rFonts w:asciiTheme="minorEastAsia" w:eastAsiaTheme="minorEastAsia" w:hAnsiTheme="minorEastAsia" w:cstheme="minorEastAsia"/>
          <w:sz w:val="24"/>
        </w:rPr>
      </w:pPr>
    </w:p>
    <w:p w:rsidR="006F0C1B" w:rsidRDefault="006F0C1B" w:rsidP="006F0C1B">
      <w:pPr>
        <w:spacing w:line="360" w:lineRule="auto"/>
        <w:ind w:firstLine="728"/>
        <w:rPr>
          <w:rFonts w:asciiTheme="minorEastAsia" w:eastAsiaTheme="minorEastAsia" w:hAnsiTheme="minorEastAsia" w:cstheme="minorEastAsia"/>
          <w:sz w:val="24"/>
        </w:rPr>
      </w:pPr>
    </w:p>
    <w:p w:rsidR="006F0C1B" w:rsidRDefault="006F0C1B" w:rsidP="006F0C1B">
      <w:pPr>
        <w:spacing w:line="360" w:lineRule="auto"/>
        <w:ind w:firstLine="728"/>
        <w:rPr>
          <w:rFonts w:asciiTheme="minorEastAsia" w:eastAsiaTheme="minorEastAsia" w:hAnsiTheme="minorEastAsia" w:cstheme="minorEastAsia"/>
          <w:sz w:val="24"/>
        </w:rPr>
      </w:pPr>
    </w:p>
    <w:p w:rsidR="006F0C1B" w:rsidRDefault="006F0C1B" w:rsidP="006F0C1B">
      <w:pPr>
        <w:spacing w:line="360" w:lineRule="auto"/>
        <w:ind w:firstLine="728"/>
        <w:rPr>
          <w:rFonts w:asciiTheme="minorEastAsia" w:eastAsiaTheme="minorEastAsia" w:hAnsiTheme="minorEastAsia" w:cstheme="minorEastAsia"/>
          <w:sz w:val="24"/>
        </w:rPr>
      </w:pPr>
    </w:p>
    <w:p w:rsidR="006F0C1B" w:rsidRDefault="006F0C1B" w:rsidP="006F0C1B">
      <w:pPr>
        <w:spacing w:line="360" w:lineRule="auto"/>
        <w:ind w:firstLine="728"/>
        <w:rPr>
          <w:rFonts w:asciiTheme="minorEastAsia" w:eastAsiaTheme="minorEastAsia" w:hAnsiTheme="minorEastAsia" w:cstheme="minorEastAsia"/>
          <w:sz w:val="24"/>
        </w:rPr>
      </w:pPr>
    </w:p>
    <w:p w:rsidR="006F0C1B" w:rsidRDefault="006F0C1B" w:rsidP="006F0C1B">
      <w:pPr>
        <w:spacing w:line="360" w:lineRule="auto"/>
        <w:ind w:firstLine="728"/>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投标单位代表签名：</w:t>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t>投标单位公章：</w:t>
      </w:r>
    </w:p>
    <w:p w:rsidR="006F0C1B" w:rsidRDefault="006F0C1B" w:rsidP="006F0C1B">
      <w:pPr>
        <w:spacing w:line="360" w:lineRule="auto"/>
        <w:ind w:left="718"/>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日期：2018年12月3日</w:t>
      </w:r>
    </w:p>
    <w:p w:rsidR="006F0C1B" w:rsidRDefault="006F0C1B" w:rsidP="006F0C1B">
      <w:pPr>
        <w:spacing w:line="360" w:lineRule="auto"/>
        <w:ind w:left="718"/>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注：</w:t>
      </w:r>
    </w:p>
    <w:p w:rsidR="006F0C1B" w:rsidRDefault="006F0C1B" w:rsidP="006F0C1B">
      <w:pPr>
        <w:spacing w:line="360" w:lineRule="auto"/>
        <w:ind w:firstLine="7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 各投标单位应按要求详细制定出所列条款。</w:t>
      </w:r>
    </w:p>
    <w:p w:rsidR="006F0C1B" w:rsidRDefault="006F0C1B" w:rsidP="006F0C1B">
      <w:pPr>
        <w:spacing w:line="360" w:lineRule="auto"/>
        <w:ind w:firstLine="420"/>
        <w:rPr>
          <w:rFonts w:asciiTheme="minorEastAsia" w:eastAsiaTheme="minorEastAsia" w:hAnsiTheme="minorEastAsia" w:cstheme="minorEastAsia"/>
          <w:b/>
          <w:bCs/>
          <w:color w:val="000000"/>
          <w:sz w:val="32"/>
          <w:szCs w:val="32"/>
        </w:rPr>
      </w:pPr>
      <w:r>
        <w:rPr>
          <w:rFonts w:asciiTheme="minorEastAsia" w:eastAsiaTheme="minorEastAsia" w:hAnsiTheme="minorEastAsia" w:cstheme="minorEastAsia" w:hint="eastAsia"/>
          <w:sz w:val="24"/>
        </w:rPr>
        <w:t>2.  “售后服务计划”应由法定代表人或供应商授权代表签字，并加盖单位</w:t>
      </w:r>
      <w:r>
        <w:rPr>
          <w:rFonts w:asciiTheme="minorEastAsia" w:eastAsiaTheme="minorEastAsia" w:hAnsiTheme="minorEastAsia" w:cstheme="minorEastAsia" w:hint="eastAsia"/>
          <w:sz w:val="24"/>
        </w:rPr>
        <w:lastRenderedPageBreak/>
        <w:t>公章。</w:t>
      </w:r>
    </w:p>
    <w:p w:rsidR="006F0C1B" w:rsidRDefault="006F0C1B" w:rsidP="006F0C1B">
      <w:pPr>
        <w:spacing w:line="360" w:lineRule="auto"/>
        <w:ind w:firstLineChars="800" w:firstLine="2570"/>
        <w:rPr>
          <w:rFonts w:asciiTheme="minorEastAsia" w:eastAsiaTheme="minorEastAsia" w:hAnsiTheme="minorEastAsia" w:cstheme="minorEastAsia"/>
          <w:b/>
          <w:bCs/>
          <w:color w:val="000000"/>
          <w:sz w:val="32"/>
          <w:szCs w:val="32"/>
        </w:rPr>
      </w:pPr>
      <w:r>
        <w:rPr>
          <w:rFonts w:asciiTheme="minorEastAsia" w:eastAsiaTheme="minorEastAsia" w:hAnsiTheme="minorEastAsia" w:cstheme="minorEastAsia" w:hint="eastAsia"/>
          <w:b/>
          <w:bCs/>
          <w:color w:val="000000"/>
          <w:sz w:val="32"/>
          <w:szCs w:val="32"/>
        </w:rPr>
        <w:br w:type="page"/>
      </w:r>
    </w:p>
    <w:p w:rsidR="006F0C1B" w:rsidRDefault="006F0C1B" w:rsidP="006F0C1B">
      <w:pPr>
        <w:pStyle w:val="2"/>
        <w:ind w:firstLineChars="900" w:firstLine="2891"/>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六、编制思路和理念</w:t>
      </w:r>
    </w:p>
    <w:p w:rsidR="006F0C1B" w:rsidRDefault="006F0C1B" w:rsidP="006F0C1B">
      <w:pPr>
        <w:pStyle w:val="3"/>
        <w:spacing w:beforeLines="100" w:afterLines="100"/>
        <w:rPr>
          <w:rFonts w:asciiTheme="minorEastAsia" w:eastAsiaTheme="minorEastAsia" w:hAnsiTheme="minorEastAsia" w:cstheme="minorEastAsia"/>
        </w:rPr>
      </w:pPr>
      <w:r>
        <w:rPr>
          <w:rFonts w:asciiTheme="minorEastAsia" w:eastAsiaTheme="minorEastAsia" w:hAnsiTheme="minorEastAsia" w:cstheme="minorEastAsia" w:hint="eastAsia"/>
        </w:rPr>
        <w:t>一、对鄢陵县的总体认知</w:t>
      </w:r>
    </w:p>
    <w:p w:rsidR="006F0C1B" w:rsidRDefault="006F0C1B" w:rsidP="006F0C1B">
      <w:pPr>
        <w:spacing w:line="360" w:lineRule="auto"/>
        <w:ind w:firstLineChars="200" w:firstLine="482"/>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1、发展条件分析</w:t>
      </w:r>
    </w:p>
    <w:p w:rsidR="006F0C1B" w:rsidRDefault="006F0C1B" w:rsidP="006F0C1B">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sz w:val="24"/>
        </w:rPr>
        <w:t>（1）</w:t>
      </w:r>
      <w:r>
        <w:rPr>
          <w:rFonts w:asciiTheme="minorEastAsia" w:eastAsiaTheme="minorEastAsia" w:hAnsiTheme="minorEastAsia" w:cstheme="minorEastAsia" w:hint="eastAsia"/>
          <w:sz w:val="24"/>
        </w:rPr>
        <w:t>鄢陵县产业集聚区交通条件优越，集聚区南</w:t>
      </w:r>
      <w:proofErr w:type="gramStart"/>
      <w:r>
        <w:rPr>
          <w:rFonts w:asciiTheme="minorEastAsia" w:eastAsiaTheme="minorEastAsia" w:hAnsiTheme="minorEastAsia" w:cstheme="minorEastAsia" w:hint="eastAsia"/>
          <w:sz w:val="24"/>
        </w:rPr>
        <w:t>邻规划</w:t>
      </w:r>
      <w:proofErr w:type="gramEnd"/>
      <w:r>
        <w:rPr>
          <w:rFonts w:asciiTheme="minorEastAsia" w:eastAsiaTheme="minorEastAsia" w:hAnsiTheme="minorEastAsia" w:cstheme="minorEastAsia" w:hint="eastAsia"/>
          <w:sz w:val="24"/>
        </w:rPr>
        <w:t>南环路，东侧为规划的国道230（原省道219），鄢望路升级为省道322。集聚区向西30分钟可达许昌，向东可达扶沟。国道230为南北向交通，该国道串联了鄢陵县中心城区和其他7个乡镇，向南可达永登高速（在中心城区南约5.5公里处设有出入口），穿越鄢陵县域向南可达周口市逍遥镇。</w:t>
      </w:r>
    </w:p>
    <w:p w:rsidR="006F0C1B" w:rsidRDefault="006F0C1B" w:rsidP="006F0C1B">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sz w:val="24"/>
        </w:rPr>
        <w:t>（2）</w:t>
      </w:r>
      <w:r>
        <w:rPr>
          <w:rFonts w:asciiTheme="minorEastAsia" w:eastAsiaTheme="minorEastAsia" w:hAnsiTheme="minorEastAsia" w:cstheme="minorEastAsia" w:hint="eastAsia"/>
          <w:sz w:val="24"/>
        </w:rPr>
        <w:t>鄢陵县花卉生产历史悠久，素有“花都、花县”之美称，是中国北方最大的花木生产基地。陈化店的水质优味纯，矿物质微量元素含量丰沛，温泉地下水对人体健康有益；鄢陵县不仅拥有丰富的花卉资源、水资源，旅游资源特色突出，已经形成了花木博览园、花都温泉等省内较为有品牌知名度的旅游项目，为宣传鄢陵创造了良好的条件。</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鄢陵县拥有丰富的物质资源和劳动力资源，可以为产业集聚区提供充足的劳动力资源。另外，产业集聚区范围内涉及东街、康王庙、杜郎等14个自然村。这部分人口为该区工业及第三产业的发展能够提供重要的劳动力资源。</w:t>
      </w:r>
    </w:p>
    <w:p w:rsidR="006F0C1B" w:rsidRDefault="006F0C1B" w:rsidP="006F0C1B">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sz w:val="24"/>
        </w:rPr>
        <w:t>（3）</w:t>
      </w:r>
      <w:r>
        <w:rPr>
          <w:rFonts w:asciiTheme="minorEastAsia" w:eastAsiaTheme="minorEastAsia" w:hAnsiTheme="minorEastAsia" w:cstheme="minorEastAsia" w:hint="eastAsia"/>
          <w:sz w:val="24"/>
        </w:rPr>
        <w:t>鄢陵县已形成纺织、食品、机械制造、箱包皮具、木制品五大支柱产业。2018年初，鄢陵县产业集聚区目前已入驻企业160家左右。全年新上亿元以上项目15个，近年来，产业集聚区发展取得显著成效。已经形成的以纺织箱包和装备制造为主导的产业正在规划发展，现有产业发展规模、产业发展层次都有较大幅度提升，产业集聚效应正在不断显现。</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良好的产业基础将为产业集聚区的产业与周边其他城市产业对接，承接东部产业战略转移创造条件，已有的工业基础和蓄势待发的产业经济都为鄢陵县产业集聚区的发展提供了坚实的经济基础和产业支撑。</w:t>
      </w:r>
    </w:p>
    <w:p w:rsidR="006F0C1B" w:rsidRDefault="006F0C1B" w:rsidP="006F0C1B">
      <w:pPr>
        <w:spacing w:line="360" w:lineRule="auto"/>
        <w:ind w:firstLineChars="200" w:firstLine="482"/>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2、工作技术路线</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综合分析鄢陵县产业集聚区的地形地貌、自然条件、人口现状、基础设施、产业概况等，结合当前鄢陵县城市旅游产业、服务业发展等趋势，确定鄢陵县产业集聚区发展目标定位。梳理规划区的土地利用、道路及绿化、公共服务设施，</w:t>
      </w:r>
      <w:r>
        <w:rPr>
          <w:rFonts w:asciiTheme="minorEastAsia" w:eastAsiaTheme="minorEastAsia" w:hAnsiTheme="minorEastAsia" w:cstheme="minorEastAsia" w:hint="eastAsia"/>
          <w:sz w:val="24"/>
        </w:rPr>
        <w:lastRenderedPageBreak/>
        <w:t>整体考虑片区空间形态及风貌需求，对规划区内城市设计内容进行引导，最终确定地块开发的控制指标，并提出保障和管理措施指导下一步具体项目的开发实施。</w:t>
      </w:r>
    </w:p>
    <w:p w:rsidR="006F0C1B" w:rsidRDefault="006F0C1B" w:rsidP="006F0C1B">
      <w:pPr>
        <w:spacing w:line="360" w:lineRule="auto"/>
        <w:ind w:firstLineChars="200" w:firstLine="422"/>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noProof/>
          <w:szCs w:val="21"/>
        </w:rPr>
        <w:drawing>
          <wp:inline distT="0" distB="0" distL="114300" distR="114300">
            <wp:extent cx="4550410" cy="3338830"/>
            <wp:effectExtent l="0" t="0" r="2540"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cstate="print"/>
                    <a:stretch>
                      <a:fillRect/>
                    </a:stretch>
                  </pic:blipFill>
                  <pic:spPr>
                    <a:xfrm>
                      <a:off x="0" y="0"/>
                      <a:ext cx="4556492" cy="3343607"/>
                    </a:xfrm>
                    <a:prstGeom prst="rect">
                      <a:avLst/>
                    </a:prstGeom>
                    <a:noFill/>
                    <a:ln w="9525">
                      <a:noFill/>
                    </a:ln>
                  </pic:spPr>
                </pic:pic>
              </a:graphicData>
            </a:graphic>
          </wp:inline>
        </w:drawing>
      </w:r>
    </w:p>
    <w:p w:rsidR="006F0C1B" w:rsidRDefault="006F0C1B" w:rsidP="006F0C1B">
      <w:pPr>
        <w:spacing w:line="360" w:lineRule="auto"/>
        <w:ind w:firstLineChars="200" w:firstLine="422"/>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图一：技术路线图</w:t>
      </w:r>
    </w:p>
    <w:p w:rsidR="006F0C1B" w:rsidRDefault="006F0C1B" w:rsidP="006F0C1B">
      <w:pPr>
        <w:spacing w:line="360" w:lineRule="auto"/>
        <w:ind w:firstLineChars="200" w:firstLine="482"/>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3、发展战略研究</w:t>
      </w:r>
    </w:p>
    <w:p w:rsidR="006F0C1B" w:rsidRDefault="006F0C1B" w:rsidP="006F0C1B">
      <w:pPr>
        <w:spacing w:line="360" w:lineRule="auto"/>
        <w:ind w:firstLineChars="150" w:firstLine="361"/>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 xml:space="preserve"> （1）指导思想</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产业集聚区是产业发展和人口集聚的双载体，是加快工业化、城乡一体化</w:t>
      </w:r>
      <w:proofErr w:type="gramStart"/>
      <w:r>
        <w:rPr>
          <w:rFonts w:asciiTheme="minorEastAsia" w:eastAsiaTheme="minorEastAsia" w:hAnsiTheme="minorEastAsia" w:cstheme="minorEastAsia" w:hint="eastAsia"/>
          <w:sz w:val="24"/>
        </w:rPr>
        <w:t>最</w:t>
      </w:r>
      <w:proofErr w:type="gramEnd"/>
      <w:r>
        <w:rPr>
          <w:rFonts w:asciiTheme="minorEastAsia" w:eastAsiaTheme="minorEastAsia" w:hAnsiTheme="minorEastAsia" w:cstheme="minorEastAsia" w:hint="eastAsia"/>
          <w:sz w:val="24"/>
        </w:rPr>
        <w:t>基础、</w:t>
      </w:r>
      <w:proofErr w:type="gramStart"/>
      <w:r>
        <w:rPr>
          <w:rFonts w:asciiTheme="minorEastAsia" w:eastAsiaTheme="minorEastAsia" w:hAnsiTheme="minorEastAsia" w:cstheme="minorEastAsia" w:hint="eastAsia"/>
          <w:sz w:val="24"/>
        </w:rPr>
        <w:t>最</w:t>
      </w:r>
      <w:proofErr w:type="gramEnd"/>
      <w:r>
        <w:rPr>
          <w:rFonts w:asciiTheme="minorEastAsia" w:eastAsiaTheme="minorEastAsia" w:hAnsiTheme="minorEastAsia" w:cstheme="minorEastAsia" w:hint="eastAsia"/>
          <w:sz w:val="24"/>
        </w:rPr>
        <w:t>核心的环节，是经济快速发展的新的增长极，是实施城市带动战略的重要推手，是产业和城市融合发展在空间上的落实，需要与城市总体规划、土地利用总体规划、生态环境保护规划、区域公共服务基础设施规划相衔接，五者相互协调，相互依托。</w:t>
      </w:r>
    </w:p>
    <w:p w:rsidR="006F0C1B" w:rsidRDefault="006F0C1B" w:rsidP="006F0C1B">
      <w:pPr>
        <w:spacing w:line="360" w:lineRule="auto"/>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sz w:val="24"/>
        </w:rPr>
        <w:t>鄢陵县产业集聚区的建设要充分发挥土地资源、区位交通、产业基础等优势，在功能分区、产业空间布局、土地效益和环境保护等方面得到优化提升。采取统一规划与分步实施相结合的原则，提供合理优化的用地布局和便于操作的土地利用方案。</w:t>
      </w:r>
    </w:p>
    <w:p w:rsidR="006F0C1B" w:rsidRDefault="006F0C1B" w:rsidP="006F0C1B">
      <w:pPr>
        <w:spacing w:line="360" w:lineRule="auto"/>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（2）编制理念</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为构建新时代鄢陵县工业发展的新格局，增强区域经济竞争力，必须进一步加快产业集聚区发展，通过集聚优势要素，打破资源环境瓶颈约束，提升产业集聚水平和人口承载能力,必须遵循规律，体现系统性、科学性和前瞻性。</w:t>
      </w:r>
    </w:p>
    <w:p w:rsidR="006F0C1B" w:rsidRDefault="006F0C1B" w:rsidP="006F0C1B">
      <w:pPr>
        <w:spacing w:line="360" w:lineRule="auto"/>
        <w:ind w:firstLineChars="200" w:firstLine="48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lastRenderedPageBreak/>
        <w:t>创新——创新发展、</w:t>
      </w:r>
      <w:proofErr w:type="gramStart"/>
      <w:r>
        <w:rPr>
          <w:rFonts w:asciiTheme="minorEastAsia" w:eastAsiaTheme="minorEastAsia" w:hAnsiTheme="minorEastAsia" w:cstheme="minorEastAsia" w:hint="eastAsia"/>
          <w:bCs/>
          <w:sz w:val="24"/>
        </w:rPr>
        <w:t>产城融合</w:t>
      </w:r>
      <w:proofErr w:type="gramEnd"/>
    </w:p>
    <w:p w:rsidR="006F0C1B" w:rsidRDefault="006F0C1B" w:rsidP="006F0C1B">
      <w:pPr>
        <w:spacing w:line="360" w:lineRule="auto"/>
        <w:ind w:firstLineChars="200" w:firstLine="48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协调——区域协同、统筹布局</w:t>
      </w:r>
    </w:p>
    <w:p w:rsidR="006F0C1B" w:rsidRDefault="006F0C1B" w:rsidP="006F0C1B">
      <w:pPr>
        <w:spacing w:line="360" w:lineRule="auto"/>
        <w:ind w:firstLineChars="200" w:firstLine="48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绿色——集约高效、生态环保</w:t>
      </w:r>
    </w:p>
    <w:p w:rsidR="006F0C1B" w:rsidRDefault="006F0C1B" w:rsidP="006F0C1B">
      <w:pPr>
        <w:spacing w:line="360" w:lineRule="auto"/>
        <w:ind w:firstLineChars="200" w:firstLine="48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开放——合作内外、互利共赢</w:t>
      </w:r>
    </w:p>
    <w:p w:rsidR="006F0C1B" w:rsidRDefault="006F0C1B" w:rsidP="006F0C1B">
      <w:pPr>
        <w:spacing w:line="360" w:lineRule="auto"/>
        <w:ind w:firstLineChars="200" w:firstLine="48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共享——资源共建、设施共享</w:t>
      </w:r>
    </w:p>
    <w:p w:rsidR="006F0C1B" w:rsidRDefault="006F0C1B" w:rsidP="006F0C1B">
      <w:pPr>
        <w:spacing w:line="360" w:lineRule="auto"/>
        <w:ind w:firstLineChars="200" w:firstLine="482"/>
        <w:rPr>
          <w:rFonts w:asciiTheme="minorEastAsia" w:eastAsiaTheme="minorEastAsia" w:hAnsiTheme="minorEastAsia" w:cstheme="minorEastAsia"/>
          <w:b/>
          <w:sz w:val="24"/>
        </w:rPr>
      </w:pPr>
      <w:r>
        <w:rPr>
          <w:rFonts w:asciiTheme="minorEastAsia" w:eastAsiaTheme="minorEastAsia" w:hAnsiTheme="minorEastAsia" w:cstheme="minorEastAsia" w:hint="eastAsia"/>
          <w:b/>
          <w:bCs/>
          <w:sz w:val="24"/>
        </w:rPr>
        <w:t>（3）编制</w:t>
      </w:r>
      <w:r>
        <w:rPr>
          <w:rFonts w:asciiTheme="minorEastAsia" w:eastAsiaTheme="minorEastAsia" w:hAnsiTheme="minorEastAsia" w:cstheme="minorEastAsia" w:hint="eastAsia"/>
          <w:b/>
          <w:sz w:val="24"/>
        </w:rPr>
        <w:t>重点与目的</w:t>
      </w:r>
    </w:p>
    <w:p w:rsidR="006F0C1B" w:rsidRDefault="006F0C1B" w:rsidP="006F0C1B">
      <w:pPr>
        <w:pStyle w:val="a0"/>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以十九大精神为引领，以推进新型工业化为指导，依据鄢陵县城乡总体规划，以解决近期建设的主要问题为出发点，结合产业集聚区的发展目标，重点把握其在城市近远期发展中的地位与作用。对产业集聚区的发展定位、产业布局、总体用地布局、公共服务设施及基础设施、综合交通等问题进行重点解决，同时注意产业集聚</w:t>
      </w:r>
      <w:proofErr w:type="gramStart"/>
      <w:r>
        <w:rPr>
          <w:rFonts w:asciiTheme="minorEastAsia" w:eastAsiaTheme="minorEastAsia" w:hAnsiTheme="minorEastAsia" w:cstheme="minorEastAsia" w:hint="eastAsia"/>
          <w:sz w:val="24"/>
          <w:szCs w:val="24"/>
        </w:rPr>
        <w:t>区空间</w:t>
      </w:r>
      <w:proofErr w:type="gramEnd"/>
      <w:r>
        <w:rPr>
          <w:rFonts w:asciiTheme="minorEastAsia" w:eastAsiaTheme="minorEastAsia" w:hAnsiTheme="minorEastAsia" w:cstheme="minorEastAsia" w:hint="eastAsia"/>
          <w:sz w:val="24"/>
          <w:szCs w:val="24"/>
        </w:rPr>
        <w:t>布局与区域生态环境的改善与协调。</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按照河南省委、省政府的要求，结合对鄢陵县经济社会发展和产业发展的整体性、战略性、前瞻性综合分析，确定鄢陵县产业集聚区开发建设的远景目标、功能定位与规划布局。</w:t>
      </w:r>
    </w:p>
    <w:p w:rsidR="006F0C1B" w:rsidRDefault="006F0C1B" w:rsidP="006F0C1B">
      <w:pPr>
        <w:spacing w:line="360" w:lineRule="auto"/>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①提出鄢陵县产业集聚区的主导产业、空间发展的战略性方案，为鄢陵县产业集聚区今后一定时期内的内涵式发展提供重要的依据。</w:t>
      </w:r>
    </w:p>
    <w:p w:rsidR="006F0C1B" w:rsidRDefault="006F0C1B" w:rsidP="006F0C1B">
      <w:pPr>
        <w:spacing w:line="360" w:lineRule="auto"/>
        <w:ind w:firstLine="465"/>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②科学合理地布局各类产业用地。落实省政府关于产业集聚区“五规合一”的重要指示，使产业集聚区总体发展规划与城市总体规划、土地利用规划等规划相协调，进一步加强与生态环境保护规划、区域公共服务基础设施规划的对接，实现土地和城市资源的集约利用、推动循环经济和可持续发展。    </w:t>
      </w:r>
    </w:p>
    <w:p w:rsidR="006F0C1B" w:rsidRDefault="006F0C1B" w:rsidP="006F0C1B">
      <w:pPr>
        <w:spacing w:line="360" w:lineRule="auto"/>
        <w:ind w:firstLine="465"/>
        <w:jc w:val="left"/>
        <w:rPr>
          <w:rFonts w:asciiTheme="minorEastAsia" w:eastAsiaTheme="minorEastAsia" w:hAnsiTheme="minorEastAsia" w:cstheme="minorEastAsia"/>
        </w:rPr>
      </w:pPr>
      <w:r>
        <w:rPr>
          <w:rFonts w:asciiTheme="minorEastAsia" w:eastAsiaTheme="minorEastAsia" w:hAnsiTheme="minorEastAsia" w:cstheme="minorEastAsia" w:hint="eastAsia"/>
          <w:sz w:val="24"/>
        </w:rPr>
        <w:t>③通过产业的合理布局和充分发展，实现土地节约集约利用、污染集中治理和产业</w:t>
      </w:r>
      <w:proofErr w:type="gramStart"/>
      <w:r>
        <w:rPr>
          <w:rFonts w:asciiTheme="minorEastAsia" w:eastAsiaTheme="minorEastAsia" w:hAnsiTheme="minorEastAsia" w:cstheme="minorEastAsia" w:hint="eastAsia"/>
          <w:sz w:val="24"/>
        </w:rPr>
        <w:t>集群化</w:t>
      </w:r>
      <w:proofErr w:type="gramEnd"/>
      <w:r>
        <w:rPr>
          <w:rFonts w:asciiTheme="minorEastAsia" w:eastAsiaTheme="minorEastAsia" w:hAnsiTheme="minorEastAsia" w:cstheme="minorEastAsia" w:hint="eastAsia"/>
          <w:sz w:val="24"/>
        </w:rPr>
        <w:t>发展，为发展循环经济创造条件，促进经济持续、稳定、和谐发展和社会全面进步。</w:t>
      </w:r>
    </w:p>
    <w:p w:rsidR="006F0C1B" w:rsidRDefault="006F0C1B" w:rsidP="006F0C1B">
      <w:pPr>
        <w:pStyle w:val="3"/>
        <w:spacing w:beforeLines="100" w:afterLines="100"/>
        <w:rPr>
          <w:rFonts w:asciiTheme="minorEastAsia" w:eastAsiaTheme="minorEastAsia" w:hAnsiTheme="minorEastAsia" w:cstheme="minorEastAsia"/>
        </w:rPr>
      </w:pPr>
      <w:r>
        <w:rPr>
          <w:rFonts w:asciiTheme="minorEastAsia" w:eastAsiaTheme="minorEastAsia" w:hAnsiTheme="minorEastAsia" w:cstheme="minorEastAsia" w:hint="eastAsia"/>
        </w:rPr>
        <w:t>二、编制区域的功能定位及布局</w:t>
      </w:r>
    </w:p>
    <w:p w:rsidR="006F0C1B" w:rsidRDefault="006F0C1B" w:rsidP="006F0C1B">
      <w:pPr>
        <w:spacing w:line="360" w:lineRule="auto"/>
        <w:ind w:firstLineChars="200" w:firstLine="48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鄢陵县产业集聚区用地范围为西至金祥路-建设街-华</w:t>
      </w:r>
      <w:proofErr w:type="gramStart"/>
      <w:r>
        <w:rPr>
          <w:rFonts w:asciiTheme="minorEastAsia" w:eastAsiaTheme="minorEastAsia" w:hAnsiTheme="minorEastAsia" w:cstheme="minorEastAsia" w:hint="eastAsia"/>
          <w:sz w:val="24"/>
        </w:rPr>
        <w:t>清中学东</w:t>
      </w:r>
      <w:proofErr w:type="gramEnd"/>
      <w:r>
        <w:rPr>
          <w:rFonts w:asciiTheme="minorEastAsia" w:eastAsiaTheme="minorEastAsia" w:hAnsiTheme="minorEastAsia" w:cstheme="minorEastAsia" w:hint="eastAsia"/>
          <w:sz w:val="24"/>
        </w:rPr>
        <w:t>边界-花</w:t>
      </w:r>
      <w:proofErr w:type="gramStart"/>
      <w:r>
        <w:rPr>
          <w:rFonts w:asciiTheme="minorEastAsia" w:eastAsiaTheme="minorEastAsia" w:hAnsiTheme="minorEastAsia" w:cstheme="minorEastAsia" w:hint="eastAsia"/>
          <w:sz w:val="24"/>
        </w:rPr>
        <w:t>博大道</w:t>
      </w:r>
      <w:proofErr w:type="gramEnd"/>
      <w:r>
        <w:rPr>
          <w:rFonts w:asciiTheme="minorEastAsia" w:eastAsiaTheme="minorEastAsia" w:hAnsiTheme="minorEastAsia" w:cstheme="minorEastAsia" w:hint="eastAsia"/>
          <w:sz w:val="24"/>
        </w:rPr>
        <w:t>南段，南</w:t>
      </w:r>
      <w:proofErr w:type="gramStart"/>
      <w:r>
        <w:rPr>
          <w:rFonts w:asciiTheme="minorEastAsia" w:eastAsiaTheme="minorEastAsia" w:hAnsiTheme="minorEastAsia" w:cstheme="minorEastAsia" w:hint="eastAsia"/>
          <w:sz w:val="24"/>
        </w:rPr>
        <w:t>至规划</w:t>
      </w:r>
      <w:proofErr w:type="gramEnd"/>
      <w:r>
        <w:rPr>
          <w:rFonts w:asciiTheme="minorEastAsia" w:eastAsiaTheme="minorEastAsia" w:hAnsiTheme="minorEastAsia" w:cstheme="minorEastAsia" w:hint="eastAsia"/>
          <w:sz w:val="24"/>
        </w:rPr>
        <w:t>南环路，东至百花路-规划G230辅道，北至高唐路-建设街-开源路-东大街-金汇大道东段，规划范围总用地面积19.17平方公里。</w:t>
      </w:r>
    </w:p>
    <w:p w:rsidR="006F0C1B" w:rsidRDefault="006F0C1B" w:rsidP="006F0C1B">
      <w:pPr>
        <w:pStyle w:val="a0"/>
        <w:ind w:firstLine="280"/>
        <w:jc w:val="center"/>
        <w:rPr>
          <w:rFonts w:asciiTheme="minorEastAsia" w:eastAsiaTheme="minorEastAsia" w:hAnsiTheme="minorEastAsia" w:cstheme="minorEastAsia"/>
        </w:rPr>
      </w:pPr>
      <w:r>
        <w:rPr>
          <w:rFonts w:asciiTheme="minorEastAsia" w:eastAsiaTheme="minorEastAsia" w:hAnsiTheme="minorEastAsia" w:cstheme="minorEastAsia" w:hint="eastAsia"/>
          <w:noProof/>
        </w:rPr>
        <w:lastRenderedPageBreak/>
        <w:drawing>
          <wp:inline distT="0" distB="0" distL="114300" distR="114300">
            <wp:extent cx="4364990" cy="3106420"/>
            <wp:effectExtent l="0" t="0" r="16510" b="17780"/>
            <wp:docPr id="4" name="图片 1" descr="EXWVM$]X]BA{]4}75YJB9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EXWVM$]X]BA{]4}75YJB96F"/>
                    <pic:cNvPicPr>
                      <a:picLocks noChangeAspect="1"/>
                    </pic:cNvPicPr>
                  </pic:nvPicPr>
                  <pic:blipFill>
                    <a:blip r:embed="rId8" cstate="print"/>
                    <a:srcRect l="2673" t="11722" r="13879" b="3864"/>
                    <a:stretch>
                      <a:fillRect/>
                    </a:stretch>
                  </pic:blipFill>
                  <pic:spPr>
                    <a:xfrm>
                      <a:off x="0" y="0"/>
                      <a:ext cx="4373445" cy="3112889"/>
                    </a:xfrm>
                    <a:prstGeom prst="rect">
                      <a:avLst/>
                    </a:prstGeom>
                    <a:noFill/>
                    <a:ln w="9525">
                      <a:noFill/>
                    </a:ln>
                  </pic:spPr>
                </pic:pic>
              </a:graphicData>
            </a:graphic>
          </wp:inline>
        </w:drawing>
      </w:r>
    </w:p>
    <w:p w:rsidR="006F0C1B" w:rsidRDefault="006F0C1B" w:rsidP="006F0C1B">
      <w:pPr>
        <w:spacing w:line="360" w:lineRule="auto"/>
        <w:ind w:firstLineChars="200" w:firstLine="422"/>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图二：规划编制范围图</w:t>
      </w:r>
    </w:p>
    <w:p w:rsidR="006F0C1B" w:rsidRDefault="006F0C1B" w:rsidP="006F0C1B">
      <w:pPr>
        <w:spacing w:line="360" w:lineRule="auto"/>
        <w:ind w:firstLineChars="200" w:firstLine="48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功能定位为：河南省许昌市重要的纺织箱包和装备制造业产业基地，鄢陵县经济增长</w:t>
      </w:r>
      <w:proofErr w:type="gramStart"/>
      <w:r>
        <w:rPr>
          <w:rFonts w:asciiTheme="minorEastAsia" w:eastAsiaTheme="minorEastAsia" w:hAnsiTheme="minorEastAsia" w:cstheme="minorEastAsia" w:hint="eastAsia"/>
          <w:bCs/>
          <w:sz w:val="24"/>
        </w:rPr>
        <w:t>极</w:t>
      </w:r>
      <w:proofErr w:type="gramEnd"/>
      <w:r>
        <w:rPr>
          <w:rFonts w:asciiTheme="minorEastAsia" w:eastAsiaTheme="minorEastAsia" w:hAnsiTheme="minorEastAsia" w:cstheme="minorEastAsia" w:hint="eastAsia"/>
          <w:bCs/>
          <w:sz w:val="24"/>
        </w:rPr>
        <w:t>和重要的工业化和城镇化载体。</w:t>
      </w:r>
    </w:p>
    <w:p w:rsidR="006F0C1B" w:rsidRDefault="006F0C1B" w:rsidP="006F0C1B">
      <w:pPr>
        <w:pStyle w:val="a0"/>
        <w:ind w:firstLine="24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noProof/>
          <w:sz w:val="24"/>
        </w:rPr>
        <w:drawing>
          <wp:inline distT="0" distB="0" distL="114300" distR="114300">
            <wp:extent cx="4387850" cy="3099435"/>
            <wp:effectExtent l="9525" t="9525" r="22225" b="15240"/>
            <wp:docPr id="3" name="图片 3" descr="010空间结构规划图-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10空间结构规划图-kg"/>
                    <pic:cNvPicPr>
                      <a:picLocks noChangeAspect="1"/>
                    </pic:cNvPicPr>
                  </pic:nvPicPr>
                  <pic:blipFill>
                    <a:blip r:embed="rId9" cstate="print"/>
                    <a:srcRect l="5172" t="14283" r="15539" b="6278"/>
                    <a:stretch>
                      <a:fillRect/>
                    </a:stretch>
                  </pic:blipFill>
                  <pic:spPr>
                    <a:xfrm>
                      <a:off x="0" y="0"/>
                      <a:ext cx="4400567" cy="3108032"/>
                    </a:xfrm>
                    <a:prstGeom prst="rect">
                      <a:avLst/>
                    </a:prstGeom>
                    <a:noFill/>
                    <a:ln w="9525">
                      <a:solidFill>
                        <a:schemeClr val="tx1"/>
                      </a:solidFill>
                    </a:ln>
                  </pic:spPr>
                </pic:pic>
              </a:graphicData>
            </a:graphic>
          </wp:inline>
        </w:drawing>
      </w:r>
    </w:p>
    <w:p w:rsidR="006F0C1B" w:rsidRDefault="006F0C1B" w:rsidP="006F0C1B">
      <w:pPr>
        <w:spacing w:line="360" w:lineRule="auto"/>
        <w:ind w:firstLineChars="200" w:firstLine="422"/>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图三：规划意向结构图</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布局结构：结合集聚区地形地貌、用地条件和建设条件等因素，考虑鄢陵县产业集聚区合理发展的空间布局结构，在区内规划形成“一心、两轴、三组团、四园区” 的空间布局结构。</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一心——集聚区综合服务中心：</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布置于产业集聚区中部，</w:t>
      </w:r>
      <w:proofErr w:type="gramStart"/>
      <w:r>
        <w:rPr>
          <w:rFonts w:asciiTheme="minorEastAsia" w:eastAsiaTheme="minorEastAsia" w:hAnsiTheme="minorEastAsia" w:cstheme="minorEastAsia" w:hint="eastAsia"/>
          <w:sz w:val="24"/>
        </w:rPr>
        <w:t>主要沿金汇</w:t>
      </w:r>
      <w:proofErr w:type="gramEnd"/>
      <w:r>
        <w:rPr>
          <w:rFonts w:asciiTheme="minorEastAsia" w:eastAsiaTheme="minorEastAsia" w:hAnsiTheme="minorEastAsia" w:cstheme="minorEastAsia" w:hint="eastAsia"/>
          <w:sz w:val="24"/>
        </w:rPr>
        <w:t>大道南侧布置，包括行政、办公、金融、商业等，规划为一个集多项服务功能为主的综合服务中心。</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两轴——沿鄢陶路南北向发展轴</w:t>
      </w:r>
      <w:proofErr w:type="gramStart"/>
      <w:r>
        <w:rPr>
          <w:rFonts w:asciiTheme="minorEastAsia" w:eastAsiaTheme="minorEastAsia" w:hAnsiTheme="minorEastAsia" w:cstheme="minorEastAsia" w:hint="eastAsia"/>
          <w:sz w:val="24"/>
        </w:rPr>
        <w:t>和沿金汇</w:t>
      </w:r>
      <w:proofErr w:type="gramEnd"/>
      <w:r>
        <w:rPr>
          <w:rFonts w:asciiTheme="minorEastAsia" w:eastAsiaTheme="minorEastAsia" w:hAnsiTheme="minorEastAsia" w:cstheme="minorEastAsia" w:hint="eastAsia"/>
          <w:sz w:val="24"/>
        </w:rPr>
        <w:t>大道东西向发展轴：</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规划结合鄢陵县产业集聚区和鄢陵中心城区以及南侧马栏镇工业园区的发展，规划沿鄢陶路形成南北向的产业空间发展轴，结合北部城区的商业中心进行串联发展；未来结合集聚区西南侧</w:t>
      </w:r>
      <w:proofErr w:type="gramStart"/>
      <w:r>
        <w:rPr>
          <w:rFonts w:asciiTheme="minorEastAsia" w:eastAsiaTheme="minorEastAsia" w:hAnsiTheme="minorEastAsia" w:cstheme="minorEastAsia" w:hint="eastAsia"/>
          <w:sz w:val="24"/>
        </w:rPr>
        <w:t>郑合高</w:t>
      </w:r>
      <w:proofErr w:type="gramEnd"/>
      <w:r>
        <w:rPr>
          <w:rFonts w:asciiTheme="minorEastAsia" w:eastAsiaTheme="minorEastAsia" w:hAnsiTheme="minorEastAsia" w:cstheme="minorEastAsia" w:hint="eastAsia"/>
          <w:sz w:val="24"/>
        </w:rPr>
        <w:t>铁客运站的建设，</w:t>
      </w:r>
      <w:proofErr w:type="gramStart"/>
      <w:r>
        <w:rPr>
          <w:rFonts w:asciiTheme="minorEastAsia" w:eastAsiaTheme="minorEastAsia" w:hAnsiTheme="minorEastAsia" w:cstheme="minorEastAsia" w:hint="eastAsia"/>
          <w:sz w:val="24"/>
        </w:rPr>
        <w:t>规划沿金汇</w:t>
      </w:r>
      <w:proofErr w:type="gramEnd"/>
      <w:r>
        <w:rPr>
          <w:rFonts w:asciiTheme="minorEastAsia" w:eastAsiaTheme="minorEastAsia" w:hAnsiTheme="minorEastAsia" w:cstheme="minorEastAsia" w:hint="eastAsia"/>
          <w:sz w:val="24"/>
        </w:rPr>
        <w:t>大道的东西向发展轴。</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三组团——指三个配套生活组团。 </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四园区——四个产业园区：纺织箱包产业园、装备制造产业园、医药健康产业园、物流产业园。</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纺织箱包产业园：主要准入企业为箱包皮具加工和纺织类工业企业，包括纺织业中上下游产业链条的企业，如纺织服装等，未来准入企业结合医药制造业引入医用材料类纺织制品类企业；</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装备制造产业园：主要准入以机械加工、装备制造为主的相关制造业类型企业；</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医药健康产业园：主要准入企业为健康类医药制造、健康医疗器械、健康药品及保健品等企业；</w:t>
      </w:r>
    </w:p>
    <w:p w:rsidR="006F0C1B" w:rsidRDefault="006F0C1B" w:rsidP="006F0C1B">
      <w:pPr>
        <w:spacing w:line="360" w:lineRule="auto"/>
        <w:ind w:firstLineChars="200" w:firstLine="480"/>
      </w:pPr>
      <w:r>
        <w:rPr>
          <w:rFonts w:asciiTheme="minorEastAsia" w:eastAsiaTheme="minorEastAsia" w:hAnsiTheme="minorEastAsia" w:cstheme="minorEastAsia" w:hint="eastAsia"/>
          <w:sz w:val="24"/>
        </w:rPr>
        <w:t>物流产业园主要准入企业为物流类企业，结合南部</w:t>
      </w:r>
      <w:proofErr w:type="gramStart"/>
      <w:r>
        <w:rPr>
          <w:rFonts w:asciiTheme="minorEastAsia" w:eastAsiaTheme="minorEastAsia" w:hAnsiTheme="minorEastAsia" w:cstheme="minorEastAsia" w:hint="eastAsia"/>
          <w:sz w:val="24"/>
        </w:rPr>
        <w:t>郑合高</w:t>
      </w:r>
      <w:proofErr w:type="gramEnd"/>
      <w:r>
        <w:rPr>
          <w:rFonts w:asciiTheme="minorEastAsia" w:eastAsiaTheme="minorEastAsia" w:hAnsiTheme="minorEastAsia" w:cstheme="minorEastAsia" w:hint="eastAsia"/>
          <w:sz w:val="24"/>
        </w:rPr>
        <w:t xml:space="preserve">铁和三洋铁路在鄢陵县的站场实现对外货物流转。 </w:t>
      </w:r>
    </w:p>
    <w:p w:rsidR="006F0C1B" w:rsidRDefault="006F0C1B" w:rsidP="006F0C1B">
      <w:pPr>
        <w:pStyle w:val="3"/>
        <w:spacing w:beforeLines="100" w:afterLines="100"/>
        <w:rPr>
          <w:rFonts w:asciiTheme="minorEastAsia" w:eastAsiaTheme="minorEastAsia" w:hAnsiTheme="minorEastAsia" w:cstheme="minorEastAsia"/>
        </w:rPr>
      </w:pPr>
      <w:r>
        <w:rPr>
          <w:rFonts w:asciiTheme="minorEastAsia" w:eastAsiaTheme="minorEastAsia" w:hAnsiTheme="minorEastAsia" w:cstheme="minorEastAsia" w:hint="eastAsia"/>
        </w:rPr>
        <w:t>三、新时期鄢陵集聚区编制的思路和重点</w:t>
      </w:r>
    </w:p>
    <w:p w:rsidR="006F0C1B" w:rsidRDefault="006F0C1B" w:rsidP="006F0C1B">
      <w:pPr>
        <w:spacing w:line="360" w:lineRule="auto"/>
        <w:ind w:firstLineChars="200" w:firstLine="420"/>
        <w:rPr>
          <w:rFonts w:asciiTheme="minorEastAsia" w:eastAsiaTheme="minorEastAsia" w:hAnsiTheme="minorEastAsia" w:cstheme="minorEastAsia"/>
          <w:sz w:val="24"/>
        </w:rPr>
      </w:pP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sz w:val="24"/>
        </w:rPr>
        <w:t>综上分析，本次鄢陵县产业集聚区编制空间规划和控制性详细规划的编制应重点思考如下：</w:t>
      </w:r>
    </w:p>
    <w:p w:rsidR="006F0C1B" w:rsidRDefault="006F0C1B" w:rsidP="006F0C1B">
      <w:pPr>
        <w:spacing w:line="360" w:lineRule="auto"/>
        <w:ind w:firstLineChars="200" w:firstLine="482"/>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 xml:space="preserve"> (1)做好承上启下的内容</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不但要在用地布局、用地性质、道路交通、规模控制等空间方面深化总</w:t>
      </w:r>
      <w:proofErr w:type="gramStart"/>
      <w:r>
        <w:rPr>
          <w:rFonts w:asciiTheme="minorEastAsia" w:eastAsiaTheme="minorEastAsia" w:hAnsiTheme="minorEastAsia" w:cstheme="minorEastAsia" w:hint="eastAsia"/>
          <w:sz w:val="24"/>
        </w:rPr>
        <w:t>规</w:t>
      </w:r>
      <w:proofErr w:type="gramEnd"/>
      <w:r>
        <w:rPr>
          <w:rFonts w:asciiTheme="minorEastAsia" w:eastAsiaTheme="minorEastAsia" w:hAnsiTheme="minorEastAsia" w:cstheme="minorEastAsia" w:hint="eastAsia"/>
          <w:sz w:val="24"/>
        </w:rPr>
        <w:t>的内容，而对于总</w:t>
      </w:r>
      <w:proofErr w:type="gramStart"/>
      <w:r>
        <w:rPr>
          <w:rFonts w:asciiTheme="minorEastAsia" w:eastAsiaTheme="minorEastAsia" w:hAnsiTheme="minorEastAsia" w:cstheme="minorEastAsia" w:hint="eastAsia"/>
          <w:sz w:val="24"/>
        </w:rPr>
        <w:t>规</w:t>
      </w:r>
      <w:proofErr w:type="gramEnd"/>
      <w:r>
        <w:rPr>
          <w:rFonts w:asciiTheme="minorEastAsia" w:eastAsiaTheme="minorEastAsia" w:hAnsiTheme="minorEastAsia" w:cstheme="minorEastAsia" w:hint="eastAsia"/>
          <w:sz w:val="24"/>
        </w:rPr>
        <w:t>确定的城市发展目标与定位等的内在精髓也要有效衔接，同时对总体规划中规划不合理或与实际不符的情况进行修正。</w:t>
      </w:r>
    </w:p>
    <w:p w:rsidR="006F0C1B" w:rsidRDefault="006F0C1B" w:rsidP="006F0C1B">
      <w:pPr>
        <w:spacing w:line="360" w:lineRule="auto"/>
        <w:ind w:firstLineChars="200" w:firstLine="482"/>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（2）做好控制指标体系内容</w:t>
      </w:r>
    </w:p>
    <w:p w:rsidR="006F0C1B" w:rsidRDefault="006F0C1B" w:rsidP="006F0C1B">
      <w:pPr>
        <w:pStyle w:val="a7"/>
        <w:ind w:firstLine="480"/>
        <w:rPr>
          <w:rFonts w:ascii="宋体" w:hAnsi="宋体"/>
        </w:rPr>
      </w:pPr>
      <w:r>
        <w:rPr>
          <w:rFonts w:ascii="宋体" w:hAnsi="宋体" w:hint="eastAsia"/>
        </w:rPr>
        <w:t>在项目编制中，强化对控制指标体系内容的控制，有效指导集聚区的开发建</w:t>
      </w:r>
      <w:r>
        <w:rPr>
          <w:rFonts w:ascii="宋体" w:hAnsi="宋体" w:hint="eastAsia"/>
        </w:rPr>
        <w:lastRenderedPageBreak/>
        <w:t>设工作，整体控制强制性内容、规定性内容和引导性内容三大类内容。</w:t>
      </w:r>
    </w:p>
    <w:p w:rsidR="006F0C1B" w:rsidRDefault="006F0C1B" w:rsidP="006F0C1B">
      <w:pPr>
        <w:pStyle w:val="a7"/>
        <w:numPr>
          <w:ilvl w:val="0"/>
          <w:numId w:val="1"/>
        </w:numPr>
        <w:ind w:firstLineChars="0"/>
        <w:rPr>
          <w:rFonts w:ascii="宋体" w:hAnsi="宋体"/>
        </w:rPr>
      </w:pPr>
      <w:r>
        <w:rPr>
          <w:rFonts w:ascii="宋体" w:hAnsi="宋体" w:hint="eastAsia"/>
        </w:rPr>
        <w:t>强制性内容：</w:t>
      </w:r>
    </w:p>
    <w:p w:rsidR="006F0C1B" w:rsidRDefault="006F0C1B" w:rsidP="006F0C1B">
      <w:pPr>
        <w:pStyle w:val="a7"/>
        <w:ind w:firstLine="480"/>
        <w:rPr>
          <w:rFonts w:ascii="宋体" w:hAnsi="宋体"/>
        </w:rPr>
      </w:pPr>
      <w:r>
        <w:rPr>
          <w:rFonts w:ascii="宋体" w:hAnsi="宋体" w:hint="eastAsia"/>
        </w:rPr>
        <w:t>有关地块用地性质、建筑密度、建筑高度、容积率、绿地率、配建停车位、配套公共服务设施和基础设施为强制性内容，在进行修建性详细规划和规划管理时必须严格执行；确需调整的，必须严格按规定程序上报原规划审批机关审批。土地开发强度的控制主要通过容积率和建筑密度两项指标来控制。</w:t>
      </w:r>
    </w:p>
    <w:p w:rsidR="006F0C1B" w:rsidRDefault="006F0C1B" w:rsidP="006F0C1B">
      <w:pPr>
        <w:pStyle w:val="a7"/>
        <w:ind w:firstLine="480"/>
        <w:rPr>
          <w:rFonts w:ascii="宋体" w:hAnsi="宋体"/>
        </w:rPr>
      </w:pPr>
      <w:r>
        <w:rPr>
          <w:rFonts w:ascii="宋体" w:hAnsi="宋体" w:hint="eastAsia"/>
        </w:rPr>
        <w:t>容积率是指某一地块上指定性质建筑面积数值和地块面积的比值。直观的反映了该地块的土地开发强度（FAR=Sa/S，其中FAR～容积率，Sa～该地块上的建筑面积总和，S～该地块土地面积）。在计算建筑面积时，地下室的建筑面积不计；屋顶层建筑面积不超过标准层建筑面积的1/8不计；半地下室在地面以上部分不超过1米不计。在计算地块面积时，地块面积以城市规划管理部门正式划定的用地范围的面积为准，城市道路规划红线和城市公共绿地规划绿线内的面积</w:t>
      </w:r>
      <w:proofErr w:type="gramStart"/>
      <w:r>
        <w:rPr>
          <w:rFonts w:ascii="宋体" w:hAnsi="宋体" w:hint="eastAsia"/>
        </w:rPr>
        <w:t>不</w:t>
      </w:r>
      <w:proofErr w:type="gramEnd"/>
      <w:r>
        <w:rPr>
          <w:rFonts w:ascii="宋体" w:hAnsi="宋体" w:hint="eastAsia"/>
        </w:rPr>
        <w:t>得计入。各地块的规划容积率依照地块指标控制表中规定执行。开发者对该地块的开发强度不得超过该地块容积率指标要求。其中工业用地为控制下限。</w:t>
      </w:r>
    </w:p>
    <w:p w:rsidR="006F0C1B" w:rsidRDefault="006F0C1B" w:rsidP="006F0C1B">
      <w:pPr>
        <w:pStyle w:val="a7"/>
        <w:ind w:firstLine="480"/>
        <w:rPr>
          <w:rFonts w:ascii="宋体" w:hAnsi="宋体"/>
        </w:rPr>
      </w:pPr>
      <w:r>
        <w:rPr>
          <w:rFonts w:ascii="宋体" w:hAnsi="宋体" w:hint="eastAsia"/>
        </w:rPr>
        <w:t>建筑密度是指地块内建筑投影面积与地块总面积的比值，即建筑密度=建筑基底总面积/建设用地面积，规划控制上限。</w:t>
      </w:r>
    </w:p>
    <w:p w:rsidR="006F0C1B" w:rsidRDefault="006F0C1B" w:rsidP="006F0C1B">
      <w:pPr>
        <w:pStyle w:val="3"/>
        <w:numPr>
          <w:ilvl w:val="0"/>
          <w:numId w:val="1"/>
        </w:numPr>
        <w:spacing w:before="100" w:after="100"/>
        <w:rPr>
          <w:rFonts w:ascii="宋体" w:hAnsi="宋体"/>
          <w:szCs w:val="24"/>
        </w:rPr>
      </w:pPr>
      <w:bookmarkStart w:id="1" w:name="_Toc516609617"/>
      <w:bookmarkStart w:id="2" w:name="_Toc493103550"/>
      <w:r>
        <w:rPr>
          <w:rFonts w:ascii="宋体" w:hAnsi="宋体" w:hint="eastAsia"/>
          <w:szCs w:val="24"/>
        </w:rPr>
        <w:t>规定性内容</w:t>
      </w:r>
      <w:bookmarkEnd w:id="1"/>
      <w:bookmarkEnd w:id="2"/>
    </w:p>
    <w:p w:rsidR="006F0C1B" w:rsidRDefault="006F0C1B" w:rsidP="006F0C1B">
      <w:pPr>
        <w:pStyle w:val="a7"/>
        <w:ind w:firstLine="480"/>
        <w:rPr>
          <w:rFonts w:ascii="宋体" w:hAnsi="宋体"/>
        </w:rPr>
      </w:pPr>
      <w:r>
        <w:rPr>
          <w:rFonts w:ascii="宋体" w:hAnsi="宋体" w:hint="eastAsia"/>
        </w:rPr>
        <w:t>规划编制中有关建筑退让、交通出入口方位、用地面积、人防要求等方面的要求和规定为规定性内容。规定性内容是在进行修建性详细规划和规划管理时需要执行的内容。</w:t>
      </w:r>
    </w:p>
    <w:p w:rsidR="006F0C1B" w:rsidRDefault="006F0C1B" w:rsidP="006F0C1B">
      <w:pPr>
        <w:pStyle w:val="3"/>
        <w:numPr>
          <w:ilvl w:val="0"/>
          <w:numId w:val="1"/>
        </w:numPr>
        <w:spacing w:before="100" w:after="100"/>
        <w:rPr>
          <w:rFonts w:ascii="宋体" w:hAnsi="宋体"/>
          <w:szCs w:val="24"/>
        </w:rPr>
      </w:pPr>
      <w:bookmarkStart w:id="3" w:name="_Toc493103551"/>
      <w:bookmarkStart w:id="4" w:name="_Toc516609618"/>
      <w:r>
        <w:rPr>
          <w:rFonts w:ascii="宋体" w:hAnsi="宋体" w:hint="eastAsia"/>
          <w:szCs w:val="24"/>
        </w:rPr>
        <w:t>引导性内容</w:t>
      </w:r>
      <w:bookmarkEnd w:id="3"/>
      <w:bookmarkEnd w:id="4"/>
    </w:p>
    <w:p w:rsidR="006F0C1B" w:rsidRDefault="006F0C1B" w:rsidP="006F0C1B">
      <w:pPr>
        <w:pStyle w:val="a7"/>
        <w:ind w:firstLine="480"/>
      </w:pPr>
      <w:r>
        <w:rPr>
          <w:rFonts w:ascii="宋体" w:hAnsi="宋体" w:hint="eastAsia"/>
        </w:rPr>
        <w:t>规划中有关人口容量、建筑形式、建筑体量、建筑色彩及环境设计要求等为指导性内容。指导性内容是</w:t>
      </w:r>
      <w:proofErr w:type="gramStart"/>
      <w:r>
        <w:rPr>
          <w:rFonts w:ascii="宋体" w:hAnsi="宋体" w:hint="eastAsia"/>
        </w:rPr>
        <w:t>供管理</w:t>
      </w:r>
      <w:proofErr w:type="gramEnd"/>
      <w:r>
        <w:rPr>
          <w:rFonts w:ascii="宋体" w:hAnsi="宋体" w:hint="eastAsia"/>
        </w:rPr>
        <w:t>者和设计者参考的内容。旨在促进区域建筑形态的统一，同时，鼓励建筑及环境景观的多样性创作。规划中未涉及的内容和指标，应符合国家、河南省以及许昌市的相关技术规定要求。</w:t>
      </w:r>
    </w:p>
    <w:p w:rsidR="006F0C1B" w:rsidRDefault="006F0C1B" w:rsidP="006F0C1B">
      <w:pPr>
        <w:spacing w:line="360" w:lineRule="auto"/>
        <w:ind w:firstLineChars="200" w:firstLine="480"/>
        <w:rPr>
          <w:rFonts w:asciiTheme="minorEastAsia" w:eastAsiaTheme="minorEastAsia" w:hAnsiTheme="minorEastAsia" w:cstheme="minorEastAsia"/>
          <w:sz w:val="24"/>
        </w:rPr>
      </w:pPr>
    </w:p>
    <w:p w:rsidR="006F0C1B" w:rsidRDefault="006F0C1B" w:rsidP="006F0C1B">
      <w:pPr>
        <w:spacing w:line="360" w:lineRule="auto"/>
        <w:ind w:firstLineChars="200" w:firstLine="482"/>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(3)做好公共设施配置的规划内容</w:t>
      </w:r>
    </w:p>
    <w:p w:rsidR="006F0C1B" w:rsidRDefault="006F0C1B" w:rsidP="006F0C1B">
      <w:pPr>
        <w:spacing w:line="360" w:lineRule="auto"/>
        <w:ind w:firstLineChars="200" w:firstLine="480"/>
        <w:jc w:val="left"/>
        <w:rPr>
          <w:rFonts w:ascii="宋体" w:hAnsi="宋体" w:cs="宋体"/>
          <w:sz w:val="24"/>
        </w:rPr>
      </w:pPr>
      <w:r>
        <w:rPr>
          <w:rFonts w:ascii="宋体" w:hAnsi="宋体" w:cs="宋体" w:hint="eastAsia"/>
          <w:sz w:val="24"/>
        </w:rPr>
        <w:t>公共设施配置对编制区域居民的生活和工作关系紧密，做好公共服务设施配置的规划内容，将有利于产业集聚区的稳健发展。</w:t>
      </w:r>
    </w:p>
    <w:p w:rsidR="006F0C1B" w:rsidRDefault="006F0C1B" w:rsidP="006F0C1B">
      <w:pPr>
        <w:numPr>
          <w:ilvl w:val="0"/>
          <w:numId w:val="2"/>
        </w:numPr>
        <w:spacing w:line="360" w:lineRule="auto"/>
        <w:jc w:val="left"/>
        <w:rPr>
          <w:rFonts w:ascii="宋体" w:hAnsi="宋体" w:cs="宋体"/>
          <w:b/>
          <w:sz w:val="24"/>
        </w:rPr>
      </w:pPr>
      <w:bookmarkStart w:id="5" w:name="_Toc493103511"/>
      <w:r>
        <w:rPr>
          <w:rFonts w:ascii="宋体" w:hAnsi="宋体" w:cs="宋体" w:hint="eastAsia"/>
          <w:b/>
          <w:sz w:val="24"/>
        </w:rPr>
        <w:lastRenderedPageBreak/>
        <w:t>设施配置原则</w:t>
      </w:r>
      <w:bookmarkEnd w:id="5"/>
    </w:p>
    <w:p w:rsidR="006F0C1B" w:rsidRDefault="006F0C1B" w:rsidP="006F0C1B">
      <w:pPr>
        <w:spacing w:line="360" w:lineRule="auto"/>
        <w:ind w:firstLineChars="200" w:firstLine="480"/>
        <w:jc w:val="left"/>
        <w:rPr>
          <w:rFonts w:ascii="宋体" w:hAnsi="宋体" w:cs="宋体"/>
          <w:sz w:val="24"/>
        </w:rPr>
      </w:pPr>
      <w:r>
        <w:rPr>
          <w:rFonts w:ascii="宋体" w:hAnsi="宋体" w:cs="宋体" w:hint="eastAsia"/>
          <w:sz w:val="24"/>
        </w:rPr>
        <w:t>①因地制宜的原则</w:t>
      </w:r>
    </w:p>
    <w:p w:rsidR="006F0C1B" w:rsidRDefault="006F0C1B" w:rsidP="006F0C1B">
      <w:pPr>
        <w:spacing w:line="360" w:lineRule="auto"/>
        <w:ind w:firstLineChars="200" w:firstLine="480"/>
        <w:jc w:val="left"/>
        <w:rPr>
          <w:rFonts w:ascii="宋体" w:hAnsi="宋体" w:cs="宋体"/>
          <w:sz w:val="24"/>
        </w:rPr>
      </w:pPr>
      <w:r>
        <w:rPr>
          <w:rFonts w:ascii="宋体" w:hAnsi="宋体" w:cs="宋体" w:hint="eastAsia"/>
          <w:sz w:val="24"/>
        </w:rPr>
        <w:t>公共服务设施配置应贯彻因地制宜原则，通过对鄢陵县日常居民的生活习惯及生活需要对公共服务设施进行合理布置，促进设施的高效使用，最终实现设施的合理布局。</w:t>
      </w:r>
    </w:p>
    <w:p w:rsidR="006F0C1B" w:rsidRDefault="006F0C1B" w:rsidP="006F0C1B">
      <w:pPr>
        <w:spacing w:line="360" w:lineRule="auto"/>
        <w:ind w:firstLineChars="200" w:firstLine="480"/>
        <w:jc w:val="left"/>
        <w:rPr>
          <w:rFonts w:ascii="宋体" w:hAnsi="宋体" w:cs="宋体"/>
          <w:sz w:val="24"/>
        </w:rPr>
      </w:pPr>
      <w:r>
        <w:rPr>
          <w:rFonts w:ascii="宋体" w:hAnsi="宋体" w:cs="宋体" w:hint="eastAsia"/>
          <w:sz w:val="24"/>
        </w:rPr>
        <w:t xml:space="preserve">②系统性的原则 </w:t>
      </w:r>
    </w:p>
    <w:p w:rsidR="006F0C1B" w:rsidRDefault="006F0C1B" w:rsidP="006F0C1B">
      <w:pPr>
        <w:spacing w:line="360" w:lineRule="auto"/>
        <w:ind w:firstLineChars="200" w:firstLine="480"/>
        <w:jc w:val="left"/>
        <w:rPr>
          <w:rFonts w:ascii="宋体" w:hAnsi="宋体" w:cs="宋体"/>
          <w:sz w:val="24"/>
        </w:rPr>
      </w:pPr>
      <w:r>
        <w:rPr>
          <w:rFonts w:ascii="宋体" w:hAnsi="宋体" w:cs="宋体" w:hint="eastAsia"/>
          <w:sz w:val="24"/>
        </w:rPr>
        <w:t>公共服务设施的配置应遵循系统性的原则，通过合理的规模布局和分类布局，使其成为一个完整的系统，在完善城区设施配套方面起作用。</w:t>
      </w:r>
    </w:p>
    <w:p w:rsidR="006F0C1B" w:rsidRDefault="006F0C1B" w:rsidP="006F0C1B">
      <w:pPr>
        <w:spacing w:line="360" w:lineRule="auto"/>
        <w:ind w:firstLineChars="200" w:firstLine="480"/>
        <w:jc w:val="left"/>
        <w:rPr>
          <w:rFonts w:ascii="宋体" w:hAnsi="宋体" w:cs="宋体"/>
          <w:sz w:val="24"/>
        </w:rPr>
      </w:pPr>
      <w:r>
        <w:rPr>
          <w:rFonts w:ascii="宋体" w:hAnsi="宋体" w:cs="宋体" w:hint="eastAsia"/>
          <w:sz w:val="24"/>
        </w:rPr>
        <w:t>③共享公平的原则</w:t>
      </w:r>
    </w:p>
    <w:p w:rsidR="006F0C1B" w:rsidRDefault="006F0C1B" w:rsidP="006F0C1B">
      <w:pPr>
        <w:spacing w:line="360" w:lineRule="auto"/>
        <w:ind w:firstLineChars="200" w:firstLine="480"/>
        <w:jc w:val="left"/>
        <w:rPr>
          <w:rFonts w:ascii="宋体" w:hAnsi="宋体" w:cs="宋体"/>
          <w:sz w:val="24"/>
        </w:rPr>
      </w:pPr>
      <w:r>
        <w:rPr>
          <w:rFonts w:ascii="宋体" w:hAnsi="宋体" w:cs="宋体" w:hint="eastAsia"/>
          <w:sz w:val="24"/>
        </w:rPr>
        <w:t>公共服务设施的配置应体现其公共性、共享性，保证人文关怀和社会公正，使公共服务设施真正为每一个人所用。</w:t>
      </w:r>
    </w:p>
    <w:p w:rsidR="006F0C1B" w:rsidRDefault="006F0C1B" w:rsidP="006F0C1B">
      <w:pPr>
        <w:spacing w:line="360" w:lineRule="auto"/>
        <w:ind w:firstLineChars="200" w:firstLine="480"/>
        <w:jc w:val="left"/>
        <w:rPr>
          <w:rFonts w:ascii="宋体" w:hAnsi="宋体" w:cs="宋体"/>
          <w:sz w:val="24"/>
        </w:rPr>
      </w:pPr>
      <w:r>
        <w:rPr>
          <w:rFonts w:ascii="宋体" w:hAnsi="宋体" w:cs="宋体" w:hint="eastAsia"/>
          <w:sz w:val="24"/>
        </w:rPr>
        <w:t>④方便使用的原则</w:t>
      </w:r>
    </w:p>
    <w:p w:rsidR="006F0C1B" w:rsidRDefault="006F0C1B" w:rsidP="006F0C1B">
      <w:pPr>
        <w:spacing w:line="360" w:lineRule="auto"/>
        <w:ind w:firstLineChars="200" w:firstLine="480"/>
        <w:jc w:val="left"/>
        <w:rPr>
          <w:rFonts w:ascii="宋体" w:hAnsi="宋体" w:cs="宋体"/>
          <w:sz w:val="24"/>
        </w:rPr>
      </w:pPr>
      <w:r>
        <w:rPr>
          <w:rFonts w:ascii="宋体" w:hAnsi="宋体" w:cs="宋体" w:hint="eastAsia"/>
          <w:sz w:val="24"/>
        </w:rPr>
        <w:t>应结合居住用地和文化、教育医疗卫生等用地的布局以及道路系统规划，合理确定公共设施用地的规模及位置，提高其可达性，方便人们使用，提高公共服务设施的利用率。</w:t>
      </w:r>
    </w:p>
    <w:p w:rsidR="006F0C1B" w:rsidRDefault="006F0C1B" w:rsidP="006F0C1B">
      <w:pPr>
        <w:numPr>
          <w:ilvl w:val="0"/>
          <w:numId w:val="2"/>
        </w:numPr>
        <w:spacing w:line="360" w:lineRule="auto"/>
        <w:jc w:val="left"/>
        <w:rPr>
          <w:rFonts w:ascii="宋体" w:hAnsi="宋体" w:cs="宋体"/>
          <w:b/>
          <w:sz w:val="24"/>
        </w:rPr>
      </w:pPr>
      <w:bookmarkStart w:id="6" w:name="_Toc493103512"/>
      <w:r>
        <w:rPr>
          <w:rFonts w:ascii="宋体" w:hAnsi="宋体" w:cs="宋体" w:hint="eastAsia"/>
          <w:b/>
          <w:sz w:val="24"/>
        </w:rPr>
        <w:t>设施规划</w:t>
      </w:r>
      <w:bookmarkEnd w:id="6"/>
    </w:p>
    <w:p w:rsidR="006F0C1B" w:rsidRDefault="006F0C1B" w:rsidP="006F0C1B">
      <w:pPr>
        <w:spacing w:line="360" w:lineRule="auto"/>
        <w:ind w:firstLineChars="200" w:firstLine="480"/>
        <w:jc w:val="left"/>
        <w:rPr>
          <w:rFonts w:ascii="宋体" w:hAnsi="宋体" w:cs="宋体"/>
          <w:sz w:val="24"/>
        </w:rPr>
      </w:pPr>
      <w:r>
        <w:rPr>
          <w:rFonts w:ascii="宋体" w:hAnsi="宋体" w:cs="宋体" w:hint="eastAsia"/>
          <w:sz w:val="24"/>
        </w:rPr>
        <w:t>规划的公共服务设施按照</w:t>
      </w:r>
      <w:r>
        <w:rPr>
          <w:rFonts w:ascii="宋体" w:hAnsi="宋体" w:hint="eastAsia"/>
          <w:sz w:val="24"/>
        </w:rPr>
        <w:t>《城市居住区规划设计标准(GB50180-2018)》中</w:t>
      </w:r>
      <w:r>
        <w:rPr>
          <w:rFonts w:ascii="宋体" w:hAnsi="宋体"/>
          <w:sz w:val="24"/>
        </w:rPr>
        <w:t>十五分钟生活圈</w:t>
      </w:r>
      <w:r>
        <w:rPr>
          <w:rFonts w:ascii="宋体" w:hAnsi="宋体" w:hint="eastAsia"/>
          <w:sz w:val="24"/>
        </w:rPr>
        <w:t>或十分钟生活圈——五分钟生活圈——居住街坊三级配置：</w:t>
      </w:r>
    </w:p>
    <w:p w:rsidR="006F0C1B" w:rsidRDefault="006F0C1B" w:rsidP="006F0C1B">
      <w:pPr>
        <w:spacing w:line="360" w:lineRule="auto"/>
        <w:ind w:firstLineChars="200" w:firstLine="480"/>
        <w:jc w:val="left"/>
        <w:rPr>
          <w:rFonts w:ascii="宋体" w:hAnsi="宋体" w:cs="宋体"/>
          <w:sz w:val="24"/>
        </w:rPr>
      </w:pPr>
      <w:r>
        <w:rPr>
          <w:rFonts w:ascii="宋体" w:hAnsi="宋体" w:cs="宋体" w:hint="eastAsia"/>
          <w:sz w:val="24"/>
        </w:rPr>
        <w:t>（1）十五分钟和十分钟</w:t>
      </w:r>
      <w:proofErr w:type="gramStart"/>
      <w:r>
        <w:rPr>
          <w:rFonts w:ascii="宋体" w:hAnsi="宋体" w:cs="宋体" w:hint="eastAsia"/>
          <w:sz w:val="24"/>
        </w:rPr>
        <w:t>生活圈级主要</w:t>
      </w:r>
      <w:proofErr w:type="gramEnd"/>
      <w:r>
        <w:rPr>
          <w:rFonts w:ascii="宋体" w:hAnsi="宋体" w:cs="宋体" w:hint="eastAsia"/>
          <w:sz w:val="24"/>
        </w:rPr>
        <w:t>配置中学、小学、卫生服务中心、大型球类场地组合、养老院、文化活动中心(含青少年、老年活动中心)、街道服务中心、街道办事处、派出所、餐饮设施、银行营业网点、电信、邮电营业网点邮政支局（所）、开闭所（U12）和商业设施等，服务范围以居民步行15或10分钟可满足其生活基本物质与文化需求为原则；服务人口1.5-8万人。</w:t>
      </w:r>
    </w:p>
    <w:p w:rsidR="006F0C1B" w:rsidRDefault="006F0C1B" w:rsidP="006F0C1B">
      <w:pPr>
        <w:spacing w:line="360" w:lineRule="auto"/>
        <w:ind w:firstLineChars="200" w:firstLine="480"/>
        <w:jc w:val="left"/>
        <w:rPr>
          <w:rFonts w:ascii="宋体" w:hAnsi="宋体" w:cs="宋体"/>
          <w:sz w:val="24"/>
        </w:rPr>
      </w:pPr>
      <w:r>
        <w:rPr>
          <w:rFonts w:ascii="宋体" w:hAnsi="宋体" w:cs="宋体" w:hint="eastAsia"/>
          <w:sz w:val="24"/>
        </w:rPr>
        <w:t>（2）</w:t>
      </w:r>
      <w:r>
        <w:rPr>
          <w:rFonts w:ascii="宋体" w:hAnsi="宋体" w:hint="eastAsia"/>
          <w:sz w:val="24"/>
        </w:rPr>
        <w:t>五分钟生活圈</w:t>
      </w:r>
      <w:r>
        <w:rPr>
          <w:rFonts w:ascii="宋体" w:hAnsi="宋体" w:cs="宋体" w:hint="eastAsia"/>
          <w:sz w:val="24"/>
        </w:rPr>
        <w:t xml:space="preserve">主要配置社区服务站、文化活动站(含青少年、老年活动站)、小型球类场地、室外综合健身场地(含老年户外活动场地) 、幼儿园、托儿所 、社区卫生服务站、 </w:t>
      </w:r>
      <w:r>
        <w:rPr>
          <w:rFonts w:ascii="宋体" w:hAnsi="宋体" w:cs="宋体" w:hint="eastAsia"/>
          <w:sz w:val="24"/>
        </w:rPr>
        <w:cr/>
        <w:t>小超市、再生资源回收点、生活垃圾收集站和公共厕所等设施，服务人口0.5-1.2万人。</w:t>
      </w:r>
    </w:p>
    <w:p w:rsidR="006F0C1B" w:rsidRDefault="006F0C1B" w:rsidP="006F0C1B">
      <w:pPr>
        <w:spacing w:line="360" w:lineRule="auto"/>
        <w:ind w:firstLineChars="200" w:firstLine="480"/>
        <w:jc w:val="left"/>
        <w:rPr>
          <w:rFonts w:ascii="宋体" w:hAnsi="宋体" w:cs="宋体"/>
          <w:sz w:val="24"/>
        </w:rPr>
      </w:pPr>
      <w:r>
        <w:rPr>
          <w:rFonts w:ascii="宋体" w:hAnsi="宋体" w:cs="宋体" w:hint="eastAsia"/>
          <w:sz w:val="24"/>
        </w:rPr>
        <w:t>（3）</w:t>
      </w:r>
      <w:r>
        <w:rPr>
          <w:rFonts w:ascii="宋体" w:hAnsi="宋体" w:hint="eastAsia"/>
          <w:sz w:val="24"/>
        </w:rPr>
        <w:t>居住</w:t>
      </w:r>
      <w:proofErr w:type="gramStart"/>
      <w:r>
        <w:rPr>
          <w:rFonts w:ascii="宋体" w:hAnsi="宋体" w:hint="eastAsia"/>
          <w:sz w:val="24"/>
        </w:rPr>
        <w:t>街坊</w:t>
      </w:r>
      <w:r>
        <w:rPr>
          <w:rFonts w:ascii="宋体" w:hAnsi="宋体" w:cs="宋体" w:hint="eastAsia"/>
          <w:sz w:val="24"/>
        </w:rPr>
        <w:t>级</w:t>
      </w:r>
      <w:proofErr w:type="gramEnd"/>
      <w:r>
        <w:rPr>
          <w:rFonts w:ascii="宋体" w:hAnsi="宋体" w:cs="宋体" w:hint="eastAsia"/>
          <w:sz w:val="24"/>
        </w:rPr>
        <w:t>主要配置物业管理、儿童、老年人活动场地 、室外健身器</w:t>
      </w:r>
      <w:r>
        <w:rPr>
          <w:rFonts w:ascii="宋体" w:hAnsi="宋体" w:cs="宋体" w:hint="eastAsia"/>
          <w:sz w:val="24"/>
        </w:rPr>
        <w:lastRenderedPageBreak/>
        <w:t>械、便利店、快递送达设施、路灯配电室、生活垃圾收集点、非机动车停车场（库）</w:t>
      </w:r>
      <w:proofErr w:type="gramStart"/>
      <w:r>
        <w:rPr>
          <w:rFonts w:ascii="宋体" w:hAnsi="宋体" w:cs="宋体" w:hint="eastAsia"/>
          <w:sz w:val="24"/>
        </w:rPr>
        <w:t>和</w:t>
      </w:r>
      <w:proofErr w:type="gramEnd"/>
      <w:r>
        <w:rPr>
          <w:rFonts w:ascii="宋体" w:hAnsi="宋体" w:cs="宋体" w:hint="eastAsia"/>
          <w:sz w:val="24"/>
        </w:rPr>
        <w:t xml:space="preserve"> </w:t>
      </w:r>
      <w:r>
        <w:rPr>
          <w:rFonts w:ascii="宋体" w:hAnsi="宋体" w:cs="宋体" w:hint="eastAsia"/>
          <w:sz w:val="24"/>
        </w:rPr>
        <w:cr/>
        <w:t>机动车停车场（库）等。服务范围一般为一个街坊或居住人口规模在1000人～3000人。</w:t>
      </w:r>
    </w:p>
    <w:p w:rsidR="006F0C1B" w:rsidRDefault="006F0C1B" w:rsidP="006F0C1B">
      <w:pPr>
        <w:spacing w:line="360" w:lineRule="auto"/>
        <w:ind w:firstLineChars="200" w:firstLine="482"/>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(4)做好村庄迁并和乡村振兴的规划内容</w:t>
      </w:r>
    </w:p>
    <w:p w:rsidR="006F0C1B" w:rsidRDefault="006F0C1B" w:rsidP="006F0C1B">
      <w:pPr>
        <w:spacing w:line="360" w:lineRule="auto"/>
        <w:ind w:firstLineChars="200" w:firstLine="480"/>
        <w:jc w:val="left"/>
        <w:rPr>
          <w:rFonts w:ascii="宋体" w:hAnsi="宋体" w:cs="宋体"/>
          <w:sz w:val="24"/>
        </w:rPr>
      </w:pPr>
      <w:r>
        <w:rPr>
          <w:rFonts w:ascii="宋体" w:hAnsi="宋体" w:cs="宋体" w:hint="eastAsia"/>
          <w:sz w:val="24"/>
        </w:rPr>
        <w:t>村庄安置迁并是统筹城乡发展，优化人口和产业布局，促进土地资源合理有效配置，加快建设规模化、集约化产业集聚区的重要举措。在村庄迁并过程中，积极结合</w:t>
      </w:r>
      <w:proofErr w:type="gramStart"/>
      <w:r>
        <w:rPr>
          <w:rFonts w:ascii="宋体" w:hAnsi="宋体" w:cs="宋体" w:hint="eastAsia"/>
          <w:sz w:val="24"/>
        </w:rPr>
        <w:t>《</w:t>
      </w:r>
      <w:r>
        <w:rPr>
          <w:rFonts w:ascii="宋体" w:hAnsi="宋体" w:cs="宋体"/>
          <w:sz w:val="24"/>
        </w:rPr>
        <w:t>《</w:t>
      </w:r>
      <w:proofErr w:type="gramEnd"/>
      <w:r>
        <w:rPr>
          <w:rFonts w:ascii="宋体" w:hAnsi="宋体" w:cs="宋体"/>
          <w:sz w:val="24"/>
        </w:rPr>
        <w:t>乡村振兴战略规划(2018—2022年)</w:t>
      </w:r>
      <w:proofErr w:type="gramStart"/>
      <w:r>
        <w:rPr>
          <w:rFonts w:ascii="宋体" w:hAnsi="宋体" w:cs="宋体"/>
          <w:sz w:val="24"/>
        </w:rPr>
        <w:t>》</w:t>
      </w:r>
      <w:proofErr w:type="gramEnd"/>
      <w:r>
        <w:rPr>
          <w:rFonts w:ascii="宋体" w:hAnsi="宋体" w:cs="宋体" w:hint="eastAsia"/>
          <w:sz w:val="24"/>
        </w:rPr>
        <w:t>的内容要求，</w:t>
      </w:r>
      <w:r>
        <w:rPr>
          <w:rFonts w:ascii="宋体" w:hAnsi="宋体" w:cs="宋体"/>
          <w:sz w:val="24"/>
        </w:rPr>
        <w:t>顺应村庄发展规律和演变趋势，根据不同村庄的发展现状、区位条件、资源禀赋等，按照集聚提升、融入城镇、特色保护、搬迁撤并的思路，分类推进乡村振兴，不搞一刀切。</w:t>
      </w:r>
    </w:p>
    <w:p w:rsidR="006F0C1B" w:rsidRDefault="006F0C1B" w:rsidP="006F0C1B">
      <w:pPr>
        <w:spacing w:line="360" w:lineRule="auto"/>
        <w:ind w:firstLineChars="200" w:firstLine="480"/>
        <w:jc w:val="left"/>
        <w:rPr>
          <w:rFonts w:ascii="宋体" w:hAnsi="宋体"/>
          <w:sz w:val="24"/>
        </w:rPr>
      </w:pPr>
      <w:r>
        <w:rPr>
          <w:rFonts w:ascii="宋体" w:hAnsi="宋体" w:cs="宋体" w:hint="eastAsia"/>
          <w:sz w:val="24"/>
        </w:rPr>
        <w:t>结合《鄢陵县棚户区改造遗留问题集中攻坚行动实施方案》等棚户区改造实施政策的要求和《村民自建房建设要求》，在产业集聚区村庄迁并中。</w:t>
      </w:r>
      <w:r>
        <w:rPr>
          <w:rFonts w:ascii="宋体" w:hAnsi="宋体" w:hint="eastAsia"/>
          <w:sz w:val="24"/>
        </w:rPr>
        <w:t>坚持以人为本、节约集约、分期分批、先安后拆的原则，规划产业集聚区内的村庄发展与迁并主要采用“整体异地迁建”和“原地重建”两种方式。对于影响产业集聚</w:t>
      </w:r>
      <w:proofErr w:type="gramStart"/>
      <w:r>
        <w:rPr>
          <w:rFonts w:ascii="宋体" w:hAnsi="宋体" w:hint="eastAsia"/>
          <w:sz w:val="24"/>
        </w:rPr>
        <w:t>区整体</w:t>
      </w:r>
      <w:proofErr w:type="gramEnd"/>
      <w:r>
        <w:rPr>
          <w:rFonts w:ascii="宋体" w:hAnsi="宋体" w:hint="eastAsia"/>
          <w:sz w:val="24"/>
        </w:rPr>
        <w:t>空间格局的村庄，采取撤并措施，在原村庄外的其它地方集中安置规划建设居住社区。现有村庄用地被规划确定为居住用地的村庄，若环境较差、建设标准很低的，应以新建置换原住宅。</w:t>
      </w:r>
    </w:p>
    <w:p w:rsidR="006F0C1B" w:rsidRDefault="006F0C1B" w:rsidP="006F0C1B">
      <w:pPr>
        <w:spacing w:line="360" w:lineRule="auto"/>
        <w:ind w:firstLineChars="200" w:firstLine="480"/>
        <w:jc w:val="left"/>
      </w:pPr>
      <w:r>
        <w:rPr>
          <w:rFonts w:ascii="宋体" w:hAnsi="宋体" w:hint="eastAsia"/>
          <w:sz w:val="24"/>
        </w:rPr>
        <w:t>对产业集聚区内失地村民就业提出相应引导与建议：，产业集聚区内大量入驻企业势必将在工业和服务业提供大量的工作岗位。政府应将通过加强对村民的就业指导，尽可能的向村民提供教育和学习机会，设立一系列的培训机构，提高村民就业能力和素质，</w:t>
      </w:r>
      <w:proofErr w:type="gramStart"/>
      <w:r>
        <w:rPr>
          <w:rFonts w:ascii="宋体" w:hAnsi="宋体" w:hint="eastAsia"/>
          <w:sz w:val="24"/>
        </w:rPr>
        <w:t>使完成</w:t>
      </w:r>
      <w:proofErr w:type="gramEnd"/>
      <w:r>
        <w:rPr>
          <w:rFonts w:ascii="宋体" w:hAnsi="宋体" w:hint="eastAsia"/>
          <w:sz w:val="24"/>
        </w:rPr>
        <w:t>由村民向市民转变的同时，能顺利完成农民到产业工人或者服务人员的转变，解决就业和生活问题。</w:t>
      </w:r>
    </w:p>
    <w:p w:rsidR="006F0C1B" w:rsidRDefault="006F0C1B" w:rsidP="006F0C1B">
      <w:pPr>
        <w:pStyle w:val="3"/>
        <w:spacing w:beforeLines="100" w:afterLines="100"/>
        <w:rPr>
          <w:rFonts w:asciiTheme="minorEastAsia" w:eastAsiaTheme="minorEastAsia" w:hAnsiTheme="minorEastAsia" w:cstheme="minorEastAsia"/>
        </w:rPr>
      </w:pPr>
      <w:r>
        <w:rPr>
          <w:rFonts w:asciiTheme="minorEastAsia" w:eastAsiaTheme="minorEastAsia" w:hAnsiTheme="minorEastAsia" w:cstheme="minorEastAsia" w:hint="eastAsia"/>
        </w:rPr>
        <w:t>四、鄢陵县产业集聚区编制内容深度与控制体系</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按照我国《城市规划编制办法》（2006）中的要求，控制性详细规划的内容深度要求如下： </w:t>
      </w:r>
    </w:p>
    <w:p w:rsidR="006F0C1B" w:rsidRDefault="006F0C1B" w:rsidP="006F0C1B">
      <w:pPr>
        <w:tabs>
          <w:tab w:val="left" w:pos="3600"/>
        </w:tabs>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详细规定所规划范围内各类不同使用性质用地的界线，规定各类用地</w:t>
      </w:r>
      <w:proofErr w:type="gramStart"/>
      <w:r>
        <w:rPr>
          <w:rFonts w:asciiTheme="minorEastAsia" w:eastAsiaTheme="minorEastAsia" w:hAnsiTheme="minorEastAsia" w:cstheme="minorEastAsia" w:hint="eastAsia"/>
          <w:sz w:val="24"/>
        </w:rPr>
        <w:t>内适建，不适建</w:t>
      </w:r>
      <w:proofErr w:type="gramEnd"/>
      <w:r>
        <w:rPr>
          <w:rFonts w:asciiTheme="minorEastAsia" w:eastAsiaTheme="minorEastAsia" w:hAnsiTheme="minorEastAsia" w:cstheme="minorEastAsia" w:hint="eastAsia"/>
          <w:sz w:val="24"/>
        </w:rPr>
        <w:t xml:space="preserve">或者有条件地允许建设的建筑类型； </w:t>
      </w:r>
    </w:p>
    <w:p w:rsidR="006F0C1B" w:rsidRDefault="006F0C1B" w:rsidP="006F0C1B">
      <w:pPr>
        <w:tabs>
          <w:tab w:val="left" w:pos="3600"/>
        </w:tabs>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规定各地</w:t>
      </w:r>
      <w:proofErr w:type="gramStart"/>
      <w:r>
        <w:rPr>
          <w:rFonts w:asciiTheme="minorEastAsia" w:eastAsiaTheme="minorEastAsia" w:hAnsiTheme="minorEastAsia" w:cstheme="minorEastAsia" w:hint="eastAsia"/>
          <w:sz w:val="24"/>
        </w:rPr>
        <w:t>块建筑</w:t>
      </w:r>
      <w:proofErr w:type="gramEnd"/>
      <w:r>
        <w:rPr>
          <w:rFonts w:asciiTheme="minorEastAsia" w:eastAsiaTheme="minorEastAsia" w:hAnsiTheme="minorEastAsia" w:cstheme="minorEastAsia" w:hint="eastAsia"/>
          <w:sz w:val="24"/>
        </w:rPr>
        <w:t>高度、建筑密度、容积率、绿地率等控制指标；规定交通出</w:t>
      </w:r>
      <w:r>
        <w:rPr>
          <w:rFonts w:asciiTheme="minorEastAsia" w:eastAsiaTheme="minorEastAsia" w:hAnsiTheme="minorEastAsia" w:cstheme="minorEastAsia" w:hint="eastAsia"/>
          <w:sz w:val="24"/>
        </w:rPr>
        <w:lastRenderedPageBreak/>
        <w:t xml:space="preserve">入口方位、停车泊位、建筑后退红线距离、建筑间距等要求； </w:t>
      </w:r>
    </w:p>
    <w:p w:rsidR="006F0C1B" w:rsidRDefault="006F0C1B" w:rsidP="006F0C1B">
      <w:pPr>
        <w:tabs>
          <w:tab w:val="left" w:pos="3600"/>
        </w:tabs>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提出各地块的建筑体量、体型、色彩等要求； </w:t>
      </w:r>
    </w:p>
    <w:p w:rsidR="006F0C1B" w:rsidRDefault="006F0C1B" w:rsidP="006F0C1B">
      <w:pPr>
        <w:tabs>
          <w:tab w:val="left" w:pos="3600"/>
        </w:tabs>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确定各级支路的红线位置、控制点</w:t>
      </w:r>
      <w:proofErr w:type="gramStart"/>
      <w:r>
        <w:rPr>
          <w:rFonts w:asciiTheme="minorEastAsia" w:eastAsiaTheme="minorEastAsia" w:hAnsiTheme="minorEastAsia" w:cstheme="minorEastAsia" w:hint="eastAsia"/>
          <w:sz w:val="24"/>
        </w:rPr>
        <w:t>座标</w:t>
      </w:r>
      <w:proofErr w:type="gramEnd"/>
      <w:r>
        <w:rPr>
          <w:rFonts w:asciiTheme="minorEastAsia" w:eastAsiaTheme="minorEastAsia" w:hAnsiTheme="minorEastAsia" w:cstheme="minorEastAsia" w:hint="eastAsia"/>
          <w:sz w:val="24"/>
        </w:rPr>
        <w:t xml:space="preserve">和标高； </w:t>
      </w:r>
    </w:p>
    <w:p w:rsidR="006F0C1B" w:rsidRDefault="006F0C1B" w:rsidP="006F0C1B">
      <w:pPr>
        <w:tabs>
          <w:tab w:val="left" w:pos="3600"/>
        </w:tabs>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根据规划容量，确定工程管线的走向、管径和工程设施的用地界线； </w:t>
      </w:r>
    </w:p>
    <w:p w:rsidR="006F0C1B" w:rsidRDefault="006F0C1B" w:rsidP="006F0C1B">
      <w:pPr>
        <w:tabs>
          <w:tab w:val="left" w:pos="3600"/>
        </w:tabs>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制定相应的土地使用与建筑管理规定。                         </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依据《城市、镇控制性详细规划编制审批办法》（2011年）（</w:t>
      </w:r>
      <w:r>
        <w:rPr>
          <w:rFonts w:asciiTheme="minorEastAsia" w:eastAsiaTheme="minorEastAsia" w:hAnsiTheme="minorEastAsia" w:cstheme="minorEastAsia" w:hint="eastAsia"/>
          <w:bCs/>
          <w:sz w:val="24"/>
        </w:rPr>
        <w:t>中华人民共和国住房和城乡建设部令</w:t>
      </w:r>
      <w:r>
        <w:rPr>
          <w:rFonts w:asciiTheme="minorEastAsia" w:eastAsiaTheme="minorEastAsia" w:hAnsiTheme="minorEastAsia" w:cstheme="minorEastAsia" w:hint="eastAsia"/>
          <w:sz w:val="24"/>
        </w:rPr>
        <w:t>第</w:t>
      </w:r>
      <w:r>
        <w:rPr>
          <w:rFonts w:asciiTheme="minorEastAsia" w:eastAsiaTheme="minorEastAsia" w:hAnsiTheme="minorEastAsia" w:cstheme="minorEastAsia" w:hint="eastAsia"/>
          <w:bCs/>
          <w:sz w:val="24"/>
        </w:rPr>
        <w:t>7</w:t>
      </w:r>
      <w:r>
        <w:rPr>
          <w:rFonts w:asciiTheme="minorEastAsia" w:eastAsiaTheme="minorEastAsia" w:hAnsiTheme="minorEastAsia" w:cstheme="minorEastAsia" w:hint="eastAsia"/>
          <w:sz w:val="24"/>
        </w:rPr>
        <w:t>号），控制性详细规划应当包括下列基本内容：</w:t>
      </w:r>
      <w:r>
        <w:rPr>
          <w:rFonts w:asciiTheme="minorEastAsia" w:eastAsiaTheme="minorEastAsia" w:hAnsiTheme="minorEastAsia" w:cstheme="minorEastAsia" w:hint="eastAsia"/>
          <w:sz w:val="24"/>
        </w:rPr>
        <w:br/>
        <w:t xml:space="preserve">　　（一）土地使用性质及其兼容性等用地功能控制要求；</w:t>
      </w:r>
      <w:r>
        <w:rPr>
          <w:rFonts w:asciiTheme="minorEastAsia" w:eastAsiaTheme="minorEastAsia" w:hAnsiTheme="minorEastAsia" w:cstheme="minorEastAsia" w:hint="eastAsia"/>
          <w:sz w:val="24"/>
        </w:rPr>
        <w:br/>
        <w:t xml:space="preserve">　　（二）容积率、建筑高度、建筑密度、绿地率等用地指标；</w:t>
      </w:r>
      <w:r>
        <w:rPr>
          <w:rFonts w:asciiTheme="minorEastAsia" w:eastAsiaTheme="minorEastAsia" w:hAnsiTheme="minorEastAsia" w:cstheme="minorEastAsia" w:hint="eastAsia"/>
          <w:sz w:val="24"/>
        </w:rPr>
        <w:br/>
        <w:t xml:space="preserve">　　（三）基础设施、公共服务设施、公共安全设施的用地规模、范围及具体控制要求，地下管线控制要求；</w:t>
      </w:r>
      <w:r>
        <w:rPr>
          <w:rFonts w:asciiTheme="minorEastAsia" w:eastAsiaTheme="minorEastAsia" w:hAnsiTheme="minorEastAsia" w:cstheme="minorEastAsia" w:hint="eastAsia"/>
          <w:sz w:val="24"/>
        </w:rPr>
        <w:br/>
        <w:t xml:space="preserve">　　（四）基础设施用地的控制界线（黄线）、各类绿地范围的控制线（绿线）、历史文化街区和历史建筑的保护范围界线（紫线）、地表水体保护和控制的地域界线（蓝线）等“四线”及控制要求。</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规划成果由文件（文本、说明书、基础资料汇编等）、图纸（图则）组成，</w:t>
      </w:r>
    </w:p>
    <w:p w:rsidR="006F0C1B" w:rsidRDefault="006F0C1B" w:rsidP="006F0C1B">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主要图纸如下：规划用地位置图（区位图）、规划用地现状图（土地利用现状、人口现状、建筑质量现状、公共服务设施、市政公用设施现状）、土地使用规划图、道路交通及竖向规划图、公共服务设施规划图、工程管线规划图、环卫、环保规划、城市设计概念图、地块划分编号图、地块控制图则等。</w:t>
      </w:r>
    </w:p>
    <w:p w:rsidR="007C689E" w:rsidRPr="006F0C1B" w:rsidRDefault="007C689E"/>
    <w:sectPr w:rsidR="007C689E" w:rsidRPr="006F0C1B" w:rsidSect="007229BD">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C1B" w:rsidRPr="00330FC4" w:rsidRDefault="006F0C1B" w:rsidP="006F0C1B">
      <w:pPr>
        <w:rPr>
          <w:rFonts w:ascii="Tahoma" w:hAnsi="Tahoma"/>
          <w:sz w:val="30"/>
          <w:szCs w:val="30"/>
        </w:rPr>
      </w:pPr>
      <w:r>
        <w:separator/>
      </w:r>
    </w:p>
  </w:endnote>
  <w:endnote w:type="continuationSeparator" w:id="0">
    <w:p w:rsidR="006F0C1B" w:rsidRPr="00330FC4" w:rsidRDefault="006F0C1B" w:rsidP="006F0C1B">
      <w:pPr>
        <w:rPr>
          <w:rFonts w:ascii="Tahoma" w:hAnsi="Tahoma"/>
          <w:sz w:val="30"/>
          <w:szCs w:val="30"/>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C1B" w:rsidRDefault="006F0C1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C1B" w:rsidRDefault="006F0C1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C1B" w:rsidRDefault="006F0C1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C1B" w:rsidRPr="00330FC4" w:rsidRDefault="006F0C1B" w:rsidP="006F0C1B">
      <w:pPr>
        <w:rPr>
          <w:rFonts w:ascii="Tahoma" w:hAnsi="Tahoma"/>
          <w:sz w:val="30"/>
          <w:szCs w:val="30"/>
        </w:rPr>
      </w:pPr>
      <w:r>
        <w:separator/>
      </w:r>
    </w:p>
  </w:footnote>
  <w:footnote w:type="continuationSeparator" w:id="0">
    <w:p w:rsidR="006F0C1B" w:rsidRPr="00330FC4" w:rsidRDefault="006F0C1B" w:rsidP="006F0C1B">
      <w:pPr>
        <w:rPr>
          <w:rFonts w:ascii="Tahoma" w:hAnsi="Tahoma"/>
          <w:sz w:val="30"/>
          <w:szCs w:val="30"/>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C1B" w:rsidRDefault="006F0C1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C1B" w:rsidRDefault="006F0C1B" w:rsidP="006F0C1B">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C1B" w:rsidRDefault="006F0C1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B44B4D"/>
    <w:multiLevelType w:val="multilevel"/>
    <w:tmpl w:val="2BB44B4D"/>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3EC848E9"/>
    <w:multiLevelType w:val="multilevel"/>
    <w:tmpl w:val="3EC848E9"/>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F0C1B"/>
    <w:rsid w:val="0000194C"/>
    <w:rsid w:val="00004835"/>
    <w:rsid w:val="000136BA"/>
    <w:rsid w:val="0001575E"/>
    <w:rsid w:val="00015AD8"/>
    <w:rsid w:val="0001669B"/>
    <w:rsid w:val="00017171"/>
    <w:rsid w:val="000171F0"/>
    <w:rsid w:val="000179A8"/>
    <w:rsid w:val="000247F9"/>
    <w:rsid w:val="0003004B"/>
    <w:rsid w:val="0003348C"/>
    <w:rsid w:val="000334E9"/>
    <w:rsid w:val="00035527"/>
    <w:rsid w:val="0003627E"/>
    <w:rsid w:val="00037837"/>
    <w:rsid w:val="00040AA7"/>
    <w:rsid w:val="000414CF"/>
    <w:rsid w:val="000460CE"/>
    <w:rsid w:val="0004666B"/>
    <w:rsid w:val="0005027A"/>
    <w:rsid w:val="00052DBC"/>
    <w:rsid w:val="000530ED"/>
    <w:rsid w:val="00053CF6"/>
    <w:rsid w:val="00055D3A"/>
    <w:rsid w:val="000573BD"/>
    <w:rsid w:val="0006376B"/>
    <w:rsid w:val="000707B9"/>
    <w:rsid w:val="000751B8"/>
    <w:rsid w:val="00076201"/>
    <w:rsid w:val="00080AE6"/>
    <w:rsid w:val="000811D5"/>
    <w:rsid w:val="00081C22"/>
    <w:rsid w:val="00082E08"/>
    <w:rsid w:val="000853AF"/>
    <w:rsid w:val="00085541"/>
    <w:rsid w:val="00086275"/>
    <w:rsid w:val="00086ADA"/>
    <w:rsid w:val="00087C54"/>
    <w:rsid w:val="000904E2"/>
    <w:rsid w:val="00090849"/>
    <w:rsid w:val="00090B8E"/>
    <w:rsid w:val="00091C55"/>
    <w:rsid w:val="0009215A"/>
    <w:rsid w:val="000965CD"/>
    <w:rsid w:val="000A034B"/>
    <w:rsid w:val="000A36AA"/>
    <w:rsid w:val="000A6C36"/>
    <w:rsid w:val="000B0A3B"/>
    <w:rsid w:val="000B395A"/>
    <w:rsid w:val="000B4F98"/>
    <w:rsid w:val="000C08EC"/>
    <w:rsid w:val="000C1B85"/>
    <w:rsid w:val="000C25E7"/>
    <w:rsid w:val="000D12E0"/>
    <w:rsid w:val="000D1A6F"/>
    <w:rsid w:val="000D3EF1"/>
    <w:rsid w:val="000E0105"/>
    <w:rsid w:val="000E36EB"/>
    <w:rsid w:val="000F0904"/>
    <w:rsid w:val="000F2D68"/>
    <w:rsid w:val="000F7670"/>
    <w:rsid w:val="000F77C9"/>
    <w:rsid w:val="001005DD"/>
    <w:rsid w:val="0010215D"/>
    <w:rsid w:val="001065B3"/>
    <w:rsid w:val="0010700E"/>
    <w:rsid w:val="001078DB"/>
    <w:rsid w:val="00107AAB"/>
    <w:rsid w:val="001105B2"/>
    <w:rsid w:val="001175C1"/>
    <w:rsid w:val="00121BB1"/>
    <w:rsid w:val="00122380"/>
    <w:rsid w:val="001243F7"/>
    <w:rsid w:val="00124423"/>
    <w:rsid w:val="00125E27"/>
    <w:rsid w:val="001309E6"/>
    <w:rsid w:val="00132107"/>
    <w:rsid w:val="0013239F"/>
    <w:rsid w:val="0013336D"/>
    <w:rsid w:val="00140137"/>
    <w:rsid w:val="00140350"/>
    <w:rsid w:val="0014036A"/>
    <w:rsid w:val="00142989"/>
    <w:rsid w:val="00143BD9"/>
    <w:rsid w:val="00143DDA"/>
    <w:rsid w:val="00145BD3"/>
    <w:rsid w:val="001479F0"/>
    <w:rsid w:val="00147F5C"/>
    <w:rsid w:val="00151986"/>
    <w:rsid w:val="0015395E"/>
    <w:rsid w:val="00155D2D"/>
    <w:rsid w:val="00163EC4"/>
    <w:rsid w:val="00164EED"/>
    <w:rsid w:val="001708CB"/>
    <w:rsid w:val="00170E54"/>
    <w:rsid w:val="00170F6B"/>
    <w:rsid w:val="0017399E"/>
    <w:rsid w:val="0017486E"/>
    <w:rsid w:val="00181012"/>
    <w:rsid w:val="001812FB"/>
    <w:rsid w:val="00181DEE"/>
    <w:rsid w:val="00183781"/>
    <w:rsid w:val="001845E1"/>
    <w:rsid w:val="0018471F"/>
    <w:rsid w:val="001874D2"/>
    <w:rsid w:val="00191303"/>
    <w:rsid w:val="0019134B"/>
    <w:rsid w:val="001929D0"/>
    <w:rsid w:val="00193001"/>
    <w:rsid w:val="00193CD7"/>
    <w:rsid w:val="00195048"/>
    <w:rsid w:val="001958EC"/>
    <w:rsid w:val="00196FA9"/>
    <w:rsid w:val="001A1A69"/>
    <w:rsid w:val="001A2477"/>
    <w:rsid w:val="001A47E3"/>
    <w:rsid w:val="001A55F3"/>
    <w:rsid w:val="001A6D31"/>
    <w:rsid w:val="001B3191"/>
    <w:rsid w:val="001B4461"/>
    <w:rsid w:val="001B4DE6"/>
    <w:rsid w:val="001B6E88"/>
    <w:rsid w:val="001C2EF9"/>
    <w:rsid w:val="001C417B"/>
    <w:rsid w:val="001C5577"/>
    <w:rsid w:val="001C608A"/>
    <w:rsid w:val="001C6442"/>
    <w:rsid w:val="001C7142"/>
    <w:rsid w:val="001D0765"/>
    <w:rsid w:val="001D200F"/>
    <w:rsid w:val="001E3ACC"/>
    <w:rsid w:val="001E43C3"/>
    <w:rsid w:val="001E451D"/>
    <w:rsid w:val="001F5C89"/>
    <w:rsid w:val="00200048"/>
    <w:rsid w:val="002026B1"/>
    <w:rsid w:val="002033DE"/>
    <w:rsid w:val="00210A27"/>
    <w:rsid w:val="002120C1"/>
    <w:rsid w:val="00213193"/>
    <w:rsid w:val="00213360"/>
    <w:rsid w:val="002137E1"/>
    <w:rsid w:val="002142C0"/>
    <w:rsid w:val="00217408"/>
    <w:rsid w:val="00217867"/>
    <w:rsid w:val="002207B3"/>
    <w:rsid w:val="00224B6E"/>
    <w:rsid w:val="0022782C"/>
    <w:rsid w:val="00227DC7"/>
    <w:rsid w:val="0023138F"/>
    <w:rsid w:val="0023222F"/>
    <w:rsid w:val="002328E9"/>
    <w:rsid w:val="00240233"/>
    <w:rsid w:val="00240CDB"/>
    <w:rsid w:val="00241EFC"/>
    <w:rsid w:val="00242AC5"/>
    <w:rsid w:val="00245708"/>
    <w:rsid w:val="00246CB8"/>
    <w:rsid w:val="00247917"/>
    <w:rsid w:val="00250310"/>
    <w:rsid w:val="00251BC3"/>
    <w:rsid w:val="00252354"/>
    <w:rsid w:val="00252FD9"/>
    <w:rsid w:val="002544DA"/>
    <w:rsid w:val="002565AA"/>
    <w:rsid w:val="00256F07"/>
    <w:rsid w:val="002573F7"/>
    <w:rsid w:val="0026103B"/>
    <w:rsid w:val="00262583"/>
    <w:rsid w:val="00262836"/>
    <w:rsid w:val="00263BEB"/>
    <w:rsid w:val="0026595B"/>
    <w:rsid w:val="00271CF2"/>
    <w:rsid w:val="00273EA7"/>
    <w:rsid w:val="002753D4"/>
    <w:rsid w:val="002812C7"/>
    <w:rsid w:val="00283A49"/>
    <w:rsid w:val="00284FFD"/>
    <w:rsid w:val="002863CD"/>
    <w:rsid w:val="0028716D"/>
    <w:rsid w:val="0029099F"/>
    <w:rsid w:val="00293479"/>
    <w:rsid w:val="00293567"/>
    <w:rsid w:val="00295C62"/>
    <w:rsid w:val="002A25BE"/>
    <w:rsid w:val="002A2FA2"/>
    <w:rsid w:val="002A4652"/>
    <w:rsid w:val="002A4C46"/>
    <w:rsid w:val="002A5537"/>
    <w:rsid w:val="002A580B"/>
    <w:rsid w:val="002A7BCF"/>
    <w:rsid w:val="002B12D2"/>
    <w:rsid w:val="002B4AAA"/>
    <w:rsid w:val="002B6849"/>
    <w:rsid w:val="002C180C"/>
    <w:rsid w:val="002C3E4B"/>
    <w:rsid w:val="002C4CF3"/>
    <w:rsid w:val="002D2803"/>
    <w:rsid w:val="002D2CED"/>
    <w:rsid w:val="002D30CD"/>
    <w:rsid w:val="002E112B"/>
    <w:rsid w:val="002E6E0C"/>
    <w:rsid w:val="002E6ED0"/>
    <w:rsid w:val="002F1104"/>
    <w:rsid w:val="002F2E53"/>
    <w:rsid w:val="002F34B6"/>
    <w:rsid w:val="002F71EC"/>
    <w:rsid w:val="003019E2"/>
    <w:rsid w:val="00301DC4"/>
    <w:rsid w:val="00303BD8"/>
    <w:rsid w:val="00311477"/>
    <w:rsid w:val="003132CF"/>
    <w:rsid w:val="003176B5"/>
    <w:rsid w:val="00320636"/>
    <w:rsid w:val="003210A9"/>
    <w:rsid w:val="00321E39"/>
    <w:rsid w:val="00321F28"/>
    <w:rsid w:val="003261F7"/>
    <w:rsid w:val="00330101"/>
    <w:rsid w:val="00330C44"/>
    <w:rsid w:val="00332D5C"/>
    <w:rsid w:val="00337EF0"/>
    <w:rsid w:val="003403A7"/>
    <w:rsid w:val="00342A99"/>
    <w:rsid w:val="003454EF"/>
    <w:rsid w:val="00345D96"/>
    <w:rsid w:val="00347806"/>
    <w:rsid w:val="00347E68"/>
    <w:rsid w:val="00353B85"/>
    <w:rsid w:val="00360552"/>
    <w:rsid w:val="00360BBA"/>
    <w:rsid w:val="003642B5"/>
    <w:rsid w:val="00366303"/>
    <w:rsid w:val="003702B5"/>
    <w:rsid w:val="00381ABF"/>
    <w:rsid w:val="00381D92"/>
    <w:rsid w:val="00383450"/>
    <w:rsid w:val="00390E4B"/>
    <w:rsid w:val="003913A9"/>
    <w:rsid w:val="00391A2C"/>
    <w:rsid w:val="00395750"/>
    <w:rsid w:val="00395D26"/>
    <w:rsid w:val="00397EE7"/>
    <w:rsid w:val="003A2B32"/>
    <w:rsid w:val="003A3B26"/>
    <w:rsid w:val="003B1320"/>
    <w:rsid w:val="003B2CBD"/>
    <w:rsid w:val="003B4B07"/>
    <w:rsid w:val="003B7452"/>
    <w:rsid w:val="003C05C8"/>
    <w:rsid w:val="003C1090"/>
    <w:rsid w:val="003C1458"/>
    <w:rsid w:val="003C2158"/>
    <w:rsid w:val="003C2974"/>
    <w:rsid w:val="003C456B"/>
    <w:rsid w:val="003C50BA"/>
    <w:rsid w:val="003D1F0C"/>
    <w:rsid w:val="003E01C0"/>
    <w:rsid w:val="003E0444"/>
    <w:rsid w:val="003E1253"/>
    <w:rsid w:val="003E1A14"/>
    <w:rsid w:val="003E1F29"/>
    <w:rsid w:val="003F3253"/>
    <w:rsid w:val="003F364B"/>
    <w:rsid w:val="003F3A99"/>
    <w:rsid w:val="00400F04"/>
    <w:rsid w:val="004014A4"/>
    <w:rsid w:val="00402A43"/>
    <w:rsid w:val="00402DE3"/>
    <w:rsid w:val="004038AC"/>
    <w:rsid w:val="00406BEA"/>
    <w:rsid w:val="004071BA"/>
    <w:rsid w:val="00410005"/>
    <w:rsid w:val="00410BE9"/>
    <w:rsid w:val="00410D35"/>
    <w:rsid w:val="00413790"/>
    <w:rsid w:val="004167B8"/>
    <w:rsid w:val="0042393E"/>
    <w:rsid w:val="00431CE6"/>
    <w:rsid w:val="00434CE2"/>
    <w:rsid w:val="00440857"/>
    <w:rsid w:val="004460D1"/>
    <w:rsid w:val="004510EC"/>
    <w:rsid w:val="00452FA7"/>
    <w:rsid w:val="00454F23"/>
    <w:rsid w:val="00455D26"/>
    <w:rsid w:val="00456B63"/>
    <w:rsid w:val="00456F95"/>
    <w:rsid w:val="00457ED1"/>
    <w:rsid w:val="00461220"/>
    <w:rsid w:val="004615D4"/>
    <w:rsid w:val="00463AC7"/>
    <w:rsid w:val="004705B2"/>
    <w:rsid w:val="0047087E"/>
    <w:rsid w:val="0047386C"/>
    <w:rsid w:val="00476AA7"/>
    <w:rsid w:val="00476E94"/>
    <w:rsid w:val="004774A7"/>
    <w:rsid w:val="004778AC"/>
    <w:rsid w:val="00480CFD"/>
    <w:rsid w:val="004819B1"/>
    <w:rsid w:val="0048593B"/>
    <w:rsid w:val="0049301F"/>
    <w:rsid w:val="00493B10"/>
    <w:rsid w:val="00497464"/>
    <w:rsid w:val="004A00B0"/>
    <w:rsid w:val="004A7820"/>
    <w:rsid w:val="004B15D8"/>
    <w:rsid w:val="004B70B8"/>
    <w:rsid w:val="004C0EB0"/>
    <w:rsid w:val="004C1397"/>
    <w:rsid w:val="004C432E"/>
    <w:rsid w:val="004C4F66"/>
    <w:rsid w:val="004D16DB"/>
    <w:rsid w:val="004D4991"/>
    <w:rsid w:val="004D5BD2"/>
    <w:rsid w:val="004D5BFC"/>
    <w:rsid w:val="004D6771"/>
    <w:rsid w:val="004E350F"/>
    <w:rsid w:val="004E3693"/>
    <w:rsid w:val="004E4F3D"/>
    <w:rsid w:val="004E7857"/>
    <w:rsid w:val="004F04EC"/>
    <w:rsid w:val="004F2642"/>
    <w:rsid w:val="004F433C"/>
    <w:rsid w:val="004F44EE"/>
    <w:rsid w:val="004F6503"/>
    <w:rsid w:val="004F6F4E"/>
    <w:rsid w:val="004F7514"/>
    <w:rsid w:val="004F7C86"/>
    <w:rsid w:val="00502703"/>
    <w:rsid w:val="00504A7E"/>
    <w:rsid w:val="00507A71"/>
    <w:rsid w:val="00507B6D"/>
    <w:rsid w:val="00511572"/>
    <w:rsid w:val="005120A8"/>
    <w:rsid w:val="00512D0C"/>
    <w:rsid w:val="0051549C"/>
    <w:rsid w:val="00515630"/>
    <w:rsid w:val="0052002E"/>
    <w:rsid w:val="0052209C"/>
    <w:rsid w:val="00523FD8"/>
    <w:rsid w:val="0052778A"/>
    <w:rsid w:val="00530461"/>
    <w:rsid w:val="00531223"/>
    <w:rsid w:val="005421BE"/>
    <w:rsid w:val="00542FC4"/>
    <w:rsid w:val="00543E23"/>
    <w:rsid w:val="0054495D"/>
    <w:rsid w:val="00550144"/>
    <w:rsid w:val="00550153"/>
    <w:rsid w:val="00550964"/>
    <w:rsid w:val="00551AFD"/>
    <w:rsid w:val="005539AF"/>
    <w:rsid w:val="005554A7"/>
    <w:rsid w:val="00564D17"/>
    <w:rsid w:val="00565581"/>
    <w:rsid w:val="005675BA"/>
    <w:rsid w:val="00576B8E"/>
    <w:rsid w:val="0057706B"/>
    <w:rsid w:val="0058147B"/>
    <w:rsid w:val="00581DBC"/>
    <w:rsid w:val="0058284A"/>
    <w:rsid w:val="00582A06"/>
    <w:rsid w:val="005835A8"/>
    <w:rsid w:val="00585248"/>
    <w:rsid w:val="005859CA"/>
    <w:rsid w:val="00585A92"/>
    <w:rsid w:val="005864C5"/>
    <w:rsid w:val="00587199"/>
    <w:rsid w:val="00590DA2"/>
    <w:rsid w:val="0059390D"/>
    <w:rsid w:val="00594674"/>
    <w:rsid w:val="0059473F"/>
    <w:rsid w:val="0059709B"/>
    <w:rsid w:val="005A02DF"/>
    <w:rsid w:val="005A0515"/>
    <w:rsid w:val="005A0906"/>
    <w:rsid w:val="005A1136"/>
    <w:rsid w:val="005A6CA1"/>
    <w:rsid w:val="005A6CA7"/>
    <w:rsid w:val="005B0346"/>
    <w:rsid w:val="005C0937"/>
    <w:rsid w:val="005C0E57"/>
    <w:rsid w:val="005C3287"/>
    <w:rsid w:val="005C6434"/>
    <w:rsid w:val="005D11C7"/>
    <w:rsid w:val="005D1329"/>
    <w:rsid w:val="005D1617"/>
    <w:rsid w:val="005D4710"/>
    <w:rsid w:val="005D47C9"/>
    <w:rsid w:val="005D67DF"/>
    <w:rsid w:val="005D6CBE"/>
    <w:rsid w:val="005E10BE"/>
    <w:rsid w:val="005E11F4"/>
    <w:rsid w:val="005E693E"/>
    <w:rsid w:val="005E69F1"/>
    <w:rsid w:val="005F176F"/>
    <w:rsid w:val="005F539B"/>
    <w:rsid w:val="005F5B45"/>
    <w:rsid w:val="005F7A41"/>
    <w:rsid w:val="00602D03"/>
    <w:rsid w:val="0060404D"/>
    <w:rsid w:val="006042B1"/>
    <w:rsid w:val="00605C86"/>
    <w:rsid w:val="0060686E"/>
    <w:rsid w:val="00611D51"/>
    <w:rsid w:val="006129E2"/>
    <w:rsid w:val="00612B56"/>
    <w:rsid w:val="006131E6"/>
    <w:rsid w:val="00613C23"/>
    <w:rsid w:val="00620E26"/>
    <w:rsid w:val="00621B27"/>
    <w:rsid w:val="00627EE0"/>
    <w:rsid w:val="00630115"/>
    <w:rsid w:val="00631161"/>
    <w:rsid w:val="006329FE"/>
    <w:rsid w:val="006334BA"/>
    <w:rsid w:val="00637A11"/>
    <w:rsid w:val="00637FE9"/>
    <w:rsid w:val="00643BDA"/>
    <w:rsid w:val="00646C80"/>
    <w:rsid w:val="00647E73"/>
    <w:rsid w:val="006534A3"/>
    <w:rsid w:val="0065680E"/>
    <w:rsid w:val="00662D66"/>
    <w:rsid w:val="00667F0E"/>
    <w:rsid w:val="006751D5"/>
    <w:rsid w:val="0068073F"/>
    <w:rsid w:val="006829F9"/>
    <w:rsid w:val="00683B6F"/>
    <w:rsid w:val="00684167"/>
    <w:rsid w:val="0068541B"/>
    <w:rsid w:val="006866BB"/>
    <w:rsid w:val="00687479"/>
    <w:rsid w:val="00687993"/>
    <w:rsid w:val="00691F78"/>
    <w:rsid w:val="00694F98"/>
    <w:rsid w:val="006A0430"/>
    <w:rsid w:val="006A117C"/>
    <w:rsid w:val="006A1481"/>
    <w:rsid w:val="006A1CF8"/>
    <w:rsid w:val="006A770C"/>
    <w:rsid w:val="006B307C"/>
    <w:rsid w:val="006B43F9"/>
    <w:rsid w:val="006B528C"/>
    <w:rsid w:val="006B7530"/>
    <w:rsid w:val="006C08B8"/>
    <w:rsid w:val="006C4245"/>
    <w:rsid w:val="006C4E3C"/>
    <w:rsid w:val="006C6788"/>
    <w:rsid w:val="006C7205"/>
    <w:rsid w:val="006C7E5E"/>
    <w:rsid w:val="006D0E06"/>
    <w:rsid w:val="006D0E16"/>
    <w:rsid w:val="006D126E"/>
    <w:rsid w:val="006D182B"/>
    <w:rsid w:val="006D6887"/>
    <w:rsid w:val="006D7EA1"/>
    <w:rsid w:val="006D7EEE"/>
    <w:rsid w:val="006E0DB6"/>
    <w:rsid w:val="006E1725"/>
    <w:rsid w:val="006E5DD6"/>
    <w:rsid w:val="006F0C1B"/>
    <w:rsid w:val="006F1D8F"/>
    <w:rsid w:val="006F379A"/>
    <w:rsid w:val="00700E80"/>
    <w:rsid w:val="00702C78"/>
    <w:rsid w:val="007061B4"/>
    <w:rsid w:val="00706A73"/>
    <w:rsid w:val="00710055"/>
    <w:rsid w:val="007105BF"/>
    <w:rsid w:val="00714E9B"/>
    <w:rsid w:val="00715F60"/>
    <w:rsid w:val="00717BBF"/>
    <w:rsid w:val="0072252B"/>
    <w:rsid w:val="007229BD"/>
    <w:rsid w:val="007233EF"/>
    <w:rsid w:val="00731922"/>
    <w:rsid w:val="007340F8"/>
    <w:rsid w:val="0073663A"/>
    <w:rsid w:val="00736C3B"/>
    <w:rsid w:val="007374A7"/>
    <w:rsid w:val="00741F0C"/>
    <w:rsid w:val="0074264A"/>
    <w:rsid w:val="00743234"/>
    <w:rsid w:val="0074364B"/>
    <w:rsid w:val="00744D19"/>
    <w:rsid w:val="0074663B"/>
    <w:rsid w:val="00746FBE"/>
    <w:rsid w:val="007537A0"/>
    <w:rsid w:val="00754C28"/>
    <w:rsid w:val="00754D9D"/>
    <w:rsid w:val="00761C8E"/>
    <w:rsid w:val="007626D1"/>
    <w:rsid w:val="007674DD"/>
    <w:rsid w:val="00767932"/>
    <w:rsid w:val="00767CFE"/>
    <w:rsid w:val="0077099E"/>
    <w:rsid w:val="00772BDB"/>
    <w:rsid w:val="00773F58"/>
    <w:rsid w:val="00775D03"/>
    <w:rsid w:val="00780612"/>
    <w:rsid w:val="0078259C"/>
    <w:rsid w:val="00784B0F"/>
    <w:rsid w:val="00785472"/>
    <w:rsid w:val="007854C8"/>
    <w:rsid w:val="007865E5"/>
    <w:rsid w:val="00786D20"/>
    <w:rsid w:val="00797CD3"/>
    <w:rsid w:val="007A0723"/>
    <w:rsid w:val="007A4334"/>
    <w:rsid w:val="007A59F4"/>
    <w:rsid w:val="007A63D1"/>
    <w:rsid w:val="007A6EE6"/>
    <w:rsid w:val="007B2350"/>
    <w:rsid w:val="007B309A"/>
    <w:rsid w:val="007B4FB0"/>
    <w:rsid w:val="007C689E"/>
    <w:rsid w:val="007C70DB"/>
    <w:rsid w:val="007D2483"/>
    <w:rsid w:val="007D5279"/>
    <w:rsid w:val="007D6855"/>
    <w:rsid w:val="007E145E"/>
    <w:rsid w:val="007E5D36"/>
    <w:rsid w:val="007E6305"/>
    <w:rsid w:val="007E6353"/>
    <w:rsid w:val="007F2026"/>
    <w:rsid w:val="007F37C2"/>
    <w:rsid w:val="007F492D"/>
    <w:rsid w:val="007F7B16"/>
    <w:rsid w:val="00800823"/>
    <w:rsid w:val="0080158F"/>
    <w:rsid w:val="00805D64"/>
    <w:rsid w:val="0082071A"/>
    <w:rsid w:val="008261BD"/>
    <w:rsid w:val="00826309"/>
    <w:rsid w:val="008333DB"/>
    <w:rsid w:val="0083490A"/>
    <w:rsid w:val="00835A12"/>
    <w:rsid w:val="0084013A"/>
    <w:rsid w:val="0084040E"/>
    <w:rsid w:val="00841615"/>
    <w:rsid w:val="008418EA"/>
    <w:rsid w:val="00841E47"/>
    <w:rsid w:val="00842A96"/>
    <w:rsid w:val="00842CD4"/>
    <w:rsid w:val="00843204"/>
    <w:rsid w:val="008432FB"/>
    <w:rsid w:val="008440EB"/>
    <w:rsid w:val="0085027D"/>
    <w:rsid w:val="00850FF9"/>
    <w:rsid w:val="00851BEF"/>
    <w:rsid w:val="00853AA1"/>
    <w:rsid w:val="00854261"/>
    <w:rsid w:val="00862FB6"/>
    <w:rsid w:val="0086306C"/>
    <w:rsid w:val="008643D5"/>
    <w:rsid w:val="00865E5F"/>
    <w:rsid w:val="00867FBC"/>
    <w:rsid w:val="00871E99"/>
    <w:rsid w:val="00873A94"/>
    <w:rsid w:val="008748DD"/>
    <w:rsid w:val="00875DAB"/>
    <w:rsid w:val="008765BC"/>
    <w:rsid w:val="008775A8"/>
    <w:rsid w:val="00877B8D"/>
    <w:rsid w:val="0088080C"/>
    <w:rsid w:val="008811AB"/>
    <w:rsid w:val="00881E69"/>
    <w:rsid w:val="00881F7D"/>
    <w:rsid w:val="00882737"/>
    <w:rsid w:val="00887808"/>
    <w:rsid w:val="008878B4"/>
    <w:rsid w:val="00891363"/>
    <w:rsid w:val="00893441"/>
    <w:rsid w:val="0089384A"/>
    <w:rsid w:val="008A002B"/>
    <w:rsid w:val="008A1108"/>
    <w:rsid w:val="008A118B"/>
    <w:rsid w:val="008A1B84"/>
    <w:rsid w:val="008A293E"/>
    <w:rsid w:val="008A2B21"/>
    <w:rsid w:val="008A32B3"/>
    <w:rsid w:val="008A46AE"/>
    <w:rsid w:val="008A4B81"/>
    <w:rsid w:val="008B0221"/>
    <w:rsid w:val="008B0E45"/>
    <w:rsid w:val="008B392B"/>
    <w:rsid w:val="008B40F0"/>
    <w:rsid w:val="008B567C"/>
    <w:rsid w:val="008B5EE8"/>
    <w:rsid w:val="008B6077"/>
    <w:rsid w:val="008B607F"/>
    <w:rsid w:val="008C0C4C"/>
    <w:rsid w:val="008C366F"/>
    <w:rsid w:val="008C4D00"/>
    <w:rsid w:val="008C6630"/>
    <w:rsid w:val="008C716F"/>
    <w:rsid w:val="008C7603"/>
    <w:rsid w:val="008D0F0E"/>
    <w:rsid w:val="008D1A2D"/>
    <w:rsid w:val="008D2CE7"/>
    <w:rsid w:val="008D3BD1"/>
    <w:rsid w:val="008D4AEA"/>
    <w:rsid w:val="008E0027"/>
    <w:rsid w:val="008E454E"/>
    <w:rsid w:val="008E65CA"/>
    <w:rsid w:val="008E7949"/>
    <w:rsid w:val="008F2391"/>
    <w:rsid w:val="008F2880"/>
    <w:rsid w:val="008F32C7"/>
    <w:rsid w:val="008F5155"/>
    <w:rsid w:val="008F6C05"/>
    <w:rsid w:val="00900715"/>
    <w:rsid w:val="00902861"/>
    <w:rsid w:val="00904F3A"/>
    <w:rsid w:val="00905C16"/>
    <w:rsid w:val="00914F5D"/>
    <w:rsid w:val="00915432"/>
    <w:rsid w:val="00921AC9"/>
    <w:rsid w:val="009253CB"/>
    <w:rsid w:val="00925A22"/>
    <w:rsid w:val="00925B03"/>
    <w:rsid w:val="009260B1"/>
    <w:rsid w:val="00931475"/>
    <w:rsid w:val="00934945"/>
    <w:rsid w:val="00934E30"/>
    <w:rsid w:val="0093683C"/>
    <w:rsid w:val="00936E9D"/>
    <w:rsid w:val="00940237"/>
    <w:rsid w:val="009415A0"/>
    <w:rsid w:val="00943DFA"/>
    <w:rsid w:val="009442E6"/>
    <w:rsid w:val="009454F2"/>
    <w:rsid w:val="00947407"/>
    <w:rsid w:val="00947F43"/>
    <w:rsid w:val="009505F3"/>
    <w:rsid w:val="0095192E"/>
    <w:rsid w:val="00952EA0"/>
    <w:rsid w:val="0095394E"/>
    <w:rsid w:val="009540A2"/>
    <w:rsid w:val="0095491B"/>
    <w:rsid w:val="00957DA3"/>
    <w:rsid w:val="00963E22"/>
    <w:rsid w:val="00973ABD"/>
    <w:rsid w:val="00984739"/>
    <w:rsid w:val="009952A1"/>
    <w:rsid w:val="009955DF"/>
    <w:rsid w:val="009A03B2"/>
    <w:rsid w:val="009A098F"/>
    <w:rsid w:val="009A1519"/>
    <w:rsid w:val="009A2E85"/>
    <w:rsid w:val="009A30EE"/>
    <w:rsid w:val="009A5B1C"/>
    <w:rsid w:val="009B2016"/>
    <w:rsid w:val="009B5023"/>
    <w:rsid w:val="009B6B0C"/>
    <w:rsid w:val="009C3D30"/>
    <w:rsid w:val="009C3F21"/>
    <w:rsid w:val="009C68D9"/>
    <w:rsid w:val="009C6B39"/>
    <w:rsid w:val="009C7C0A"/>
    <w:rsid w:val="009C7E68"/>
    <w:rsid w:val="009D1102"/>
    <w:rsid w:val="009D5738"/>
    <w:rsid w:val="009D5DFE"/>
    <w:rsid w:val="009E0428"/>
    <w:rsid w:val="009E2933"/>
    <w:rsid w:val="009E2E5A"/>
    <w:rsid w:val="009E37B8"/>
    <w:rsid w:val="009E6377"/>
    <w:rsid w:val="009E7D9A"/>
    <w:rsid w:val="009F0096"/>
    <w:rsid w:val="009F02A4"/>
    <w:rsid w:val="009F0D6D"/>
    <w:rsid w:val="009F1DD2"/>
    <w:rsid w:val="009F2F02"/>
    <w:rsid w:val="009F4DDE"/>
    <w:rsid w:val="009F5BF6"/>
    <w:rsid w:val="009F6C91"/>
    <w:rsid w:val="00A001DC"/>
    <w:rsid w:val="00A02FC2"/>
    <w:rsid w:val="00A03822"/>
    <w:rsid w:val="00A1145C"/>
    <w:rsid w:val="00A139F7"/>
    <w:rsid w:val="00A14D5C"/>
    <w:rsid w:val="00A20BB6"/>
    <w:rsid w:val="00A20E79"/>
    <w:rsid w:val="00A21828"/>
    <w:rsid w:val="00A21DC4"/>
    <w:rsid w:val="00A23726"/>
    <w:rsid w:val="00A254F9"/>
    <w:rsid w:val="00A25B16"/>
    <w:rsid w:val="00A30C7C"/>
    <w:rsid w:val="00A33BE5"/>
    <w:rsid w:val="00A34002"/>
    <w:rsid w:val="00A34D18"/>
    <w:rsid w:val="00A3674A"/>
    <w:rsid w:val="00A377AD"/>
    <w:rsid w:val="00A421B5"/>
    <w:rsid w:val="00A42B48"/>
    <w:rsid w:val="00A45459"/>
    <w:rsid w:val="00A46F5A"/>
    <w:rsid w:val="00A50139"/>
    <w:rsid w:val="00A50698"/>
    <w:rsid w:val="00A525D7"/>
    <w:rsid w:val="00A5292E"/>
    <w:rsid w:val="00A52B56"/>
    <w:rsid w:val="00A54E8B"/>
    <w:rsid w:val="00A56A4F"/>
    <w:rsid w:val="00A56FA8"/>
    <w:rsid w:val="00A579AD"/>
    <w:rsid w:val="00A615CA"/>
    <w:rsid w:val="00A63DB6"/>
    <w:rsid w:val="00A64139"/>
    <w:rsid w:val="00A6487E"/>
    <w:rsid w:val="00A651E9"/>
    <w:rsid w:val="00A653FA"/>
    <w:rsid w:val="00A66EDE"/>
    <w:rsid w:val="00A717FB"/>
    <w:rsid w:val="00A7418B"/>
    <w:rsid w:val="00A753B6"/>
    <w:rsid w:val="00A758AA"/>
    <w:rsid w:val="00A76727"/>
    <w:rsid w:val="00A76780"/>
    <w:rsid w:val="00A76CE5"/>
    <w:rsid w:val="00A7706A"/>
    <w:rsid w:val="00A80DDC"/>
    <w:rsid w:val="00A80ED7"/>
    <w:rsid w:val="00A83333"/>
    <w:rsid w:val="00A83D9C"/>
    <w:rsid w:val="00A860EA"/>
    <w:rsid w:val="00A868B9"/>
    <w:rsid w:val="00A90168"/>
    <w:rsid w:val="00A93253"/>
    <w:rsid w:val="00A9375E"/>
    <w:rsid w:val="00AA18F9"/>
    <w:rsid w:val="00AA2092"/>
    <w:rsid w:val="00AA4921"/>
    <w:rsid w:val="00AA5109"/>
    <w:rsid w:val="00AA5267"/>
    <w:rsid w:val="00AA674C"/>
    <w:rsid w:val="00AB4E3A"/>
    <w:rsid w:val="00AB549B"/>
    <w:rsid w:val="00AB5547"/>
    <w:rsid w:val="00AB5879"/>
    <w:rsid w:val="00AC0A0A"/>
    <w:rsid w:val="00AC0F7C"/>
    <w:rsid w:val="00AC154F"/>
    <w:rsid w:val="00AC1A45"/>
    <w:rsid w:val="00AC20CE"/>
    <w:rsid w:val="00AC4AD0"/>
    <w:rsid w:val="00AC5DC6"/>
    <w:rsid w:val="00AC5ECB"/>
    <w:rsid w:val="00AD2BE5"/>
    <w:rsid w:val="00AD4436"/>
    <w:rsid w:val="00AD5562"/>
    <w:rsid w:val="00AD7105"/>
    <w:rsid w:val="00AD7C29"/>
    <w:rsid w:val="00AE0A47"/>
    <w:rsid w:val="00AE151E"/>
    <w:rsid w:val="00AE3F40"/>
    <w:rsid w:val="00AE4E64"/>
    <w:rsid w:val="00AE502F"/>
    <w:rsid w:val="00AE68DA"/>
    <w:rsid w:val="00AE73FA"/>
    <w:rsid w:val="00AF0A74"/>
    <w:rsid w:val="00AF398C"/>
    <w:rsid w:val="00AF48FB"/>
    <w:rsid w:val="00AF6BE4"/>
    <w:rsid w:val="00AF77F6"/>
    <w:rsid w:val="00B00E41"/>
    <w:rsid w:val="00B05DC2"/>
    <w:rsid w:val="00B11FB0"/>
    <w:rsid w:val="00B13FC8"/>
    <w:rsid w:val="00B146F8"/>
    <w:rsid w:val="00B14B5C"/>
    <w:rsid w:val="00B14F8A"/>
    <w:rsid w:val="00B2054A"/>
    <w:rsid w:val="00B22F42"/>
    <w:rsid w:val="00B25EA5"/>
    <w:rsid w:val="00B26A0F"/>
    <w:rsid w:val="00B27D4D"/>
    <w:rsid w:val="00B32901"/>
    <w:rsid w:val="00B35FD6"/>
    <w:rsid w:val="00B376B0"/>
    <w:rsid w:val="00B41565"/>
    <w:rsid w:val="00B417E1"/>
    <w:rsid w:val="00B41937"/>
    <w:rsid w:val="00B41F95"/>
    <w:rsid w:val="00B4273F"/>
    <w:rsid w:val="00B434CB"/>
    <w:rsid w:val="00B44467"/>
    <w:rsid w:val="00B449FB"/>
    <w:rsid w:val="00B44ED0"/>
    <w:rsid w:val="00B45DE9"/>
    <w:rsid w:val="00B51072"/>
    <w:rsid w:val="00B510B9"/>
    <w:rsid w:val="00B52355"/>
    <w:rsid w:val="00B52B9F"/>
    <w:rsid w:val="00B57617"/>
    <w:rsid w:val="00B60B33"/>
    <w:rsid w:val="00B635F5"/>
    <w:rsid w:val="00B63D39"/>
    <w:rsid w:val="00B6405B"/>
    <w:rsid w:val="00B6752C"/>
    <w:rsid w:val="00B679BB"/>
    <w:rsid w:val="00B70D34"/>
    <w:rsid w:val="00B70FE8"/>
    <w:rsid w:val="00B7400F"/>
    <w:rsid w:val="00B7453F"/>
    <w:rsid w:val="00B759B8"/>
    <w:rsid w:val="00B77ED1"/>
    <w:rsid w:val="00B83E19"/>
    <w:rsid w:val="00B864E6"/>
    <w:rsid w:val="00B86670"/>
    <w:rsid w:val="00B93B61"/>
    <w:rsid w:val="00B9438E"/>
    <w:rsid w:val="00B943B1"/>
    <w:rsid w:val="00B96451"/>
    <w:rsid w:val="00BA24ED"/>
    <w:rsid w:val="00BA2827"/>
    <w:rsid w:val="00BA2ADF"/>
    <w:rsid w:val="00BA574D"/>
    <w:rsid w:val="00BA5D00"/>
    <w:rsid w:val="00BA7492"/>
    <w:rsid w:val="00BB1C04"/>
    <w:rsid w:val="00BB2A13"/>
    <w:rsid w:val="00BB3E50"/>
    <w:rsid w:val="00BC197F"/>
    <w:rsid w:val="00BC3BE1"/>
    <w:rsid w:val="00BC5720"/>
    <w:rsid w:val="00BC5B85"/>
    <w:rsid w:val="00BC68FD"/>
    <w:rsid w:val="00BC7797"/>
    <w:rsid w:val="00BC7CB3"/>
    <w:rsid w:val="00BD060D"/>
    <w:rsid w:val="00BD0F74"/>
    <w:rsid w:val="00BD1500"/>
    <w:rsid w:val="00BD29D7"/>
    <w:rsid w:val="00BD396C"/>
    <w:rsid w:val="00BD5680"/>
    <w:rsid w:val="00BD6B8D"/>
    <w:rsid w:val="00BD7752"/>
    <w:rsid w:val="00BE0535"/>
    <w:rsid w:val="00BE0556"/>
    <w:rsid w:val="00BE0FE0"/>
    <w:rsid w:val="00BE1407"/>
    <w:rsid w:val="00BE7085"/>
    <w:rsid w:val="00BF06DA"/>
    <w:rsid w:val="00BF1369"/>
    <w:rsid w:val="00BF3722"/>
    <w:rsid w:val="00BF6729"/>
    <w:rsid w:val="00C02231"/>
    <w:rsid w:val="00C02810"/>
    <w:rsid w:val="00C0348B"/>
    <w:rsid w:val="00C04D26"/>
    <w:rsid w:val="00C10127"/>
    <w:rsid w:val="00C10F7A"/>
    <w:rsid w:val="00C163CC"/>
    <w:rsid w:val="00C21511"/>
    <w:rsid w:val="00C22875"/>
    <w:rsid w:val="00C22CDD"/>
    <w:rsid w:val="00C25ED2"/>
    <w:rsid w:val="00C26B51"/>
    <w:rsid w:val="00C26F31"/>
    <w:rsid w:val="00C30B6F"/>
    <w:rsid w:val="00C32E14"/>
    <w:rsid w:val="00C33221"/>
    <w:rsid w:val="00C37B4B"/>
    <w:rsid w:val="00C400E0"/>
    <w:rsid w:val="00C407D4"/>
    <w:rsid w:val="00C417F9"/>
    <w:rsid w:val="00C4191A"/>
    <w:rsid w:val="00C4428A"/>
    <w:rsid w:val="00C44F98"/>
    <w:rsid w:val="00C475F2"/>
    <w:rsid w:val="00C47B15"/>
    <w:rsid w:val="00C51523"/>
    <w:rsid w:val="00C51FFA"/>
    <w:rsid w:val="00C62A51"/>
    <w:rsid w:val="00C64781"/>
    <w:rsid w:val="00C667F3"/>
    <w:rsid w:val="00C66B07"/>
    <w:rsid w:val="00C674E3"/>
    <w:rsid w:val="00C736EB"/>
    <w:rsid w:val="00C83B40"/>
    <w:rsid w:val="00C83B77"/>
    <w:rsid w:val="00C84FB9"/>
    <w:rsid w:val="00C8556B"/>
    <w:rsid w:val="00C86852"/>
    <w:rsid w:val="00C86CCF"/>
    <w:rsid w:val="00C903B0"/>
    <w:rsid w:val="00C90A21"/>
    <w:rsid w:val="00C94ABE"/>
    <w:rsid w:val="00C9562E"/>
    <w:rsid w:val="00C957E1"/>
    <w:rsid w:val="00CA1C3B"/>
    <w:rsid w:val="00CA3915"/>
    <w:rsid w:val="00CA66E0"/>
    <w:rsid w:val="00CB2DD9"/>
    <w:rsid w:val="00CB4191"/>
    <w:rsid w:val="00CB451D"/>
    <w:rsid w:val="00CB7177"/>
    <w:rsid w:val="00CC0840"/>
    <w:rsid w:val="00CC6E4F"/>
    <w:rsid w:val="00CD0687"/>
    <w:rsid w:val="00CD2EF0"/>
    <w:rsid w:val="00CD4E81"/>
    <w:rsid w:val="00CD68D8"/>
    <w:rsid w:val="00CE02D9"/>
    <w:rsid w:val="00CE5A92"/>
    <w:rsid w:val="00CE766C"/>
    <w:rsid w:val="00CF110A"/>
    <w:rsid w:val="00CF1D32"/>
    <w:rsid w:val="00CF3311"/>
    <w:rsid w:val="00CF6017"/>
    <w:rsid w:val="00CF7C8E"/>
    <w:rsid w:val="00D00938"/>
    <w:rsid w:val="00D04CB4"/>
    <w:rsid w:val="00D04FEB"/>
    <w:rsid w:val="00D0578B"/>
    <w:rsid w:val="00D05D9A"/>
    <w:rsid w:val="00D06589"/>
    <w:rsid w:val="00D06A3E"/>
    <w:rsid w:val="00D06AF9"/>
    <w:rsid w:val="00D07C4E"/>
    <w:rsid w:val="00D15819"/>
    <w:rsid w:val="00D20DC6"/>
    <w:rsid w:val="00D250FE"/>
    <w:rsid w:val="00D270C4"/>
    <w:rsid w:val="00D37339"/>
    <w:rsid w:val="00D37538"/>
    <w:rsid w:val="00D37E8E"/>
    <w:rsid w:val="00D41B6B"/>
    <w:rsid w:val="00D4407F"/>
    <w:rsid w:val="00D44143"/>
    <w:rsid w:val="00D459BF"/>
    <w:rsid w:val="00D50185"/>
    <w:rsid w:val="00D52365"/>
    <w:rsid w:val="00D52374"/>
    <w:rsid w:val="00D5259B"/>
    <w:rsid w:val="00D55399"/>
    <w:rsid w:val="00D626FC"/>
    <w:rsid w:val="00D63B0C"/>
    <w:rsid w:val="00D6593A"/>
    <w:rsid w:val="00D67F61"/>
    <w:rsid w:val="00D7278A"/>
    <w:rsid w:val="00D73AE1"/>
    <w:rsid w:val="00D746F0"/>
    <w:rsid w:val="00D74A15"/>
    <w:rsid w:val="00D77466"/>
    <w:rsid w:val="00D778E1"/>
    <w:rsid w:val="00D80122"/>
    <w:rsid w:val="00D80B03"/>
    <w:rsid w:val="00D8211C"/>
    <w:rsid w:val="00D823F8"/>
    <w:rsid w:val="00D83118"/>
    <w:rsid w:val="00D8641A"/>
    <w:rsid w:val="00D86841"/>
    <w:rsid w:val="00D9281A"/>
    <w:rsid w:val="00DA1B80"/>
    <w:rsid w:val="00DA2A19"/>
    <w:rsid w:val="00DA2D79"/>
    <w:rsid w:val="00DA2DF9"/>
    <w:rsid w:val="00DA5FE7"/>
    <w:rsid w:val="00DA6321"/>
    <w:rsid w:val="00DA6548"/>
    <w:rsid w:val="00DA6A2C"/>
    <w:rsid w:val="00DA6FE7"/>
    <w:rsid w:val="00DA7191"/>
    <w:rsid w:val="00DA78D5"/>
    <w:rsid w:val="00DA7D20"/>
    <w:rsid w:val="00DB41BC"/>
    <w:rsid w:val="00DB554A"/>
    <w:rsid w:val="00DB66C4"/>
    <w:rsid w:val="00DB76D9"/>
    <w:rsid w:val="00DC1669"/>
    <w:rsid w:val="00DC2797"/>
    <w:rsid w:val="00DC2AC5"/>
    <w:rsid w:val="00DC3E1F"/>
    <w:rsid w:val="00DC49B8"/>
    <w:rsid w:val="00DC5CF2"/>
    <w:rsid w:val="00DC6443"/>
    <w:rsid w:val="00DC73F6"/>
    <w:rsid w:val="00DD17AC"/>
    <w:rsid w:val="00DD227E"/>
    <w:rsid w:val="00DD3982"/>
    <w:rsid w:val="00DD4057"/>
    <w:rsid w:val="00DD4321"/>
    <w:rsid w:val="00DD565A"/>
    <w:rsid w:val="00DE0DF9"/>
    <w:rsid w:val="00DE174F"/>
    <w:rsid w:val="00DE26E7"/>
    <w:rsid w:val="00DE7FD2"/>
    <w:rsid w:val="00DF291A"/>
    <w:rsid w:val="00DF3A4A"/>
    <w:rsid w:val="00DF6615"/>
    <w:rsid w:val="00DF70F4"/>
    <w:rsid w:val="00DF7B11"/>
    <w:rsid w:val="00E00C31"/>
    <w:rsid w:val="00E02C70"/>
    <w:rsid w:val="00E05C07"/>
    <w:rsid w:val="00E07603"/>
    <w:rsid w:val="00E10DD8"/>
    <w:rsid w:val="00E11BFF"/>
    <w:rsid w:val="00E12657"/>
    <w:rsid w:val="00E1298F"/>
    <w:rsid w:val="00E12B7C"/>
    <w:rsid w:val="00E14949"/>
    <w:rsid w:val="00E15C51"/>
    <w:rsid w:val="00E1739D"/>
    <w:rsid w:val="00E17D5B"/>
    <w:rsid w:val="00E22F3E"/>
    <w:rsid w:val="00E234CD"/>
    <w:rsid w:val="00E27497"/>
    <w:rsid w:val="00E324E4"/>
    <w:rsid w:val="00E37757"/>
    <w:rsid w:val="00E46138"/>
    <w:rsid w:val="00E465AB"/>
    <w:rsid w:val="00E46B74"/>
    <w:rsid w:val="00E50972"/>
    <w:rsid w:val="00E53308"/>
    <w:rsid w:val="00E5699A"/>
    <w:rsid w:val="00E5737C"/>
    <w:rsid w:val="00E57DBD"/>
    <w:rsid w:val="00E60D21"/>
    <w:rsid w:val="00E61DA0"/>
    <w:rsid w:val="00E62173"/>
    <w:rsid w:val="00E62E9B"/>
    <w:rsid w:val="00E63260"/>
    <w:rsid w:val="00E644D2"/>
    <w:rsid w:val="00E64758"/>
    <w:rsid w:val="00E66C3A"/>
    <w:rsid w:val="00E727CB"/>
    <w:rsid w:val="00E746EE"/>
    <w:rsid w:val="00E7513E"/>
    <w:rsid w:val="00E755ED"/>
    <w:rsid w:val="00E76BB4"/>
    <w:rsid w:val="00E82B42"/>
    <w:rsid w:val="00E83543"/>
    <w:rsid w:val="00E84212"/>
    <w:rsid w:val="00E8655C"/>
    <w:rsid w:val="00E8723D"/>
    <w:rsid w:val="00E872D2"/>
    <w:rsid w:val="00E909CF"/>
    <w:rsid w:val="00E920CD"/>
    <w:rsid w:val="00E93B12"/>
    <w:rsid w:val="00EA3BE8"/>
    <w:rsid w:val="00EA4EFA"/>
    <w:rsid w:val="00EA5BE1"/>
    <w:rsid w:val="00EA66F0"/>
    <w:rsid w:val="00EA6868"/>
    <w:rsid w:val="00EB0312"/>
    <w:rsid w:val="00EB21D8"/>
    <w:rsid w:val="00EB2DE7"/>
    <w:rsid w:val="00EB3D35"/>
    <w:rsid w:val="00EB6084"/>
    <w:rsid w:val="00EC37F1"/>
    <w:rsid w:val="00ED2DFC"/>
    <w:rsid w:val="00ED6CED"/>
    <w:rsid w:val="00ED7072"/>
    <w:rsid w:val="00EE12BD"/>
    <w:rsid w:val="00EE3120"/>
    <w:rsid w:val="00EE3840"/>
    <w:rsid w:val="00EE439B"/>
    <w:rsid w:val="00EE4816"/>
    <w:rsid w:val="00EE6CB3"/>
    <w:rsid w:val="00EE782B"/>
    <w:rsid w:val="00EE79DC"/>
    <w:rsid w:val="00EF1F1D"/>
    <w:rsid w:val="00EF3275"/>
    <w:rsid w:val="00EF4360"/>
    <w:rsid w:val="00EF5370"/>
    <w:rsid w:val="00EF55A5"/>
    <w:rsid w:val="00EF5E37"/>
    <w:rsid w:val="00EF7ED0"/>
    <w:rsid w:val="00F039A1"/>
    <w:rsid w:val="00F04403"/>
    <w:rsid w:val="00F07D51"/>
    <w:rsid w:val="00F20F36"/>
    <w:rsid w:val="00F240D9"/>
    <w:rsid w:val="00F27C7A"/>
    <w:rsid w:val="00F32D87"/>
    <w:rsid w:val="00F33B96"/>
    <w:rsid w:val="00F35F0F"/>
    <w:rsid w:val="00F36205"/>
    <w:rsid w:val="00F362F3"/>
    <w:rsid w:val="00F36A69"/>
    <w:rsid w:val="00F40E43"/>
    <w:rsid w:val="00F43492"/>
    <w:rsid w:val="00F43C6B"/>
    <w:rsid w:val="00F44946"/>
    <w:rsid w:val="00F502AB"/>
    <w:rsid w:val="00F51D4D"/>
    <w:rsid w:val="00F546E5"/>
    <w:rsid w:val="00F57834"/>
    <w:rsid w:val="00F57DE6"/>
    <w:rsid w:val="00F60EF7"/>
    <w:rsid w:val="00F61485"/>
    <w:rsid w:val="00F621D5"/>
    <w:rsid w:val="00F65F3A"/>
    <w:rsid w:val="00F70BE0"/>
    <w:rsid w:val="00F70D50"/>
    <w:rsid w:val="00F75AA1"/>
    <w:rsid w:val="00F75B4F"/>
    <w:rsid w:val="00F81E6E"/>
    <w:rsid w:val="00F81F95"/>
    <w:rsid w:val="00F85F9B"/>
    <w:rsid w:val="00F8785A"/>
    <w:rsid w:val="00F90019"/>
    <w:rsid w:val="00F93AE2"/>
    <w:rsid w:val="00F97F42"/>
    <w:rsid w:val="00FA0938"/>
    <w:rsid w:val="00FA491A"/>
    <w:rsid w:val="00FA5482"/>
    <w:rsid w:val="00FA5ECD"/>
    <w:rsid w:val="00FA5F90"/>
    <w:rsid w:val="00FA7B67"/>
    <w:rsid w:val="00FB1C2B"/>
    <w:rsid w:val="00FB25E3"/>
    <w:rsid w:val="00FB4279"/>
    <w:rsid w:val="00FB53B9"/>
    <w:rsid w:val="00FB63D3"/>
    <w:rsid w:val="00FB664C"/>
    <w:rsid w:val="00FC2990"/>
    <w:rsid w:val="00FC2D1A"/>
    <w:rsid w:val="00FC3DF0"/>
    <w:rsid w:val="00FC406D"/>
    <w:rsid w:val="00FC480B"/>
    <w:rsid w:val="00FC4B98"/>
    <w:rsid w:val="00FC5495"/>
    <w:rsid w:val="00FC7036"/>
    <w:rsid w:val="00FD3E51"/>
    <w:rsid w:val="00FD4930"/>
    <w:rsid w:val="00FE04C3"/>
    <w:rsid w:val="00FE0527"/>
    <w:rsid w:val="00FE11AF"/>
    <w:rsid w:val="00FE77F8"/>
    <w:rsid w:val="00FF4FB2"/>
    <w:rsid w:val="00FF6E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Subtitle" w:qFormat="1"/>
    <w:lsdException w:name="Body Text First Indent"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F0C1B"/>
    <w:pPr>
      <w:widowControl w:val="0"/>
      <w:jc w:val="both"/>
    </w:pPr>
    <w:rPr>
      <w:kern w:val="2"/>
      <w:sz w:val="21"/>
      <w:szCs w:val="24"/>
    </w:rPr>
  </w:style>
  <w:style w:type="paragraph" w:styleId="2">
    <w:name w:val="heading 2"/>
    <w:basedOn w:val="a"/>
    <w:next w:val="a"/>
    <w:link w:val="2Char"/>
    <w:qFormat/>
    <w:rsid w:val="006F0C1B"/>
    <w:pPr>
      <w:keepNext/>
      <w:keepLines/>
      <w:spacing w:line="413" w:lineRule="auto"/>
      <w:outlineLvl w:val="1"/>
    </w:pPr>
    <w:rPr>
      <w:rFonts w:ascii="Arial" w:eastAsia="黑体" w:hAnsi="Arial"/>
      <w:b/>
      <w:sz w:val="32"/>
    </w:rPr>
  </w:style>
  <w:style w:type="paragraph" w:styleId="3">
    <w:name w:val="heading 3"/>
    <w:basedOn w:val="a"/>
    <w:next w:val="a"/>
    <w:link w:val="3Char"/>
    <w:qFormat/>
    <w:rsid w:val="006F0C1B"/>
    <w:pPr>
      <w:keepNext/>
      <w:keepLines/>
      <w:spacing w:line="360" w:lineRule="auto"/>
      <w:outlineLvl w:val="2"/>
    </w:pPr>
    <w:rPr>
      <w:b/>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rsid w:val="006F0C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6F0C1B"/>
    <w:rPr>
      <w:kern w:val="2"/>
      <w:sz w:val="18"/>
      <w:szCs w:val="18"/>
    </w:rPr>
  </w:style>
  <w:style w:type="paragraph" w:styleId="a5">
    <w:name w:val="footer"/>
    <w:basedOn w:val="a"/>
    <w:link w:val="Char0"/>
    <w:rsid w:val="006F0C1B"/>
    <w:pPr>
      <w:tabs>
        <w:tab w:val="center" w:pos="4153"/>
        <w:tab w:val="right" w:pos="8306"/>
      </w:tabs>
      <w:snapToGrid w:val="0"/>
      <w:jc w:val="left"/>
    </w:pPr>
    <w:rPr>
      <w:sz w:val="18"/>
      <w:szCs w:val="18"/>
    </w:rPr>
  </w:style>
  <w:style w:type="character" w:customStyle="1" w:styleId="Char0">
    <w:name w:val="页脚 Char"/>
    <w:basedOn w:val="a1"/>
    <w:link w:val="a5"/>
    <w:rsid w:val="006F0C1B"/>
    <w:rPr>
      <w:kern w:val="2"/>
      <w:sz w:val="18"/>
      <w:szCs w:val="18"/>
    </w:rPr>
  </w:style>
  <w:style w:type="character" w:customStyle="1" w:styleId="2Char">
    <w:name w:val="标题 2 Char"/>
    <w:basedOn w:val="a1"/>
    <w:link w:val="2"/>
    <w:rsid w:val="006F0C1B"/>
    <w:rPr>
      <w:rFonts w:ascii="Arial" w:eastAsia="黑体" w:hAnsi="Arial"/>
      <w:b/>
      <w:kern w:val="2"/>
      <w:sz w:val="32"/>
      <w:szCs w:val="24"/>
    </w:rPr>
  </w:style>
  <w:style w:type="character" w:customStyle="1" w:styleId="3Char">
    <w:name w:val="标题 3 Char"/>
    <w:basedOn w:val="a1"/>
    <w:link w:val="3"/>
    <w:rsid w:val="006F0C1B"/>
    <w:rPr>
      <w:b/>
      <w:bCs/>
      <w:kern w:val="2"/>
      <w:sz w:val="24"/>
      <w:szCs w:val="32"/>
    </w:rPr>
  </w:style>
  <w:style w:type="paragraph" w:styleId="a6">
    <w:name w:val="Body Text"/>
    <w:basedOn w:val="a"/>
    <w:link w:val="Char1"/>
    <w:rsid w:val="006F0C1B"/>
    <w:pPr>
      <w:spacing w:after="120"/>
    </w:pPr>
  </w:style>
  <w:style w:type="character" w:customStyle="1" w:styleId="Char1">
    <w:name w:val="正文文本 Char"/>
    <w:basedOn w:val="a1"/>
    <w:link w:val="a6"/>
    <w:rsid w:val="006F0C1B"/>
    <w:rPr>
      <w:kern w:val="2"/>
      <w:sz w:val="21"/>
      <w:szCs w:val="24"/>
    </w:rPr>
  </w:style>
  <w:style w:type="paragraph" w:styleId="a0">
    <w:name w:val="Body Text First Indent"/>
    <w:basedOn w:val="a6"/>
    <w:link w:val="Char2"/>
    <w:qFormat/>
    <w:rsid w:val="006F0C1B"/>
    <w:pPr>
      <w:spacing w:after="0"/>
      <w:ind w:firstLineChars="100" w:firstLine="420"/>
    </w:pPr>
    <w:rPr>
      <w:rFonts w:ascii="楷体_GB2312" w:eastAsia="楷体_GB2312" w:hAnsi="Arial"/>
      <w:sz w:val="28"/>
      <w:szCs w:val="20"/>
    </w:rPr>
  </w:style>
  <w:style w:type="character" w:customStyle="1" w:styleId="Char2">
    <w:name w:val="正文首行缩进 Char"/>
    <w:basedOn w:val="Char1"/>
    <w:link w:val="a0"/>
    <w:rsid w:val="006F0C1B"/>
    <w:rPr>
      <w:rFonts w:ascii="楷体_GB2312" w:eastAsia="楷体_GB2312" w:hAnsi="Arial"/>
      <w:sz w:val="28"/>
    </w:rPr>
  </w:style>
  <w:style w:type="paragraph" w:styleId="a7">
    <w:name w:val="Normal Indent"/>
    <w:basedOn w:val="a"/>
    <w:qFormat/>
    <w:rsid w:val="006F0C1B"/>
    <w:pPr>
      <w:spacing w:line="360" w:lineRule="auto"/>
      <w:ind w:firstLineChars="200" w:firstLine="200"/>
    </w:pPr>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7428</Words>
  <Characters>345</Characters>
  <Application>Microsoft Office Word</Application>
  <DocSecurity>0</DocSecurity>
  <Lines>2</Lines>
  <Paragraphs>15</Paragraphs>
  <ScaleCrop>false</ScaleCrop>
  <Company>Ghost Win7 SP1 装机版  V2014/07/14</Company>
  <LinksUpToDate>false</LinksUpToDate>
  <CharactersWithSpaces>7758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鄢陵县公共资源交易中心:梁宁</dc:creator>
  <cp:keywords/>
  <dc:description/>
  <cp:lastModifiedBy>鄢陵县公共资源交易中心:梁宁</cp:lastModifiedBy>
  <cp:revision>2</cp:revision>
  <dcterms:created xsi:type="dcterms:W3CDTF">2018-12-07T07:53:00Z</dcterms:created>
  <dcterms:modified xsi:type="dcterms:W3CDTF">2018-12-07T07:53:00Z</dcterms:modified>
</cp:coreProperties>
</file>