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200" w:lineRule="exact"/>
        <w:rPr>
          <w:rFonts w:eastAsia="Times New Roman"/>
        </w:rPr>
      </w:pPr>
    </w:p>
    <w:p>
      <w:pPr>
        <w:pStyle w:val="2"/>
        <w:ind w:firstLine="340"/>
      </w:pPr>
    </w:p>
    <w:p>
      <w:pPr>
        <w:tabs>
          <w:tab w:val="left" w:pos="0"/>
        </w:tabs>
        <w:spacing w:line="223" w:lineRule="exact"/>
        <w:ind w:left="142" w:leftChars="71"/>
        <w:rPr>
          <w:rFonts w:eastAsia="Times New Roman"/>
        </w:rPr>
      </w:pPr>
    </w:p>
    <w:p>
      <w:pPr>
        <w:jc w:val="center"/>
        <w:rPr>
          <w:rFonts w:ascii="宋体" w:hAnsi="宋体"/>
          <w:sz w:val="72"/>
          <w:szCs w:val="72"/>
        </w:rPr>
      </w:pPr>
      <w:r>
        <w:rPr>
          <w:rFonts w:hint="eastAsia" w:ascii="宋体" w:hAnsi="宋体"/>
          <w:sz w:val="72"/>
          <w:szCs w:val="72"/>
        </w:rPr>
        <w:t>建安区</w:t>
      </w:r>
      <w:r>
        <w:rPr>
          <w:rFonts w:ascii="宋体" w:hAnsi="宋体"/>
          <w:sz w:val="72"/>
          <w:szCs w:val="72"/>
        </w:rPr>
        <w:t>建设工程</w:t>
      </w:r>
    </w:p>
    <w:p>
      <w:pPr>
        <w:jc w:val="both"/>
        <w:rPr>
          <w:rFonts w:eastAsia="华文中宋"/>
          <w:sz w:val="84"/>
          <w:szCs w:val="84"/>
        </w:rPr>
      </w:pPr>
    </w:p>
    <w:p>
      <w:pPr>
        <w:jc w:val="center"/>
        <w:rPr>
          <w:rFonts w:ascii="宋体" w:hAnsi="宋体"/>
          <w:sz w:val="72"/>
          <w:szCs w:val="72"/>
        </w:rPr>
      </w:pPr>
    </w:p>
    <w:p>
      <w:pPr>
        <w:jc w:val="center"/>
        <w:rPr>
          <w:rFonts w:ascii="宋体" w:hAnsi="宋体"/>
          <w:sz w:val="72"/>
          <w:szCs w:val="72"/>
        </w:rPr>
      </w:pPr>
      <w:r>
        <w:rPr>
          <w:rFonts w:ascii="宋体" w:hAnsi="宋体"/>
          <w:sz w:val="72"/>
          <w:szCs w:val="72"/>
        </w:rPr>
        <w:t>招</w:t>
      </w:r>
    </w:p>
    <w:p>
      <w:pPr>
        <w:jc w:val="center"/>
        <w:rPr>
          <w:rFonts w:ascii="宋体" w:hAnsi="宋体"/>
          <w:sz w:val="72"/>
          <w:szCs w:val="72"/>
        </w:rPr>
      </w:pPr>
      <w:r>
        <w:rPr>
          <w:rFonts w:ascii="宋体" w:hAnsi="宋体"/>
          <w:sz w:val="72"/>
          <w:szCs w:val="72"/>
        </w:rPr>
        <w:t>标</w:t>
      </w:r>
    </w:p>
    <w:p>
      <w:pPr>
        <w:jc w:val="center"/>
        <w:rPr>
          <w:rFonts w:ascii="宋体" w:hAnsi="宋体"/>
          <w:sz w:val="72"/>
          <w:szCs w:val="72"/>
        </w:rPr>
      </w:pPr>
      <w:r>
        <w:rPr>
          <w:rFonts w:ascii="宋体" w:hAnsi="宋体"/>
          <w:sz w:val="72"/>
          <w:szCs w:val="72"/>
        </w:rPr>
        <w:t>文</w:t>
      </w:r>
    </w:p>
    <w:p>
      <w:pPr>
        <w:jc w:val="center"/>
        <w:rPr>
          <w:rFonts w:ascii="宋体" w:hAnsi="宋体"/>
          <w:sz w:val="72"/>
          <w:szCs w:val="72"/>
        </w:rPr>
      </w:pPr>
      <w:r>
        <w:rPr>
          <w:rFonts w:ascii="宋体" w:hAnsi="宋体"/>
          <w:sz w:val="72"/>
          <w:szCs w:val="72"/>
        </w:rPr>
        <w:t>件</w:t>
      </w:r>
    </w:p>
    <w:p>
      <w:pPr>
        <w:rPr>
          <w:rFonts w:eastAsia="华文中宋"/>
          <w:sz w:val="44"/>
          <w:szCs w:val="44"/>
        </w:rPr>
      </w:pPr>
    </w:p>
    <w:p>
      <w:pPr>
        <w:rPr>
          <w:rFonts w:eastAsia="华文中宋"/>
          <w:sz w:val="44"/>
          <w:szCs w:val="44"/>
        </w:rPr>
      </w:pPr>
    </w:p>
    <w:p>
      <w:pPr>
        <w:rPr>
          <w:rFonts w:eastAsia="华文中宋"/>
          <w:sz w:val="44"/>
          <w:szCs w:val="44"/>
        </w:rPr>
      </w:pPr>
    </w:p>
    <w:p>
      <w:pPr>
        <w:rPr>
          <w:rFonts w:eastAsia="华文中宋"/>
          <w:sz w:val="44"/>
          <w:szCs w:val="44"/>
        </w:rPr>
      </w:pPr>
    </w:p>
    <w:p>
      <w:pPr>
        <w:spacing w:line="360" w:lineRule="auto"/>
        <w:rPr>
          <w:rFonts w:ascii="宋体" w:hAnsi="宋体"/>
          <w:sz w:val="32"/>
          <w:szCs w:val="32"/>
        </w:rPr>
      </w:pPr>
      <w:r>
        <w:rPr>
          <w:rFonts w:hint="eastAsia" w:ascii="宋体" w:hAnsi="宋体"/>
          <w:sz w:val="36"/>
          <w:szCs w:val="36"/>
        </w:rPr>
        <w:t xml:space="preserve">     </w:t>
      </w:r>
      <w:r>
        <w:rPr>
          <w:rFonts w:hint="eastAsia" w:ascii="宋体" w:hAnsi="宋体"/>
          <w:sz w:val="32"/>
          <w:szCs w:val="32"/>
        </w:rPr>
        <w:t>项目编号：建安建工公字〔2018〕</w:t>
      </w:r>
      <w:r>
        <w:rPr>
          <w:rFonts w:hint="eastAsia" w:ascii="宋体" w:hAnsi="宋体"/>
          <w:sz w:val="32"/>
          <w:szCs w:val="32"/>
          <w:lang w:val="en-US" w:eastAsia="zh-CN"/>
        </w:rPr>
        <w:t>225</w:t>
      </w:r>
      <w:r>
        <w:rPr>
          <w:rFonts w:hint="eastAsia" w:ascii="宋体" w:hAnsi="宋体"/>
          <w:sz w:val="32"/>
          <w:szCs w:val="32"/>
        </w:rPr>
        <w:t>号</w:t>
      </w:r>
    </w:p>
    <w:p>
      <w:pPr>
        <w:spacing w:line="360" w:lineRule="auto"/>
        <w:ind w:firstLine="960" w:firstLineChars="300"/>
        <w:rPr>
          <w:rFonts w:ascii="宋体" w:hAnsi="宋体"/>
          <w:sz w:val="32"/>
          <w:szCs w:val="32"/>
        </w:rPr>
      </w:pPr>
      <w:r>
        <w:rPr>
          <w:rFonts w:ascii="宋体" w:hAnsi="宋体"/>
          <w:sz w:val="32"/>
          <w:szCs w:val="32"/>
        </w:rPr>
        <w:t>项目名称：</w:t>
      </w:r>
      <w:r>
        <w:rPr>
          <w:rFonts w:hint="eastAsia" w:ascii="宋体" w:hAnsi="宋体"/>
          <w:sz w:val="32"/>
          <w:szCs w:val="32"/>
        </w:rPr>
        <w:t xml:space="preserve">许昌市建安区2019年财政专项资金扶贫项目    </w:t>
      </w:r>
    </w:p>
    <w:p>
      <w:pPr>
        <w:spacing w:line="360" w:lineRule="auto"/>
        <w:ind w:firstLine="960" w:firstLineChars="300"/>
        <w:rPr>
          <w:rFonts w:ascii="宋体" w:hAnsi="宋体"/>
          <w:sz w:val="32"/>
          <w:szCs w:val="32"/>
        </w:rPr>
      </w:pPr>
      <w:r>
        <w:rPr>
          <w:rFonts w:ascii="宋体" w:hAnsi="宋体"/>
          <w:sz w:val="32"/>
          <w:szCs w:val="32"/>
        </w:rPr>
        <w:t>招 标 人：</w:t>
      </w:r>
      <w:r>
        <w:rPr>
          <w:rFonts w:hint="eastAsia" w:ascii="宋体" w:hAnsi="宋体"/>
          <w:sz w:val="32"/>
          <w:szCs w:val="32"/>
        </w:rPr>
        <w:t>许昌市建安区交通运输局</w:t>
      </w:r>
    </w:p>
    <w:p>
      <w:pPr>
        <w:spacing w:line="360" w:lineRule="auto"/>
        <w:rPr>
          <w:rFonts w:ascii="宋体" w:hAnsi="宋体"/>
          <w:sz w:val="32"/>
          <w:szCs w:val="32"/>
        </w:rPr>
      </w:pPr>
      <w:r>
        <w:rPr>
          <w:rFonts w:hint="eastAsia" w:ascii="宋体" w:hAnsi="宋体"/>
          <w:sz w:val="32"/>
          <w:szCs w:val="32"/>
        </w:rPr>
        <w:t xml:space="preserve">      </w:t>
      </w:r>
      <w:r>
        <w:rPr>
          <w:rFonts w:ascii="宋体" w:hAnsi="宋体"/>
          <w:sz w:val="32"/>
          <w:szCs w:val="32"/>
        </w:rPr>
        <w:t>代理机构：</w:t>
      </w:r>
      <w:r>
        <w:rPr>
          <w:rFonts w:hint="eastAsia" w:ascii="宋体" w:hAnsi="宋体"/>
          <w:sz w:val="32"/>
          <w:szCs w:val="32"/>
        </w:rPr>
        <w:t>中建山河建设工程管理有限责任公司</w:t>
      </w:r>
    </w:p>
    <w:p>
      <w:pPr>
        <w:spacing w:line="360" w:lineRule="auto"/>
        <w:jc w:val="center"/>
        <w:rPr>
          <w:rFonts w:ascii="宋体" w:hAnsi="宋体"/>
          <w:sz w:val="24"/>
        </w:rPr>
      </w:pPr>
      <w:r>
        <w:rPr>
          <w:rFonts w:hint="eastAsia" w:ascii="宋体" w:hAnsi="宋体"/>
          <w:sz w:val="36"/>
          <w:szCs w:val="36"/>
        </w:rPr>
        <w:t>二〇一八年十二月</w:t>
      </w:r>
    </w:p>
    <w:p>
      <w:pPr>
        <w:tabs>
          <w:tab w:val="left" w:pos="1000"/>
          <w:tab w:val="left" w:pos="7800"/>
        </w:tabs>
        <w:spacing w:line="0" w:lineRule="atLeast"/>
        <w:rPr>
          <w:rFonts w:ascii="宋体" w:hAnsi="宋体"/>
          <w:sz w:val="24"/>
        </w:rPr>
      </w:pPr>
      <w:r>
        <w:rPr>
          <w:rFonts w:ascii="宋体" w:hAnsi="宋体"/>
          <w:sz w:val="24"/>
        </w:rPr>
        <w:tab/>
      </w:r>
    </w:p>
    <w:p>
      <w:pPr>
        <w:tabs>
          <w:tab w:val="left" w:pos="865"/>
          <w:tab w:val="left" w:pos="7920"/>
        </w:tabs>
        <w:spacing w:line="0" w:lineRule="atLeast"/>
        <w:rPr>
          <w:rFonts w:ascii="宋体" w:hAnsi="宋体"/>
          <w:sz w:val="28"/>
        </w:rPr>
        <w:sectPr>
          <w:pgSz w:w="11906" w:h="16838"/>
          <w:pgMar w:top="1000" w:right="1440" w:bottom="1083" w:left="1440" w:header="200" w:footer="850" w:gutter="0"/>
          <w:cols w:space="0" w:num="1"/>
          <w:docGrid w:linePitch="360" w:charSpace="0"/>
        </w:sectPr>
      </w:pPr>
      <w:r>
        <w:rPr>
          <w:rFonts w:ascii="宋体" w:hAnsi="宋体"/>
          <w:sz w:val="28"/>
        </w:rPr>
        <w:tab/>
      </w:r>
    </w:p>
    <w:p>
      <w:pPr>
        <w:spacing w:line="347" w:lineRule="exact"/>
      </w:pPr>
      <w:bookmarkStart w:id="0" w:name="page8"/>
      <w:bookmarkEnd w:id="0"/>
    </w:p>
    <w:p>
      <w:pPr>
        <w:tabs>
          <w:tab w:val="left" w:pos="3720"/>
          <w:tab w:val="left" w:pos="4720"/>
        </w:tabs>
        <w:spacing w:line="0" w:lineRule="atLeast"/>
        <w:ind w:left="2740"/>
        <w:rPr>
          <w:rFonts w:ascii="宋体" w:hAnsi="宋体"/>
          <w:sz w:val="44"/>
        </w:rPr>
      </w:pPr>
    </w:p>
    <w:p>
      <w:pPr>
        <w:tabs>
          <w:tab w:val="left" w:pos="3720"/>
          <w:tab w:val="left" w:pos="4720"/>
        </w:tabs>
        <w:spacing w:line="0" w:lineRule="atLeast"/>
        <w:ind w:left="2740"/>
        <w:rPr>
          <w:rFonts w:ascii="宋体" w:hAnsi="宋体"/>
          <w:sz w:val="44"/>
        </w:rPr>
        <w:sectPr>
          <w:footerReference r:id="rId5" w:type="default"/>
          <w:type w:val="continuous"/>
          <w:pgSz w:w="11906" w:h="16838"/>
          <w:pgMar w:top="1440" w:right="1440" w:bottom="1083" w:left="1440" w:header="567" w:footer="567" w:gutter="0"/>
          <w:cols w:space="720" w:num="1"/>
          <w:docGrid w:linePitch="360" w:charSpace="0"/>
        </w:sectPr>
      </w:pPr>
    </w:p>
    <w:p>
      <w:pPr>
        <w:tabs>
          <w:tab w:val="left" w:pos="3720"/>
          <w:tab w:val="left" w:pos="4720"/>
        </w:tabs>
        <w:spacing w:line="0" w:lineRule="atLeast"/>
        <w:ind w:left="2740"/>
        <w:rPr>
          <w:rFonts w:ascii="宋体" w:hAnsi="宋体"/>
          <w:sz w:val="44"/>
        </w:rPr>
      </w:pPr>
      <w:r>
        <w:rPr>
          <w:rFonts w:ascii="宋体" w:hAnsi="宋体"/>
          <w:sz w:val="44"/>
        </w:rPr>
        <w:t>总</w:t>
      </w:r>
      <w:r>
        <w:rPr>
          <w:rFonts w:eastAsia="Times New Roman"/>
        </w:rPr>
        <w:tab/>
      </w:r>
      <w:r>
        <w:rPr>
          <w:rFonts w:ascii="宋体" w:hAnsi="宋体"/>
          <w:sz w:val="44"/>
        </w:rPr>
        <w:t>目</w:t>
      </w:r>
      <w:r>
        <w:rPr>
          <w:rFonts w:eastAsia="Times New Roman"/>
        </w:rPr>
        <w:tab/>
      </w:r>
      <w:r>
        <w:rPr>
          <w:rFonts w:ascii="宋体" w:hAnsi="宋体"/>
          <w:sz w:val="44"/>
        </w:rPr>
        <w:t>录</w:t>
      </w:r>
    </w:p>
    <w:p>
      <w:pPr>
        <w:spacing w:line="200" w:lineRule="exact"/>
        <w:rPr>
          <w:rFonts w:eastAsia="Times New Roman"/>
        </w:rPr>
      </w:pPr>
    </w:p>
    <w:p>
      <w:pPr>
        <w:spacing w:line="200" w:lineRule="exact"/>
        <w:rPr>
          <w:rFonts w:eastAsia="Times New Roman"/>
        </w:rPr>
      </w:pPr>
    </w:p>
    <w:p>
      <w:pPr>
        <w:spacing w:line="260" w:lineRule="exact"/>
        <w:rPr>
          <w:rFonts w:eastAsia="Times New Roman"/>
        </w:rPr>
      </w:pPr>
    </w:p>
    <w:p>
      <w:pPr>
        <w:spacing w:line="0" w:lineRule="atLeast"/>
        <w:ind w:left="3200"/>
        <w:rPr>
          <w:rFonts w:ascii="宋体" w:hAnsi="宋体"/>
          <w:b/>
          <w:sz w:val="30"/>
        </w:rPr>
      </w:pPr>
      <w:r>
        <w:rPr>
          <w:rFonts w:ascii="宋体" w:hAnsi="宋体"/>
          <w:b/>
          <w:sz w:val="30"/>
        </w:rPr>
        <w:t>第 一 卷</w:t>
      </w:r>
    </w:p>
    <w:p>
      <w:pPr>
        <w:spacing w:line="359" w:lineRule="exact"/>
        <w:rPr>
          <w:rFonts w:eastAsia="Times New Roman"/>
        </w:rPr>
      </w:pPr>
    </w:p>
    <w:p>
      <w:pPr>
        <w:tabs>
          <w:tab w:val="left" w:pos="1000"/>
          <w:tab w:val="left" w:pos="7920"/>
        </w:tabs>
        <w:spacing w:line="0" w:lineRule="atLeast"/>
        <w:rPr>
          <w:sz w:val="24"/>
        </w:rPr>
      </w:pPr>
      <w:r>
        <w:rPr>
          <w:rFonts w:ascii="宋体" w:hAnsi="宋体"/>
          <w:sz w:val="24"/>
        </w:rPr>
        <w:t>第一章</w:t>
      </w:r>
      <w:r>
        <w:rPr>
          <w:rFonts w:eastAsia="Times New Roman"/>
        </w:rPr>
        <w:tab/>
      </w:r>
      <w:r>
        <w:rPr>
          <w:rFonts w:ascii="宋体" w:hAnsi="宋体"/>
          <w:sz w:val="24"/>
        </w:rPr>
        <w:t>招标公告</w:t>
      </w:r>
      <w:r>
        <w:rPr>
          <w:rFonts w:ascii="Arial" w:hAnsi="Arial" w:eastAsia="Arial"/>
          <w:sz w:val="24"/>
        </w:rPr>
        <w:t>……………………………………………………………</w:t>
      </w:r>
      <w:r>
        <w:rPr>
          <w:rFonts w:eastAsia="Times New Roman"/>
        </w:rPr>
        <w:tab/>
      </w:r>
      <w:r>
        <w:rPr>
          <w:rFonts w:hint="eastAsia"/>
          <w:sz w:val="24"/>
        </w:rPr>
        <w:t>3</w:t>
      </w:r>
    </w:p>
    <w:p>
      <w:pPr>
        <w:spacing w:line="258" w:lineRule="exact"/>
        <w:rPr>
          <w:rFonts w:eastAsia="Times New Roman"/>
        </w:rPr>
      </w:pPr>
    </w:p>
    <w:p>
      <w:pPr>
        <w:tabs>
          <w:tab w:val="left" w:pos="1000"/>
          <w:tab w:val="left" w:pos="7920"/>
        </w:tabs>
        <w:spacing w:line="0" w:lineRule="atLeast"/>
        <w:rPr>
          <w:sz w:val="24"/>
        </w:rPr>
      </w:pPr>
      <w:r>
        <w:rPr>
          <w:rFonts w:ascii="宋体" w:hAnsi="宋体"/>
          <w:sz w:val="24"/>
        </w:rPr>
        <w:t>第二章</w:t>
      </w:r>
      <w:r>
        <w:rPr>
          <w:rFonts w:eastAsia="Times New Roman"/>
        </w:rPr>
        <w:tab/>
      </w:r>
      <w:r>
        <w:rPr>
          <w:rFonts w:ascii="宋体" w:hAnsi="宋体"/>
          <w:sz w:val="24"/>
        </w:rPr>
        <w:t>投标人须知</w:t>
      </w:r>
      <w:r>
        <w:rPr>
          <w:rFonts w:ascii="Arial" w:hAnsi="Arial" w:eastAsia="Arial"/>
          <w:sz w:val="24"/>
        </w:rPr>
        <w:t>…………………………………………………………</w:t>
      </w:r>
      <w:r>
        <w:rPr>
          <w:rFonts w:eastAsia="Times New Roman"/>
        </w:rPr>
        <w:tab/>
      </w:r>
      <w:r>
        <w:rPr>
          <w:rFonts w:hint="eastAsia"/>
          <w:sz w:val="24"/>
        </w:rPr>
        <w:t>7</w:t>
      </w:r>
    </w:p>
    <w:p>
      <w:pPr>
        <w:spacing w:line="250" w:lineRule="exact"/>
        <w:rPr>
          <w:rFonts w:eastAsia="Times New Roman"/>
        </w:rPr>
      </w:pPr>
    </w:p>
    <w:p>
      <w:pPr>
        <w:tabs>
          <w:tab w:val="left" w:pos="1000"/>
          <w:tab w:val="left" w:pos="7920"/>
        </w:tabs>
        <w:spacing w:line="0" w:lineRule="atLeast"/>
        <w:rPr>
          <w:sz w:val="24"/>
        </w:rPr>
      </w:pPr>
      <w:r>
        <w:rPr>
          <w:rFonts w:ascii="宋体" w:hAnsi="宋体"/>
          <w:sz w:val="24"/>
        </w:rPr>
        <w:t>第三章</w:t>
      </w:r>
      <w:r>
        <w:rPr>
          <w:rFonts w:eastAsia="Times New Roman"/>
        </w:rPr>
        <w:tab/>
      </w:r>
      <w:r>
        <w:rPr>
          <w:rFonts w:ascii="宋体" w:hAnsi="宋体"/>
          <w:sz w:val="24"/>
        </w:rPr>
        <w:t>评标办法</w:t>
      </w:r>
      <w:r>
        <w:rPr>
          <w:rFonts w:ascii="Arial" w:hAnsi="Arial" w:eastAsia="Arial"/>
          <w:sz w:val="24"/>
        </w:rPr>
        <w:t>……………………………………………………………</w:t>
      </w:r>
      <w:r>
        <w:rPr>
          <w:rFonts w:eastAsia="Times New Roman"/>
        </w:rPr>
        <w:tab/>
      </w:r>
      <w:r>
        <w:rPr>
          <w:rFonts w:hint="eastAsia"/>
          <w:sz w:val="24"/>
        </w:rPr>
        <w:t>38</w:t>
      </w:r>
    </w:p>
    <w:p>
      <w:pPr>
        <w:spacing w:line="279" w:lineRule="exact"/>
        <w:rPr>
          <w:rFonts w:eastAsia="Times New Roman"/>
        </w:rPr>
      </w:pPr>
    </w:p>
    <w:p>
      <w:pPr>
        <w:tabs>
          <w:tab w:val="left" w:pos="1000"/>
        </w:tabs>
        <w:spacing w:line="0" w:lineRule="atLeast"/>
        <w:rPr>
          <w:sz w:val="24"/>
        </w:rPr>
      </w:pPr>
      <w:r>
        <w:rPr>
          <w:rFonts w:ascii="宋体" w:hAnsi="宋体"/>
          <w:sz w:val="24"/>
        </w:rPr>
        <w:t>第四章</w:t>
      </w:r>
      <w:r>
        <w:rPr>
          <w:rFonts w:eastAsia="Times New Roman"/>
        </w:rPr>
        <w:tab/>
      </w:r>
      <w:r>
        <w:rPr>
          <w:rFonts w:ascii="宋体" w:hAnsi="宋体"/>
          <w:sz w:val="24"/>
        </w:rPr>
        <w:t>合同条款及格式</w:t>
      </w:r>
      <w:r>
        <w:rPr>
          <w:rFonts w:ascii="Arial" w:hAnsi="Arial" w:eastAsia="Arial"/>
          <w:sz w:val="24"/>
        </w:rPr>
        <w:t>……………………………………………………</w:t>
      </w:r>
      <w:r>
        <w:rPr>
          <w:rFonts w:ascii="宋体" w:hAnsi="宋体"/>
          <w:sz w:val="24"/>
        </w:rPr>
        <w:t xml:space="preserve">  </w:t>
      </w:r>
      <w:r>
        <w:rPr>
          <w:rFonts w:hint="eastAsia" w:ascii="宋体" w:hAnsi="宋体"/>
          <w:sz w:val="24"/>
        </w:rPr>
        <w:t xml:space="preserve">  </w:t>
      </w:r>
      <w:r>
        <w:rPr>
          <w:rFonts w:hint="eastAsia"/>
          <w:sz w:val="24"/>
        </w:rPr>
        <w:t>49</w:t>
      </w:r>
    </w:p>
    <w:p>
      <w:pPr>
        <w:spacing w:line="274" w:lineRule="exact"/>
        <w:rPr>
          <w:rFonts w:eastAsia="Times New Roman"/>
        </w:rPr>
      </w:pPr>
    </w:p>
    <w:p>
      <w:pPr>
        <w:tabs>
          <w:tab w:val="left" w:pos="1000"/>
        </w:tabs>
        <w:spacing w:line="0" w:lineRule="atLeast"/>
        <w:rPr>
          <w:sz w:val="24"/>
        </w:rPr>
      </w:pPr>
      <w:r>
        <w:rPr>
          <w:rFonts w:ascii="宋体" w:hAnsi="宋体"/>
          <w:sz w:val="24"/>
        </w:rPr>
        <w:t>第五章</w:t>
      </w:r>
      <w:r>
        <w:rPr>
          <w:rFonts w:eastAsia="Times New Roman"/>
        </w:rPr>
        <w:tab/>
      </w:r>
      <w:r>
        <w:rPr>
          <w:rFonts w:ascii="宋体" w:hAnsi="宋体"/>
          <w:sz w:val="24"/>
        </w:rPr>
        <w:t>工程量清单</w:t>
      </w:r>
      <w:r>
        <w:rPr>
          <w:rFonts w:ascii="Arial" w:hAnsi="Arial" w:eastAsia="Arial"/>
          <w:sz w:val="24"/>
        </w:rPr>
        <w:t>…………………………………………………………</w:t>
      </w:r>
      <w:r>
        <w:rPr>
          <w:rFonts w:ascii="宋体" w:hAnsi="宋体"/>
          <w:sz w:val="24"/>
        </w:rPr>
        <w:t xml:space="preserve"> </w:t>
      </w:r>
      <w:r>
        <w:rPr>
          <w:rFonts w:hint="eastAsia" w:ascii="宋体" w:hAnsi="宋体"/>
          <w:sz w:val="24"/>
        </w:rPr>
        <w:t xml:space="preserve">   99</w:t>
      </w:r>
    </w:p>
    <w:p>
      <w:pPr>
        <w:spacing w:line="243" w:lineRule="exact"/>
        <w:rPr>
          <w:rFonts w:eastAsia="Times New Roman"/>
        </w:rPr>
      </w:pPr>
    </w:p>
    <w:p>
      <w:pPr>
        <w:spacing w:line="239" w:lineRule="auto"/>
        <w:ind w:left="3200"/>
        <w:rPr>
          <w:rFonts w:ascii="宋体" w:hAnsi="宋体"/>
          <w:b/>
          <w:sz w:val="30"/>
        </w:rPr>
      </w:pPr>
      <w:r>
        <w:rPr>
          <w:rFonts w:ascii="宋体" w:hAnsi="宋体"/>
          <w:b/>
          <w:sz w:val="30"/>
        </w:rPr>
        <w:t>第 二 卷</w:t>
      </w:r>
    </w:p>
    <w:p>
      <w:pPr>
        <w:spacing w:line="200" w:lineRule="exact"/>
        <w:rPr>
          <w:rFonts w:eastAsia="Times New Roman"/>
        </w:rPr>
      </w:pPr>
    </w:p>
    <w:p>
      <w:pPr>
        <w:spacing w:line="230" w:lineRule="exact"/>
        <w:rPr>
          <w:rFonts w:eastAsia="Times New Roman"/>
        </w:rPr>
      </w:pPr>
    </w:p>
    <w:p>
      <w:pPr>
        <w:tabs>
          <w:tab w:val="left" w:pos="1000"/>
        </w:tabs>
        <w:spacing w:line="0" w:lineRule="atLeast"/>
        <w:ind w:left="20"/>
        <w:rPr>
          <w:sz w:val="24"/>
        </w:rPr>
      </w:pPr>
      <w:r>
        <w:rPr>
          <w:rFonts w:ascii="宋体" w:hAnsi="宋体"/>
          <w:sz w:val="24"/>
        </w:rPr>
        <w:t>第六章</w:t>
      </w:r>
      <w:r>
        <w:rPr>
          <w:rFonts w:eastAsia="Times New Roman"/>
        </w:rPr>
        <w:tab/>
      </w:r>
      <w:r>
        <w:rPr>
          <w:rFonts w:ascii="宋体" w:hAnsi="宋体"/>
          <w:sz w:val="24"/>
        </w:rPr>
        <w:t>图纸（</w:t>
      </w:r>
      <w:r>
        <w:rPr>
          <w:rFonts w:hint="eastAsia" w:ascii="宋体" w:hAnsi="宋体"/>
          <w:sz w:val="24"/>
        </w:rPr>
        <w:t>另附</w:t>
      </w:r>
      <w:r>
        <w:rPr>
          <w:rFonts w:ascii="宋体" w:hAnsi="宋体"/>
          <w:sz w:val="24"/>
        </w:rPr>
        <w:t>）</w:t>
      </w:r>
      <w:r>
        <w:rPr>
          <w:rFonts w:ascii="Arial" w:hAnsi="Arial" w:eastAsia="Arial"/>
          <w:sz w:val="24"/>
        </w:rPr>
        <w:t>……………………………………………………</w:t>
      </w:r>
      <w:r>
        <w:rPr>
          <w:rFonts w:hint="eastAsia" w:ascii="Arial" w:hAnsi="Arial"/>
          <w:sz w:val="24"/>
        </w:rPr>
        <w:t>..........</w:t>
      </w:r>
      <w:r>
        <w:rPr>
          <w:rFonts w:hint="eastAsia" w:ascii="宋体" w:hAnsi="宋体"/>
          <w:sz w:val="24"/>
        </w:rPr>
        <w:t>105</w:t>
      </w:r>
    </w:p>
    <w:p>
      <w:pPr>
        <w:spacing w:line="298" w:lineRule="exact"/>
        <w:rPr>
          <w:rFonts w:eastAsia="Times New Roman"/>
        </w:rPr>
      </w:pPr>
    </w:p>
    <w:p>
      <w:pPr>
        <w:spacing w:line="239" w:lineRule="auto"/>
        <w:ind w:left="3200"/>
        <w:rPr>
          <w:rFonts w:ascii="宋体" w:hAnsi="宋体"/>
          <w:b/>
          <w:sz w:val="30"/>
        </w:rPr>
      </w:pPr>
      <w:r>
        <w:rPr>
          <w:rFonts w:ascii="宋体" w:hAnsi="宋体"/>
          <w:b/>
          <w:sz w:val="30"/>
        </w:rPr>
        <w:t>第 三 卷</w:t>
      </w:r>
    </w:p>
    <w:p>
      <w:pPr>
        <w:spacing w:line="200" w:lineRule="exact"/>
        <w:rPr>
          <w:rFonts w:eastAsia="Times New Roman"/>
        </w:rPr>
      </w:pPr>
    </w:p>
    <w:p>
      <w:pPr>
        <w:spacing w:line="228" w:lineRule="exact"/>
        <w:rPr>
          <w:rFonts w:eastAsia="Times New Roman"/>
        </w:rPr>
      </w:pPr>
    </w:p>
    <w:p>
      <w:pPr>
        <w:tabs>
          <w:tab w:val="left" w:pos="1020"/>
        </w:tabs>
        <w:spacing w:line="0" w:lineRule="atLeast"/>
        <w:ind w:left="20"/>
        <w:rPr>
          <w:sz w:val="24"/>
        </w:rPr>
      </w:pPr>
      <w:r>
        <w:rPr>
          <w:rFonts w:ascii="宋体" w:hAnsi="宋体"/>
          <w:sz w:val="24"/>
        </w:rPr>
        <w:t>第七章</w:t>
      </w:r>
      <w:r>
        <w:rPr>
          <w:rFonts w:eastAsia="Times New Roman"/>
        </w:rPr>
        <w:tab/>
      </w:r>
      <w:r>
        <w:rPr>
          <w:rFonts w:ascii="宋体" w:hAnsi="宋体"/>
          <w:sz w:val="24"/>
        </w:rPr>
        <w:t>技术规范（另册）</w:t>
      </w:r>
      <w:r>
        <w:rPr>
          <w:rFonts w:ascii="Arial" w:hAnsi="Arial" w:eastAsia="Arial"/>
          <w:sz w:val="24"/>
        </w:rPr>
        <w:t>……………………………………………………</w:t>
      </w:r>
      <w:r>
        <w:rPr>
          <w:rFonts w:ascii="宋体" w:hAnsi="宋体"/>
          <w:sz w:val="24"/>
        </w:rPr>
        <w:t xml:space="preserve"> </w:t>
      </w:r>
      <w:r>
        <w:rPr>
          <w:rFonts w:hint="eastAsia"/>
          <w:sz w:val="24"/>
        </w:rPr>
        <w:t>107</w:t>
      </w:r>
    </w:p>
    <w:p>
      <w:pPr>
        <w:spacing w:line="390" w:lineRule="exact"/>
        <w:rPr>
          <w:rFonts w:eastAsia="Times New Roman"/>
        </w:rPr>
      </w:pPr>
    </w:p>
    <w:p>
      <w:pPr>
        <w:tabs>
          <w:tab w:val="left" w:pos="1020"/>
        </w:tabs>
        <w:spacing w:line="0" w:lineRule="atLeast"/>
        <w:ind w:left="20"/>
        <w:rPr>
          <w:sz w:val="24"/>
        </w:rPr>
      </w:pPr>
      <w:r>
        <w:rPr>
          <w:rFonts w:ascii="宋体" w:hAnsi="宋体"/>
          <w:sz w:val="24"/>
        </w:rPr>
        <w:t>第八章</w:t>
      </w:r>
      <w:r>
        <w:rPr>
          <w:rFonts w:eastAsia="Times New Roman"/>
        </w:rPr>
        <w:tab/>
      </w:r>
      <w:r>
        <w:rPr>
          <w:rFonts w:ascii="宋体" w:hAnsi="宋体"/>
          <w:sz w:val="24"/>
        </w:rPr>
        <w:t>工程量清单计量规则（另册）</w:t>
      </w:r>
      <w:r>
        <w:rPr>
          <w:rFonts w:ascii="Arial" w:hAnsi="Arial" w:eastAsia="Arial"/>
          <w:sz w:val="24"/>
        </w:rPr>
        <w:t>………………………………………</w:t>
      </w:r>
      <w:r>
        <w:rPr>
          <w:rFonts w:ascii="宋体" w:hAnsi="宋体"/>
          <w:sz w:val="24"/>
        </w:rPr>
        <w:t xml:space="preserve"> </w:t>
      </w:r>
      <w:r>
        <w:rPr>
          <w:rFonts w:hint="eastAsia"/>
          <w:sz w:val="24"/>
        </w:rPr>
        <w:t>108</w:t>
      </w:r>
    </w:p>
    <w:p>
      <w:pPr>
        <w:spacing w:line="298" w:lineRule="exact"/>
        <w:rPr>
          <w:rFonts w:eastAsia="Times New Roman"/>
        </w:rPr>
      </w:pPr>
    </w:p>
    <w:p>
      <w:pPr>
        <w:spacing w:line="239" w:lineRule="auto"/>
        <w:ind w:left="3200"/>
        <w:rPr>
          <w:rFonts w:ascii="宋体" w:hAnsi="宋体"/>
          <w:b/>
          <w:sz w:val="30"/>
        </w:rPr>
      </w:pPr>
      <w:r>
        <w:rPr>
          <w:rFonts w:ascii="宋体" w:hAnsi="宋体"/>
          <w:b/>
          <w:sz w:val="30"/>
        </w:rPr>
        <w:t>第 四 卷</w:t>
      </w:r>
    </w:p>
    <w:p>
      <w:pPr>
        <w:spacing w:line="200" w:lineRule="exact"/>
        <w:rPr>
          <w:rFonts w:eastAsia="Times New Roman"/>
        </w:rPr>
      </w:pPr>
    </w:p>
    <w:p>
      <w:pPr>
        <w:spacing w:line="229" w:lineRule="exact"/>
        <w:rPr>
          <w:rFonts w:eastAsia="Times New Roman"/>
        </w:rPr>
      </w:pPr>
    </w:p>
    <w:p>
      <w:pPr>
        <w:tabs>
          <w:tab w:val="left" w:pos="1020"/>
        </w:tabs>
        <w:spacing w:line="0" w:lineRule="atLeast"/>
        <w:ind w:left="20"/>
        <w:rPr>
          <w:sz w:val="24"/>
        </w:rPr>
      </w:pPr>
      <w:r>
        <w:rPr>
          <w:rFonts w:ascii="宋体" w:hAnsi="宋体"/>
          <w:sz w:val="24"/>
        </w:rPr>
        <w:t>第九章</w:t>
      </w:r>
      <w:r>
        <w:rPr>
          <w:rFonts w:eastAsia="Times New Roman"/>
        </w:rPr>
        <w:tab/>
      </w:r>
      <w:r>
        <w:rPr>
          <w:rFonts w:ascii="宋体" w:hAnsi="宋体"/>
          <w:sz w:val="24"/>
        </w:rPr>
        <w:t>投标文件格式</w:t>
      </w:r>
      <w:r>
        <w:rPr>
          <w:rFonts w:ascii="Arial" w:hAnsi="Arial" w:eastAsia="Arial"/>
          <w:sz w:val="24"/>
        </w:rPr>
        <w:t>…………………………………………………………</w:t>
      </w:r>
      <w:r>
        <w:rPr>
          <w:rFonts w:hint="eastAsia" w:ascii="Arial" w:hAnsi="Arial"/>
          <w:sz w:val="24"/>
        </w:rPr>
        <w:t xml:space="preserve"> 110</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39" w:lineRule="auto"/>
        <w:jc w:val="center"/>
        <w:rPr>
          <w:sz w:val="17"/>
        </w:rPr>
        <w:sectPr>
          <w:footerReference r:id="rId6" w:type="default"/>
          <w:pgSz w:w="11906" w:h="16838"/>
          <w:pgMar w:top="1440" w:right="1440" w:bottom="1083" w:left="1440" w:header="567" w:footer="567" w:gutter="0"/>
          <w:pgNumType w:start="1"/>
          <w:cols w:space="720" w:num="1"/>
          <w:docGrid w:linePitch="360" w:charSpace="0"/>
        </w:sectPr>
      </w:pPr>
    </w:p>
    <w:p>
      <w:pPr>
        <w:spacing w:line="200" w:lineRule="exact"/>
        <w:rPr>
          <w:rFonts w:eastAsia="Times New Roman"/>
        </w:rPr>
      </w:pPr>
      <w:bookmarkStart w:id="1" w:name="page21"/>
      <w:bookmarkEnd w:id="1"/>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353" w:lineRule="exact"/>
        <w:rPr>
          <w:rFonts w:eastAsia="Times New Roman"/>
        </w:rPr>
      </w:pPr>
    </w:p>
    <w:p>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一</w:t>
      </w:r>
      <w:r>
        <w:rPr>
          <w:rFonts w:eastAsia="Times New Roman"/>
        </w:rPr>
        <w:tab/>
      </w:r>
      <w:r>
        <w:rPr>
          <w:rFonts w:ascii="宋体" w:hAnsi="宋体"/>
          <w:sz w:val="76"/>
        </w:rPr>
        <w:t>卷</w:t>
      </w:r>
    </w:p>
    <w:p>
      <w:pPr>
        <w:tabs>
          <w:tab w:val="left" w:pos="1500"/>
          <w:tab w:val="left" w:pos="3020"/>
        </w:tabs>
        <w:spacing w:line="0" w:lineRule="atLeast"/>
        <w:rPr>
          <w:rFonts w:ascii="宋体" w:hAnsi="宋体"/>
          <w:sz w:val="76"/>
        </w:rPr>
        <w:sectPr>
          <w:pgSz w:w="11906" w:h="16838"/>
          <w:pgMar w:top="1440" w:right="1440" w:bottom="1440" w:left="1440" w:header="567" w:footer="567" w:gutter="0"/>
          <w:cols w:space="720" w:num="1"/>
          <w:docGrid w:linePitch="360" w:charSpace="0"/>
        </w:sectPr>
      </w:pPr>
    </w:p>
    <w:p>
      <w:pPr>
        <w:spacing w:line="200" w:lineRule="exact"/>
        <w:rPr>
          <w:rFonts w:eastAsia="Times New Roman"/>
        </w:rPr>
      </w:pPr>
      <w:bookmarkStart w:id="2" w:name="page22"/>
      <w:bookmarkEnd w:id="2"/>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1" w:lineRule="exact"/>
        <w:rPr>
          <w:rFonts w:eastAsia="Times New Roman"/>
        </w:rPr>
      </w:pPr>
    </w:p>
    <w:p>
      <w:pPr>
        <w:tabs>
          <w:tab w:val="left" w:pos="2220"/>
        </w:tabs>
        <w:spacing w:line="0" w:lineRule="atLeast"/>
        <w:jc w:val="center"/>
        <w:rPr>
          <w:rFonts w:ascii="宋体" w:hAnsi="宋体"/>
          <w:sz w:val="55"/>
        </w:rPr>
        <w:sectPr>
          <w:pgSz w:w="11906" w:h="16838"/>
          <w:pgMar w:top="1440" w:right="1440" w:bottom="1440" w:left="1440" w:header="567" w:footer="567" w:gutter="0"/>
          <w:cols w:space="720" w:num="1"/>
          <w:docGrid w:linePitch="360" w:charSpace="0"/>
        </w:sectPr>
      </w:pPr>
      <w:r>
        <w:rPr>
          <w:rFonts w:ascii="宋体" w:hAnsi="宋体"/>
          <w:sz w:val="55"/>
        </w:rPr>
        <w:t>第一章</w:t>
      </w:r>
      <w:r>
        <w:rPr>
          <w:rFonts w:eastAsia="Times New Roman"/>
        </w:rPr>
        <w:tab/>
      </w:r>
      <w:r>
        <w:rPr>
          <w:rFonts w:ascii="宋体" w:hAnsi="宋体"/>
          <w:sz w:val="55"/>
        </w:rPr>
        <w:t>招标公告</w:t>
      </w:r>
    </w:p>
    <w:p>
      <w:pPr>
        <w:tabs>
          <w:tab w:val="left" w:pos="2380"/>
        </w:tabs>
        <w:spacing w:line="360" w:lineRule="auto"/>
        <w:jc w:val="center"/>
        <w:rPr>
          <w:rFonts w:ascii="宋体" w:hAnsi="宋体"/>
          <w:sz w:val="40"/>
          <w:szCs w:val="40"/>
        </w:rPr>
      </w:pPr>
      <w:bookmarkStart w:id="3" w:name="page23"/>
      <w:bookmarkEnd w:id="3"/>
      <w:r>
        <w:rPr>
          <w:rFonts w:ascii="宋体" w:hAnsi="宋体"/>
          <w:sz w:val="40"/>
          <w:szCs w:val="40"/>
        </w:rPr>
        <w:t>第一章</w:t>
      </w:r>
      <w:r>
        <w:rPr>
          <w:rFonts w:hint="eastAsia" w:ascii="宋体" w:hAnsi="宋体"/>
          <w:sz w:val="40"/>
          <w:szCs w:val="40"/>
        </w:rPr>
        <w:t xml:space="preserve">  </w:t>
      </w:r>
      <w:r>
        <w:rPr>
          <w:rFonts w:ascii="宋体" w:hAnsi="宋体"/>
          <w:sz w:val="40"/>
          <w:szCs w:val="40"/>
        </w:rPr>
        <w:t>招标公告</w:t>
      </w:r>
    </w:p>
    <w:p>
      <w:pPr>
        <w:pStyle w:val="2"/>
        <w:ind w:firstLine="360"/>
        <w:jc w:val="center"/>
        <w:rPr>
          <w:rFonts w:hint="eastAsia" w:ascii="仿宋" w:hAnsi="仿宋" w:eastAsia="仿宋" w:cs="仿宋"/>
          <w:sz w:val="32"/>
          <w:szCs w:val="32"/>
        </w:rPr>
      </w:pPr>
      <w:r>
        <w:rPr>
          <w:rFonts w:hint="eastAsia" w:ascii="仿宋" w:hAnsi="仿宋" w:eastAsia="仿宋" w:cs="仿宋"/>
          <w:sz w:val="32"/>
          <w:szCs w:val="32"/>
        </w:rPr>
        <w:t>建安建工公字〔2018〕</w:t>
      </w:r>
      <w:r>
        <w:rPr>
          <w:rFonts w:hint="eastAsia" w:ascii="仿宋" w:hAnsi="仿宋" w:eastAsia="仿宋" w:cs="仿宋"/>
          <w:sz w:val="32"/>
          <w:szCs w:val="32"/>
          <w:lang w:val="en-US" w:eastAsia="zh-CN"/>
        </w:rPr>
        <w:t>225</w:t>
      </w:r>
      <w:r>
        <w:rPr>
          <w:rFonts w:hint="eastAsia" w:ascii="仿宋" w:hAnsi="仿宋" w:eastAsia="仿宋" w:cs="仿宋"/>
          <w:sz w:val="32"/>
          <w:szCs w:val="32"/>
        </w:rPr>
        <w:t>号</w:t>
      </w:r>
    </w:p>
    <w:p>
      <w:pPr>
        <w:pStyle w:val="2"/>
        <w:ind w:firstLine="360"/>
        <w:jc w:val="center"/>
        <w:rPr>
          <w:rFonts w:hint="eastAsia" w:ascii="仿宋" w:hAnsi="仿宋" w:eastAsia="仿宋" w:cs="仿宋"/>
          <w:sz w:val="32"/>
          <w:szCs w:val="32"/>
        </w:rPr>
      </w:pPr>
      <w:r>
        <w:rPr>
          <w:rFonts w:hint="eastAsia" w:ascii="仿宋" w:hAnsi="仿宋" w:eastAsia="仿宋" w:cs="仿宋"/>
          <w:sz w:val="32"/>
          <w:szCs w:val="32"/>
        </w:rPr>
        <w:t>许昌市建安区交通运输局</w:t>
      </w:r>
    </w:p>
    <w:p>
      <w:pPr>
        <w:pStyle w:val="2"/>
        <w:ind w:firstLine="360"/>
        <w:jc w:val="center"/>
        <w:rPr>
          <w:rFonts w:hint="eastAsia" w:ascii="仿宋" w:hAnsi="仿宋" w:eastAsia="仿宋" w:cs="仿宋"/>
          <w:sz w:val="32"/>
          <w:szCs w:val="32"/>
        </w:rPr>
      </w:pPr>
      <w:r>
        <w:rPr>
          <w:rFonts w:hint="eastAsia" w:ascii="仿宋" w:hAnsi="仿宋" w:eastAsia="仿宋" w:cs="仿宋"/>
          <w:sz w:val="32"/>
          <w:szCs w:val="32"/>
        </w:rPr>
        <w:t>许昌市建安区2019年财政专项资金扶贫项目</w:t>
      </w:r>
    </w:p>
    <w:p>
      <w:pPr>
        <w:pStyle w:val="2"/>
        <w:ind w:firstLine="360"/>
        <w:jc w:val="center"/>
        <w:rPr>
          <w:rFonts w:hint="eastAsia" w:ascii="仿宋" w:hAnsi="仿宋" w:eastAsia="仿宋" w:cs="仿宋"/>
          <w:sz w:val="32"/>
          <w:szCs w:val="32"/>
        </w:rPr>
      </w:pPr>
      <w:r>
        <w:rPr>
          <w:rFonts w:hint="eastAsia" w:ascii="仿宋" w:hAnsi="仿宋" w:eastAsia="仿宋" w:cs="仿宋"/>
          <w:sz w:val="32"/>
          <w:szCs w:val="32"/>
        </w:rPr>
        <w:t>公开招标公告</w:t>
      </w:r>
    </w:p>
    <w:p>
      <w:pPr>
        <w:rPr>
          <w:rFonts w:ascii="仿宋" w:hAnsi="仿宋" w:eastAsia="仿宋" w:cs="仿宋"/>
          <w:b/>
          <w:sz w:val="24"/>
        </w:rPr>
      </w:pPr>
      <w:bookmarkStart w:id="4" w:name="page33"/>
      <w:bookmarkEnd w:id="4"/>
      <w:r>
        <w:rPr>
          <w:rFonts w:hint="eastAsia" w:ascii="仿宋" w:hAnsi="仿宋" w:eastAsia="仿宋" w:cs="仿宋"/>
          <w:b/>
          <w:sz w:val="24"/>
        </w:rPr>
        <w:t>一、项目概况与招标范围</w:t>
      </w:r>
      <w:r>
        <w:rPr>
          <w:rFonts w:hint="eastAsia" w:ascii="仿宋" w:hAnsi="仿宋" w:eastAsia="仿宋" w:cs="仿宋"/>
          <w:b/>
          <w:sz w:val="24"/>
        </w:rPr>
        <w:tab/>
      </w:r>
    </w:p>
    <w:p>
      <w:pPr>
        <w:ind w:firstLine="360" w:firstLineChars="150"/>
        <w:rPr>
          <w:rFonts w:ascii="仿宋" w:hAnsi="仿宋" w:eastAsia="仿宋" w:cs="仿宋"/>
          <w:sz w:val="24"/>
        </w:rPr>
      </w:pPr>
      <w:r>
        <w:rPr>
          <w:rFonts w:hint="eastAsia" w:ascii="仿宋" w:hAnsi="仿宋" w:eastAsia="仿宋" w:cs="仿宋"/>
          <w:sz w:val="24"/>
        </w:rPr>
        <w:t>1、项目概况：该项目位于许昌市建安区，涉及张潘、艾庄、苏桥、桂村、五女店、灵井、将官池、陈曹等乡镇，主要施工内容为村内道路建设。</w:t>
      </w:r>
    </w:p>
    <w:p>
      <w:pPr>
        <w:ind w:firstLine="360" w:firstLineChars="150"/>
        <w:rPr>
          <w:rFonts w:ascii="仿宋" w:hAnsi="仿宋" w:eastAsia="仿宋" w:cs="仿宋"/>
          <w:sz w:val="24"/>
        </w:rPr>
      </w:pPr>
      <w:r>
        <w:rPr>
          <w:rFonts w:hint="eastAsia" w:ascii="仿宋" w:hAnsi="仿宋" w:eastAsia="仿宋" w:cs="仿宋"/>
          <w:sz w:val="24"/>
        </w:rPr>
        <w:t>2、招标范围：招标文件、工程量清单、施工图、设计变更及答疑纪要（如有）范围内的所有工程内容。</w:t>
      </w:r>
    </w:p>
    <w:p>
      <w:pPr>
        <w:ind w:firstLine="360" w:firstLineChars="150"/>
        <w:rPr>
          <w:rFonts w:ascii="仿宋" w:hAnsi="仿宋" w:eastAsia="仿宋" w:cs="仿宋"/>
          <w:sz w:val="24"/>
        </w:rPr>
      </w:pPr>
      <w:r>
        <w:rPr>
          <w:rFonts w:hint="eastAsia" w:ascii="仿宋" w:hAnsi="仿宋" w:eastAsia="仿宋" w:cs="仿宋"/>
          <w:sz w:val="24"/>
        </w:rPr>
        <w:t>3、计划工期：30日历天；</w:t>
      </w:r>
    </w:p>
    <w:p>
      <w:pPr>
        <w:autoSpaceDE w:val="0"/>
        <w:autoSpaceDN w:val="0"/>
        <w:adjustRightInd w:val="0"/>
        <w:spacing w:line="360" w:lineRule="auto"/>
        <w:ind w:firstLine="360" w:firstLineChars="150"/>
        <w:outlineLvl w:val="0"/>
        <w:rPr>
          <w:rFonts w:hint="eastAsia" w:ascii="仿宋" w:hAnsi="仿宋" w:eastAsia="仿宋" w:cs="仿宋"/>
          <w:sz w:val="24"/>
        </w:rPr>
      </w:pPr>
      <w:r>
        <w:rPr>
          <w:rFonts w:hint="eastAsia" w:ascii="仿宋" w:hAnsi="仿宋" w:eastAsia="仿宋" w:cs="仿宋"/>
          <w:sz w:val="24"/>
        </w:rPr>
        <w:t>4、标段划分及招标控制价：本项目共划分5个标段，本次招标内容如下：</w:t>
      </w:r>
    </w:p>
    <w:p>
      <w:pPr>
        <w:pStyle w:val="2"/>
        <w:rPr>
          <w:rFonts w:hint="eastAsia"/>
        </w:rPr>
      </w:pPr>
    </w:p>
    <w:tbl>
      <w:tblPr>
        <w:tblStyle w:val="13"/>
        <w:tblW w:w="9242" w:type="dxa"/>
        <w:tblInd w:w="0" w:type="dxa"/>
        <w:tblLayout w:type="fixed"/>
        <w:tblCellMar>
          <w:top w:w="0" w:type="dxa"/>
          <w:left w:w="108" w:type="dxa"/>
          <w:bottom w:w="0" w:type="dxa"/>
          <w:right w:w="108" w:type="dxa"/>
        </w:tblCellMar>
      </w:tblPr>
      <w:tblGrid>
        <w:gridCol w:w="663"/>
        <w:gridCol w:w="2856"/>
        <w:gridCol w:w="2223"/>
        <w:gridCol w:w="1751"/>
        <w:gridCol w:w="1749"/>
      </w:tblGrid>
      <w:tr>
        <w:tblPrEx>
          <w:tblLayout w:type="fixed"/>
          <w:tblCellMar>
            <w:top w:w="0" w:type="dxa"/>
            <w:left w:w="108" w:type="dxa"/>
            <w:bottom w:w="0" w:type="dxa"/>
            <w:right w:w="108" w:type="dxa"/>
          </w:tblCellMar>
        </w:tblPrEx>
        <w:trPr>
          <w:trHeight w:val="420" w:hRule="atLeast"/>
        </w:trPr>
        <w:tc>
          <w:tcPr>
            <w:tcW w:w="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标段</w:t>
            </w:r>
          </w:p>
        </w:tc>
        <w:tc>
          <w:tcPr>
            <w:tcW w:w="28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主要内容</w:t>
            </w:r>
          </w:p>
        </w:tc>
        <w:tc>
          <w:tcPr>
            <w:tcW w:w="22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长度（米）</w:t>
            </w: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招标控制价（元）</w:t>
            </w:r>
          </w:p>
        </w:tc>
      </w:tr>
      <w:tr>
        <w:tblPrEx>
          <w:tblLayout w:type="fixed"/>
          <w:tblCellMar>
            <w:top w:w="0" w:type="dxa"/>
            <w:left w:w="108" w:type="dxa"/>
            <w:bottom w:w="0" w:type="dxa"/>
            <w:right w:w="108" w:type="dxa"/>
          </w:tblCellMar>
        </w:tblPrEx>
        <w:trPr>
          <w:trHeight w:val="480" w:hRule="atLeast"/>
        </w:trPr>
        <w:tc>
          <w:tcPr>
            <w:tcW w:w="66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p>
        </w:tc>
        <w:tc>
          <w:tcPr>
            <w:tcW w:w="285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p>
        </w:tc>
        <w:tc>
          <w:tcPr>
            <w:tcW w:w="222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rPr>
            </w:pPr>
          </w:p>
        </w:tc>
        <w:tc>
          <w:tcPr>
            <w:tcW w:w="17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标段招标控制价（元）</w:t>
            </w:r>
          </w:p>
        </w:tc>
        <w:tc>
          <w:tcPr>
            <w:tcW w:w="174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rPr>
            </w:pPr>
            <w:r>
              <w:rPr>
                <w:rFonts w:hint="eastAsia" w:ascii="仿宋" w:hAnsi="仿宋" w:eastAsia="仿宋" w:cs="宋体"/>
                <w:color w:val="000000"/>
              </w:rPr>
              <w:t>分项招标控制价（元）</w:t>
            </w:r>
          </w:p>
        </w:tc>
      </w:tr>
      <w:tr>
        <w:tblPrEx>
          <w:tblLayout w:type="fixed"/>
          <w:tblCellMar>
            <w:top w:w="0" w:type="dxa"/>
            <w:left w:w="108" w:type="dxa"/>
            <w:bottom w:w="0" w:type="dxa"/>
            <w:right w:w="108" w:type="dxa"/>
          </w:tblCellMar>
        </w:tblPrEx>
        <w:trPr>
          <w:trHeight w:val="582" w:hRule="atLeast"/>
        </w:trPr>
        <w:tc>
          <w:tcPr>
            <w:tcW w:w="66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1</w:t>
            </w: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张潘镇焦庄村道路工程</w:t>
            </w:r>
          </w:p>
        </w:tc>
        <w:tc>
          <w:tcPr>
            <w:tcW w:w="2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1129</w:t>
            </w:r>
          </w:p>
        </w:tc>
        <w:tc>
          <w:tcPr>
            <w:tcW w:w="1751"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 xml:space="preserve">9874186.00 </w:t>
            </w: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964315.00 </w:t>
            </w:r>
          </w:p>
        </w:tc>
      </w:tr>
      <w:tr>
        <w:tblPrEx>
          <w:tblLayout w:type="fixed"/>
          <w:tblCellMar>
            <w:top w:w="0" w:type="dxa"/>
            <w:left w:w="108" w:type="dxa"/>
            <w:bottom w:w="0" w:type="dxa"/>
            <w:right w:w="108" w:type="dxa"/>
          </w:tblCellMar>
        </w:tblPrEx>
        <w:trPr>
          <w:trHeight w:val="582" w:hRule="atLeast"/>
        </w:trPr>
        <w:tc>
          <w:tcPr>
            <w:tcW w:w="663"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张潘镇古城村道路工程</w:t>
            </w:r>
          </w:p>
        </w:tc>
        <w:tc>
          <w:tcPr>
            <w:tcW w:w="2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2828</w:t>
            </w:r>
          </w:p>
        </w:tc>
        <w:tc>
          <w:tcPr>
            <w:tcW w:w="1751"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color w:val="000000"/>
                <w:sz w:val="22"/>
                <w:szCs w:val="22"/>
              </w:rPr>
            </w:pP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1389986.00 </w:t>
            </w:r>
          </w:p>
        </w:tc>
      </w:tr>
      <w:tr>
        <w:tblPrEx>
          <w:tblLayout w:type="fixed"/>
          <w:tblCellMar>
            <w:top w:w="0" w:type="dxa"/>
            <w:left w:w="108" w:type="dxa"/>
            <w:bottom w:w="0" w:type="dxa"/>
            <w:right w:w="108" w:type="dxa"/>
          </w:tblCellMar>
        </w:tblPrEx>
        <w:trPr>
          <w:trHeight w:val="582" w:hRule="atLeast"/>
        </w:trPr>
        <w:tc>
          <w:tcPr>
            <w:tcW w:w="663"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张潘镇花沟村道路工程</w:t>
            </w:r>
          </w:p>
        </w:tc>
        <w:tc>
          <w:tcPr>
            <w:tcW w:w="2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3208</w:t>
            </w:r>
          </w:p>
        </w:tc>
        <w:tc>
          <w:tcPr>
            <w:tcW w:w="1751"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color w:val="000000"/>
                <w:sz w:val="22"/>
                <w:szCs w:val="22"/>
              </w:rPr>
            </w:pP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1691493.00 </w:t>
            </w:r>
          </w:p>
        </w:tc>
      </w:tr>
      <w:tr>
        <w:tblPrEx>
          <w:tblLayout w:type="fixed"/>
          <w:tblCellMar>
            <w:top w:w="0" w:type="dxa"/>
            <w:left w:w="108" w:type="dxa"/>
            <w:bottom w:w="0" w:type="dxa"/>
            <w:right w:w="108" w:type="dxa"/>
          </w:tblCellMar>
        </w:tblPrEx>
        <w:trPr>
          <w:trHeight w:val="582" w:hRule="atLeast"/>
        </w:trPr>
        <w:tc>
          <w:tcPr>
            <w:tcW w:w="663"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张潘镇七级韩村道路工程</w:t>
            </w:r>
          </w:p>
        </w:tc>
        <w:tc>
          <w:tcPr>
            <w:tcW w:w="2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2649.5</w:t>
            </w:r>
          </w:p>
        </w:tc>
        <w:tc>
          <w:tcPr>
            <w:tcW w:w="1751"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color w:val="000000"/>
                <w:sz w:val="22"/>
                <w:szCs w:val="22"/>
              </w:rPr>
            </w:pP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1148008.00 </w:t>
            </w:r>
          </w:p>
        </w:tc>
      </w:tr>
      <w:tr>
        <w:tblPrEx>
          <w:tblLayout w:type="fixed"/>
          <w:tblCellMar>
            <w:top w:w="0" w:type="dxa"/>
            <w:left w:w="108" w:type="dxa"/>
            <w:bottom w:w="0" w:type="dxa"/>
            <w:right w:w="108" w:type="dxa"/>
          </w:tblCellMar>
        </w:tblPrEx>
        <w:trPr>
          <w:trHeight w:val="582" w:hRule="atLeast"/>
        </w:trPr>
        <w:tc>
          <w:tcPr>
            <w:tcW w:w="663"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蒋李集镇程庄村道路工程</w:t>
            </w:r>
          </w:p>
        </w:tc>
        <w:tc>
          <w:tcPr>
            <w:tcW w:w="2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2743.7</w:t>
            </w:r>
          </w:p>
        </w:tc>
        <w:tc>
          <w:tcPr>
            <w:tcW w:w="1751"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color w:val="000000"/>
                <w:sz w:val="22"/>
                <w:szCs w:val="22"/>
              </w:rPr>
            </w:pP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1085433.00 </w:t>
            </w:r>
          </w:p>
        </w:tc>
      </w:tr>
      <w:tr>
        <w:tblPrEx>
          <w:tblLayout w:type="fixed"/>
          <w:tblCellMar>
            <w:top w:w="0" w:type="dxa"/>
            <w:left w:w="108" w:type="dxa"/>
            <w:bottom w:w="0" w:type="dxa"/>
            <w:right w:w="108" w:type="dxa"/>
          </w:tblCellMar>
        </w:tblPrEx>
        <w:trPr>
          <w:trHeight w:val="582" w:hRule="atLeast"/>
        </w:trPr>
        <w:tc>
          <w:tcPr>
            <w:tcW w:w="663"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蒋李集岗申村道路工程</w:t>
            </w:r>
          </w:p>
        </w:tc>
        <w:tc>
          <w:tcPr>
            <w:tcW w:w="2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2207.7</w:t>
            </w:r>
          </w:p>
        </w:tc>
        <w:tc>
          <w:tcPr>
            <w:tcW w:w="1751"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color w:val="000000"/>
                <w:sz w:val="22"/>
                <w:szCs w:val="22"/>
              </w:rPr>
            </w:pP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1028960.00 </w:t>
            </w:r>
          </w:p>
        </w:tc>
      </w:tr>
      <w:tr>
        <w:tblPrEx>
          <w:tblLayout w:type="fixed"/>
          <w:tblCellMar>
            <w:top w:w="0" w:type="dxa"/>
            <w:left w:w="108" w:type="dxa"/>
            <w:bottom w:w="0" w:type="dxa"/>
            <w:right w:w="108" w:type="dxa"/>
          </w:tblCellMar>
        </w:tblPrEx>
        <w:trPr>
          <w:trHeight w:val="582" w:hRule="atLeast"/>
        </w:trPr>
        <w:tc>
          <w:tcPr>
            <w:tcW w:w="663"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蒋李集镇朱集村道路工程</w:t>
            </w:r>
          </w:p>
        </w:tc>
        <w:tc>
          <w:tcPr>
            <w:tcW w:w="2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3627.5</w:t>
            </w:r>
          </w:p>
        </w:tc>
        <w:tc>
          <w:tcPr>
            <w:tcW w:w="1751"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color w:val="000000"/>
                <w:sz w:val="22"/>
                <w:szCs w:val="22"/>
              </w:rPr>
            </w:pP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1507668.00 </w:t>
            </w:r>
          </w:p>
        </w:tc>
      </w:tr>
      <w:tr>
        <w:tblPrEx>
          <w:tblLayout w:type="fixed"/>
          <w:tblCellMar>
            <w:top w:w="0" w:type="dxa"/>
            <w:left w:w="108" w:type="dxa"/>
            <w:bottom w:w="0" w:type="dxa"/>
            <w:right w:w="108" w:type="dxa"/>
          </w:tblCellMar>
        </w:tblPrEx>
        <w:trPr>
          <w:trHeight w:val="582" w:hRule="atLeast"/>
        </w:trPr>
        <w:tc>
          <w:tcPr>
            <w:tcW w:w="663"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蒋李集镇辛庄村道路工程</w:t>
            </w:r>
          </w:p>
        </w:tc>
        <w:tc>
          <w:tcPr>
            <w:tcW w:w="2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2572</w:t>
            </w:r>
          </w:p>
        </w:tc>
        <w:tc>
          <w:tcPr>
            <w:tcW w:w="1751"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color w:val="000000"/>
                <w:sz w:val="22"/>
                <w:szCs w:val="22"/>
              </w:rPr>
            </w:pP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1058323.00 </w:t>
            </w:r>
          </w:p>
        </w:tc>
      </w:tr>
      <w:tr>
        <w:tblPrEx>
          <w:tblLayout w:type="fixed"/>
          <w:tblCellMar>
            <w:top w:w="0" w:type="dxa"/>
            <w:left w:w="108" w:type="dxa"/>
            <w:bottom w:w="0" w:type="dxa"/>
            <w:right w:w="108" w:type="dxa"/>
          </w:tblCellMar>
        </w:tblPrEx>
        <w:trPr>
          <w:trHeight w:val="582" w:hRule="atLeast"/>
        </w:trPr>
        <w:tc>
          <w:tcPr>
            <w:tcW w:w="66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2</w:t>
            </w: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艾庄乡大牛村道路工程</w:t>
            </w:r>
          </w:p>
        </w:tc>
        <w:tc>
          <w:tcPr>
            <w:tcW w:w="2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3155.7</w:t>
            </w:r>
          </w:p>
        </w:tc>
        <w:tc>
          <w:tcPr>
            <w:tcW w:w="1751"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 xml:space="preserve">6383925.00 </w:t>
            </w: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1040658.00 </w:t>
            </w:r>
          </w:p>
        </w:tc>
      </w:tr>
      <w:tr>
        <w:tblPrEx>
          <w:tblLayout w:type="fixed"/>
          <w:tblCellMar>
            <w:top w:w="0" w:type="dxa"/>
            <w:left w:w="108" w:type="dxa"/>
            <w:bottom w:w="0" w:type="dxa"/>
            <w:right w:w="108" w:type="dxa"/>
          </w:tblCellMar>
        </w:tblPrEx>
        <w:trPr>
          <w:trHeight w:val="582" w:hRule="atLeast"/>
        </w:trPr>
        <w:tc>
          <w:tcPr>
            <w:tcW w:w="663"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艾庄乡袁庄村道路工程</w:t>
            </w:r>
          </w:p>
        </w:tc>
        <w:tc>
          <w:tcPr>
            <w:tcW w:w="2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2261.5</w:t>
            </w:r>
          </w:p>
        </w:tc>
        <w:tc>
          <w:tcPr>
            <w:tcW w:w="1751"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color w:val="000000"/>
                <w:sz w:val="22"/>
                <w:szCs w:val="22"/>
              </w:rPr>
            </w:pP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1192429.00 </w:t>
            </w:r>
          </w:p>
        </w:tc>
      </w:tr>
      <w:tr>
        <w:tblPrEx>
          <w:tblLayout w:type="fixed"/>
          <w:tblCellMar>
            <w:top w:w="0" w:type="dxa"/>
            <w:left w:w="108" w:type="dxa"/>
            <w:bottom w:w="0" w:type="dxa"/>
            <w:right w:w="108" w:type="dxa"/>
          </w:tblCellMar>
        </w:tblPrEx>
        <w:trPr>
          <w:trHeight w:val="582" w:hRule="atLeast"/>
        </w:trPr>
        <w:tc>
          <w:tcPr>
            <w:tcW w:w="663"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苏桥镇司堂村道路工程</w:t>
            </w:r>
          </w:p>
        </w:tc>
        <w:tc>
          <w:tcPr>
            <w:tcW w:w="2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2405.5</w:t>
            </w:r>
          </w:p>
        </w:tc>
        <w:tc>
          <w:tcPr>
            <w:tcW w:w="1751"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color w:val="000000"/>
                <w:sz w:val="22"/>
                <w:szCs w:val="22"/>
              </w:rPr>
            </w:pP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1000815.00 </w:t>
            </w:r>
          </w:p>
        </w:tc>
      </w:tr>
      <w:tr>
        <w:tblPrEx>
          <w:tblLayout w:type="fixed"/>
          <w:tblCellMar>
            <w:top w:w="0" w:type="dxa"/>
            <w:left w:w="108" w:type="dxa"/>
            <w:bottom w:w="0" w:type="dxa"/>
            <w:right w:w="108" w:type="dxa"/>
          </w:tblCellMar>
        </w:tblPrEx>
        <w:trPr>
          <w:trHeight w:val="582" w:hRule="atLeast"/>
        </w:trPr>
        <w:tc>
          <w:tcPr>
            <w:tcW w:w="663"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苏桥镇陈堂村道路工程</w:t>
            </w:r>
          </w:p>
        </w:tc>
        <w:tc>
          <w:tcPr>
            <w:tcW w:w="2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2294.5</w:t>
            </w:r>
          </w:p>
        </w:tc>
        <w:tc>
          <w:tcPr>
            <w:tcW w:w="1751"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color w:val="000000"/>
                <w:sz w:val="22"/>
                <w:szCs w:val="22"/>
              </w:rPr>
            </w:pP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1022998.00 </w:t>
            </w:r>
          </w:p>
        </w:tc>
      </w:tr>
      <w:tr>
        <w:tblPrEx>
          <w:tblLayout w:type="fixed"/>
          <w:tblCellMar>
            <w:top w:w="0" w:type="dxa"/>
            <w:left w:w="108" w:type="dxa"/>
            <w:bottom w:w="0" w:type="dxa"/>
            <w:right w:w="108" w:type="dxa"/>
          </w:tblCellMar>
        </w:tblPrEx>
        <w:trPr>
          <w:trHeight w:val="582" w:hRule="atLeast"/>
        </w:trPr>
        <w:tc>
          <w:tcPr>
            <w:tcW w:w="663"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苏桥镇东张村道路工程</w:t>
            </w:r>
          </w:p>
        </w:tc>
        <w:tc>
          <w:tcPr>
            <w:tcW w:w="2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2004</w:t>
            </w:r>
          </w:p>
        </w:tc>
        <w:tc>
          <w:tcPr>
            <w:tcW w:w="1751"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color w:val="000000"/>
                <w:sz w:val="22"/>
                <w:szCs w:val="22"/>
              </w:rPr>
            </w:pP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1035984.00 </w:t>
            </w:r>
          </w:p>
        </w:tc>
      </w:tr>
      <w:tr>
        <w:tblPrEx>
          <w:tblLayout w:type="fixed"/>
          <w:tblCellMar>
            <w:top w:w="0" w:type="dxa"/>
            <w:left w:w="108" w:type="dxa"/>
            <w:bottom w:w="0" w:type="dxa"/>
            <w:right w:w="108" w:type="dxa"/>
          </w:tblCellMar>
        </w:tblPrEx>
        <w:trPr>
          <w:trHeight w:val="582" w:hRule="atLeast"/>
        </w:trPr>
        <w:tc>
          <w:tcPr>
            <w:tcW w:w="663"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苏桥镇侯王村道路工程</w:t>
            </w:r>
          </w:p>
        </w:tc>
        <w:tc>
          <w:tcPr>
            <w:tcW w:w="2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2357</w:t>
            </w:r>
          </w:p>
        </w:tc>
        <w:tc>
          <w:tcPr>
            <w:tcW w:w="1751"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color w:val="000000"/>
                <w:sz w:val="22"/>
                <w:szCs w:val="22"/>
              </w:rPr>
            </w:pP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1091041.00 </w:t>
            </w:r>
          </w:p>
        </w:tc>
      </w:tr>
      <w:tr>
        <w:tblPrEx>
          <w:tblLayout w:type="fixed"/>
          <w:tblCellMar>
            <w:top w:w="0" w:type="dxa"/>
            <w:left w:w="108" w:type="dxa"/>
            <w:bottom w:w="0" w:type="dxa"/>
            <w:right w:w="108" w:type="dxa"/>
          </w:tblCellMar>
        </w:tblPrEx>
        <w:trPr>
          <w:trHeight w:val="582" w:hRule="atLeast"/>
        </w:trPr>
        <w:tc>
          <w:tcPr>
            <w:tcW w:w="663"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3</w:t>
            </w: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桂村乡老岗杨村道路工程</w:t>
            </w:r>
          </w:p>
        </w:tc>
        <w:tc>
          <w:tcPr>
            <w:tcW w:w="22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3258</w:t>
            </w:r>
          </w:p>
        </w:tc>
        <w:tc>
          <w:tcPr>
            <w:tcW w:w="1751"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 xml:space="preserve">5151121.00 </w:t>
            </w: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1591001.00 </w:t>
            </w:r>
          </w:p>
        </w:tc>
      </w:tr>
      <w:tr>
        <w:tblPrEx>
          <w:tblLayout w:type="fixed"/>
          <w:tblCellMar>
            <w:top w:w="0" w:type="dxa"/>
            <w:left w:w="108" w:type="dxa"/>
            <w:bottom w:w="0" w:type="dxa"/>
            <w:right w:w="108" w:type="dxa"/>
          </w:tblCellMar>
        </w:tblPrEx>
        <w:trPr>
          <w:trHeight w:val="582" w:hRule="atLeast"/>
        </w:trPr>
        <w:tc>
          <w:tcPr>
            <w:tcW w:w="663"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五女店镇柏茗村道路工程</w:t>
            </w:r>
          </w:p>
        </w:tc>
        <w:tc>
          <w:tcPr>
            <w:tcW w:w="2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2053</w:t>
            </w:r>
          </w:p>
        </w:tc>
        <w:tc>
          <w:tcPr>
            <w:tcW w:w="1751"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color w:val="000000"/>
                <w:sz w:val="22"/>
                <w:szCs w:val="22"/>
              </w:rPr>
            </w:pP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873212.00 </w:t>
            </w:r>
          </w:p>
        </w:tc>
      </w:tr>
      <w:tr>
        <w:tblPrEx>
          <w:tblLayout w:type="fixed"/>
          <w:tblCellMar>
            <w:top w:w="0" w:type="dxa"/>
            <w:left w:w="108" w:type="dxa"/>
            <w:bottom w:w="0" w:type="dxa"/>
            <w:right w:w="108" w:type="dxa"/>
          </w:tblCellMar>
        </w:tblPrEx>
        <w:trPr>
          <w:trHeight w:val="582" w:hRule="atLeast"/>
        </w:trPr>
        <w:tc>
          <w:tcPr>
            <w:tcW w:w="663"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五女店镇周店村道路工程</w:t>
            </w:r>
          </w:p>
        </w:tc>
        <w:tc>
          <w:tcPr>
            <w:tcW w:w="2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3017</w:t>
            </w:r>
          </w:p>
        </w:tc>
        <w:tc>
          <w:tcPr>
            <w:tcW w:w="1751"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color w:val="000000"/>
                <w:sz w:val="22"/>
                <w:szCs w:val="22"/>
              </w:rPr>
            </w:pP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1557812.00 </w:t>
            </w:r>
          </w:p>
        </w:tc>
      </w:tr>
      <w:tr>
        <w:tblPrEx>
          <w:tblLayout w:type="fixed"/>
          <w:tblCellMar>
            <w:top w:w="0" w:type="dxa"/>
            <w:left w:w="108" w:type="dxa"/>
            <w:bottom w:w="0" w:type="dxa"/>
            <w:right w:w="108" w:type="dxa"/>
          </w:tblCellMar>
        </w:tblPrEx>
        <w:trPr>
          <w:trHeight w:val="582" w:hRule="atLeast"/>
        </w:trPr>
        <w:tc>
          <w:tcPr>
            <w:tcW w:w="663"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五女店镇老庄陈村道路工程</w:t>
            </w:r>
          </w:p>
        </w:tc>
        <w:tc>
          <w:tcPr>
            <w:tcW w:w="2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1877</w:t>
            </w:r>
          </w:p>
        </w:tc>
        <w:tc>
          <w:tcPr>
            <w:tcW w:w="1751"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color w:val="000000"/>
                <w:sz w:val="22"/>
                <w:szCs w:val="22"/>
              </w:rPr>
            </w:pP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989692.00 </w:t>
            </w:r>
          </w:p>
        </w:tc>
      </w:tr>
      <w:tr>
        <w:tblPrEx>
          <w:tblLayout w:type="fixed"/>
          <w:tblCellMar>
            <w:top w:w="0" w:type="dxa"/>
            <w:left w:w="108" w:type="dxa"/>
            <w:bottom w:w="0" w:type="dxa"/>
            <w:right w:w="108" w:type="dxa"/>
          </w:tblCellMar>
        </w:tblPrEx>
        <w:trPr>
          <w:trHeight w:val="582" w:hRule="atLeast"/>
        </w:trPr>
        <w:tc>
          <w:tcPr>
            <w:tcW w:w="663"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灵井镇刘庄村排水工程</w:t>
            </w:r>
          </w:p>
        </w:tc>
        <w:tc>
          <w:tcPr>
            <w:tcW w:w="2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756</w:t>
            </w:r>
          </w:p>
        </w:tc>
        <w:tc>
          <w:tcPr>
            <w:tcW w:w="1751"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color w:val="000000"/>
                <w:sz w:val="22"/>
                <w:szCs w:val="22"/>
              </w:rPr>
            </w:pP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139404.00 </w:t>
            </w:r>
          </w:p>
        </w:tc>
      </w:tr>
      <w:tr>
        <w:tblPrEx>
          <w:tblLayout w:type="fixed"/>
          <w:tblCellMar>
            <w:top w:w="0" w:type="dxa"/>
            <w:left w:w="108" w:type="dxa"/>
            <w:bottom w:w="0" w:type="dxa"/>
            <w:right w:w="108" w:type="dxa"/>
          </w:tblCellMar>
        </w:tblPrEx>
        <w:trPr>
          <w:trHeight w:val="582" w:hRule="atLeast"/>
        </w:trPr>
        <w:tc>
          <w:tcPr>
            <w:tcW w:w="663"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4</w:t>
            </w: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将官池镇秋湖村道路工程</w:t>
            </w:r>
          </w:p>
        </w:tc>
        <w:tc>
          <w:tcPr>
            <w:tcW w:w="2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2217.3</w:t>
            </w:r>
          </w:p>
        </w:tc>
        <w:tc>
          <w:tcPr>
            <w:tcW w:w="1751"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 xml:space="preserve">1326908.00 </w:t>
            </w: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1183895.00 </w:t>
            </w:r>
          </w:p>
        </w:tc>
      </w:tr>
      <w:tr>
        <w:tblPrEx>
          <w:tblLayout w:type="fixed"/>
          <w:tblCellMar>
            <w:top w:w="0" w:type="dxa"/>
            <w:left w:w="108" w:type="dxa"/>
            <w:bottom w:w="0" w:type="dxa"/>
            <w:right w:w="108" w:type="dxa"/>
          </w:tblCellMar>
        </w:tblPrEx>
        <w:trPr>
          <w:trHeight w:val="582" w:hRule="atLeast"/>
        </w:trPr>
        <w:tc>
          <w:tcPr>
            <w:tcW w:w="663"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将官池镇湖徐村道路工程</w:t>
            </w:r>
          </w:p>
        </w:tc>
        <w:tc>
          <w:tcPr>
            <w:tcW w:w="2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256.5</w:t>
            </w:r>
          </w:p>
        </w:tc>
        <w:tc>
          <w:tcPr>
            <w:tcW w:w="1751"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宋体"/>
                <w:color w:val="000000"/>
                <w:sz w:val="22"/>
                <w:szCs w:val="22"/>
              </w:rPr>
            </w:pP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143013.00 </w:t>
            </w:r>
          </w:p>
        </w:tc>
      </w:tr>
      <w:tr>
        <w:tblPrEx>
          <w:tblLayout w:type="fixed"/>
          <w:tblCellMar>
            <w:top w:w="0" w:type="dxa"/>
            <w:left w:w="108" w:type="dxa"/>
            <w:bottom w:w="0" w:type="dxa"/>
            <w:right w:w="108" w:type="dxa"/>
          </w:tblCellMar>
        </w:tblPrEx>
        <w:trPr>
          <w:trHeight w:val="582" w:hRule="atLeast"/>
        </w:trPr>
        <w:tc>
          <w:tcPr>
            <w:tcW w:w="66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5</w:t>
            </w:r>
          </w:p>
        </w:tc>
        <w:tc>
          <w:tcPr>
            <w:tcW w:w="2856" w:type="dxa"/>
            <w:tcBorders>
              <w:top w:val="nil"/>
              <w:left w:val="nil"/>
              <w:bottom w:val="single" w:color="auto" w:sz="4" w:space="0"/>
              <w:right w:val="single" w:color="auto" w:sz="4" w:space="0"/>
            </w:tcBorders>
            <w:shd w:val="clear" w:color="auto" w:fill="auto"/>
            <w:noWrap/>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陈曹乡万庄村道路工程</w:t>
            </w:r>
          </w:p>
        </w:tc>
        <w:tc>
          <w:tcPr>
            <w:tcW w:w="2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宋体"/>
                <w:color w:val="000000"/>
                <w:sz w:val="22"/>
                <w:szCs w:val="22"/>
              </w:rPr>
            </w:pPr>
            <w:r>
              <w:rPr>
                <w:rFonts w:hint="eastAsia" w:ascii="仿宋" w:hAnsi="仿宋" w:eastAsia="仿宋" w:cs="仿宋"/>
                <w:i w:val="0"/>
                <w:color w:val="000000"/>
                <w:kern w:val="0"/>
                <w:sz w:val="22"/>
                <w:szCs w:val="22"/>
                <w:u w:val="none"/>
                <w:lang w:val="en-US" w:eastAsia="zh-CN" w:bidi="ar"/>
              </w:rPr>
              <w:t>4255</w:t>
            </w:r>
          </w:p>
        </w:tc>
        <w:tc>
          <w:tcPr>
            <w:tcW w:w="17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2"/>
                <w:szCs w:val="22"/>
              </w:rPr>
            </w:pPr>
            <w:r>
              <w:rPr>
                <w:rFonts w:hint="eastAsia" w:ascii="仿宋" w:hAnsi="仿宋" w:eastAsia="仿宋" w:cs="宋体"/>
                <w:color w:val="000000"/>
                <w:sz w:val="22"/>
                <w:szCs w:val="22"/>
              </w:rPr>
              <w:t xml:space="preserve">1874664.00 </w:t>
            </w:r>
          </w:p>
        </w:tc>
        <w:tc>
          <w:tcPr>
            <w:tcW w:w="1749" w:type="dxa"/>
            <w:tcBorders>
              <w:top w:val="nil"/>
              <w:left w:val="nil"/>
              <w:bottom w:val="single" w:color="auto" w:sz="4" w:space="0"/>
              <w:right w:val="single" w:color="auto" w:sz="4" w:space="0"/>
            </w:tcBorders>
            <w:shd w:val="clear" w:color="auto" w:fill="auto"/>
            <w:noWrap/>
            <w:vAlign w:val="center"/>
          </w:tcPr>
          <w:p>
            <w:pPr>
              <w:jc w:val="right"/>
              <w:rPr>
                <w:rFonts w:ascii="仿宋" w:hAnsi="仿宋" w:eastAsia="仿宋" w:cs="宋体"/>
                <w:color w:val="000000"/>
                <w:sz w:val="22"/>
                <w:szCs w:val="22"/>
              </w:rPr>
            </w:pPr>
            <w:r>
              <w:rPr>
                <w:rFonts w:hint="eastAsia" w:ascii="仿宋" w:hAnsi="仿宋" w:eastAsia="仿宋" w:cs="宋体"/>
                <w:color w:val="000000"/>
                <w:sz w:val="22"/>
                <w:szCs w:val="22"/>
              </w:rPr>
              <w:t xml:space="preserve">1874664.00 </w:t>
            </w:r>
          </w:p>
        </w:tc>
      </w:tr>
    </w:tbl>
    <w:p>
      <w:pPr>
        <w:rPr>
          <w:rFonts w:ascii="仿宋" w:hAnsi="仿宋" w:eastAsia="仿宋" w:cs="仿宋"/>
          <w:b/>
          <w:sz w:val="24"/>
          <w:szCs w:val="24"/>
        </w:rPr>
      </w:pPr>
      <w:r>
        <w:rPr>
          <w:rFonts w:hint="eastAsia" w:ascii="仿宋" w:hAnsi="仿宋" w:eastAsia="仿宋" w:cs="仿宋"/>
          <w:b/>
          <w:sz w:val="24"/>
          <w:szCs w:val="24"/>
        </w:rPr>
        <w:t>二、投标人资格要求</w:t>
      </w:r>
    </w:p>
    <w:p>
      <w:pPr>
        <w:ind w:firstLine="352" w:firstLineChars="147"/>
        <w:rPr>
          <w:rFonts w:ascii="仿宋" w:hAnsi="仿宋" w:eastAsia="仿宋" w:cs="仿宋"/>
          <w:sz w:val="24"/>
        </w:rPr>
      </w:pPr>
      <w:r>
        <w:rPr>
          <w:rFonts w:hint="eastAsia" w:ascii="仿宋" w:hAnsi="仿宋" w:eastAsia="仿宋" w:cs="仿宋"/>
          <w:sz w:val="24"/>
        </w:rPr>
        <w:t>1、须具备独立法人资格;</w:t>
      </w:r>
    </w:p>
    <w:p>
      <w:pPr>
        <w:ind w:firstLine="352" w:firstLineChars="147"/>
        <w:rPr>
          <w:rFonts w:ascii="仿宋" w:hAnsi="仿宋" w:eastAsia="仿宋" w:cs="仿宋"/>
          <w:sz w:val="24"/>
        </w:rPr>
      </w:pPr>
      <w:r>
        <w:rPr>
          <w:rFonts w:hint="eastAsia" w:ascii="仿宋" w:hAnsi="仿宋" w:eastAsia="仿宋" w:cs="仿宋"/>
          <w:sz w:val="24"/>
        </w:rPr>
        <w:t>2、本次招标要求投标人须具备建设行政主管部门颁发的公路工程施工总承包三级及以上资质、并具备有效的企业安全生产许可证，在人员、设备、资金等方面具有相应的施工能力。</w:t>
      </w:r>
    </w:p>
    <w:p>
      <w:pPr>
        <w:ind w:firstLine="360" w:firstLineChars="150"/>
        <w:rPr>
          <w:rFonts w:ascii="仿宋" w:hAnsi="仿宋" w:eastAsia="仿宋" w:cs="仿宋"/>
          <w:sz w:val="24"/>
        </w:rPr>
      </w:pPr>
      <w:r>
        <w:rPr>
          <w:rFonts w:hint="eastAsia" w:ascii="仿宋" w:hAnsi="仿宋" w:eastAsia="仿宋" w:cs="仿宋"/>
          <w:sz w:val="24"/>
        </w:rPr>
        <w:t>3、拟派建造师须具备贰级及以上公路工程专业注册建造师执业资格，具备有效的安全生产考核合格证书，且未担任其他在施建设项目的项目经理。拟派项目总工需具备中级及以上相关专业技术职称。</w:t>
      </w:r>
    </w:p>
    <w:p>
      <w:pPr>
        <w:ind w:firstLine="360" w:firstLineChars="150"/>
        <w:rPr>
          <w:rFonts w:ascii="仿宋" w:hAnsi="仿宋" w:eastAsia="仿宋" w:cs="仿宋"/>
          <w:sz w:val="24"/>
        </w:rPr>
      </w:pPr>
      <w:r>
        <w:rPr>
          <w:rFonts w:hint="eastAsia" w:ascii="仿宋" w:hAnsi="仿宋" w:eastAsia="仿宋" w:cs="仿宋"/>
          <w:sz w:val="24"/>
        </w:rPr>
        <w:t>4、投标人近三年内（201</w:t>
      </w:r>
      <w:r>
        <w:rPr>
          <w:rFonts w:hint="eastAsia" w:ascii="仿宋" w:hAnsi="仿宋" w:eastAsia="仿宋" w:cs="仿宋"/>
          <w:sz w:val="24"/>
          <w:lang w:val="en-US" w:eastAsia="zh-CN"/>
        </w:rPr>
        <w:t>6</w:t>
      </w:r>
      <w:r>
        <w:rPr>
          <w:rFonts w:hint="eastAsia" w:ascii="仿宋" w:hAnsi="仿宋" w:eastAsia="仿宋" w:cs="仿宋"/>
          <w:sz w:val="24"/>
        </w:rPr>
        <w:t>年1月1日起至今，以施工合同日期为准）完成二个以上（含两个）的类似项目工程，并在人员、设备、资金等方面具有相应的施工能力。</w:t>
      </w:r>
    </w:p>
    <w:p>
      <w:pPr>
        <w:ind w:firstLine="360" w:firstLineChars="150"/>
        <w:rPr>
          <w:rFonts w:ascii="仿宋" w:hAnsi="仿宋" w:eastAsia="仿宋" w:cs="仿宋"/>
          <w:sz w:val="24"/>
        </w:rPr>
      </w:pPr>
      <w:r>
        <w:rPr>
          <w:rFonts w:hint="eastAsia" w:ascii="仿宋" w:hAnsi="仿宋" w:eastAsia="仿宋" w:cs="仿宋"/>
          <w:sz w:val="24"/>
        </w:rPr>
        <w:t>5、根据《河南省公路建设市场从业单位及人员信用管理办法》第二十一条“对信用考核定级为D级即黑名单的从业单位，”不得参与本项目投标。</w:t>
      </w:r>
    </w:p>
    <w:p>
      <w:pPr>
        <w:ind w:firstLine="360" w:firstLineChars="150"/>
        <w:rPr>
          <w:rFonts w:ascii="仿宋" w:hAnsi="仿宋" w:eastAsia="仿宋" w:cs="仿宋"/>
          <w:sz w:val="24"/>
        </w:rPr>
      </w:pPr>
      <w:r>
        <w:rPr>
          <w:rFonts w:hint="eastAsia" w:ascii="仿宋" w:hAnsi="仿宋" w:eastAsia="仿宋" w:cs="仿宋"/>
          <w:sz w:val="24"/>
        </w:rPr>
        <w:t>6、未被工商行政管理机关在全国企业信用信息公示系统中列入严重违法失信企业名单;未被最高人民法院在“信用中国”网站(www.creditchina.gov.cn)或各级信用信息共享平台中列入失信被执行人名单的投标单位。</w:t>
      </w:r>
    </w:p>
    <w:p>
      <w:pPr>
        <w:pStyle w:val="2"/>
        <w:ind w:firstLine="360" w:firstLineChars="150"/>
        <w:rPr>
          <w:rFonts w:ascii="仿宋" w:hAnsi="仿宋" w:eastAsia="仿宋" w:cs="仿宋"/>
          <w:sz w:val="24"/>
        </w:rPr>
      </w:pPr>
      <w:r>
        <w:rPr>
          <w:rFonts w:hint="eastAsia" w:ascii="仿宋" w:hAnsi="仿宋" w:eastAsia="仿宋" w:cs="仿宋"/>
          <w:sz w:val="24"/>
        </w:rPr>
        <w:t>7、与招标人存在利害关系可能影响招标公正性的单位，不得参加投标。单位负 责人为同一人或存在控股、管理关系的不同单位，不得参加同一标段投标，否则，相 关投标均无效。</w:t>
      </w:r>
    </w:p>
    <w:p>
      <w:pPr>
        <w:ind w:firstLine="360" w:firstLineChars="150"/>
        <w:rPr>
          <w:rFonts w:ascii="仿宋" w:hAnsi="仿宋" w:eastAsia="仿宋" w:cs="仿宋"/>
          <w:sz w:val="24"/>
        </w:rPr>
      </w:pPr>
      <w:r>
        <w:rPr>
          <w:rFonts w:hint="eastAsia" w:ascii="仿宋" w:hAnsi="仿宋" w:eastAsia="仿宋" w:cs="仿宋"/>
          <w:sz w:val="24"/>
        </w:rPr>
        <w:t>8、本次招标不接受联合体投标。</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三、投标报名方式</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1、报名方式：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480"/>
        <w:outlineLvl w:val="0"/>
        <w:rPr>
          <w:rFonts w:ascii="仿宋" w:hAnsi="仿宋" w:eastAsia="仿宋" w:cs="仿宋"/>
          <w:sz w:val="24"/>
        </w:rPr>
      </w:pPr>
      <w:r>
        <w:rPr>
          <w:rFonts w:hint="eastAsia" w:ascii="仿宋" w:hAnsi="仿宋" w:eastAsia="仿宋" w:cs="仿宋"/>
          <w:sz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四、招标文件和施工图纸的获取</w:t>
      </w:r>
    </w:p>
    <w:p>
      <w:pPr>
        <w:spacing w:line="360" w:lineRule="auto"/>
        <w:ind w:left="-100" w:leftChars="-50" w:right="-100" w:rightChars="-50" w:firstLine="480" w:firstLineChars="200"/>
        <w:rPr>
          <w:rFonts w:ascii="仿宋" w:hAnsi="仿宋" w:eastAsia="仿宋" w:cs="仿宋"/>
          <w:sz w:val="24"/>
        </w:rPr>
      </w:pPr>
      <w:r>
        <w:rPr>
          <w:rFonts w:hint="eastAsia" w:ascii="仿宋" w:hAnsi="仿宋" w:eastAsia="仿宋" w:cs="仿宋"/>
          <w:sz w:val="24"/>
        </w:rPr>
        <w:t xml:space="preserve"> 1、招标文件下载：投标人于投标文件递交截止时间前均可在全国公共资源交易平台（河南省·许昌市）自行下载本项目招标文件和工程量清单。</w:t>
      </w:r>
    </w:p>
    <w:p>
      <w:pPr>
        <w:spacing w:line="420" w:lineRule="exact"/>
        <w:ind w:right="-100" w:rightChars="-50" w:firstLine="480" w:firstLineChars="200"/>
        <w:rPr>
          <w:rFonts w:ascii="仿宋" w:hAnsi="仿宋" w:eastAsia="仿宋" w:cs="仿宋"/>
          <w:sz w:val="24"/>
        </w:rPr>
      </w:pPr>
      <w:r>
        <w:rPr>
          <w:rFonts w:hint="eastAsia" w:ascii="仿宋" w:hAnsi="仿宋" w:eastAsia="仿宋" w:cs="仿宋"/>
          <w:sz w:val="24"/>
        </w:rPr>
        <w:t>2、施工图纸下载：按照施工招标文件中第二章投标人须知前附表第2.1项所给的网址自行下载。</w:t>
      </w:r>
    </w:p>
    <w:p>
      <w:pPr>
        <w:spacing w:line="420" w:lineRule="exact"/>
        <w:ind w:left="-100" w:leftChars="-50" w:right="-100" w:rightChars="-50" w:firstLine="480" w:firstLineChars="200"/>
        <w:rPr>
          <w:rFonts w:ascii="仿宋" w:hAnsi="仿宋" w:eastAsia="仿宋" w:cs="仿宋"/>
          <w:sz w:val="24"/>
        </w:rPr>
      </w:pPr>
      <w:r>
        <w:rPr>
          <w:rFonts w:hint="eastAsia" w:ascii="仿宋" w:hAnsi="仿宋" w:eastAsia="仿宋" w:cs="仿宋"/>
          <w:sz w:val="24"/>
        </w:rPr>
        <w:t xml:space="preserve"> 3、招标文件每套售价300元/标段，递交投标文件时缴纳给招标代理机构，售后不退。</w:t>
      </w:r>
    </w:p>
    <w:p>
      <w:pPr>
        <w:autoSpaceDE w:val="0"/>
        <w:autoSpaceDN w:val="0"/>
        <w:adjustRightInd w:val="0"/>
        <w:spacing w:line="420" w:lineRule="exact"/>
        <w:outlineLvl w:val="0"/>
        <w:rPr>
          <w:rFonts w:ascii="仿宋" w:hAnsi="仿宋" w:eastAsia="仿宋" w:cs="仿宋"/>
          <w:b/>
          <w:bCs/>
          <w:sz w:val="24"/>
        </w:rPr>
      </w:pPr>
      <w:r>
        <w:rPr>
          <w:rFonts w:hint="eastAsia" w:ascii="仿宋" w:hAnsi="仿宋" w:eastAsia="仿宋" w:cs="仿宋"/>
          <w:b/>
          <w:bCs/>
          <w:sz w:val="24"/>
        </w:rPr>
        <w:t>五、投标文件的递交</w:t>
      </w:r>
    </w:p>
    <w:p>
      <w:pPr>
        <w:spacing w:line="420" w:lineRule="exact"/>
        <w:ind w:left="-100" w:leftChars="-50" w:right="-100" w:rightChars="-50" w:firstLine="480" w:firstLineChars="200"/>
        <w:rPr>
          <w:rFonts w:ascii="仿宋" w:hAnsi="仿宋" w:eastAsia="仿宋" w:cs="仿宋"/>
          <w:sz w:val="24"/>
        </w:rPr>
      </w:pPr>
      <w:r>
        <w:rPr>
          <w:rFonts w:hint="eastAsia" w:ascii="仿宋" w:hAnsi="仿宋" w:eastAsia="仿宋" w:cs="仿宋"/>
          <w:sz w:val="24"/>
        </w:rPr>
        <w:t>1、投标文件递交的截止时间为201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22</w:t>
      </w:r>
      <w:r>
        <w:rPr>
          <w:rFonts w:hint="eastAsia" w:ascii="仿宋" w:hAnsi="仿宋" w:eastAsia="仿宋" w:cs="仿宋"/>
          <w:sz w:val="24"/>
        </w:rPr>
        <w:t>日</w:t>
      </w:r>
      <w:r>
        <w:rPr>
          <w:rFonts w:hint="eastAsia" w:ascii="仿宋" w:hAnsi="仿宋" w:eastAsia="仿宋" w:cs="仿宋"/>
          <w:sz w:val="24"/>
          <w:lang w:val="en-US" w:eastAsia="zh-CN"/>
        </w:rPr>
        <w:t>10</w:t>
      </w:r>
      <w:r>
        <w:rPr>
          <w:rFonts w:hint="eastAsia" w:ascii="仿宋" w:hAnsi="仿宋" w:eastAsia="仿宋" w:cs="仿宋"/>
          <w:sz w:val="24"/>
        </w:rPr>
        <w:t>时30分，地点为许昌市建安区新元大道兴业大厦4楼4167室。</w:t>
      </w:r>
    </w:p>
    <w:p>
      <w:pPr>
        <w:spacing w:line="420" w:lineRule="exact"/>
        <w:ind w:left="-100" w:leftChars="-50" w:right="-100" w:rightChars="-50" w:firstLine="480" w:firstLineChars="200"/>
        <w:rPr>
          <w:rFonts w:ascii="仿宋" w:hAnsi="仿宋" w:eastAsia="仿宋" w:cs="仿宋"/>
          <w:sz w:val="24"/>
        </w:rPr>
      </w:pPr>
      <w:r>
        <w:rPr>
          <w:rFonts w:hint="eastAsia" w:ascii="仿宋" w:hAnsi="仿宋" w:eastAsia="仿宋" w:cs="仿宋"/>
          <w:sz w:val="24"/>
        </w:rPr>
        <w:t>2、逾期送达的或者未送达指定地点的投标文件，招标人不予受理。</w:t>
      </w:r>
    </w:p>
    <w:p>
      <w:pPr>
        <w:spacing w:line="420" w:lineRule="exact"/>
        <w:ind w:left="-100" w:leftChars="-50" w:right="-100" w:rightChars="-50" w:firstLine="480" w:firstLineChars="200"/>
        <w:rPr>
          <w:rFonts w:ascii="仿宋" w:hAnsi="仿宋" w:eastAsia="仿宋" w:cs="仿宋"/>
          <w:sz w:val="24"/>
        </w:rPr>
      </w:pPr>
      <w:r>
        <w:rPr>
          <w:rFonts w:hint="eastAsia" w:ascii="仿宋" w:hAnsi="仿宋" w:eastAsia="仿宋" w:cs="仿宋"/>
          <w:sz w:val="24"/>
        </w:rPr>
        <w:t>3、未通过全国公共资源交易平台（河南省·许昌市）下载招标文件的投标人，其投标文件不予受理。</w:t>
      </w:r>
    </w:p>
    <w:p>
      <w:pPr>
        <w:autoSpaceDE w:val="0"/>
        <w:autoSpaceDN w:val="0"/>
        <w:adjustRightInd w:val="0"/>
        <w:spacing w:line="420" w:lineRule="exact"/>
        <w:outlineLvl w:val="0"/>
        <w:rPr>
          <w:rFonts w:ascii="仿宋" w:hAnsi="仿宋" w:eastAsia="仿宋" w:cs="仿宋"/>
          <w:b/>
          <w:bCs/>
          <w:sz w:val="24"/>
        </w:rPr>
      </w:pPr>
      <w:r>
        <w:rPr>
          <w:rFonts w:hint="eastAsia" w:ascii="仿宋" w:hAnsi="仿宋" w:eastAsia="仿宋" w:cs="仿宋"/>
          <w:b/>
          <w:bCs/>
          <w:sz w:val="24"/>
        </w:rPr>
        <w:t>六、发布公告的媒介</w:t>
      </w:r>
    </w:p>
    <w:p>
      <w:pPr>
        <w:autoSpaceDE w:val="0"/>
        <w:autoSpaceDN w:val="0"/>
        <w:adjustRightInd w:val="0"/>
        <w:spacing w:line="420" w:lineRule="exact"/>
        <w:ind w:firstLine="480" w:firstLineChars="200"/>
        <w:outlineLvl w:val="0"/>
        <w:rPr>
          <w:rFonts w:ascii="仿宋" w:hAnsi="仿宋" w:eastAsia="仿宋" w:cs="仿宋"/>
          <w:sz w:val="24"/>
        </w:rPr>
      </w:pPr>
      <w:r>
        <w:rPr>
          <w:rFonts w:hint="eastAsia" w:ascii="仿宋" w:hAnsi="仿宋" w:eastAsia="仿宋" w:cs="仿宋"/>
          <w:sz w:val="24"/>
        </w:rPr>
        <w:t>本公告同时在《全国公共资源交易平台（河南省·许昌市）》和《河南省电子招标投标公共服务平台》上发布。</w:t>
      </w:r>
    </w:p>
    <w:p>
      <w:pPr>
        <w:autoSpaceDE w:val="0"/>
        <w:autoSpaceDN w:val="0"/>
        <w:adjustRightInd w:val="0"/>
        <w:spacing w:line="420" w:lineRule="exact"/>
        <w:outlineLvl w:val="0"/>
        <w:rPr>
          <w:rFonts w:ascii="仿宋" w:hAnsi="仿宋" w:eastAsia="仿宋" w:cs="仿宋"/>
          <w:b/>
          <w:bCs/>
          <w:sz w:val="24"/>
        </w:rPr>
      </w:pPr>
      <w:r>
        <w:rPr>
          <w:rFonts w:hint="eastAsia" w:ascii="仿宋" w:hAnsi="仿宋" w:eastAsia="仿宋" w:cs="仿宋"/>
          <w:b/>
          <w:bCs/>
          <w:sz w:val="24"/>
        </w:rPr>
        <w:t>七、 联系方式</w:t>
      </w:r>
    </w:p>
    <w:p>
      <w:pPr>
        <w:autoSpaceDE w:val="0"/>
        <w:autoSpaceDN w:val="0"/>
        <w:adjustRightInd w:val="0"/>
        <w:spacing w:line="420" w:lineRule="exact"/>
        <w:ind w:firstLine="480" w:firstLineChars="200"/>
        <w:outlineLvl w:val="0"/>
        <w:rPr>
          <w:rFonts w:ascii="仿宋" w:hAnsi="仿宋" w:eastAsia="仿宋" w:cs="仿宋"/>
          <w:bCs/>
          <w:sz w:val="24"/>
        </w:rPr>
      </w:pPr>
      <w:r>
        <w:rPr>
          <w:rFonts w:hint="eastAsia" w:ascii="仿宋" w:hAnsi="仿宋" w:eastAsia="仿宋" w:cs="仿宋"/>
          <w:bCs/>
          <w:sz w:val="24"/>
        </w:rPr>
        <w:t>招  标  人：许昌市建安区交通运输局</w:t>
      </w:r>
    </w:p>
    <w:p>
      <w:pPr>
        <w:autoSpaceDE w:val="0"/>
        <w:autoSpaceDN w:val="0"/>
        <w:adjustRightInd w:val="0"/>
        <w:spacing w:line="420" w:lineRule="exact"/>
        <w:ind w:firstLine="480" w:firstLineChars="200"/>
        <w:outlineLvl w:val="0"/>
        <w:rPr>
          <w:rFonts w:ascii="仿宋" w:hAnsi="仿宋" w:eastAsia="仿宋" w:cs="仿宋"/>
          <w:bCs/>
          <w:sz w:val="24"/>
        </w:rPr>
      </w:pPr>
      <w:r>
        <w:rPr>
          <w:rFonts w:hint="eastAsia" w:ascii="仿宋" w:hAnsi="仿宋" w:eastAsia="仿宋" w:cs="仿宋"/>
          <w:bCs/>
          <w:sz w:val="24"/>
        </w:rPr>
        <w:t>项目负责人：王浩</w:t>
      </w:r>
    </w:p>
    <w:p>
      <w:pPr>
        <w:autoSpaceDE w:val="0"/>
        <w:autoSpaceDN w:val="0"/>
        <w:adjustRightInd w:val="0"/>
        <w:spacing w:line="420" w:lineRule="exact"/>
        <w:ind w:firstLine="480" w:firstLineChars="200"/>
        <w:outlineLvl w:val="0"/>
        <w:rPr>
          <w:rFonts w:ascii="仿宋" w:hAnsi="仿宋" w:eastAsia="仿宋" w:cs="仿宋"/>
          <w:bCs/>
          <w:sz w:val="24"/>
        </w:rPr>
      </w:pPr>
      <w:r>
        <w:rPr>
          <w:rFonts w:hint="eastAsia" w:ascii="仿宋" w:hAnsi="仿宋" w:eastAsia="仿宋" w:cs="仿宋"/>
          <w:bCs/>
          <w:sz w:val="24"/>
        </w:rPr>
        <w:t xml:space="preserve">联 系 电话：13782295229 </w:t>
      </w:r>
    </w:p>
    <w:p>
      <w:pPr>
        <w:autoSpaceDE w:val="0"/>
        <w:autoSpaceDN w:val="0"/>
        <w:adjustRightInd w:val="0"/>
        <w:spacing w:line="420" w:lineRule="exact"/>
        <w:ind w:firstLine="480" w:firstLineChars="200"/>
        <w:outlineLvl w:val="0"/>
        <w:rPr>
          <w:rFonts w:ascii="仿宋" w:hAnsi="仿宋" w:eastAsia="仿宋" w:cs="仿宋"/>
          <w:bCs/>
          <w:sz w:val="24"/>
        </w:rPr>
      </w:pPr>
      <w:r>
        <w:rPr>
          <w:rFonts w:hint="eastAsia" w:ascii="仿宋" w:hAnsi="仿宋" w:eastAsia="仿宋" w:cs="仿宋"/>
          <w:bCs/>
          <w:sz w:val="24"/>
        </w:rPr>
        <w:t xml:space="preserve">代 理机 构：中建山河建设工程管理有限责任公司 </w:t>
      </w:r>
    </w:p>
    <w:p>
      <w:pPr>
        <w:autoSpaceDE w:val="0"/>
        <w:autoSpaceDN w:val="0"/>
        <w:adjustRightInd w:val="0"/>
        <w:spacing w:line="420" w:lineRule="exact"/>
        <w:ind w:firstLine="480" w:firstLineChars="200"/>
        <w:outlineLvl w:val="0"/>
        <w:rPr>
          <w:rFonts w:ascii="仿宋" w:hAnsi="仿宋" w:eastAsia="仿宋" w:cs="仿宋"/>
          <w:bCs/>
          <w:sz w:val="24"/>
        </w:rPr>
      </w:pPr>
      <w:r>
        <w:rPr>
          <w:rFonts w:hint="eastAsia" w:ascii="仿宋" w:hAnsi="仿宋" w:eastAsia="仿宋" w:cs="仿宋"/>
          <w:bCs/>
          <w:sz w:val="24"/>
        </w:rPr>
        <w:t>项目负责人：郑晓光</w:t>
      </w:r>
    </w:p>
    <w:p>
      <w:pPr>
        <w:autoSpaceDE w:val="0"/>
        <w:autoSpaceDN w:val="0"/>
        <w:adjustRightInd w:val="0"/>
        <w:spacing w:line="420" w:lineRule="exact"/>
        <w:ind w:firstLine="480" w:firstLineChars="200"/>
        <w:outlineLvl w:val="0"/>
        <w:rPr>
          <w:rFonts w:ascii="仿宋" w:hAnsi="仿宋" w:eastAsia="仿宋" w:cs="仿宋"/>
          <w:bCs/>
          <w:sz w:val="24"/>
        </w:rPr>
      </w:pPr>
      <w:r>
        <w:rPr>
          <w:rFonts w:hint="eastAsia" w:ascii="仿宋" w:hAnsi="仿宋" w:eastAsia="仿宋" w:cs="仿宋"/>
          <w:bCs/>
          <w:sz w:val="24"/>
        </w:rPr>
        <w:t>联 系 电话：15837426796</w:t>
      </w:r>
    </w:p>
    <w:p>
      <w:pPr>
        <w:autoSpaceDE w:val="0"/>
        <w:autoSpaceDN w:val="0"/>
        <w:adjustRightInd w:val="0"/>
        <w:spacing w:line="420" w:lineRule="exact"/>
        <w:jc w:val="right"/>
        <w:outlineLvl w:val="0"/>
        <w:rPr>
          <w:rFonts w:ascii="仿宋" w:hAnsi="仿宋" w:eastAsia="仿宋" w:cs="仿宋"/>
          <w:bCs/>
          <w:sz w:val="24"/>
        </w:rPr>
      </w:pPr>
      <w:r>
        <w:rPr>
          <w:rFonts w:hint="eastAsia" w:ascii="仿宋" w:hAnsi="仿宋" w:eastAsia="仿宋" w:cs="仿宋"/>
          <w:bCs/>
          <w:sz w:val="24"/>
        </w:rPr>
        <w:t xml:space="preserve">  许昌市建安区交通运输局</w:t>
      </w:r>
    </w:p>
    <w:p>
      <w:pPr>
        <w:autoSpaceDE w:val="0"/>
        <w:autoSpaceDN w:val="0"/>
        <w:adjustRightInd w:val="0"/>
        <w:spacing w:line="420" w:lineRule="exact"/>
        <w:outlineLvl w:val="0"/>
        <w:rPr>
          <w:rFonts w:ascii="仿宋" w:hAnsi="仿宋" w:eastAsia="仿宋" w:cs="仿宋"/>
          <w:sz w:val="24"/>
        </w:rPr>
        <w:sectPr>
          <w:headerReference r:id="rId7" w:type="default"/>
          <w:pgSz w:w="11906" w:h="16838"/>
          <w:pgMar w:top="1040" w:right="1440" w:bottom="998" w:left="1440" w:header="567" w:footer="567" w:gutter="0"/>
          <w:cols w:space="720" w:num="1"/>
          <w:docGrid w:linePitch="360" w:charSpace="0"/>
        </w:sectPr>
      </w:pPr>
      <w:r>
        <w:rPr>
          <w:rFonts w:hint="eastAsia" w:ascii="仿宋" w:hAnsi="仿宋" w:eastAsia="仿宋" w:cs="仿宋"/>
          <w:bCs/>
          <w:sz w:val="24"/>
        </w:rPr>
        <w:t xml:space="preserve">                                                         2018年</w:t>
      </w:r>
      <w:r>
        <w:rPr>
          <w:rFonts w:hint="eastAsia" w:ascii="仿宋" w:hAnsi="仿宋" w:eastAsia="仿宋" w:cs="仿宋"/>
          <w:bCs/>
          <w:sz w:val="24"/>
          <w:lang w:val="en-US" w:eastAsia="zh-CN"/>
        </w:rPr>
        <w:t>12</w:t>
      </w:r>
      <w:r>
        <w:rPr>
          <w:rFonts w:hint="eastAsia" w:ascii="仿宋" w:hAnsi="仿宋" w:eastAsia="仿宋" w:cs="仿宋"/>
          <w:bCs/>
          <w:sz w:val="24"/>
        </w:rPr>
        <w:t>月</w:t>
      </w:r>
      <w:bookmarkStart w:id="5" w:name="page32"/>
      <w:bookmarkEnd w:id="5"/>
      <w:bookmarkStart w:id="6" w:name="page30"/>
      <w:bookmarkEnd w:id="6"/>
      <w:bookmarkStart w:id="7" w:name="page31"/>
      <w:bookmarkEnd w:id="7"/>
      <w:bookmarkStart w:id="8" w:name="page26"/>
      <w:bookmarkEnd w:id="8"/>
      <w:r>
        <w:rPr>
          <w:rFonts w:hint="eastAsia" w:ascii="仿宋" w:hAnsi="仿宋" w:eastAsia="仿宋" w:cs="仿宋"/>
          <w:bCs/>
          <w:sz w:val="24"/>
          <w:lang w:val="en-US" w:eastAsia="zh-CN"/>
        </w:rPr>
        <w:t>29</w:t>
      </w:r>
      <w:r>
        <w:rPr>
          <w:rFonts w:hint="eastAsia" w:ascii="仿宋" w:hAnsi="仿宋" w:eastAsia="仿宋" w:cs="仿宋"/>
          <w:sz w:val="24"/>
        </w:rPr>
        <w:t>日</w:t>
      </w:r>
    </w:p>
    <w:p>
      <w:pPr>
        <w:spacing w:line="200" w:lineRule="exact"/>
      </w:pPr>
    </w:p>
    <w:p>
      <w:pPr>
        <w:tabs>
          <w:tab w:val="left" w:pos="2220"/>
        </w:tabs>
        <w:spacing w:line="0" w:lineRule="atLeast"/>
        <w:ind w:left="423" w:hanging="423" w:hangingChars="77"/>
        <w:rPr>
          <w:rFonts w:ascii="宋体" w:hAnsi="宋体"/>
          <w:sz w:val="55"/>
        </w:rPr>
      </w:pPr>
    </w:p>
    <w:p>
      <w:pPr>
        <w:tabs>
          <w:tab w:val="left" w:pos="2220"/>
        </w:tabs>
        <w:spacing w:line="0" w:lineRule="atLeast"/>
        <w:ind w:left="423" w:hanging="423" w:hangingChars="77"/>
        <w:rPr>
          <w:rFonts w:ascii="宋体" w:hAnsi="宋体"/>
          <w:sz w:val="55"/>
        </w:rPr>
      </w:pPr>
    </w:p>
    <w:p>
      <w:pPr>
        <w:tabs>
          <w:tab w:val="left" w:pos="2220"/>
        </w:tabs>
        <w:spacing w:line="0" w:lineRule="atLeast"/>
        <w:ind w:left="423" w:hanging="423" w:hangingChars="77"/>
        <w:rPr>
          <w:rFonts w:ascii="宋体" w:hAnsi="宋体"/>
          <w:sz w:val="55"/>
        </w:rPr>
      </w:pPr>
    </w:p>
    <w:p>
      <w:pPr>
        <w:tabs>
          <w:tab w:val="left" w:pos="2220"/>
        </w:tabs>
        <w:spacing w:line="0" w:lineRule="atLeast"/>
        <w:ind w:left="423" w:hanging="423" w:hangingChars="77"/>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ind w:left="423" w:hanging="423" w:hangingChars="77"/>
        <w:rPr>
          <w:rFonts w:ascii="宋体" w:hAnsi="宋体"/>
          <w:sz w:val="55"/>
        </w:rPr>
      </w:pPr>
    </w:p>
    <w:p>
      <w:pPr>
        <w:spacing w:line="0" w:lineRule="atLeast"/>
        <w:ind w:left="423" w:hanging="423" w:hangingChars="77"/>
        <w:jc w:val="center"/>
        <w:rPr>
          <w:rFonts w:ascii="宋体" w:hAnsi="宋体"/>
          <w:sz w:val="55"/>
        </w:rPr>
      </w:pPr>
      <w:r>
        <w:rPr>
          <w:rFonts w:ascii="宋体" w:hAnsi="宋体"/>
          <w:sz w:val="55"/>
        </w:rPr>
        <w:t>第二章</w:t>
      </w:r>
      <w:r>
        <w:rPr>
          <w:rFonts w:eastAsia="Times New Roman"/>
        </w:rPr>
        <w:tab/>
      </w:r>
      <w:r>
        <w:rPr>
          <w:rFonts w:ascii="宋体" w:hAnsi="宋体"/>
          <w:sz w:val="55"/>
        </w:rPr>
        <w:t>投标人须知</w:t>
      </w:r>
    </w:p>
    <w:p>
      <w:pPr>
        <w:tabs>
          <w:tab w:val="left" w:pos="2220"/>
        </w:tabs>
        <w:spacing w:line="0" w:lineRule="atLeast"/>
        <w:ind w:left="423" w:hanging="423" w:hangingChars="77"/>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spacing w:line="0" w:lineRule="atLeast"/>
        <w:rPr>
          <w:rFonts w:ascii="宋体" w:hAnsi="宋体"/>
          <w:sz w:val="55"/>
        </w:rPr>
        <w:sectPr>
          <w:pgSz w:w="11906" w:h="16838"/>
          <w:pgMar w:top="1440" w:right="1440" w:bottom="1440" w:left="1440" w:header="567" w:footer="567" w:gutter="0"/>
          <w:cols w:space="720" w:num="1"/>
          <w:docGrid w:linePitch="360" w:charSpace="0"/>
        </w:sectPr>
      </w:pPr>
    </w:p>
    <w:p>
      <w:pPr>
        <w:spacing w:line="239" w:lineRule="auto"/>
        <w:ind w:right="-8466" w:rightChars="-4233"/>
        <w:rPr>
          <w:sz w:val="18"/>
        </w:rPr>
        <w:sectPr>
          <w:type w:val="continuous"/>
          <w:pgSz w:w="11906" w:h="16838"/>
          <w:pgMar w:top="1440" w:right="1440" w:bottom="1440" w:left="1440" w:header="0" w:footer="0" w:gutter="0"/>
          <w:cols w:space="720" w:num="1"/>
          <w:docGrid w:linePitch="360" w:charSpace="0"/>
        </w:sectPr>
      </w:pPr>
      <w:bookmarkStart w:id="9" w:name="page34"/>
      <w:bookmarkEnd w:id="9"/>
    </w:p>
    <w:p>
      <w:pPr>
        <w:pStyle w:val="4"/>
        <w:spacing w:before="0" w:after="0" w:line="240" w:lineRule="auto"/>
        <w:rPr>
          <w:rFonts w:ascii="仿宋" w:hAnsi="仿宋" w:eastAsia="仿宋" w:cs="仿宋"/>
          <w:b w:val="0"/>
          <w:bCs w:val="0"/>
          <w:sz w:val="30"/>
          <w:szCs w:val="30"/>
        </w:rPr>
      </w:pPr>
      <w:bookmarkStart w:id="10" w:name="page41"/>
      <w:bookmarkEnd w:id="10"/>
      <w:bookmarkStart w:id="11" w:name="_Hlt111980600"/>
      <w:bookmarkEnd w:id="11"/>
      <w:bookmarkStart w:id="12" w:name="_Toc528314398"/>
      <w:r>
        <w:rPr>
          <w:rFonts w:hint="eastAsia" w:ascii="仿宋" w:hAnsi="仿宋" w:eastAsia="仿宋" w:cs="仿宋"/>
          <w:b w:val="0"/>
          <w:bCs w:val="0"/>
          <w:sz w:val="30"/>
          <w:szCs w:val="30"/>
        </w:rPr>
        <w:t>投标人须知前附表</w:t>
      </w:r>
      <w:bookmarkEnd w:id="12"/>
    </w:p>
    <w:tbl>
      <w:tblPr>
        <w:tblStyle w:val="13"/>
        <w:tblW w:w="9199" w:type="dxa"/>
        <w:jc w:val="center"/>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2538"/>
        <w:gridCol w:w="560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50" w:hRule="atLeast"/>
          <w:jc w:val="center"/>
        </w:trPr>
        <w:tc>
          <w:tcPr>
            <w:tcW w:w="1060" w:type="dxa"/>
            <w:vAlign w:val="center"/>
          </w:tcPr>
          <w:p>
            <w:pPr>
              <w:jc w:val="center"/>
              <w:rPr>
                <w:rFonts w:ascii="仿宋" w:hAnsi="仿宋" w:eastAsia="仿宋" w:cs="仿宋"/>
                <w:b/>
                <w:sz w:val="24"/>
              </w:rPr>
            </w:pPr>
            <w:r>
              <w:rPr>
                <w:rFonts w:hint="eastAsia" w:ascii="仿宋" w:hAnsi="仿宋" w:eastAsia="仿宋" w:cs="仿宋"/>
                <w:b/>
                <w:sz w:val="24"/>
              </w:rPr>
              <w:t>条款号</w:t>
            </w:r>
          </w:p>
        </w:tc>
        <w:tc>
          <w:tcPr>
            <w:tcW w:w="2538" w:type="dxa"/>
            <w:vAlign w:val="center"/>
          </w:tcPr>
          <w:p>
            <w:pPr>
              <w:jc w:val="center"/>
              <w:rPr>
                <w:rFonts w:ascii="仿宋" w:hAnsi="仿宋" w:eastAsia="仿宋" w:cs="仿宋"/>
                <w:b/>
                <w:sz w:val="24"/>
              </w:rPr>
            </w:pPr>
            <w:r>
              <w:rPr>
                <w:rFonts w:hint="eastAsia" w:ascii="仿宋" w:hAnsi="仿宋" w:eastAsia="仿宋" w:cs="仿宋"/>
                <w:b/>
                <w:sz w:val="24"/>
              </w:rPr>
              <w:t>条 款 名 称</w:t>
            </w:r>
          </w:p>
        </w:tc>
        <w:tc>
          <w:tcPr>
            <w:tcW w:w="5601" w:type="dxa"/>
            <w:vAlign w:val="center"/>
          </w:tcPr>
          <w:p>
            <w:pPr>
              <w:jc w:val="center"/>
              <w:rPr>
                <w:rFonts w:ascii="仿宋" w:hAnsi="仿宋" w:eastAsia="仿宋" w:cs="仿宋"/>
                <w:b/>
                <w:sz w:val="24"/>
              </w:rPr>
            </w:pPr>
            <w:r>
              <w:rPr>
                <w:rFonts w:hint="eastAsia" w:ascii="仿宋" w:hAnsi="仿宋" w:eastAsia="仿宋" w:cs="仿宋"/>
                <w:b/>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18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1.1.2</w:t>
            </w:r>
          </w:p>
        </w:tc>
        <w:tc>
          <w:tcPr>
            <w:tcW w:w="2538" w:type="dxa"/>
            <w:vAlign w:val="center"/>
          </w:tcPr>
          <w:p>
            <w:pPr>
              <w:jc w:val="center"/>
              <w:rPr>
                <w:rFonts w:ascii="仿宋" w:hAnsi="仿宋" w:eastAsia="仿宋" w:cs="仿宋"/>
                <w:sz w:val="24"/>
              </w:rPr>
            </w:pPr>
            <w:r>
              <w:rPr>
                <w:rFonts w:hint="eastAsia" w:ascii="仿宋" w:hAnsi="仿宋" w:eastAsia="仿宋" w:cs="仿宋"/>
                <w:sz w:val="24"/>
              </w:rPr>
              <w:t>招标人</w:t>
            </w:r>
          </w:p>
        </w:tc>
        <w:tc>
          <w:tcPr>
            <w:tcW w:w="5601" w:type="dxa"/>
            <w:vAlign w:val="center"/>
          </w:tcPr>
          <w:p>
            <w:pPr>
              <w:rPr>
                <w:rFonts w:ascii="仿宋" w:hAnsi="仿宋" w:eastAsia="仿宋" w:cs="仿宋"/>
                <w:sz w:val="24"/>
              </w:rPr>
            </w:pPr>
            <w:r>
              <w:rPr>
                <w:rFonts w:hint="eastAsia" w:ascii="仿宋" w:hAnsi="仿宋" w:eastAsia="仿宋" w:cs="仿宋"/>
                <w:sz w:val="24"/>
              </w:rPr>
              <w:t>招  标  人：许昌市建安区交通运输局</w:t>
            </w:r>
          </w:p>
          <w:p>
            <w:pPr>
              <w:rPr>
                <w:rFonts w:ascii="仿宋" w:hAnsi="仿宋" w:eastAsia="仿宋" w:cs="仿宋"/>
                <w:sz w:val="24"/>
              </w:rPr>
            </w:pPr>
            <w:r>
              <w:rPr>
                <w:rFonts w:hint="eastAsia" w:ascii="仿宋" w:hAnsi="仿宋" w:eastAsia="仿宋" w:cs="仿宋"/>
                <w:sz w:val="24"/>
              </w:rPr>
              <w:t>项目负责人：王浩</w:t>
            </w:r>
          </w:p>
          <w:p>
            <w:pPr>
              <w:rPr>
                <w:rFonts w:ascii="仿宋" w:hAnsi="仿宋" w:eastAsia="仿宋" w:cs="仿宋"/>
                <w:sz w:val="24"/>
              </w:rPr>
            </w:pPr>
            <w:r>
              <w:rPr>
                <w:rFonts w:hint="eastAsia" w:ascii="仿宋" w:hAnsi="仿宋" w:eastAsia="仿宋" w:cs="仿宋"/>
                <w:sz w:val="24"/>
              </w:rPr>
              <w:t xml:space="preserve">联系  电话：13782295229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7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1.1.3</w:t>
            </w:r>
          </w:p>
        </w:tc>
        <w:tc>
          <w:tcPr>
            <w:tcW w:w="2538" w:type="dxa"/>
            <w:vAlign w:val="center"/>
          </w:tcPr>
          <w:p>
            <w:pPr>
              <w:jc w:val="center"/>
              <w:rPr>
                <w:rFonts w:ascii="仿宋" w:hAnsi="仿宋" w:eastAsia="仿宋" w:cs="仿宋"/>
                <w:sz w:val="24"/>
              </w:rPr>
            </w:pPr>
            <w:r>
              <w:rPr>
                <w:rFonts w:hint="eastAsia" w:ascii="仿宋" w:hAnsi="仿宋" w:eastAsia="仿宋" w:cs="仿宋"/>
                <w:sz w:val="24"/>
              </w:rPr>
              <w:t>招标代理机构</w:t>
            </w:r>
          </w:p>
        </w:tc>
        <w:tc>
          <w:tcPr>
            <w:tcW w:w="5601" w:type="dxa"/>
            <w:vAlign w:val="center"/>
          </w:tcPr>
          <w:p>
            <w:pPr>
              <w:rPr>
                <w:rFonts w:ascii="仿宋" w:hAnsi="仿宋" w:eastAsia="仿宋" w:cs="仿宋"/>
                <w:sz w:val="24"/>
              </w:rPr>
            </w:pPr>
            <w:r>
              <w:rPr>
                <w:rFonts w:hint="eastAsia" w:ascii="仿宋" w:hAnsi="仿宋" w:eastAsia="仿宋" w:cs="仿宋"/>
                <w:sz w:val="24"/>
              </w:rPr>
              <w:t xml:space="preserve">代 理机 构：中建山河建设工程管理有限责任公司 </w:t>
            </w:r>
          </w:p>
          <w:p>
            <w:pPr>
              <w:rPr>
                <w:rFonts w:ascii="仿宋" w:hAnsi="仿宋" w:eastAsia="仿宋" w:cs="仿宋"/>
                <w:sz w:val="24"/>
              </w:rPr>
            </w:pPr>
            <w:r>
              <w:rPr>
                <w:rFonts w:hint="eastAsia" w:ascii="仿宋" w:hAnsi="仿宋" w:eastAsia="仿宋" w:cs="仿宋"/>
                <w:sz w:val="24"/>
              </w:rPr>
              <w:t>项目负责人：郑晓光</w:t>
            </w:r>
          </w:p>
          <w:p>
            <w:pPr>
              <w:rPr>
                <w:rFonts w:ascii="仿宋" w:hAnsi="仿宋" w:eastAsia="仿宋" w:cs="仿宋"/>
                <w:sz w:val="24"/>
              </w:rPr>
            </w:pPr>
            <w:r>
              <w:rPr>
                <w:rFonts w:hint="eastAsia" w:ascii="仿宋" w:hAnsi="仿宋" w:eastAsia="仿宋" w:cs="仿宋"/>
                <w:sz w:val="24"/>
              </w:rPr>
              <w:t>联 系 电话：15837426796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97"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1.1.4</w:t>
            </w:r>
          </w:p>
        </w:tc>
        <w:tc>
          <w:tcPr>
            <w:tcW w:w="2538" w:type="dxa"/>
            <w:vAlign w:val="center"/>
          </w:tcPr>
          <w:p>
            <w:pPr>
              <w:jc w:val="center"/>
              <w:rPr>
                <w:rFonts w:ascii="仿宋" w:hAnsi="仿宋" w:eastAsia="仿宋" w:cs="仿宋"/>
                <w:sz w:val="24"/>
              </w:rPr>
            </w:pPr>
            <w:r>
              <w:rPr>
                <w:rFonts w:hint="eastAsia" w:ascii="仿宋" w:hAnsi="仿宋" w:eastAsia="仿宋" w:cs="仿宋"/>
                <w:sz w:val="24"/>
              </w:rPr>
              <w:t>项目名称</w:t>
            </w:r>
          </w:p>
        </w:tc>
        <w:tc>
          <w:tcPr>
            <w:tcW w:w="5601" w:type="dxa"/>
            <w:vAlign w:val="center"/>
          </w:tcPr>
          <w:p>
            <w:pPr>
              <w:rPr>
                <w:rFonts w:ascii="仿宋" w:hAnsi="仿宋" w:eastAsia="仿宋" w:cs="仿宋"/>
                <w:sz w:val="24"/>
              </w:rPr>
            </w:pPr>
            <w:r>
              <w:rPr>
                <w:rFonts w:hint="eastAsia" w:ascii="仿宋" w:hAnsi="仿宋" w:eastAsia="仿宋" w:cs="仿宋"/>
                <w:sz w:val="24"/>
              </w:rPr>
              <w:t>许昌市建安区2019年财政专项资金扶贫项目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97"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1.1.5</w:t>
            </w:r>
          </w:p>
        </w:tc>
        <w:tc>
          <w:tcPr>
            <w:tcW w:w="2538" w:type="dxa"/>
            <w:vAlign w:val="center"/>
          </w:tcPr>
          <w:p>
            <w:pPr>
              <w:jc w:val="center"/>
              <w:rPr>
                <w:rFonts w:ascii="仿宋" w:hAnsi="仿宋" w:eastAsia="仿宋" w:cs="仿宋"/>
                <w:sz w:val="24"/>
              </w:rPr>
            </w:pPr>
            <w:r>
              <w:rPr>
                <w:rFonts w:hint="eastAsia" w:ascii="仿宋" w:hAnsi="仿宋" w:eastAsia="仿宋" w:cs="仿宋"/>
                <w:sz w:val="24"/>
              </w:rPr>
              <w:t>建设地点</w:t>
            </w:r>
          </w:p>
        </w:tc>
        <w:tc>
          <w:tcPr>
            <w:tcW w:w="5601" w:type="dxa"/>
            <w:vAlign w:val="center"/>
          </w:tcPr>
          <w:p>
            <w:pPr>
              <w:rPr>
                <w:rFonts w:ascii="仿宋" w:hAnsi="仿宋" w:eastAsia="仿宋" w:cs="仿宋"/>
                <w:sz w:val="24"/>
              </w:rPr>
            </w:pPr>
            <w:r>
              <w:rPr>
                <w:rFonts w:hint="eastAsia" w:ascii="仿宋" w:hAnsi="仿宋" w:eastAsia="仿宋" w:cs="仿宋"/>
                <w:sz w:val="24"/>
              </w:rPr>
              <w:t>许昌市建安区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94"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1.2.1</w:t>
            </w:r>
          </w:p>
        </w:tc>
        <w:tc>
          <w:tcPr>
            <w:tcW w:w="2538" w:type="dxa"/>
            <w:vAlign w:val="center"/>
          </w:tcPr>
          <w:p>
            <w:pPr>
              <w:jc w:val="center"/>
              <w:rPr>
                <w:rFonts w:ascii="仿宋" w:hAnsi="仿宋" w:eastAsia="仿宋" w:cs="仿宋"/>
                <w:sz w:val="24"/>
              </w:rPr>
            </w:pPr>
            <w:r>
              <w:rPr>
                <w:rFonts w:hint="eastAsia" w:ascii="仿宋" w:hAnsi="仿宋" w:eastAsia="仿宋" w:cs="仿宋"/>
                <w:sz w:val="24"/>
              </w:rPr>
              <w:t>资金来源</w:t>
            </w:r>
          </w:p>
        </w:tc>
        <w:tc>
          <w:tcPr>
            <w:tcW w:w="5601" w:type="dxa"/>
            <w:vAlign w:val="center"/>
          </w:tcPr>
          <w:p>
            <w:pPr>
              <w:rPr>
                <w:rFonts w:ascii="仿宋" w:hAnsi="仿宋" w:eastAsia="仿宋" w:cs="仿宋"/>
                <w:sz w:val="24"/>
              </w:rPr>
            </w:pPr>
            <w:r>
              <w:rPr>
                <w:rFonts w:hint="eastAsia" w:ascii="仿宋" w:hAnsi="仿宋" w:eastAsia="仿宋" w:cs="仿宋"/>
                <w:sz w:val="24"/>
              </w:rPr>
              <w:t>财政资金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97"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1.2.2</w:t>
            </w:r>
          </w:p>
        </w:tc>
        <w:tc>
          <w:tcPr>
            <w:tcW w:w="2538" w:type="dxa"/>
            <w:vAlign w:val="center"/>
          </w:tcPr>
          <w:p>
            <w:pPr>
              <w:jc w:val="center"/>
              <w:rPr>
                <w:rFonts w:ascii="仿宋" w:hAnsi="仿宋" w:eastAsia="仿宋" w:cs="仿宋"/>
                <w:sz w:val="24"/>
              </w:rPr>
            </w:pPr>
            <w:r>
              <w:rPr>
                <w:rFonts w:hint="eastAsia" w:ascii="仿宋" w:hAnsi="仿宋" w:eastAsia="仿宋" w:cs="仿宋"/>
                <w:sz w:val="24"/>
              </w:rPr>
              <w:t>出资比例</w:t>
            </w:r>
          </w:p>
        </w:tc>
        <w:tc>
          <w:tcPr>
            <w:tcW w:w="5601" w:type="dxa"/>
            <w:vAlign w:val="center"/>
          </w:tcPr>
          <w:p>
            <w:pPr>
              <w:rPr>
                <w:rFonts w:ascii="仿宋" w:hAnsi="仿宋" w:eastAsia="仿宋" w:cs="仿宋"/>
                <w:sz w:val="24"/>
              </w:rPr>
            </w:pPr>
            <w:r>
              <w:rPr>
                <w:rFonts w:hint="eastAsia" w:ascii="仿宋" w:hAnsi="仿宋" w:eastAsia="仿宋" w:cs="仿宋"/>
                <w:sz w:val="24"/>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97"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1.2.3</w:t>
            </w:r>
          </w:p>
        </w:tc>
        <w:tc>
          <w:tcPr>
            <w:tcW w:w="2538" w:type="dxa"/>
            <w:vAlign w:val="center"/>
          </w:tcPr>
          <w:p>
            <w:pPr>
              <w:jc w:val="center"/>
              <w:rPr>
                <w:rFonts w:ascii="仿宋" w:hAnsi="仿宋" w:eastAsia="仿宋" w:cs="仿宋"/>
                <w:sz w:val="24"/>
              </w:rPr>
            </w:pPr>
            <w:r>
              <w:rPr>
                <w:rFonts w:hint="eastAsia" w:ascii="仿宋" w:hAnsi="仿宋" w:eastAsia="仿宋" w:cs="仿宋"/>
                <w:sz w:val="24"/>
              </w:rPr>
              <w:t>资金落实情况</w:t>
            </w:r>
          </w:p>
        </w:tc>
        <w:tc>
          <w:tcPr>
            <w:tcW w:w="5601" w:type="dxa"/>
            <w:vAlign w:val="center"/>
          </w:tcPr>
          <w:p>
            <w:pPr>
              <w:rPr>
                <w:rFonts w:ascii="仿宋" w:hAnsi="仿宋" w:eastAsia="仿宋" w:cs="仿宋"/>
                <w:sz w:val="24"/>
              </w:rPr>
            </w:pPr>
            <w:r>
              <w:rPr>
                <w:rFonts w:hint="eastAsia" w:ascii="仿宋" w:hAnsi="仿宋" w:eastAsia="仿宋" w:cs="仿宋"/>
                <w:sz w:val="24"/>
              </w:rPr>
              <w:t>建设资金已落实</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17"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1.3.1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招标范围</w:t>
            </w:r>
          </w:p>
        </w:tc>
        <w:tc>
          <w:tcPr>
            <w:tcW w:w="5601" w:type="dxa"/>
            <w:vAlign w:val="center"/>
          </w:tcPr>
          <w:p>
            <w:pPr>
              <w:rPr>
                <w:rFonts w:ascii="仿宋" w:hAnsi="仿宋" w:eastAsia="仿宋" w:cs="仿宋"/>
                <w:sz w:val="24"/>
              </w:rPr>
            </w:pPr>
            <w:r>
              <w:rPr>
                <w:rFonts w:hint="eastAsia" w:ascii="仿宋" w:hAnsi="仿宋" w:eastAsia="仿宋" w:cs="仿宋"/>
                <w:sz w:val="24"/>
              </w:rPr>
              <w:t>招标文件、工程量清单、变更通知（如有）等范围内的全部内容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41"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1.3.2</w:t>
            </w:r>
          </w:p>
        </w:tc>
        <w:tc>
          <w:tcPr>
            <w:tcW w:w="2538" w:type="dxa"/>
            <w:vAlign w:val="center"/>
          </w:tcPr>
          <w:p>
            <w:pPr>
              <w:jc w:val="center"/>
              <w:rPr>
                <w:rFonts w:ascii="仿宋" w:hAnsi="仿宋" w:eastAsia="仿宋" w:cs="仿宋"/>
                <w:sz w:val="24"/>
              </w:rPr>
            </w:pPr>
            <w:r>
              <w:rPr>
                <w:rFonts w:hint="eastAsia" w:ascii="仿宋" w:hAnsi="仿宋" w:eastAsia="仿宋" w:cs="仿宋"/>
                <w:sz w:val="24"/>
              </w:rPr>
              <w:t>计划工期</w:t>
            </w:r>
          </w:p>
        </w:tc>
        <w:tc>
          <w:tcPr>
            <w:tcW w:w="5601" w:type="dxa"/>
            <w:vAlign w:val="center"/>
          </w:tcPr>
          <w:p>
            <w:pPr>
              <w:rPr>
                <w:rFonts w:ascii="仿宋" w:hAnsi="仿宋" w:eastAsia="仿宋" w:cs="仿宋"/>
                <w:sz w:val="24"/>
              </w:rPr>
            </w:pPr>
            <w:r>
              <w:rPr>
                <w:rFonts w:hint="eastAsia" w:ascii="仿宋" w:hAnsi="仿宋" w:eastAsia="仿宋" w:cs="仿宋"/>
                <w:sz w:val="24"/>
              </w:rPr>
              <w:t>30日历天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0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1.3.3</w:t>
            </w:r>
          </w:p>
        </w:tc>
        <w:tc>
          <w:tcPr>
            <w:tcW w:w="2538" w:type="dxa"/>
            <w:vAlign w:val="center"/>
          </w:tcPr>
          <w:p>
            <w:pPr>
              <w:jc w:val="center"/>
              <w:rPr>
                <w:rFonts w:ascii="仿宋" w:hAnsi="仿宋" w:eastAsia="仿宋" w:cs="仿宋"/>
                <w:sz w:val="24"/>
              </w:rPr>
            </w:pPr>
            <w:r>
              <w:rPr>
                <w:rFonts w:hint="eastAsia" w:ascii="仿宋" w:hAnsi="仿宋" w:eastAsia="仿宋" w:cs="仿宋"/>
                <w:sz w:val="24"/>
              </w:rPr>
              <w:t>质量要求</w:t>
            </w:r>
          </w:p>
        </w:tc>
        <w:tc>
          <w:tcPr>
            <w:tcW w:w="5601" w:type="dxa"/>
            <w:vAlign w:val="center"/>
          </w:tcPr>
          <w:p>
            <w:pPr>
              <w:ind w:left="100" w:leftChars="50"/>
              <w:rPr>
                <w:rFonts w:ascii="仿宋" w:hAnsi="仿宋" w:eastAsia="仿宋" w:cs="仿宋"/>
                <w:sz w:val="24"/>
              </w:rPr>
            </w:pPr>
            <w:r>
              <w:rPr>
                <w:rFonts w:hint="eastAsia" w:ascii="仿宋" w:hAnsi="仿宋" w:eastAsia="仿宋" w:cs="仿宋"/>
                <w:sz w:val="24"/>
              </w:rPr>
              <w:t>合格（达到国家建设工程质量验收的规范和标准）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123" w:hRule="atLeast"/>
          <w:jc w:val="center"/>
        </w:trPr>
        <w:tc>
          <w:tcPr>
            <w:tcW w:w="1060" w:type="dxa"/>
            <w:vAlign w:val="center"/>
          </w:tcPr>
          <w:p>
            <w:pPr>
              <w:jc w:val="center"/>
              <w:rPr>
                <w:rFonts w:ascii="仿宋" w:hAnsi="仿宋" w:eastAsia="仿宋" w:cs="仿宋"/>
                <w:sz w:val="24"/>
                <w:vertAlign w:val="superscript"/>
              </w:rPr>
            </w:pPr>
            <w:r>
              <w:rPr>
                <w:rFonts w:hint="eastAsia" w:ascii="仿宋" w:hAnsi="仿宋" w:eastAsia="仿宋" w:cs="仿宋"/>
                <w:sz w:val="24"/>
              </w:rPr>
              <w:t>1.4.1</w:t>
            </w:r>
            <w:r>
              <w:rPr>
                <w:rFonts w:hint="eastAsia" w:ascii="仿宋" w:hAnsi="仿宋" w:eastAsia="仿宋" w:cs="仿宋"/>
                <w:sz w:val="24"/>
                <w:vertAlign w:val="superscript"/>
              </w:rPr>
              <w:t xml:space="preserve"> </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投标人资质条件、能力和信誉</w:t>
            </w:r>
          </w:p>
        </w:tc>
        <w:tc>
          <w:tcPr>
            <w:tcW w:w="5601" w:type="dxa"/>
            <w:vAlign w:val="center"/>
          </w:tcPr>
          <w:p>
            <w:pPr>
              <w:ind w:firstLine="240" w:firstLineChars="100"/>
              <w:rPr>
                <w:rFonts w:ascii="仿宋" w:hAnsi="仿宋" w:eastAsia="仿宋" w:cs="仿宋"/>
                <w:sz w:val="24"/>
              </w:rPr>
            </w:pPr>
            <w:r>
              <w:rPr>
                <w:rFonts w:hint="eastAsia" w:ascii="仿宋" w:hAnsi="仿宋" w:eastAsia="仿宋" w:cs="仿宋"/>
                <w:sz w:val="24"/>
              </w:rPr>
              <w:t>资质条件：见附录1</w:t>
            </w:r>
          </w:p>
          <w:p>
            <w:pPr>
              <w:ind w:firstLine="240" w:firstLineChars="100"/>
              <w:rPr>
                <w:rFonts w:ascii="仿宋" w:hAnsi="仿宋" w:eastAsia="仿宋" w:cs="仿宋"/>
                <w:sz w:val="24"/>
              </w:rPr>
            </w:pPr>
            <w:r>
              <w:rPr>
                <w:rFonts w:hint="eastAsia" w:ascii="仿宋" w:hAnsi="仿宋" w:eastAsia="仿宋" w:cs="仿宋"/>
                <w:sz w:val="24"/>
              </w:rPr>
              <w:t>财务要求：见附录2</w:t>
            </w:r>
          </w:p>
          <w:p>
            <w:pPr>
              <w:ind w:firstLine="240" w:firstLineChars="100"/>
              <w:rPr>
                <w:rFonts w:ascii="仿宋" w:hAnsi="仿宋" w:eastAsia="仿宋" w:cs="仿宋"/>
                <w:sz w:val="24"/>
              </w:rPr>
            </w:pPr>
            <w:r>
              <w:rPr>
                <w:rFonts w:hint="eastAsia" w:ascii="仿宋" w:hAnsi="仿宋" w:eastAsia="仿宋" w:cs="仿宋"/>
                <w:sz w:val="24"/>
              </w:rPr>
              <w:t>业绩要求：见附录3</w:t>
            </w:r>
          </w:p>
          <w:p>
            <w:pPr>
              <w:ind w:firstLine="240" w:firstLineChars="100"/>
              <w:rPr>
                <w:rFonts w:ascii="仿宋" w:hAnsi="仿宋" w:eastAsia="仿宋" w:cs="仿宋"/>
                <w:sz w:val="24"/>
              </w:rPr>
            </w:pPr>
            <w:r>
              <w:rPr>
                <w:rFonts w:hint="eastAsia" w:ascii="仿宋" w:hAnsi="仿宋" w:eastAsia="仿宋" w:cs="仿宋"/>
                <w:sz w:val="24"/>
              </w:rPr>
              <w:t>信誉要求：见附录4</w:t>
            </w:r>
          </w:p>
          <w:p>
            <w:pPr>
              <w:ind w:firstLine="240" w:firstLineChars="100"/>
              <w:rPr>
                <w:rFonts w:ascii="仿宋" w:hAnsi="仿宋" w:eastAsia="仿宋" w:cs="仿宋"/>
                <w:sz w:val="24"/>
              </w:rPr>
            </w:pPr>
            <w:r>
              <w:rPr>
                <w:rFonts w:hint="eastAsia" w:ascii="仿宋" w:hAnsi="仿宋" w:eastAsia="仿宋" w:cs="仿宋"/>
                <w:sz w:val="24"/>
              </w:rPr>
              <w:t>项目经理和项目总工资格：见附录5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9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1.4.2</w:t>
            </w:r>
          </w:p>
        </w:tc>
        <w:tc>
          <w:tcPr>
            <w:tcW w:w="2538" w:type="dxa"/>
            <w:vAlign w:val="center"/>
          </w:tcPr>
          <w:p>
            <w:pPr>
              <w:jc w:val="center"/>
              <w:rPr>
                <w:rFonts w:ascii="仿宋" w:hAnsi="仿宋" w:eastAsia="仿宋" w:cs="仿宋"/>
                <w:sz w:val="24"/>
              </w:rPr>
            </w:pPr>
            <w:r>
              <w:rPr>
                <w:rFonts w:hint="eastAsia" w:ascii="仿宋" w:hAnsi="仿宋" w:eastAsia="仿宋" w:cs="仿宋"/>
                <w:sz w:val="24"/>
              </w:rPr>
              <w:t>是否接受联合体投标</w:t>
            </w:r>
          </w:p>
        </w:tc>
        <w:tc>
          <w:tcPr>
            <w:tcW w:w="5601" w:type="dxa"/>
            <w:vAlign w:val="center"/>
          </w:tcPr>
          <w:p>
            <w:pPr>
              <w:ind w:left="100" w:leftChars="50" w:right="113"/>
              <w:rPr>
                <w:rFonts w:ascii="仿宋" w:hAnsi="仿宋" w:eastAsia="仿宋" w:cs="仿宋"/>
                <w:sz w:val="24"/>
              </w:rPr>
            </w:pPr>
            <w:r>
              <w:rPr>
                <w:rFonts w:hint="eastAsia" w:ascii="仿宋" w:hAnsi="仿宋" w:eastAsia="仿宋" w:cs="仿宋"/>
                <w:sz w:val="24"/>
              </w:rPr>
              <w:t>不接受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9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1.9.1</w:t>
            </w:r>
          </w:p>
        </w:tc>
        <w:tc>
          <w:tcPr>
            <w:tcW w:w="2538" w:type="dxa"/>
            <w:vAlign w:val="center"/>
          </w:tcPr>
          <w:p>
            <w:pPr>
              <w:jc w:val="center"/>
              <w:rPr>
                <w:rFonts w:ascii="仿宋" w:hAnsi="仿宋" w:eastAsia="仿宋" w:cs="仿宋"/>
                <w:sz w:val="24"/>
              </w:rPr>
            </w:pPr>
            <w:r>
              <w:rPr>
                <w:rFonts w:hint="eastAsia" w:ascii="仿宋" w:hAnsi="仿宋" w:eastAsia="仿宋" w:cs="仿宋"/>
                <w:sz w:val="24"/>
              </w:rPr>
              <w:t>踏勘现场</w:t>
            </w:r>
          </w:p>
        </w:tc>
        <w:tc>
          <w:tcPr>
            <w:tcW w:w="5601" w:type="dxa"/>
            <w:vAlign w:val="center"/>
          </w:tcPr>
          <w:p>
            <w:pPr>
              <w:ind w:left="100" w:leftChars="50" w:right="113"/>
              <w:rPr>
                <w:rFonts w:ascii="仿宋" w:hAnsi="仿宋" w:eastAsia="仿宋" w:cs="仿宋"/>
                <w:sz w:val="24"/>
              </w:rPr>
            </w:pPr>
            <w:r>
              <w:rPr>
                <w:rFonts w:hint="eastAsia" w:ascii="仿宋" w:hAnsi="仿宋" w:eastAsia="仿宋" w:cs="仿宋"/>
                <w:sz w:val="24"/>
              </w:rPr>
              <w:t>不组织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9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1.10.1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投标预备会</w:t>
            </w:r>
          </w:p>
        </w:tc>
        <w:tc>
          <w:tcPr>
            <w:tcW w:w="5601" w:type="dxa"/>
            <w:vAlign w:val="center"/>
          </w:tcPr>
          <w:p>
            <w:pPr>
              <w:ind w:left="100" w:leftChars="50" w:right="113"/>
              <w:rPr>
                <w:rFonts w:ascii="仿宋" w:hAnsi="仿宋" w:eastAsia="仿宋" w:cs="仿宋"/>
                <w:sz w:val="24"/>
              </w:rPr>
            </w:pPr>
            <w:r>
              <w:rPr>
                <w:rFonts w:hint="eastAsia" w:ascii="仿宋" w:hAnsi="仿宋" w:eastAsia="仿宋" w:cs="仿宋"/>
                <w:sz w:val="24"/>
              </w:rPr>
              <w:t>不召开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9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1.10.2</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投标人提出问题的截止时间</w:t>
            </w:r>
          </w:p>
        </w:tc>
        <w:tc>
          <w:tcPr>
            <w:tcW w:w="5601" w:type="dxa"/>
            <w:vAlign w:val="center"/>
          </w:tcPr>
          <w:p>
            <w:pPr>
              <w:ind w:left="100" w:leftChars="50" w:right="113"/>
              <w:rPr>
                <w:rFonts w:ascii="仿宋" w:hAnsi="仿宋" w:eastAsia="仿宋" w:cs="仿宋"/>
                <w:sz w:val="24"/>
              </w:rPr>
            </w:pPr>
            <w:r>
              <w:rPr>
                <w:rFonts w:hint="eastAsia" w:ascii="仿宋" w:hAnsi="仿宋" w:eastAsia="仿宋" w:cs="仿宋"/>
                <w:sz w:val="24"/>
              </w:rPr>
              <w:t>递交投标文件截止之日</w:t>
            </w:r>
            <w:r>
              <w:rPr>
                <w:rFonts w:hint="eastAsia" w:ascii="仿宋" w:hAnsi="仿宋" w:eastAsia="仿宋" w:cs="仿宋"/>
                <w:sz w:val="24"/>
                <w:u w:val="single"/>
              </w:rPr>
              <w:t xml:space="preserve"> 10</w:t>
            </w:r>
            <w:r>
              <w:rPr>
                <w:rFonts w:hint="eastAsia" w:ascii="仿宋" w:hAnsi="仿宋" w:eastAsia="仿宋" w:cs="仿宋"/>
                <w:sz w:val="24"/>
              </w:rPr>
              <w:t>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3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1.10.3</w:t>
            </w:r>
          </w:p>
        </w:tc>
        <w:tc>
          <w:tcPr>
            <w:tcW w:w="2538" w:type="dxa"/>
            <w:vAlign w:val="center"/>
          </w:tcPr>
          <w:p>
            <w:pPr>
              <w:jc w:val="center"/>
              <w:rPr>
                <w:rFonts w:ascii="仿宋" w:hAnsi="仿宋" w:eastAsia="仿宋" w:cs="仿宋"/>
                <w:sz w:val="24"/>
              </w:rPr>
            </w:pPr>
            <w:r>
              <w:rPr>
                <w:rFonts w:hint="eastAsia" w:ascii="仿宋" w:hAnsi="仿宋" w:eastAsia="仿宋" w:cs="仿宋"/>
                <w:sz w:val="24"/>
              </w:rPr>
              <w:t>招标人书面澄清的时间</w:t>
            </w:r>
          </w:p>
        </w:tc>
        <w:tc>
          <w:tcPr>
            <w:tcW w:w="5601" w:type="dxa"/>
            <w:vAlign w:val="center"/>
          </w:tcPr>
          <w:p>
            <w:pPr>
              <w:ind w:left="100" w:leftChars="50" w:right="113"/>
              <w:rPr>
                <w:rFonts w:ascii="仿宋" w:hAnsi="仿宋" w:eastAsia="仿宋" w:cs="仿宋"/>
                <w:sz w:val="24"/>
              </w:rPr>
            </w:pPr>
            <w:r>
              <w:rPr>
                <w:rFonts w:hint="eastAsia" w:ascii="仿宋" w:hAnsi="仿宋" w:eastAsia="仿宋" w:cs="仿宋"/>
                <w:sz w:val="24"/>
              </w:rPr>
              <w:t>递交投标文件截止之日</w:t>
            </w:r>
            <w:r>
              <w:rPr>
                <w:rFonts w:hint="eastAsia" w:ascii="仿宋" w:hAnsi="仿宋" w:eastAsia="仿宋" w:cs="仿宋"/>
                <w:sz w:val="24"/>
                <w:u w:val="single"/>
              </w:rPr>
              <w:t xml:space="preserve"> 15 </w:t>
            </w:r>
            <w:r>
              <w:rPr>
                <w:rFonts w:hint="eastAsia" w:ascii="仿宋" w:hAnsi="仿宋" w:eastAsia="仿宋" w:cs="仿宋"/>
                <w:sz w:val="24"/>
              </w:rPr>
              <w:t>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5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1.11</w:t>
            </w:r>
          </w:p>
        </w:tc>
        <w:tc>
          <w:tcPr>
            <w:tcW w:w="2538" w:type="dxa"/>
            <w:vAlign w:val="center"/>
          </w:tcPr>
          <w:p>
            <w:pPr>
              <w:jc w:val="center"/>
              <w:rPr>
                <w:rFonts w:ascii="仿宋" w:hAnsi="仿宋" w:eastAsia="仿宋" w:cs="仿宋"/>
                <w:sz w:val="24"/>
              </w:rPr>
            </w:pPr>
            <w:r>
              <w:rPr>
                <w:rFonts w:hint="eastAsia" w:ascii="仿宋" w:hAnsi="仿宋" w:eastAsia="仿宋" w:cs="仿宋"/>
                <w:sz w:val="24"/>
              </w:rPr>
              <w:t>分  包</w:t>
            </w:r>
          </w:p>
        </w:tc>
        <w:tc>
          <w:tcPr>
            <w:tcW w:w="5601" w:type="dxa"/>
            <w:vAlign w:val="center"/>
          </w:tcPr>
          <w:p>
            <w:pPr>
              <w:ind w:left="100" w:leftChars="50" w:right="113"/>
              <w:rPr>
                <w:rFonts w:ascii="仿宋" w:hAnsi="仿宋" w:eastAsia="仿宋" w:cs="仿宋"/>
                <w:sz w:val="24"/>
              </w:rPr>
            </w:pPr>
            <w:r>
              <w:rPr>
                <w:rFonts w:hint="eastAsia" w:ascii="仿宋" w:hAnsi="仿宋" w:eastAsia="仿宋" w:cs="仿宋"/>
                <w:sz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09"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1.12</w:t>
            </w:r>
          </w:p>
        </w:tc>
        <w:tc>
          <w:tcPr>
            <w:tcW w:w="2538" w:type="dxa"/>
            <w:vAlign w:val="center"/>
          </w:tcPr>
          <w:p>
            <w:pPr>
              <w:jc w:val="center"/>
              <w:rPr>
                <w:rFonts w:ascii="仿宋" w:hAnsi="仿宋" w:eastAsia="仿宋" w:cs="仿宋"/>
                <w:sz w:val="24"/>
              </w:rPr>
            </w:pPr>
            <w:r>
              <w:rPr>
                <w:rFonts w:hint="eastAsia" w:ascii="仿宋" w:hAnsi="仿宋" w:eastAsia="仿宋" w:cs="仿宋"/>
                <w:sz w:val="24"/>
              </w:rPr>
              <w:t>偏  离</w:t>
            </w:r>
          </w:p>
        </w:tc>
        <w:tc>
          <w:tcPr>
            <w:tcW w:w="5601" w:type="dxa"/>
            <w:vAlign w:val="center"/>
          </w:tcPr>
          <w:p>
            <w:pPr>
              <w:ind w:firstLine="120" w:firstLineChars="50"/>
              <w:rPr>
                <w:rFonts w:ascii="仿宋" w:hAnsi="仿宋" w:eastAsia="仿宋" w:cs="仿宋"/>
                <w:sz w:val="24"/>
              </w:rPr>
            </w:pPr>
            <w:r>
              <w:rPr>
                <w:rFonts w:hint="eastAsia" w:ascii="仿宋" w:hAnsi="仿宋" w:eastAsia="仿宋" w:cs="仿宋"/>
                <w:sz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4"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2.1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构成招标文件的其他材料</w:t>
            </w:r>
          </w:p>
        </w:tc>
        <w:tc>
          <w:tcPr>
            <w:tcW w:w="5601" w:type="dxa"/>
            <w:vAlign w:val="center"/>
          </w:tcPr>
          <w:p>
            <w:pPr>
              <w:rPr>
                <w:rFonts w:ascii="仿宋" w:hAnsi="仿宋" w:eastAsia="仿宋" w:cs="仿宋"/>
                <w:sz w:val="24"/>
              </w:rPr>
            </w:pPr>
            <w:r>
              <w:rPr>
                <w:rFonts w:hint="eastAsia" w:ascii="仿宋" w:hAnsi="仿宋" w:eastAsia="仿宋" w:cs="仿宋"/>
                <w:sz w:val="24"/>
              </w:rPr>
              <w:t>图纸答疑，经备案的招标文件补充和修改文件（如有）。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jc w:val="center"/>
        </w:trPr>
        <w:tc>
          <w:tcPr>
            <w:tcW w:w="1060" w:type="dxa"/>
            <w:vAlign w:val="center"/>
          </w:tcPr>
          <w:p>
            <w:pPr>
              <w:autoSpaceDE w:val="0"/>
              <w:autoSpaceDN w:val="0"/>
              <w:adjustRightInd w:val="0"/>
              <w:spacing w:line="360" w:lineRule="auto"/>
              <w:jc w:val="center"/>
              <w:rPr>
                <w:rFonts w:ascii="仿宋" w:hAnsi="仿宋" w:eastAsia="仿宋" w:cs="仿宋"/>
                <w:sz w:val="24"/>
              </w:rPr>
            </w:pPr>
            <w:r>
              <w:rPr>
                <w:rFonts w:hint="eastAsia" w:ascii="仿宋" w:hAnsi="仿宋" w:eastAsia="仿宋" w:cs="仿宋"/>
                <w:sz w:val="24"/>
              </w:rPr>
              <w:t>2.1.2</w:t>
            </w:r>
          </w:p>
        </w:tc>
        <w:tc>
          <w:tcPr>
            <w:tcW w:w="2538" w:type="dxa"/>
            <w:vAlign w:val="center"/>
          </w:tcPr>
          <w:p>
            <w:pPr>
              <w:jc w:val="center"/>
              <w:rPr>
                <w:rFonts w:ascii="仿宋" w:hAnsi="仿宋" w:eastAsia="仿宋" w:cs="仿宋"/>
                <w:sz w:val="24"/>
              </w:rPr>
            </w:pPr>
            <w:r>
              <w:rPr>
                <w:rFonts w:hint="eastAsia" w:ascii="仿宋" w:hAnsi="仿宋" w:eastAsia="仿宋" w:cs="仿宋"/>
                <w:sz w:val="24"/>
              </w:rPr>
              <w:t>招标文件及施工汇总表的下载</w:t>
            </w:r>
          </w:p>
        </w:tc>
        <w:tc>
          <w:tcPr>
            <w:tcW w:w="5601" w:type="dxa"/>
            <w:vAlign w:val="center"/>
          </w:tcPr>
          <w:p>
            <w:pPr>
              <w:rPr>
                <w:rFonts w:ascii="仿宋" w:hAnsi="仿宋" w:eastAsia="仿宋" w:cs="仿宋"/>
                <w:sz w:val="24"/>
              </w:rPr>
            </w:pPr>
            <w:r>
              <w:rPr>
                <w:rFonts w:hint="eastAsia" w:ascii="仿宋" w:hAnsi="仿宋" w:eastAsia="仿宋" w:cs="仿宋"/>
                <w:sz w:val="24"/>
              </w:rPr>
              <w:t>在全国公共资源交易平台（河南省·许昌市）自行下载。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3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2.2.1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投标人要求澄清</w:t>
            </w:r>
          </w:p>
          <w:p>
            <w:pPr>
              <w:jc w:val="center"/>
              <w:rPr>
                <w:rFonts w:ascii="仿宋" w:hAnsi="仿宋" w:eastAsia="仿宋" w:cs="仿宋"/>
                <w:sz w:val="24"/>
              </w:rPr>
            </w:pPr>
            <w:r>
              <w:rPr>
                <w:rFonts w:hint="eastAsia" w:ascii="仿宋" w:hAnsi="仿宋" w:eastAsia="仿宋" w:cs="仿宋"/>
                <w:sz w:val="24"/>
              </w:rPr>
              <w:t>招标文件的截止时间</w:t>
            </w:r>
          </w:p>
        </w:tc>
        <w:tc>
          <w:tcPr>
            <w:tcW w:w="5601" w:type="dxa"/>
            <w:vAlign w:val="center"/>
          </w:tcPr>
          <w:p>
            <w:pPr>
              <w:ind w:left="100" w:leftChars="50" w:right="113"/>
              <w:rPr>
                <w:rFonts w:ascii="仿宋" w:hAnsi="仿宋" w:eastAsia="仿宋" w:cs="仿宋"/>
                <w:sz w:val="24"/>
              </w:rPr>
            </w:pPr>
            <w:r>
              <w:rPr>
                <w:rFonts w:hint="eastAsia" w:ascii="仿宋" w:hAnsi="仿宋" w:eastAsia="仿宋" w:cs="仿宋"/>
                <w:sz w:val="24"/>
              </w:rPr>
              <w:t>递交投标文件截止之日</w:t>
            </w:r>
            <w:r>
              <w:rPr>
                <w:rFonts w:hint="eastAsia" w:ascii="仿宋" w:hAnsi="仿宋" w:eastAsia="仿宋" w:cs="仿宋"/>
                <w:sz w:val="24"/>
                <w:u w:val="single"/>
              </w:rPr>
              <w:t xml:space="preserve"> 10</w:t>
            </w:r>
            <w:r>
              <w:rPr>
                <w:rFonts w:hint="eastAsia" w:ascii="仿宋" w:hAnsi="仿宋" w:eastAsia="仿宋" w:cs="仿宋"/>
                <w:sz w:val="24"/>
              </w:rPr>
              <w:t>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71"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2.2.2</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投标截止时间</w:t>
            </w:r>
          </w:p>
        </w:tc>
        <w:tc>
          <w:tcPr>
            <w:tcW w:w="5601" w:type="dxa"/>
            <w:vAlign w:val="center"/>
          </w:tcPr>
          <w:p>
            <w:pPr>
              <w:ind w:right="113"/>
              <w:rPr>
                <w:rFonts w:ascii="仿宋" w:hAnsi="仿宋" w:eastAsia="仿宋" w:cs="仿宋"/>
                <w:sz w:val="24"/>
              </w:rPr>
            </w:pPr>
            <w:r>
              <w:rPr>
                <w:rFonts w:hint="eastAsia" w:ascii="仿宋" w:hAnsi="仿宋" w:eastAsia="仿宋" w:cs="仿宋"/>
                <w:sz w:val="24"/>
              </w:rPr>
              <w:t>201</w:t>
            </w:r>
            <w:r>
              <w:rPr>
                <w:rFonts w:hint="eastAsia" w:ascii="仿宋" w:hAnsi="仿宋" w:eastAsia="仿宋" w:cs="仿宋"/>
                <w:sz w:val="24"/>
                <w:lang w:val="en-US" w:eastAsia="zh-CN"/>
              </w:rPr>
              <w:t>9</w:t>
            </w:r>
            <w:r>
              <w:rPr>
                <w:rFonts w:hint="eastAsia" w:ascii="仿宋" w:hAnsi="仿宋" w:eastAsia="仿宋" w:cs="仿宋"/>
                <w:sz w:val="24"/>
              </w:rPr>
              <w:t>年</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22</w:t>
            </w:r>
            <w:r>
              <w:rPr>
                <w:rFonts w:hint="eastAsia" w:ascii="仿宋" w:hAnsi="仿宋" w:eastAsia="仿宋" w:cs="仿宋"/>
                <w:sz w:val="24"/>
              </w:rPr>
              <w:t>日</w:t>
            </w:r>
            <w:r>
              <w:rPr>
                <w:rFonts w:hint="eastAsia" w:ascii="仿宋" w:hAnsi="仿宋" w:eastAsia="仿宋" w:cs="仿宋"/>
                <w:sz w:val="24"/>
                <w:lang w:val="en-US" w:eastAsia="zh-CN"/>
              </w:rPr>
              <w:t>10</w:t>
            </w:r>
            <w:r>
              <w:rPr>
                <w:rFonts w:hint="eastAsia" w:ascii="仿宋" w:hAnsi="仿宋" w:eastAsia="仿宋" w:cs="仿宋"/>
                <w:sz w:val="24"/>
              </w:rPr>
              <w:t>时30分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38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3.1.1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构成投标文件的其他材料</w:t>
            </w:r>
          </w:p>
        </w:tc>
        <w:tc>
          <w:tcPr>
            <w:tcW w:w="5601" w:type="dxa"/>
            <w:vAlign w:val="center"/>
          </w:tcPr>
          <w:p>
            <w:pPr>
              <w:rPr>
                <w:rFonts w:ascii="仿宋" w:hAnsi="仿宋" w:eastAsia="仿宋" w:cs="仿宋"/>
                <w:sz w:val="24"/>
              </w:rPr>
            </w:pPr>
            <w:r>
              <w:rPr>
                <w:rFonts w:hint="eastAsia" w:ascii="仿宋" w:hAnsi="仿宋" w:eastAsia="仿宋" w:cs="仿宋"/>
                <w:sz w:val="24"/>
              </w:rPr>
              <w:t>（1）投标人认为其它需要补充的内容</w:t>
            </w:r>
          </w:p>
          <w:p>
            <w:pPr>
              <w:rPr>
                <w:rFonts w:ascii="仿宋" w:hAnsi="仿宋" w:eastAsia="仿宋" w:cs="仿宋"/>
                <w:sz w:val="24"/>
              </w:rPr>
            </w:pPr>
            <w:r>
              <w:rPr>
                <w:rFonts w:hint="eastAsia" w:ascii="仿宋" w:hAnsi="仿宋" w:eastAsia="仿宋" w:cs="仿宋"/>
                <w:sz w:val="24"/>
              </w:rPr>
              <w:t>（2）本项目所发出的补遗书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88"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3.2.1</w:t>
            </w:r>
          </w:p>
        </w:tc>
        <w:tc>
          <w:tcPr>
            <w:tcW w:w="2538" w:type="dxa"/>
            <w:vAlign w:val="center"/>
          </w:tcPr>
          <w:p>
            <w:pPr>
              <w:jc w:val="center"/>
              <w:rPr>
                <w:rFonts w:ascii="仿宋" w:hAnsi="仿宋" w:eastAsia="仿宋" w:cs="仿宋"/>
                <w:sz w:val="24"/>
              </w:rPr>
            </w:pPr>
            <w:r>
              <w:rPr>
                <w:rFonts w:hint="eastAsia" w:ascii="仿宋" w:hAnsi="仿宋" w:eastAsia="仿宋" w:cs="仿宋"/>
                <w:sz w:val="24"/>
              </w:rPr>
              <w:t>工程量清单的填写方式</w:t>
            </w:r>
          </w:p>
        </w:tc>
        <w:tc>
          <w:tcPr>
            <w:tcW w:w="5601" w:type="dxa"/>
            <w:vAlign w:val="center"/>
          </w:tcPr>
          <w:p>
            <w:pPr>
              <w:rPr>
                <w:rFonts w:ascii="仿宋" w:hAnsi="仿宋" w:eastAsia="仿宋" w:cs="仿宋"/>
                <w:sz w:val="24"/>
              </w:rPr>
            </w:pPr>
            <w:r>
              <w:rPr>
                <w:rFonts w:hint="eastAsia" w:ascii="仿宋" w:hAnsi="仿宋" w:eastAsia="仿宋" w:cs="仿宋"/>
                <w:sz w:val="24"/>
              </w:rPr>
              <w:t>投标人在全国公共资源交易平台（河南省•许昌市）自行下载制作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07"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3.2.9</w:t>
            </w:r>
          </w:p>
        </w:tc>
        <w:tc>
          <w:tcPr>
            <w:tcW w:w="2538" w:type="dxa"/>
            <w:vAlign w:val="center"/>
          </w:tcPr>
          <w:p>
            <w:pPr>
              <w:jc w:val="center"/>
              <w:rPr>
                <w:rFonts w:ascii="仿宋" w:hAnsi="仿宋" w:eastAsia="仿宋" w:cs="仿宋"/>
                <w:sz w:val="24"/>
              </w:rPr>
            </w:pPr>
            <w:r>
              <w:rPr>
                <w:rFonts w:hint="eastAsia" w:ascii="仿宋" w:hAnsi="仿宋" w:eastAsia="仿宋" w:cs="仿宋"/>
                <w:sz w:val="24"/>
              </w:rPr>
              <w:t>是否接受调价函</w:t>
            </w:r>
          </w:p>
        </w:tc>
        <w:tc>
          <w:tcPr>
            <w:tcW w:w="5601" w:type="dxa"/>
            <w:vAlign w:val="center"/>
          </w:tcPr>
          <w:p>
            <w:pPr>
              <w:rPr>
                <w:rFonts w:ascii="仿宋" w:hAnsi="仿宋" w:eastAsia="仿宋" w:cs="仿宋"/>
                <w:sz w:val="24"/>
              </w:rPr>
            </w:pPr>
            <w:r>
              <w:rPr>
                <w:rFonts w:hint="eastAsia" w:ascii="仿宋" w:hAnsi="仿宋" w:eastAsia="仿宋" w:cs="仿宋"/>
                <w:sz w:val="24"/>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08"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3.3.1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投标有效期</w:t>
            </w:r>
          </w:p>
        </w:tc>
        <w:tc>
          <w:tcPr>
            <w:tcW w:w="5601" w:type="dxa"/>
            <w:vAlign w:val="center"/>
          </w:tcPr>
          <w:p>
            <w:pPr>
              <w:ind w:left="100" w:leftChars="50" w:right="113"/>
              <w:rPr>
                <w:rFonts w:ascii="仿宋" w:hAnsi="仿宋" w:eastAsia="仿宋" w:cs="仿宋"/>
                <w:sz w:val="24"/>
              </w:rPr>
            </w:pPr>
            <w:r>
              <w:rPr>
                <w:rFonts w:hint="eastAsia" w:ascii="仿宋" w:hAnsi="仿宋" w:eastAsia="仿宋" w:cs="仿宋"/>
                <w:sz w:val="24"/>
              </w:rPr>
              <w:t>60日历天（自投标截止之日算起）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08"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3.4.1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投标保证金</w:t>
            </w:r>
          </w:p>
        </w:tc>
        <w:tc>
          <w:tcPr>
            <w:tcW w:w="5601" w:type="dxa"/>
            <w:vAlign w:val="center"/>
          </w:tcPr>
          <w:p>
            <w:pPr>
              <w:ind w:left="113" w:right="113"/>
              <w:rPr>
                <w:rFonts w:ascii="仿宋" w:hAnsi="仿宋" w:eastAsia="仿宋" w:cs="仿宋"/>
                <w:sz w:val="24"/>
              </w:rPr>
            </w:pPr>
            <w:r>
              <w:rPr>
                <w:rFonts w:hint="eastAsia" w:ascii="仿宋" w:hAnsi="仿宋" w:eastAsia="仿宋" w:cs="仿宋"/>
                <w:sz w:val="24"/>
              </w:rPr>
              <w:t>详见附件一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08" w:hRule="atLeast"/>
          <w:jc w:val="center"/>
        </w:trPr>
        <w:tc>
          <w:tcPr>
            <w:tcW w:w="1060" w:type="dxa"/>
            <w:vAlign w:val="center"/>
          </w:tcPr>
          <w:p>
            <w:pPr>
              <w:autoSpaceDE w:val="0"/>
              <w:autoSpaceDN w:val="0"/>
              <w:adjustRightInd w:val="0"/>
              <w:spacing w:line="420" w:lineRule="exact"/>
              <w:jc w:val="center"/>
              <w:rPr>
                <w:rFonts w:ascii="仿宋" w:hAnsi="仿宋" w:eastAsia="仿宋" w:cs="仿宋"/>
                <w:sz w:val="24"/>
              </w:rPr>
            </w:pPr>
            <w:r>
              <w:rPr>
                <w:rFonts w:hint="eastAsia" w:ascii="仿宋" w:hAnsi="仿宋" w:eastAsia="仿宋" w:cs="仿宋"/>
                <w:sz w:val="24"/>
              </w:rPr>
              <w:t>3.5.2</w:t>
            </w:r>
          </w:p>
        </w:tc>
        <w:tc>
          <w:tcPr>
            <w:tcW w:w="2538" w:type="dxa"/>
            <w:vAlign w:val="center"/>
          </w:tcPr>
          <w:p>
            <w:pPr>
              <w:jc w:val="center"/>
              <w:rPr>
                <w:rFonts w:ascii="仿宋" w:hAnsi="仿宋" w:eastAsia="仿宋" w:cs="仿宋"/>
                <w:sz w:val="24"/>
              </w:rPr>
            </w:pPr>
            <w:r>
              <w:rPr>
                <w:rFonts w:hint="eastAsia" w:ascii="仿宋" w:hAnsi="仿宋" w:eastAsia="仿宋" w:cs="仿宋"/>
                <w:sz w:val="24"/>
              </w:rPr>
              <w:t>近年财务状况的年份要求</w:t>
            </w:r>
          </w:p>
        </w:tc>
        <w:tc>
          <w:tcPr>
            <w:tcW w:w="5601" w:type="dxa"/>
            <w:vAlign w:val="center"/>
          </w:tcPr>
          <w:p>
            <w:pPr>
              <w:autoSpaceDE w:val="0"/>
              <w:autoSpaceDN w:val="0"/>
              <w:adjustRightInd w:val="0"/>
              <w:spacing w:line="420" w:lineRule="exact"/>
              <w:rPr>
                <w:rFonts w:ascii="仿宋" w:hAnsi="仿宋" w:eastAsia="仿宋" w:cs="仿宋"/>
                <w:sz w:val="24"/>
              </w:rPr>
            </w:pPr>
            <w:r>
              <w:rPr>
                <w:rFonts w:hint="eastAsia" w:ascii="仿宋" w:hAnsi="仿宋" w:eastAsia="仿宋" w:cs="仿宋"/>
                <w:sz w:val="24"/>
              </w:rPr>
              <w:t>2015年、2016年、2017年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08" w:hRule="atLeast"/>
          <w:jc w:val="center"/>
        </w:trPr>
        <w:tc>
          <w:tcPr>
            <w:tcW w:w="1060" w:type="dxa"/>
            <w:vAlign w:val="center"/>
          </w:tcPr>
          <w:p>
            <w:pPr>
              <w:autoSpaceDE w:val="0"/>
              <w:autoSpaceDN w:val="0"/>
              <w:adjustRightInd w:val="0"/>
              <w:spacing w:line="420" w:lineRule="exact"/>
              <w:jc w:val="center"/>
              <w:rPr>
                <w:rFonts w:ascii="仿宋" w:hAnsi="仿宋" w:eastAsia="仿宋" w:cs="仿宋"/>
                <w:sz w:val="24"/>
              </w:rPr>
            </w:pPr>
            <w:r>
              <w:rPr>
                <w:rFonts w:hint="eastAsia" w:ascii="仿宋" w:hAnsi="仿宋" w:eastAsia="仿宋" w:cs="仿宋"/>
                <w:sz w:val="24"/>
              </w:rPr>
              <w:t>3.5.3</w:t>
            </w:r>
          </w:p>
        </w:tc>
        <w:tc>
          <w:tcPr>
            <w:tcW w:w="2538" w:type="dxa"/>
            <w:vAlign w:val="center"/>
          </w:tcPr>
          <w:p>
            <w:pPr>
              <w:autoSpaceDE w:val="0"/>
              <w:autoSpaceDN w:val="0"/>
              <w:adjustRightInd w:val="0"/>
              <w:jc w:val="center"/>
              <w:rPr>
                <w:rFonts w:ascii="仿宋" w:hAnsi="仿宋" w:eastAsia="仿宋" w:cs="仿宋"/>
                <w:sz w:val="24"/>
              </w:rPr>
            </w:pPr>
            <w:r>
              <w:rPr>
                <w:rFonts w:hint="eastAsia" w:ascii="仿宋" w:hAnsi="仿宋" w:eastAsia="仿宋" w:cs="仿宋"/>
                <w:sz w:val="24"/>
              </w:rPr>
              <w:t>近年完成的类似项目</w:t>
            </w:r>
          </w:p>
        </w:tc>
        <w:tc>
          <w:tcPr>
            <w:tcW w:w="5601" w:type="dxa"/>
            <w:vAlign w:val="center"/>
          </w:tcPr>
          <w:p>
            <w:pPr>
              <w:autoSpaceDE w:val="0"/>
              <w:autoSpaceDN w:val="0"/>
              <w:adjustRightInd w:val="0"/>
              <w:rPr>
                <w:rFonts w:ascii="仿宋" w:hAnsi="仿宋" w:eastAsia="仿宋" w:cs="仿宋"/>
                <w:sz w:val="24"/>
              </w:rPr>
            </w:pPr>
            <w:r>
              <w:rPr>
                <w:rFonts w:hint="eastAsia" w:ascii="仿宋" w:hAnsi="仿宋" w:eastAsia="仿宋" w:cs="仿宋"/>
                <w:sz w:val="24"/>
              </w:rPr>
              <w:t>近年，指201</w:t>
            </w:r>
            <w:r>
              <w:rPr>
                <w:rFonts w:hint="eastAsia" w:ascii="仿宋" w:hAnsi="仿宋" w:eastAsia="仿宋" w:cs="仿宋"/>
                <w:sz w:val="24"/>
                <w:lang w:val="en-US" w:eastAsia="zh-CN"/>
              </w:rPr>
              <w:t>6</w:t>
            </w:r>
            <w:r>
              <w:rPr>
                <w:rFonts w:hint="eastAsia" w:ascii="仿宋" w:hAnsi="仿宋" w:eastAsia="仿宋" w:cs="仿宋"/>
                <w:sz w:val="24"/>
              </w:rPr>
              <w:t>年1月1日至今。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08"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3.6</w:t>
            </w:r>
          </w:p>
        </w:tc>
        <w:tc>
          <w:tcPr>
            <w:tcW w:w="2538" w:type="dxa"/>
            <w:vAlign w:val="center"/>
          </w:tcPr>
          <w:p>
            <w:pPr>
              <w:jc w:val="center"/>
              <w:rPr>
                <w:rFonts w:ascii="仿宋" w:hAnsi="仿宋" w:eastAsia="仿宋" w:cs="仿宋"/>
                <w:sz w:val="24"/>
              </w:rPr>
            </w:pPr>
            <w:r>
              <w:rPr>
                <w:rFonts w:hint="eastAsia" w:ascii="仿宋" w:hAnsi="仿宋" w:eastAsia="仿宋" w:cs="仿宋"/>
                <w:sz w:val="24"/>
              </w:rPr>
              <w:t>是否允许递交备选投标方案</w:t>
            </w:r>
          </w:p>
        </w:tc>
        <w:tc>
          <w:tcPr>
            <w:tcW w:w="5601" w:type="dxa"/>
            <w:vAlign w:val="center"/>
          </w:tcPr>
          <w:p>
            <w:pPr>
              <w:ind w:left="113" w:right="113"/>
              <w:rPr>
                <w:rFonts w:ascii="仿宋" w:hAnsi="仿宋" w:eastAsia="仿宋" w:cs="仿宋"/>
                <w:sz w:val="24"/>
              </w:rPr>
            </w:pPr>
            <w:r>
              <w:rPr>
                <w:rFonts w:hint="eastAsia" w:ascii="仿宋" w:hAnsi="仿宋" w:eastAsia="仿宋" w:cs="仿宋"/>
                <w:sz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143"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3.7.3</w:t>
            </w:r>
          </w:p>
        </w:tc>
        <w:tc>
          <w:tcPr>
            <w:tcW w:w="2538" w:type="dxa"/>
            <w:vAlign w:val="center"/>
          </w:tcPr>
          <w:p>
            <w:pPr>
              <w:jc w:val="center"/>
              <w:rPr>
                <w:rFonts w:ascii="仿宋" w:hAnsi="仿宋" w:eastAsia="仿宋" w:cs="仿宋"/>
                <w:sz w:val="24"/>
              </w:rPr>
            </w:pPr>
            <w:r>
              <w:rPr>
                <w:rFonts w:hint="eastAsia" w:ascii="仿宋" w:hAnsi="仿宋" w:eastAsia="仿宋" w:cs="仿宋"/>
                <w:sz w:val="24"/>
              </w:rPr>
              <w:t>签字或盖章要求</w:t>
            </w:r>
          </w:p>
        </w:tc>
        <w:tc>
          <w:tcPr>
            <w:tcW w:w="5601" w:type="dxa"/>
            <w:vAlign w:val="center"/>
          </w:tcPr>
          <w:p>
            <w:pPr>
              <w:ind w:left="113" w:right="113"/>
              <w:rPr>
                <w:rFonts w:ascii="仿宋" w:hAnsi="仿宋" w:eastAsia="仿宋" w:cs="仿宋"/>
                <w:sz w:val="24"/>
              </w:rPr>
            </w:pPr>
            <w:r>
              <w:rPr>
                <w:rFonts w:hint="eastAsia" w:ascii="仿宋" w:hAnsi="仿宋" w:eastAsia="仿宋" w:cs="仿宋"/>
                <w:sz w:val="24"/>
                <w:shd w:val="clear" w:color="auto" w:fill="FFFFFF"/>
              </w:rPr>
              <w:t>投标文件正本按招标文件要求签字盖章（无需逐页签字盖章），副本应与正本保持一致（可为正本的复印件）。正本与副本不一致的，以正本为准。</w:t>
            </w:r>
          </w:p>
        </w:tc>
      </w:tr>
    </w:tbl>
    <w:p>
      <w:pPr>
        <w:rPr>
          <w:rFonts w:ascii="仿宋" w:hAnsi="仿宋" w:eastAsia="仿宋" w:cs="仿宋"/>
          <w:sz w:val="24"/>
        </w:rPr>
      </w:pPr>
      <w:r>
        <w:rPr>
          <w:rFonts w:hint="eastAsia" w:ascii="仿宋" w:hAnsi="仿宋" w:eastAsia="仿宋" w:cs="仿宋"/>
          <w:sz w:val="24"/>
        </w:rPr>
        <w:t>续上表</w:t>
      </w:r>
    </w:p>
    <w:tbl>
      <w:tblPr>
        <w:tblStyle w:val="13"/>
        <w:tblW w:w="9072" w:type="dxa"/>
        <w:jc w:val="center"/>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116"/>
        <w:gridCol w:w="2419"/>
        <w:gridCol w:w="553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54" w:hRule="atLeast"/>
          <w:jc w:val="center"/>
        </w:trPr>
        <w:tc>
          <w:tcPr>
            <w:tcW w:w="1116" w:type="dxa"/>
            <w:vAlign w:val="center"/>
          </w:tcPr>
          <w:p>
            <w:pPr>
              <w:jc w:val="center"/>
              <w:rPr>
                <w:rFonts w:ascii="仿宋" w:hAnsi="仿宋" w:eastAsia="仿宋" w:cs="仿宋"/>
                <w:b/>
                <w:sz w:val="24"/>
              </w:rPr>
            </w:pPr>
            <w:r>
              <w:rPr>
                <w:rFonts w:hint="eastAsia" w:ascii="仿宋" w:hAnsi="仿宋" w:eastAsia="仿宋" w:cs="仿宋"/>
                <w:b/>
                <w:sz w:val="24"/>
              </w:rPr>
              <w:t>条款号</w:t>
            </w:r>
          </w:p>
        </w:tc>
        <w:tc>
          <w:tcPr>
            <w:tcW w:w="2419" w:type="dxa"/>
            <w:vAlign w:val="center"/>
          </w:tcPr>
          <w:p>
            <w:pPr>
              <w:jc w:val="center"/>
              <w:rPr>
                <w:rFonts w:ascii="仿宋" w:hAnsi="仿宋" w:eastAsia="仿宋" w:cs="仿宋"/>
                <w:b/>
                <w:sz w:val="24"/>
              </w:rPr>
            </w:pPr>
            <w:r>
              <w:rPr>
                <w:rFonts w:hint="eastAsia" w:ascii="仿宋" w:hAnsi="仿宋" w:eastAsia="仿宋" w:cs="仿宋"/>
                <w:b/>
                <w:sz w:val="24"/>
              </w:rPr>
              <w:t>条 款 名 称</w:t>
            </w:r>
          </w:p>
        </w:tc>
        <w:tc>
          <w:tcPr>
            <w:tcW w:w="5537" w:type="dxa"/>
            <w:vAlign w:val="center"/>
          </w:tcPr>
          <w:p>
            <w:pPr>
              <w:jc w:val="center"/>
              <w:rPr>
                <w:rFonts w:ascii="仿宋" w:hAnsi="仿宋" w:eastAsia="仿宋" w:cs="仿宋"/>
                <w:b/>
                <w:sz w:val="24"/>
              </w:rPr>
            </w:pPr>
            <w:r>
              <w:rPr>
                <w:rFonts w:hint="eastAsia" w:ascii="仿宋" w:hAnsi="仿宋" w:eastAsia="仿宋" w:cs="仿宋"/>
                <w:b/>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54" w:hRule="atLeast"/>
          <w:jc w:val="center"/>
        </w:trPr>
        <w:tc>
          <w:tcPr>
            <w:tcW w:w="1116" w:type="dxa"/>
            <w:vAlign w:val="center"/>
          </w:tcPr>
          <w:p>
            <w:pPr>
              <w:jc w:val="center"/>
              <w:rPr>
                <w:rFonts w:ascii="仿宋" w:hAnsi="仿宋" w:eastAsia="仿宋" w:cs="仿宋"/>
                <w:b/>
                <w:sz w:val="24"/>
              </w:rPr>
            </w:pPr>
            <w:r>
              <w:rPr>
                <w:rFonts w:hint="eastAsia" w:ascii="仿宋" w:hAnsi="仿宋" w:eastAsia="仿宋" w:cs="仿宋"/>
                <w:sz w:val="24"/>
              </w:rPr>
              <w:t>3.7.4</w:t>
            </w:r>
          </w:p>
        </w:tc>
        <w:tc>
          <w:tcPr>
            <w:tcW w:w="2419" w:type="dxa"/>
            <w:vAlign w:val="center"/>
          </w:tcPr>
          <w:p>
            <w:pPr>
              <w:jc w:val="center"/>
              <w:rPr>
                <w:rFonts w:ascii="仿宋" w:hAnsi="仿宋" w:eastAsia="仿宋" w:cs="仿宋"/>
                <w:b/>
                <w:sz w:val="24"/>
              </w:rPr>
            </w:pPr>
            <w:r>
              <w:rPr>
                <w:rFonts w:hint="eastAsia" w:ascii="仿宋" w:hAnsi="仿宋" w:eastAsia="仿宋" w:cs="仿宋"/>
                <w:sz w:val="24"/>
              </w:rPr>
              <w:t>投标文件副本份数</w:t>
            </w:r>
          </w:p>
        </w:tc>
        <w:tc>
          <w:tcPr>
            <w:tcW w:w="5537" w:type="dxa"/>
            <w:vAlign w:val="center"/>
          </w:tcPr>
          <w:p>
            <w:pPr>
              <w:ind w:left="113" w:right="113"/>
              <w:rPr>
                <w:rFonts w:ascii="仿宋" w:hAnsi="仿宋" w:eastAsia="仿宋" w:cs="仿宋"/>
                <w:sz w:val="24"/>
              </w:rPr>
            </w:pPr>
            <w:r>
              <w:rPr>
                <w:rFonts w:hint="eastAsia" w:ascii="仿宋" w:hAnsi="仿宋" w:eastAsia="仿宋" w:cs="仿宋"/>
                <w:sz w:val="24"/>
              </w:rPr>
              <w:t>投标文件：正本1份，副本</w:t>
            </w:r>
            <w:r>
              <w:rPr>
                <w:rFonts w:hint="eastAsia" w:ascii="仿宋" w:hAnsi="仿宋" w:eastAsia="仿宋" w:cs="仿宋"/>
                <w:sz w:val="24"/>
                <w:lang w:val="en-US" w:eastAsia="zh-CN"/>
              </w:rPr>
              <w:t>6</w:t>
            </w:r>
            <w:r>
              <w:rPr>
                <w:rFonts w:hint="eastAsia" w:ascii="仿宋" w:hAnsi="仿宋" w:eastAsia="仿宋" w:cs="仿宋"/>
                <w:sz w:val="24"/>
              </w:rPr>
              <w:t>份</w:t>
            </w:r>
          </w:p>
          <w:p>
            <w:pPr>
              <w:ind w:left="113" w:right="113"/>
              <w:rPr>
                <w:rFonts w:ascii="仿宋" w:hAnsi="仿宋" w:eastAsia="仿宋" w:cs="仿宋"/>
                <w:sz w:val="24"/>
              </w:rPr>
            </w:pPr>
            <w:r>
              <w:rPr>
                <w:rFonts w:hint="eastAsia" w:ascii="仿宋" w:hAnsi="仿宋" w:eastAsia="仿宋" w:cs="仿宋"/>
                <w:sz w:val="24"/>
              </w:rPr>
              <w:t>电子U盘1份：U盘内容须包括所有投标文件正本所有内容以及及已标价的工程量清单，且保证能够有效读取）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54" w:hRule="atLeast"/>
          <w:jc w:val="center"/>
        </w:trPr>
        <w:tc>
          <w:tcPr>
            <w:tcW w:w="1116" w:type="dxa"/>
            <w:vAlign w:val="center"/>
          </w:tcPr>
          <w:p>
            <w:pPr>
              <w:jc w:val="center"/>
              <w:rPr>
                <w:rFonts w:ascii="仿宋" w:hAnsi="仿宋" w:eastAsia="仿宋" w:cs="仿宋"/>
                <w:b/>
                <w:sz w:val="24"/>
              </w:rPr>
            </w:pPr>
            <w:r>
              <w:rPr>
                <w:rFonts w:hint="eastAsia" w:ascii="仿宋" w:hAnsi="仿宋" w:eastAsia="仿宋" w:cs="仿宋"/>
                <w:sz w:val="24"/>
              </w:rPr>
              <w:t>3.7.5</w:t>
            </w:r>
          </w:p>
        </w:tc>
        <w:tc>
          <w:tcPr>
            <w:tcW w:w="2419" w:type="dxa"/>
            <w:vAlign w:val="center"/>
          </w:tcPr>
          <w:p>
            <w:pPr>
              <w:jc w:val="center"/>
              <w:rPr>
                <w:rFonts w:ascii="仿宋" w:hAnsi="仿宋" w:eastAsia="仿宋" w:cs="仿宋"/>
                <w:b/>
                <w:sz w:val="24"/>
              </w:rPr>
            </w:pPr>
            <w:r>
              <w:rPr>
                <w:rFonts w:hint="eastAsia" w:ascii="仿宋" w:hAnsi="仿宋" w:eastAsia="仿宋" w:cs="仿宋"/>
                <w:sz w:val="24"/>
              </w:rPr>
              <w:t>装订要求</w:t>
            </w:r>
          </w:p>
        </w:tc>
        <w:tc>
          <w:tcPr>
            <w:tcW w:w="5537" w:type="dxa"/>
            <w:vAlign w:val="center"/>
          </w:tcPr>
          <w:p>
            <w:pPr>
              <w:ind w:left="113" w:right="113"/>
              <w:rPr>
                <w:rFonts w:ascii="仿宋" w:hAnsi="仿宋" w:eastAsia="仿宋" w:cs="仿宋"/>
                <w:sz w:val="24"/>
              </w:rPr>
            </w:pPr>
            <w:r>
              <w:rPr>
                <w:rFonts w:hint="eastAsia" w:ascii="仿宋" w:hAnsi="仿宋" w:eastAsia="仿宋" w:cs="仿宋"/>
                <w:sz w:val="24"/>
              </w:rPr>
              <w:t>投标文件的正本与副本应分别装订成册（A4纸幅）并编制目录，从目录开始逐页标注连续页码。投标人必须按照招标文件规定的内容和格式填报“投标文件”，同一用A4纸幅采用左侧胶粘的方式装订成册，不得采用活页夹装订，否则，招标人对由于投标文件装订松散而造成的丢失或其他后果不承担任何责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54" w:hRule="atLeast"/>
          <w:jc w:val="center"/>
        </w:trPr>
        <w:tc>
          <w:tcPr>
            <w:tcW w:w="1116" w:type="dxa"/>
            <w:vAlign w:val="center"/>
          </w:tcPr>
          <w:p>
            <w:pPr>
              <w:jc w:val="center"/>
              <w:rPr>
                <w:rFonts w:ascii="仿宋" w:hAnsi="仿宋" w:eastAsia="仿宋" w:cs="仿宋"/>
                <w:sz w:val="24"/>
              </w:rPr>
            </w:pPr>
            <w:r>
              <w:rPr>
                <w:rFonts w:hint="eastAsia" w:ascii="仿宋" w:hAnsi="仿宋" w:eastAsia="仿宋" w:cs="仿宋"/>
                <w:sz w:val="24"/>
              </w:rPr>
              <w:t>4.1.2</w:t>
            </w:r>
          </w:p>
        </w:tc>
        <w:tc>
          <w:tcPr>
            <w:tcW w:w="2419" w:type="dxa"/>
            <w:vAlign w:val="center"/>
          </w:tcPr>
          <w:p>
            <w:pPr>
              <w:jc w:val="center"/>
              <w:rPr>
                <w:rFonts w:ascii="仿宋" w:hAnsi="仿宋" w:eastAsia="仿宋" w:cs="仿宋"/>
                <w:sz w:val="24"/>
              </w:rPr>
            </w:pPr>
            <w:r>
              <w:rPr>
                <w:rFonts w:hint="eastAsia" w:ascii="仿宋" w:hAnsi="仿宋" w:eastAsia="仿宋" w:cs="仿宋"/>
                <w:sz w:val="24"/>
              </w:rPr>
              <w:t>封套上写明</w:t>
            </w:r>
          </w:p>
        </w:tc>
        <w:tc>
          <w:tcPr>
            <w:tcW w:w="5537" w:type="dxa"/>
            <w:vAlign w:val="center"/>
          </w:tcPr>
          <w:p>
            <w:pPr>
              <w:rPr>
                <w:rFonts w:ascii="仿宋" w:hAnsi="仿宋" w:eastAsia="仿宋" w:cs="仿宋"/>
                <w:b/>
                <w:bCs/>
                <w:sz w:val="24"/>
              </w:rPr>
            </w:pPr>
            <w:r>
              <w:rPr>
                <w:rFonts w:hint="eastAsia" w:ascii="仿宋" w:hAnsi="仿宋" w:eastAsia="仿宋" w:cs="仿宋"/>
                <w:b/>
                <w:bCs/>
                <w:sz w:val="24"/>
              </w:rPr>
              <w:t>投标文件第一个信封内层封套上须写明以下内容：</w:t>
            </w:r>
          </w:p>
          <w:p>
            <w:pPr>
              <w:rPr>
                <w:rFonts w:ascii="仿宋" w:hAnsi="仿宋" w:eastAsia="仿宋" w:cs="仿宋"/>
                <w:sz w:val="24"/>
              </w:rPr>
            </w:pPr>
            <w:r>
              <w:rPr>
                <w:rFonts w:hint="eastAsia" w:ascii="仿宋" w:hAnsi="仿宋" w:eastAsia="仿宋" w:cs="仿宋"/>
                <w:sz w:val="24"/>
              </w:rPr>
              <w:t>投标文件第一个信封（商务及技术文件）</w:t>
            </w:r>
          </w:p>
          <w:p>
            <w:pPr>
              <w:rPr>
                <w:rFonts w:ascii="仿宋" w:hAnsi="仿宋" w:eastAsia="仿宋" w:cs="仿宋"/>
                <w:sz w:val="24"/>
              </w:rPr>
            </w:pPr>
            <w:r>
              <w:rPr>
                <w:rFonts w:hint="eastAsia" w:ascii="仿宋" w:hAnsi="仿宋" w:eastAsia="仿宋" w:cs="仿宋"/>
                <w:sz w:val="24"/>
              </w:rPr>
              <w:t>工程名称：</w:t>
            </w:r>
            <w:r>
              <w:rPr>
                <w:rFonts w:hint="eastAsia" w:ascii="仿宋" w:hAnsi="仿宋" w:eastAsia="仿宋" w:cs="仿宋"/>
                <w:sz w:val="24"/>
                <w:u w:val="single"/>
              </w:rPr>
              <w:t xml:space="preserve">      XX项目及标段　           </w:t>
            </w:r>
            <w:r>
              <w:rPr>
                <w:rFonts w:hint="eastAsia" w:ascii="仿宋" w:hAnsi="仿宋" w:eastAsia="仿宋" w:cs="仿宋"/>
                <w:sz w:val="24"/>
              </w:rPr>
              <w:t xml:space="preserve">     </w:t>
            </w:r>
          </w:p>
          <w:p>
            <w:pPr>
              <w:rPr>
                <w:rFonts w:ascii="仿宋" w:hAnsi="仿宋" w:eastAsia="仿宋" w:cs="仿宋"/>
                <w:sz w:val="24"/>
              </w:rPr>
            </w:pPr>
            <w:r>
              <w:rPr>
                <w:rFonts w:hint="eastAsia" w:ascii="仿宋" w:hAnsi="仿宋" w:eastAsia="仿宋" w:cs="仿宋"/>
                <w:sz w:val="24"/>
              </w:rPr>
              <w:t>招标人名称：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rPr>
                <w:rFonts w:ascii="仿宋" w:hAnsi="仿宋" w:eastAsia="仿宋" w:cs="仿宋"/>
                <w:sz w:val="24"/>
              </w:rPr>
            </w:pPr>
            <w:r>
              <w:rPr>
                <w:rFonts w:hint="eastAsia" w:ascii="仿宋" w:hAnsi="仿宋" w:eastAsia="仿宋" w:cs="仿宋"/>
                <w:sz w:val="24"/>
              </w:rPr>
              <w:t xml:space="preserve">  年 月 日上午 时 分（开标时间）前不能启封。</w:t>
            </w:r>
          </w:p>
          <w:p>
            <w:pPr>
              <w:rPr>
                <w:rFonts w:ascii="仿宋" w:hAnsi="仿宋" w:eastAsia="仿宋" w:cs="仿宋"/>
                <w:sz w:val="24"/>
              </w:rPr>
            </w:pPr>
            <w:r>
              <w:rPr>
                <w:rFonts w:hint="eastAsia" w:ascii="仿宋" w:hAnsi="仿宋" w:eastAsia="仿宋" w:cs="仿宋"/>
                <w:sz w:val="24"/>
              </w:rPr>
              <w:t>投标文件包封开口处用密封条密封，并加盖骑缝章。</w:t>
            </w:r>
          </w:p>
          <w:p>
            <w:pPr>
              <w:rPr>
                <w:rFonts w:ascii="仿宋" w:hAnsi="仿宋" w:eastAsia="仿宋" w:cs="仿宋"/>
                <w:b/>
                <w:bCs/>
                <w:sz w:val="24"/>
              </w:rPr>
            </w:pPr>
            <w:r>
              <w:rPr>
                <w:rFonts w:hint="eastAsia" w:ascii="仿宋" w:hAnsi="仿宋" w:eastAsia="仿宋" w:cs="仿宋"/>
                <w:b/>
                <w:bCs/>
                <w:sz w:val="24"/>
              </w:rPr>
              <w:t>投标文件第二个信封内层封套上须写明以下内容：</w:t>
            </w:r>
          </w:p>
          <w:p>
            <w:pPr>
              <w:rPr>
                <w:rFonts w:ascii="仿宋" w:hAnsi="仿宋" w:eastAsia="仿宋" w:cs="仿宋"/>
                <w:sz w:val="24"/>
              </w:rPr>
            </w:pPr>
            <w:r>
              <w:rPr>
                <w:rFonts w:hint="eastAsia" w:ascii="仿宋" w:hAnsi="仿宋" w:eastAsia="仿宋" w:cs="仿宋"/>
                <w:sz w:val="24"/>
              </w:rPr>
              <w:t>投标文件第二个信封(投标报价和已标价的工程量清单)</w:t>
            </w:r>
          </w:p>
          <w:p>
            <w:pPr>
              <w:rPr>
                <w:rFonts w:ascii="仿宋" w:hAnsi="仿宋" w:eastAsia="仿宋" w:cs="仿宋"/>
                <w:sz w:val="24"/>
              </w:rPr>
            </w:pPr>
            <w:r>
              <w:rPr>
                <w:rFonts w:hint="eastAsia" w:ascii="仿宋" w:hAnsi="仿宋" w:eastAsia="仿宋" w:cs="仿宋"/>
                <w:sz w:val="24"/>
              </w:rPr>
              <w:t>工程名称：</w:t>
            </w:r>
            <w:r>
              <w:rPr>
                <w:rFonts w:hint="eastAsia" w:ascii="仿宋" w:hAnsi="仿宋" w:eastAsia="仿宋" w:cs="仿宋"/>
                <w:sz w:val="24"/>
                <w:u w:val="single"/>
              </w:rPr>
              <w:t xml:space="preserve">    　  XX项目及标段           </w:t>
            </w:r>
            <w:r>
              <w:rPr>
                <w:rFonts w:hint="eastAsia" w:ascii="仿宋" w:hAnsi="仿宋" w:eastAsia="仿宋" w:cs="仿宋"/>
                <w:sz w:val="24"/>
              </w:rPr>
              <w:t xml:space="preserve">　    </w:t>
            </w:r>
          </w:p>
          <w:p>
            <w:pPr>
              <w:rPr>
                <w:rFonts w:ascii="仿宋" w:hAnsi="仿宋" w:eastAsia="仿宋" w:cs="仿宋"/>
                <w:sz w:val="24"/>
              </w:rPr>
            </w:pPr>
            <w:r>
              <w:rPr>
                <w:rFonts w:hint="eastAsia" w:ascii="仿宋" w:hAnsi="仿宋" w:eastAsia="仿宋" w:cs="仿宋"/>
                <w:sz w:val="24"/>
              </w:rPr>
              <w:t>招标人名称：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rPr>
                <w:rFonts w:ascii="仿宋" w:hAnsi="仿宋" w:eastAsia="仿宋" w:cs="仿宋"/>
                <w:sz w:val="24"/>
              </w:rPr>
            </w:pPr>
            <w:r>
              <w:rPr>
                <w:rFonts w:hint="eastAsia" w:ascii="仿宋" w:hAnsi="仿宋" w:eastAsia="仿宋" w:cs="仿宋"/>
                <w:sz w:val="24"/>
              </w:rPr>
              <w:t>本招标项目第一信封（商务文件和技术文件）评审结果公布前不能启封。</w:t>
            </w:r>
          </w:p>
          <w:p>
            <w:pPr>
              <w:rPr>
                <w:rFonts w:ascii="仿宋" w:hAnsi="仿宋" w:eastAsia="仿宋" w:cs="仿宋"/>
                <w:color w:val="FF0000"/>
                <w:sz w:val="24"/>
              </w:rPr>
            </w:pPr>
            <w:r>
              <w:rPr>
                <w:rFonts w:hint="eastAsia" w:ascii="仿宋" w:hAnsi="仿宋" w:eastAsia="仿宋" w:cs="仿宋"/>
                <w:sz w:val="24"/>
              </w:rPr>
              <w:t>投标文件包封开口处用密封条密封，并加盖骑缝章</w:t>
            </w:r>
          </w:p>
        </w:tc>
      </w:tr>
    </w:tbl>
    <w:p>
      <w:pPr>
        <w:rPr>
          <w:rFonts w:ascii="仿宋" w:hAnsi="仿宋" w:eastAsia="仿宋" w:cs="仿宋"/>
          <w:sz w:val="24"/>
        </w:rPr>
      </w:pPr>
      <w:r>
        <w:rPr>
          <w:rFonts w:hint="eastAsia" w:ascii="仿宋" w:hAnsi="仿宋" w:eastAsia="仿宋" w:cs="仿宋"/>
          <w:sz w:val="24"/>
        </w:rPr>
        <w:t>续上表</w:t>
      </w:r>
    </w:p>
    <w:tbl>
      <w:tblPr>
        <w:tblStyle w:val="13"/>
        <w:tblW w:w="9300" w:type="dxa"/>
        <w:jc w:val="center"/>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116"/>
        <w:gridCol w:w="2530"/>
        <w:gridCol w:w="565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vAlign w:val="center"/>
          </w:tcPr>
          <w:p>
            <w:pPr>
              <w:jc w:val="center"/>
              <w:rPr>
                <w:rFonts w:ascii="仿宋" w:hAnsi="仿宋" w:eastAsia="仿宋" w:cs="仿宋"/>
                <w:b/>
                <w:sz w:val="24"/>
              </w:rPr>
            </w:pPr>
            <w:r>
              <w:rPr>
                <w:rFonts w:hint="eastAsia" w:ascii="仿宋" w:hAnsi="仿宋" w:eastAsia="仿宋" w:cs="仿宋"/>
                <w:b/>
                <w:sz w:val="24"/>
              </w:rPr>
              <w:t>条款号</w:t>
            </w:r>
          </w:p>
        </w:tc>
        <w:tc>
          <w:tcPr>
            <w:tcW w:w="2530" w:type="dxa"/>
            <w:vAlign w:val="center"/>
          </w:tcPr>
          <w:p>
            <w:pPr>
              <w:jc w:val="center"/>
              <w:rPr>
                <w:rFonts w:ascii="仿宋" w:hAnsi="仿宋" w:eastAsia="仿宋" w:cs="仿宋"/>
                <w:b/>
                <w:sz w:val="24"/>
              </w:rPr>
            </w:pPr>
            <w:r>
              <w:rPr>
                <w:rFonts w:hint="eastAsia" w:ascii="仿宋" w:hAnsi="仿宋" w:eastAsia="仿宋" w:cs="仿宋"/>
                <w:b/>
                <w:sz w:val="24"/>
              </w:rPr>
              <w:t>条 款 名 称</w:t>
            </w:r>
          </w:p>
        </w:tc>
        <w:tc>
          <w:tcPr>
            <w:tcW w:w="5654" w:type="dxa"/>
            <w:vAlign w:val="center"/>
          </w:tcPr>
          <w:p>
            <w:pPr>
              <w:jc w:val="center"/>
              <w:rPr>
                <w:rFonts w:ascii="仿宋" w:hAnsi="仿宋" w:eastAsia="仿宋" w:cs="仿宋"/>
                <w:b/>
                <w:sz w:val="24"/>
              </w:rPr>
            </w:pPr>
            <w:r>
              <w:rPr>
                <w:rFonts w:hint="eastAsia" w:ascii="仿宋" w:hAnsi="仿宋" w:eastAsia="仿宋" w:cs="仿宋"/>
                <w:b/>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vAlign w:val="center"/>
          </w:tcPr>
          <w:p>
            <w:pPr>
              <w:jc w:val="center"/>
              <w:rPr>
                <w:rFonts w:ascii="仿宋" w:hAnsi="仿宋" w:eastAsia="仿宋" w:cs="仿宋"/>
                <w:sz w:val="24"/>
              </w:rPr>
            </w:pPr>
            <w:r>
              <w:rPr>
                <w:rFonts w:hint="eastAsia" w:ascii="仿宋" w:hAnsi="仿宋" w:eastAsia="仿宋" w:cs="仿宋"/>
                <w:sz w:val="24"/>
              </w:rPr>
              <w:t>5.1</w:t>
            </w:r>
          </w:p>
        </w:tc>
        <w:tc>
          <w:tcPr>
            <w:tcW w:w="2530" w:type="dxa"/>
            <w:vAlign w:val="center"/>
          </w:tcPr>
          <w:p>
            <w:pPr>
              <w:jc w:val="center"/>
              <w:rPr>
                <w:rFonts w:ascii="仿宋" w:hAnsi="仿宋" w:eastAsia="仿宋" w:cs="仿宋"/>
                <w:sz w:val="24"/>
              </w:rPr>
            </w:pPr>
            <w:r>
              <w:rPr>
                <w:rFonts w:hint="eastAsia" w:ascii="仿宋" w:hAnsi="仿宋" w:eastAsia="仿宋" w:cs="仿宋"/>
                <w:sz w:val="24"/>
              </w:rPr>
              <w:t>开标时间和地点</w:t>
            </w:r>
          </w:p>
        </w:tc>
        <w:tc>
          <w:tcPr>
            <w:tcW w:w="5654" w:type="dxa"/>
            <w:vAlign w:val="center"/>
          </w:tcPr>
          <w:p>
            <w:pPr>
              <w:rPr>
                <w:rFonts w:ascii="仿宋" w:hAnsi="仿宋" w:eastAsia="仿宋" w:cs="仿宋"/>
                <w:sz w:val="24"/>
              </w:rPr>
            </w:pPr>
            <w:r>
              <w:rPr>
                <w:rFonts w:hint="eastAsia" w:ascii="仿宋" w:hAnsi="仿宋" w:eastAsia="仿宋" w:cs="仿宋"/>
                <w:sz w:val="24"/>
              </w:rPr>
              <w:t>第一个信封开标时间：同投标截止时间</w:t>
            </w:r>
          </w:p>
          <w:p>
            <w:pPr>
              <w:rPr>
                <w:rFonts w:ascii="仿宋" w:hAnsi="仿宋" w:eastAsia="仿宋" w:cs="仿宋"/>
                <w:sz w:val="24"/>
              </w:rPr>
            </w:pPr>
            <w:r>
              <w:rPr>
                <w:rFonts w:hint="eastAsia" w:ascii="仿宋" w:hAnsi="仿宋" w:eastAsia="仿宋" w:cs="仿宋"/>
                <w:sz w:val="24"/>
              </w:rPr>
              <w:t>第一个信封开标地点：同投标文件递交地点</w:t>
            </w:r>
          </w:p>
          <w:p>
            <w:pPr>
              <w:rPr>
                <w:rFonts w:ascii="仿宋" w:hAnsi="仿宋" w:eastAsia="仿宋" w:cs="仿宋"/>
                <w:sz w:val="24"/>
              </w:rPr>
            </w:pPr>
            <w:r>
              <w:rPr>
                <w:rFonts w:hint="eastAsia" w:ascii="仿宋" w:hAnsi="仿宋" w:eastAsia="仿宋" w:cs="仿宋"/>
                <w:sz w:val="24"/>
              </w:rPr>
              <w:t>第二个信封开标时间：商务及技术文件评审结束后</w:t>
            </w:r>
          </w:p>
          <w:p>
            <w:pPr>
              <w:rPr>
                <w:rFonts w:ascii="仿宋" w:hAnsi="仿宋" w:eastAsia="仿宋" w:cs="仿宋"/>
                <w:sz w:val="24"/>
              </w:rPr>
            </w:pPr>
            <w:r>
              <w:rPr>
                <w:rFonts w:hint="eastAsia" w:ascii="仿宋" w:hAnsi="仿宋" w:eastAsia="仿宋" w:cs="仿宋"/>
                <w:sz w:val="24"/>
              </w:rPr>
              <w:t>第二个信封开标地点：同投标文件递交地点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286" w:hRule="atLeast"/>
          <w:jc w:val="center"/>
        </w:trPr>
        <w:tc>
          <w:tcPr>
            <w:tcW w:w="1116" w:type="dxa"/>
            <w:vAlign w:val="center"/>
          </w:tcPr>
          <w:p>
            <w:pPr>
              <w:jc w:val="center"/>
              <w:rPr>
                <w:rFonts w:ascii="仿宋" w:hAnsi="仿宋" w:eastAsia="仿宋" w:cs="仿宋"/>
                <w:sz w:val="24"/>
              </w:rPr>
            </w:pPr>
            <w:r>
              <w:rPr>
                <w:rFonts w:hint="eastAsia" w:ascii="仿宋" w:hAnsi="仿宋" w:eastAsia="仿宋" w:cs="仿宋"/>
                <w:sz w:val="24"/>
              </w:rPr>
              <w:t>5.2.1</w:t>
            </w:r>
          </w:p>
        </w:tc>
        <w:tc>
          <w:tcPr>
            <w:tcW w:w="2530" w:type="dxa"/>
            <w:vAlign w:val="center"/>
          </w:tcPr>
          <w:p>
            <w:pPr>
              <w:jc w:val="center"/>
              <w:rPr>
                <w:rFonts w:ascii="仿宋" w:hAnsi="仿宋" w:eastAsia="仿宋" w:cs="仿宋"/>
                <w:sz w:val="24"/>
              </w:rPr>
            </w:pPr>
            <w:r>
              <w:rPr>
                <w:rFonts w:hint="eastAsia" w:ascii="仿宋" w:hAnsi="仿宋" w:eastAsia="仿宋" w:cs="仿宋"/>
                <w:sz w:val="24"/>
              </w:rPr>
              <w:t>开标程序</w:t>
            </w:r>
          </w:p>
        </w:tc>
        <w:tc>
          <w:tcPr>
            <w:tcW w:w="5654" w:type="dxa"/>
            <w:vAlign w:val="center"/>
          </w:tcPr>
          <w:p>
            <w:pPr>
              <w:rPr>
                <w:rFonts w:ascii="仿宋" w:hAnsi="仿宋" w:eastAsia="仿宋" w:cs="仿宋"/>
                <w:sz w:val="24"/>
              </w:rPr>
            </w:pPr>
            <w:r>
              <w:rPr>
                <w:rFonts w:hint="eastAsia" w:ascii="仿宋" w:hAnsi="仿宋" w:eastAsia="仿宋" w:cs="仿宋"/>
                <w:color w:val="000000"/>
                <w:sz w:val="24"/>
              </w:rPr>
              <w:t>　　</w:t>
            </w:r>
            <w:r>
              <w:rPr>
                <w:rFonts w:hint="eastAsia" w:ascii="仿宋" w:hAnsi="仿宋" w:eastAsia="仿宋" w:cs="仿宋"/>
                <w:sz w:val="24"/>
              </w:rPr>
              <w:t>按招标文件规定，投标文件采用双信封形式密封的，开标分两个步骤公开进行：</w:t>
            </w:r>
          </w:p>
          <w:p>
            <w:pPr>
              <w:rPr>
                <w:rFonts w:ascii="仿宋" w:hAnsi="仿宋" w:eastAsia="仿宋" w:cs="仿宋"/>
                <w:sz w:val="24"/>
              </w:rPr>
            </w:pPr>
            <w:r>
              <w:rPr>
                <w:rFonts w:hint="eastAsia" w:ascii="仿宋" w:hAnsi="仿宋" w:eastAsia="仿宋" w:cs="仿宋"/>
                <w:sz w:val="24"/>
              </w:rPr>
              <w:t>　　第一步骤：对第一信封内的商务文件和技术文件进行开标，第二信封不予拆封并由招标人予以封存；</w:t>
            </w:r>
          </w:p>
          <w:p>
            <w:pPr>
              <w:rPr>
                <w:rFonts w:ascii="仿宋" w:hAnsi="仿宋" w:eastAsia="仿宋" w:cs="仿宋"/>
                <w:sz w:val="24"/>
              </w:rPr>
            </w:pPr>
            <w:r>
              <w:rPr>
                <w:rFonts w:hint="eastAsia" w:ascii="仿宋" w:hAnsi="仿宋" w:eastAsia="仿宋" w:cs="仿宋"/>
                <w:sz w:val="24"/>
              </w:rPr>
              <w:t>　　第二步骤：宣布通过商务文件和技术文件评审的投标人名单，对其第二信封内的报价文件进行开标，宣读投标报价。未通过商务文件和技术文件评审的，对其第二信封不予拆封，并当场退还给投标人；投标人未参加第二信封开标的，招标人应当在评标结束后及时将第二信封原封退还投标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vAlign w:val="center"/>
          </w:tcPr>
          <w:p>
            <w:pPr>
              <w:jc w:val="center"/>
              <w:rPr>
                <w:rFonts w:ascii="仿宋" w:hAnsi="仿宋" w:eastAsia="仿宋" w:cs="仿宋"/>
                <w:sz w:val="24"/>
              </w:rPr>
            </w:pPr>
            <w:r>
              <w:rPr>
                <w:rFonts w:hint="eastAsia" w:ascii="仿宋" w:hAnsi="仿宋" w:eastAsia="仿宋" w:cs="仿宋"/>
                <w:sz w:val="24"/>
              </w:rPr>
              <w:t>6.1.1</w:t>
            </w:r>
          </w:p>
        </w:tc>
        <w:tc>
          <w:tcPr>
            <w:tcW w:w="2530" w:type="dxa"/>
            <w:vAlign w:val="center"/>
          </w:tcPr>
          <w:p>
            <w:pPr>
              <w:jc w:val="center"/>
              <w:rPr>
                <w:rFonts w:ascii="仿宋" w:hAnsi="仿宋" w:eastAsia="仿宋" w:cs="仿宋"/>
                <w:sz w:val="24"/>
              </w:rPr>
            </w:pPr>
            <w:r>
              <w:rPr>
                <w:rFonts w:hint="eastAsia" w:ascii="仿宋" w:hAnsi="仿宋" w:eastAsia="仿宋" w:cs="仿宋"/>
                <w:sz w:val="24"/>
              </w:rPr>
              <w:t>评标委员会的组建</w:t>
            </w:r>
            <w:r>
              <w:rPr>
                <w:rStyle w:val="12"/>
                <w:rFonts w:hint="eastAsia" w:ascii="仿宋" w:hAnsi="仿宋" w:eastAsia="仿宋" w:cs="仿宋"/>
                <w:sz w:val="24"/>
              </w:rPr>
              <w:footnoteReference w:id="0"/>
            </w:r>
          </w:p>
        </w:tc>
        <w:tc>
          <w:tcPr>
            <w:tcW w:w="5654" w:type="dxa"/>
            <w:vAlign w:val="center"/>
          </w:tcPr>
          <w:p>
            <w:pPr>
              <w:rPr>
                <w:rFonts w:ascii="仿宋" w:hAnsi="仿宋" w:eastAsia="仿宋" w:cs="仿宋"/>
                <w:sz w:val="24"/>
              </w:rPr>
            </w:pPr>
            <w:r>
              <w:rPr>
                <w:rFonts w:hint="eastAsia" w:ascii="仿宋" w:hAnsi="仿宋" w:eastAsia="仿宋" w:cs="仿宋"/>
                <w:sz w:val="24"/>
              </w:rPr>
              <w:t>评标委员会构成：</w:t>
            </w:r>
            <w:r>
              <w:rPr>
                <w:rFonts w:hint="eastAsia" w:ascii="仿宋" w:hAnsi="仿宋" w:eastAsia="仿宋" w:cs="仿宋"/>
                <w:sz w:val="24"/>
                <w:lang w:val="en-US" w:eastAsia="zh-CN"/>
              </w:rPr>
              <w:t>7</w:t>
            </w:r>
            <w:r>
              <w:rPr>
                <w:rFonts w:hint="eastAsia" w:ascii="仿宋" w:hAnsi="仿宋" w:eastAsia="仿宋" w:cs="仿宋"/>
                <w:sz w:val="24"/>
              </w:rPr>
              <w:t>人，其中招标人代表</w:t>
            </w:r>
            <w:r>
              <w:rPr>
                <w:rFonts w:hint="eastAsia" w:ascii="仿宋" w:hAnsi="仿宋" w:eastAsia="仿宋" w:cs="仿宋"/>
                <w:sz w:val="24"/>
                <w:lang w:val="en-US" w:eastAsia="zh-CN"/>
              </w:rPr>
              <w:t>2</w:t>
            </w:r>
            <w:r>
              <w:rPr>
                <w:rFonts w:hint="eastAsia" w:ascii="仿宋" w:hAnsi="仿宋" w:eastAsia="仿宋" w:cs="仿宋"/>
                <w:sz w:val="24"/>
              </w:rPr>
              <w:t>人，专家</w:t>
            </w:r>
            <w:r>
              <w:rPr>
                <w:rFonts w:hint="eastAsia" w:ascii="仿宋" w:hAnsi="仿宋" w:eastAsia="仿宋" w:cs="仿宋"/>
                <w:sz w:val="24"/>
                <w:lang w:val="en-US" w:eastAsia="zh-CN"/>
              </w:rPr>
              <w:t>5</w:t>
            </w:r>
            <w:r>
              <w:rPr>
                <w:rFonts w:hint="eastAsia" w:ascii="仿宋" w:hAnsi="仿宋" w:eastAsia="仿宋" w:cs="仿宋"/>
                <w:sz w:val="24"/>
              </w:rPr>
              <w:t>人；</w:t>
            </w:r>
          </w:p>
          <w:p>
            <w:pPr>
              <w:ind w:right="113"/>
              <w:rPr>
                <w:rFonts w:ascii="仿宋" w:hAnsi="仿宋" w:eastAsia="仿宋" w:cs="仿宋"/>
                <w:sz w:val="24"/>
              </w:rPr>
            </w:pPr>
            <w:r>
              <w:rPr>
                <w:rFonts w:hint="eastAsia" w:ascii="仿宋" w:hAnsi="仿宋" w:eastAsia="仿宋" w:cs="仿宋"/>
                <w:sz w:val="24"/>
              </w:rPr>
              <w:t>评标专家确定方式：从河南省综合评标专家库中随机抽取；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vAlign w:val="center"/>
          </w:tcPr>
          <w:p>
            <w:pPr>
              <w:jc w:val="center"/>
              <w:rPr>
                <w:rFonts w:ascii="仿宋" w:hAnsi="仿宋" w:eastAsia="仿宋" w:cs="仿宋"/>
                <w:sz w:val="24"/>
              </w:rPr>
            </w:pPr>
            <w:r>
              <w:rPr>
                <w:rFonts w:hint="eastAsia" w:ascii="仿宋" w:hAnsi="仿宋" w:eastAsia="仿宋" w:cs="仿宋"/>
                <w:sz w:val="24"/>
              </w:rPr>
              <w:t>7.1</w:t>
            </w:r>
          </w:p>
        </w:tc>
        <w:tc>
          <w:tcPr>
            <w:tcW w:w="2530" w:type="dxa"/>
            <w:vAlign w:val="center"/>
          </w:tcPr>
          <w:p>
            <w:pPr>
              <w:jc w:val="center"/>
              <w:rPr>
                <w:rFonts w:ascii="仿宋" w:hAnsi="仿宋" w:eastAsia="仿宋" w:cs="仿宋"/>
                <w:sz w:val="24"/>
              </w:rPr>
            </w:pPr>
            <w:r>
              <w:rPr>
                <w:rFonts w:hint="eastAsia" w:ascii="仿宋" w:hAnsi="仿宋" w:eastAsia="仿宋" w:cs="仿宋"/>
                <w:sz w:val="24"/>
              </w:rPr>
              <w:t>是否授权评标委员会确定中标人</w:t>
            </w:r>
          </w:p>
        </w:tc>
        <w:tc>
          <w:tcPr>
            <w:tcW w:w="5654" w:type="dxa"/>
            <w:vAlign w:val="center"/>
          </w:tcPr>
          <w:p>
            <w:pPr>
              <w:ind w:left="100" w:leftChars="50" w:right="113"/>
              <w:rPr>
                <w:rFonts w:ascii="仿宋" w:hAnsi="仿宋" w:eastAsia="仿宋" w:cs="仿宋"/>
                <w:sz w:val="24"/>
              </w:rPr>
            </w:pPr>
            <w:r>
              <w:rPr>
                <w:rFonts w:hint="eastAsia" w:ascii="仿宋" w:hAnsi="仿宋" w:eastAsia="仿宋" w:cs="仿宋"/>
                <w:sz w:val="24"/>
              </w:rPr>
              <w:t>否，推荐的中标候选人的人数为</w:t>
            </w:r>
            <w:r>
              <w:rPr>
                <w:rFonts w:hint="eastAsia" w:ascii="仿宋" w:hAnsi="仿宋" w:eastAsia="仿宋" w:cs="仿宋"/>
                <w:sz w:val="24"/>
                <w:u w:val="single"/>
              </w:rPr>
              <w:t xml:space="preserve">1-3 </w:t>
            </w:r>
            <w:r>
              <w:rPr>
                <w:rFonts w:hint="eastAsia" w:ascii="仿宋" w:hAnsi="仿宋" w:eastAsia="仿宋" w:cs="仿宋"/>
                <w:sz w:val="24"/>
              </w:rPr>
              <w:t>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vAlign w:val="center"/>
          </w:tcPr>
          <w:p>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7.2</w:t>
            </w:r>
          </w:p>
        </w:tc>
        <w:tc>
          <w:tcPr>
            <w:tcW w:w="253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评标结果的公示媒介</w:t>
            </w:r>
          </w:p>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及时间</w:t>
            </w:r>
          </w:p>
        </w:tc>
        <w:tc>
          <w:tcPr>
            <w:tcW w:w="5654" w:type="dxa"/>
            <w:vAlign w:val="center"/>
          </w:tcPr>
          <w:p>
            <w:pPr>
              <w:rPr>
                <w:rFonts w:ascii="仿宋" w:hAnsi="仿宋" w:eastAsia="仿宋" w:cs="仿宋"/>
                <w:sz w:val="24"/>
              </w:rPr>
            </w:pPr>
            <w:r>
              <w:rPr>
                <w:rFonts w:hint="eastAsia" w:ascii="仿宋" w:hAnsi="仿宋" w:eastAsia="仿宋" w:cs="仿宋"/>
                <w:sz w:val="24"/>
              </w:rPr>
              <w:t>公示媒介：《全国公共资源交易平台（河南省•许昌市）》和《河南省电子招标投标公共服务平台》，公示时间不少于3日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vAlign w:val="center"/>
          </w:tcPr>
          <w:p>
            <w:pPr>
              <w:adjustRightInd w:val="0"/>
              <w:snapToGrid w:val="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7.7</w:t>
            </w:r>
          </w:p>
        </w:tc>
        <w:tc>
          <w:tcPr>
            <w:tcW w:w="2530" w:type="dxa"/>
            <w:vAlign w:val="center"/>
          </w:tcPr>
          <w:p>
            <w:pPr>
              <w:autoSpaceDE w:val="0"/>
              <w:autoSpaceDN w:val="0"/>
              <w:adjustRightInd w:val="0"/>
              <w:spacing w:line="400" w:lineRule="exact"/>
              <w:ind w:left="-107" w:right="-107"/>
              <w:jc w:val="center"/>
              <w:rPr>
                <w:rFonts w:hint="eastAsia" w:ascii="仿宋" w:hAnsi="仿宋" w:eastAsia="仿宋" w:cs="仿宋"/>
                <w:sz w:val="24"/>
              </w:rPr>
            </w:pPr>
            <w:r>
              <w:rPr>
                <w:rFonts w:hint="eastAsia" w:ascii="仿宋" w:hAnsi="仿宋" w:eastAsia="仿宋" w:cs="仿宋"/>
                <w:sz w:val="24"/>
              </w:rPr>
              <w:t>履约保证金</w:t>
            </w:r>
          </w:p>
        </w:tc>
        <w:tc>
          <w:tcPr>
            <w:tcW w:w="5654" w:type="dxa"/>
            <w:vAlign w:val="center"/>
          </w:tcPr>
          <w:p>
            <w:pPr>
              <w:rPr>
                <w:rFonts w:hint="eastAsia" w:ascii="仿宋" w:hAnsi="仿宋" w:eastAsia="仿宋" w:cs="仿宋"/>
                <w:sz w:val="24"/>
              </w:rPr>
            </w:pPr>
            <w:r>
              <w:rPr>
                <w:rFonts w:hint="eastAsia" w:ascii="仿宋" w:hAnsi="仿宋" w:eastAsia="仿宋" w:cs="仿宋"/>
                <w:sz w:val="24"/>
              </w:rPr>
              <w:t>履约保证金数额不得超过中标合同金额的10%。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9300" w:type="dxa"/>
            <w:gridSpan w:val="3"/>
            <w:vAlign w:val="center"/>
          </w:tcPr>
          <w:p>
            <w:pPr>
              <w:spacing w:line="400" w:lineRule="exact"/>
              <w:rPr>
                <w:rFonts w:ascii="仿宋" w:hAnsi="仿宋" w:eastAsia="仿宋" w:cs="仿宋"/>
                <w:sz w:val="24"/>
              </w:rPr>
            </w:pPr>
            <w:r>
              <w:rPr>
                <w:rFonts w:hint="eastAsia" w:ascii="仿宋" w:hAnsi="仿宋" w:eastAsia="仿宋" w:cs="仿宋"/>
                <w:sz w:val="24"/>
              </w:rPr>
              <w:t>10.需要补充的其他内容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vAlign w:val="center"/>
          </w:tcPr>
          <w:p>
            <w:pPr>
              <w:autoSpaceDE w:val="0"/>
              <w:autoSpaceDN w:val="0"/>
              <w:adjustRightInd w:val="0"/>
              <w:spacing w:line="400" w:lineRule="exact"/>
              <w:ind w:left="-107" w:right="-107"/>
              <w:jc w:val="center"/>
              <w:rPr>
                <w:rFonts w:ascii="仿宋" w:hAnsi="仿宋" w:eastAsia="仿宋" w:cs="仿宋"/>
                <w:color w:val="000000"/>
                <w:sz w:val="24"/>
              </w:rPr>
            </w:pPr>
            <w:r>
              <w:rPr>
                <w:rFonts w:hint="eastAsia" w:ascii="仿宋" w:hAnsi="仿宋" w:eastAsia="仿宋" w:cs="仿宋"/>
                <w:color w:val="000000"/>
                <w:sz w:val="24"/>
              </w:rPr>
              <w:t>10.1</w:t>
            </w:r>
          </w:p>
        </w:tc>
        <w:tc>
          <w:tcPr>
            <w:tcW w:w="2530" w:type="dxa"/>
            <w:vAlign w:val="center"/>
          </w:tcPr>
          <w:p>
            <w:pPr>
              <w:spacing w:line="400" w:lineRule="exact"/>
              <w:rPr>
                <w:rFonts w:ascii="仿宋" w:hAnsi="仿宋" w:eastAsia="仿宋" w:cs="仿宋"/>
                <w:color w:val="000000"/>
                <w:sz w:val="24"/>
              </w:rPr>
            </w:pPr>
            <w:r>
              <w:rPr>
                <w:rFonts w:hint="eastAsia" w:ascii="仿宋" w:hAnsi="仿宋" w:eastAsia="仿宋" w:cs="仿宋"/>
                <w:color w:val="000000"/>
                <w:sz w:val="24"/>
              </w:rPr>
              <w:t>投标文件的拒收</w:t>
            </w:r>
          </w:p>
        </w:tc>
        <w:tc>
          <w:tcPr>
            <w:tcW w:w="5654" w:type="dxa"/>
            <w:vAlign w:val="center"/>
          </w:tcPr>
          <w:p>
            <w:pPr>
              <w:autoSpaceDE w:val="0"/>
              <w:autoSpaceDN w:val="0"/>
              <w:spacing w:line="400" w:lineRule="exact"/>
              <w:outlineLvl w:val="0"/>
              <w:rPr>
                <w:rFonts w:ascii="仿宋" w:hAnsi="仿宋" w:eastAsia="仿宋" w:cs="仿宋"/>
                <w:color w:val="000000"/>
                <w:sz w:val="24"/>
              </w:rPr>
            </w:pPr>
            <w:r>
              <w:rPr>
                <w:rFonts w:hint="eastAsia" w:ascii="仿宋" w:hAnsi="仿宋" w:eastAsia="仿宋" w:cs="仿宋"/>
                <w:color w:val="000000"/>
                <w:sz w:val="24"/>
              </w:rPr>
              <w:t>1、逾期送达的或者未送达指定地点的纸质投标文件；</w:t>
            </w:r>
          </w:p>
          <w:p>
            <w:pPr>
              <w:autoSpaceDE w:val="0"/>
              <w:autoSpaceDN w:val="0"/>
              <w:spacing w:line="400" w:lineRule="exact"/>
              <w:outlineLvl w:val="0"/>
              <w:rPr>
                <w:rFonts w:ascii="仿宋" w:hAnsi="仿宋" w:eastAsia="仿宋" w:cs="仿宋"/>
                <w:color w:val="000000"/>
                <w:sz w:val="24"/>
              </w:rPr>
            </w:pPr>
            <w:r>
              <w:rPr>
                <w:rFonts w:hint="eastAsia" w:ascii="仿宋" w:hAnsi="仿宋" w:eastAsia="仿宋" w:cs="仿宋"/>
                <w:color w:val="000000"/>
                <w:sz w:val="24"/>
              </w:rPr>
              <w:t>2、投标文件未按招标文件要求密封的；</w:t>
            </w:r>
          </w:p>
          <w:p>
            <w:pPr>
              <w:autoSpaceDE w:val="0"/>
              <w:autoSpaceDN w:val="0"/>
              <w:spacing w:line="400" w:lineRule="exact"/>
              <w:outlineLvl w:val="0"/>
              <w:rPr>
                <w:rFonts w:ascii="仿宋" w:hAnsi="仿宋" w:eastAsia="仿宋" w:cs="仿宋"/>
                <w:color w:val="000000"/>
                <w:sz w:val="24"/>
              </w:rPr>
            </w:pPr>
            <w:r>
              <w:rPr>
                <w:rFonts w:hint="eastAsia" w:ascii="仿宋" w:hAnsi="仿宋" w:eastAsia="仿宋" w:cs="仿宋"/>
                <w:color w:val="000000"/>
                <w:sz w:val="24"/>
              </w:rPr>
              <w:t>3、未按招标文件要求缴纳投标保证金的；</w:t>
            </w:r>
          </w:p>
          <w:p>
            <w:pPr>
              <w:autoSpaceDE w:val="0"/>
              <w:autoSpaceDN w:val="0"/>
              <w:spacing w:line="400" w:lineRule="exact"/>
              <w:outlineLvl w:val="0"/>
              <w:rPr>
                <w:rFonts w:ascii="仿宋" w:hAnsi="仿宋" w:eastAsia="仿宋" w:cs="仿宋"/>
                <w:color w:val="000000"/>
                <w:sz w:val="24"/>
              </w:rPr>
            </w:pPr>
            <w:r>
              <w:rPr>
                <w:rFonts w:hint="eastAsia" w:ascii="仿宋" w:hAnsi="仿宋" w:eastAsia="仿宋" w:cs="仿宋"/>
                <w:color w:val="000000"/>
                <w:sz w:val="24"/>
              </w:rPr>
              <w:t>4、开标时法人或授权委托人（持有效的授权委托书）未携带本人身份证到开标现场并签到的；</w:t>
            </w:r>
          </w:p>
          <w:p>
            <w:pPr>
              <w:spacing w:line="400" w:lineRule="exact"/>
              <w:rPr>
                <w:rFonts w:ascii="仿宋" w:hAnsi="仿宋" w:eastAsia="仿宋" w:cs="仿宋"/>
                <w:color w:val="000000"/>
                <w:sz w:val="24"/>
              </w:rPr>
            </w:pPr>
            <w:r>
              <w:rPr>
                <w:rFonts w:hint="eastAsia" w:ascii="仿宋" w:hAnsi="仿宋" w:eastAsia="仿宋" w:cs="仿宋"/>
                <w:color w:val="000000"/>
                <w:sz w:val="24"/>
              </w:rPr>
              <w:t>5、未按规定支付招标文件费用的。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vAlign w:val="center"/>
          </w:tcPr>
          <w:p>
            <w:pPr>
              <w:autoSpaceDE w:val="0"/>
              <w:autoSpaceDN w:val="0"/>
              <w:adjustRightInd w:val="0"/>
              <w:spacing w:line="400" w:lineRule="exact"/>
              <w:ind w:left="-107" w:right="-107"/>
              <w:jc w:val="center"/>
              <w:rPr>
                <w:rFonts w:ascii="仿宋" w:hAnsi="仿宋" w:eastAsia="仿宋" w:cs="仿宋"/>
                <w:color w:val="000000"/>
                <w:sz w:val="24"/>
              </w:rPr>
            </w:pPr>
            <w:r>
              <w:rPr>
                <w:rFonts w:hint="eastAsia" w:ascii="仿宋" w:hAnsi="仿宋" w:eastAsia="仿宋" w:cs="仿宋"/>
                <w:color w:val="000000"/>
                <w:sz w:val="24"/>
              </w:rPr>
              <w:t>10.1.1</w:t>
            </w:r>
          </w:p>
        </w:tc>
        <w:tc>
          <w:tcPr>
            <w:tcW w:w="253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类似项目及年份要求</w:t>
            </w:r>
          </w:p>
        </w:tc>
        <w:tc>
          <w:tcPr>
            <w:tcW w:w="5654" w:type="dxa"/>
            <w:vAlign w:val="center"/>
          </w:tcPr>
          <w:p>
            <w:pPr>
              <w:spacing w:line="400" w:lineRule="exact"/>
              <w:rPr>
                <w:rFonts w:ascii="仿宋" w:hAnsi="仿宋" w:eastAsia="仿宋" w:cs="仿宋"/>
                <w:sz w:val="24"/>
              </w:rPr>
            </w:pPr>
            <w:r>
              <w:rPr>
                <w:rFonts w:hint="eastAsia" w:ascii="仿宋" w:hAnsi="仿宋" w:eastAsia="仿宋" w:cs="仿宋"/>
                <w:color w:val="auto"/>
                <w:sz w:val="24"/>
              </w:rPr>
              <w:t>指201</w:t>
            </w:r>
            <w:r>
              <w:rPr>
                <w:rFonts w:hint="eastAsia" w:ascii="仿宋" w:hAnsi="仿宋" w:eastAsia="仿宋" w:cs="仿宋"/>
                <w:color w:val="auto"/>
                <w:sz w:val="24"/>
                <w:lang w:val="en-US" w:eastAsia="zh-CN"/>
              </w:rPr>
              <w:t>6</w:t>
            </w:r>
            <w:r>
              <w:rPr>
                <w:rFonts w:hint="eastAsia" w:ascii="仿宋" w:hAnsi="仿宋" w:eastAsia="仿宋" w:cs="仿宋"/>
                <w:color w:val="auto"/>
                <w:sz w:val="24"/>
              </w:rPr>
              <w:t>年1月1日以来已完成的公路工程项目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vAlign w:val="center"/>
          </w:tcPr>
          <w:p>
            <w:pPr>
              <w:autoSpaceDE w:val="0"/>
              <w:autoSpaceDN w:val="0"/>
              <w:adjustRightInd w:val="0"/>
              <w:spacing w:line="400" w:lineRule="exact"/>
              <w:ind w:left="-107" w:right="-107"/>
              <w:jc w:val="center"/>
              <w:rPr>
                <w:rFonts w:ascii="仿宋" w:hAnsi="仿宋" w:eastAsia="仿宋" w:cs="仿宋"/>
                <w:color w:val="000000"/>
                <w:sz w:val="24"/>
              </w:rPr>
            </w:pPr>
            <w:r>
              <w:rPr>
                <w:rFonts w:hint="eastAsia" w:ascii="仿宋" w:hAnsi="仿宋" w:eastAsia="仿宋" w:cs="仿宋"/>
                <w:color w:val="000000"/>
                <w:sz w:val="24"/>
              </w:rPr>
              <w:t>10.1.2</w:t>
            </w:r>
          </w:p>
        </w:tc>
        <w:tc>
          <w:tcPr>
            <w:tcW w:w="253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不良行为记录</w:t>
            </w:r>
          </w:p>
        </w:tc>
        <w:tc>
          <w:tcPr>
            <w:tcW w:w="5654" w:type="dxa"/>
            <w:vAlign w:val="center"/>
          </w:tcPr>
          <w:p>
            <w:pPr>
              <w:spacing w:line="400" w:lineRule="exact"/>
              <w:rPr>
                <w:rFonts w:ascii="仿宋" w:hAnsi="仿宋" w:eastAsia="仿宋" w:cs="仿宋"/>
                <w:sz w:val="24"/>
              </w:rPr>
            </w:pPr>
            <w:r>
              <w:rPr>
                <w:rFonts w:hint="eastAsia" w:ascii="仿宋" w:hAnsi="仿宋" w:eastAsia="仿宋" w:cs="仿宋"/>
                <w:sz w:val="24"/>
              </w:rPr>
              <w:t>投标人因质量、安全事故、拖欠农民工工资及招标投标中出具虚假资料等受到县级以上建设行政主管部门或招投标监督部门查实和行政处罚，形成的不良记录。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vAlign w:val="center"/>
          </w:tcPr>
          <w:p>
            <w:pPr>
              <w:autoSpaceDE w:val="0"/>
              <w:autoSpaceDN w:val="0"/>
              <w:adjustRightInd w:val="0"/>
              <w:spacing w:line="400" w:lineRule="exact"/>
              <w:ind w:left="-107" w:right="-107"/>
              <w:jc w:val="center"/>
              <w:rPr>
                <w:rFonts w:ascii="仿宋" w:hAnsi="仿宋" w:eastAsia="仿宋" w:cs="仿宋"/>
                <w:color w:val="000000"/>
                <w:sz w:val="24"/>
              </w:rPr>
            </w:pPr>
            <w:r>
              <w:rPr>
                <w:rFonts w:hint="eastAsia" w:ascii="仿宋" w:hAnsi="仿宋" w:eastAsia="仿宋" w:cs="仿宋"/>
                <w:color w:val="000000"/>
                <w:sz w:val="24"/>
              </w:rPr>
              <w:t>10.2.1</w:t>
            </w:r>
          </w:p>
        </w:tc>
        <w:tc>
          <w:tcPr>
            <w:tcW w:w="253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招标控制报价</w:t>
            </w:r>
          </w:p>
        </w:tc>
        <w:tc>
          <w:tcPr>
            <w:tcW w:w="5654" w:type="dxa"/>
            <w:vAlign w:val="center"/>
          </w:tcPr>
          <w:p>
            <w:pPr>
              <w:rPr>
                <w:rFonts w:ascii="仿宋" w:hAnsi="仿宋" w:eastAsia="仿宋" w:cs="仿宋"/>
                <w:b/>
                <w:sz w:val="24"/>
              </w:rPr>
            </w:pPr>
            <w:r>
              <w:rPr>
                <w:rFonts w:hint="eastAsia" w:ascii="仿宋" w:hAnsi="仿宋" w:eastAsia="仿宋" w:cs="仿宋"/>
                <w:sz w:val="24"/>
              </w:rPr>
              <w:t>招标控制价：</w:t>
            </w:r>
            <w:r>
              <w:rPr>
                <w:rFonts w:hint="eastAsia" w:ascii="仿宋" w:hAnsi="仿宋" w:eastAsia="仿宋" w:cs="仿宋"/>
                <w:b/>
                <w:sz w:val="24"/>
              </w:rPr>
              <w:t>一标段：</w:t>
            </w:r>
            <w:r>
              <w:rPr>
                <w:rFonts w:ascii="仿宋" w:hAnsi="仿宋" w:eastAsia="仿宋" w:cs="仿宋"/>
                <w:b/>
                <w:sz w:val="24"/>
              </w:rPr>
              <w:t xml:space="preserve">9874186.00 </w:t>
            </w:r>
            <w:r>
              <w:rPr>
                <w:rFonts w:hint="eastAsia" w:ascii="仿宋" w:hAnsi="仿宋" w:eastAsia="仿宋" w:cs="仿宋"/>
                <w:b/>
                <w:sz w:val="24"/>
              </w:rPr>
              <w:t>元；二标段：</w:t>
            </w:r>
            <w:r>
              <w:rPr>
                <w:rFonts w:ascii="仿宋" w:hAnsi="仿宋" w:eastAsia="仿宋" w:cs="仿宋"/>
                <w:b/>
                <w:color w:val="000000"/>
                <w:sz w:val="22"/>
                <w:szCs w:val="22"/>
                <w:lang w:bidi="ar"/>
              </w:rPr>
              <w:t xml:space="preserve">6383925.00 </w:t>
            </w:r>
            <w:r>
              <w:rPr>
                <w:rFonts w:hint="eastAsia" w:ascii="仿宋" w:hAnsi="仿宋" w:eastAsia="仿宋" w:cs="仿宋"/>
                <w:b/>
                <w:color w:val="000000"/>
                <w:sz w:val="22"/>
                <w:szCs w:val="22"/>
                <w:lang w:bidi="ar"/>
              </w:rPr>
              <w:t>元；三标段：</w:t>
            </w:r>
            <w:r>
              <w:rPr>
                <w:rFonts w:ascii="仿宋" w:hAnsi="仿宋" w:eastAsia="仿宋" w:cs="仿宋"/>
                <w:b/>
                <w:color w:val="000000"/>
                <w:sz w:val="22"/>
                <w:szCs w:val="22"/>
                <w:lang w:bidi="ar"/>
              </w:rPr>
              <w:t xml:space="preserve">5151121.00 </w:t>
            </w:r>
            <w:r>
              <w:rPr>
                <w:rFonts w:hint="eastAsia" w:ascii="仿宋" w:hAnsi="仿宋" w:eastAsia="仿宋" w:cs="仿宋"/>
                <w:b/>
                <w:color w:val="000000"/>
                <w:sz w:val="22"/>
                <w:szCs w:val="22"/>
                <w:lang w:bidi="ar"/>
              </w:rPr>
              <w:t>元；四标段：</w:t>
            </w:r>
            <w:r>
              <w:rPr>
                <w:rFonts w:ascii="仿宋" w:hAnsi="仿宋" w:eastAsia="仿宋" w:cs="仿宋"/>
                <w:b/>
                <w:color w:val="000000"/>
                <w:sz w:val="22"/>
                <w:szCs w:val="22"/>
                <w:lang w:bidi="ar"/>
              </w:rPr>
              <w:t xml:space="preserve">1326908.00 </w:t>
            </w:r>
            <w:r>
              <w:rPr>
                <w:rFonts w:hint="eastAsia" w:ascii="仿宋" w:hAnsi="仿宋" w:eastAsia="仿宋" w:cs="仿宋"/>
                <w:b/>
                <w:color w:val="000000"/>
                <w:sz w:val="22"/>
                <w:szCs w:val="22"/>
                <w:lang w:bidi="ar"/>
              </w:rPr>
              <w:t>元；五标段：</w:t>
            </w:r>
            <w:r>
              <w:rPr>
                <w:rFonts w:ascii="仿宋" w:hAnsi="仿宋" w:eastAsia="仿宋" w:cs="仿宋"/>
                <w:b/>
                <w:color w:val="000000"/>
                <w:sz w:val="22"/>
                <w:szCs w:val="22"/>
                <w:lang w:bidi="ar"/>
              </w:rPr>
              <w:t>1874664.00</w:t>
            </w:r>
            <w:r>
              <w:rPr>
                <w:rFonts w:hint="eastAsia" w:ascii="仿宋" w:hAnsi="仿宋" w:eastAsia="仿宋" w:cs="仿宋"/>
                <w:b/>
                <w:color w:val="000000"/>
                <w:sz w:val="22"/>
                <w:szCs w:val="22"/>
                <w:lang w:bidi="ar"/>
              </w:rPr>
              <w:t>元。投标人总报价不可超过各标段的招标控制价，投标人各分项报价也不可超过各分项的招标控制价，否则其投标无效。（各标段各分项的招标控制价详见本招标文件第一章招标公告及电子版预算）</w:t>
            </w:r>
          </w:p>
          <w:p>
            <w:pPr>
              <w:spacing w:line="400" w:lineRule="exact"/>
              <w:rPr>
                <w:rFonts w:ascii="仿宋" w:hAnsi="仿宋" w:eastAsia="仿宋" w:cs="仿宋"/>
                <w:sz w:val="24"/>
              </w:rPr>
            </w:pPr>
            <w:r>
              <w:rPr>
                <w:rFonts w:hint="eastAsia" w:ascii="仿宋" w:hAnsi="仿宋" w:eastAsia="仿宋" w:cs="仿宋"/>
                <w:sz w:val="24"/>
              </w:rPr>
              <w:t>凡投标人的投标总报价高于“招标控制价”（不含等于“招标控制价”）的，该投标人的投标文件应作废标处理。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vAlign w:val="center"/>
          </w:tcPr>
          <w:p>
            <w:pPr>
              <w:autoSpaceDE w:val="0"/>
              <w:autoSpaceDN w:val="0"/>
              <w:adjustRightInd w:val="0"/>
              <w:spacing w:line="400" w:lineRule="exact"/>
              <w:ind w:left="-107" w:right="-107"/>
              <w:jc w:val="center"/>
              <w:rPr>
                <w:rFonts w:ascii="仿宋" w:hAnsi="仿宋" w:eastAsia="仿宋" w:cs="仿宋"/>
                <w:color w:val="000000"/>
                <w:sz w:val="24"/>
              </w:rPr>
            </w:pPr>
            <w:r>
              <w:rPr>
                <w:rFonts w:hint="eastAsia" w:ascii="仿宋" w:hAnsi="仿宋" w:eastAsia="仿宋" w:cs="仿宋"/>
                <w:color w:val="000000"/>
                <w:sz w:val="24"/>
              </w:rPr>
              <w:t>10.3</w:t>
            </w:r>
          </w:p>
        </w:tc>
        <w:tc>
          <w:tcPr>
            <w:tcW w:w="2530" w:type="dxa"/>
            <w:vAlign w:val="center"/>
          </w:tcPr>
          <w:p>
            <w:pPr>
              <w:autoSpaceDE w:val="0"/>
              <w:autoSpaceDN w:val="0"/>
              <w:adjustRightInd w:val="0"/>
              <w:spacing w:line="400" w:lineRule="exact"/>
              <w:ind w:left="-107" w:right="-107"/>
              <w:jc w:val="center"/>
              <w:rPr>
                <w:rFonts w:ascii="仿宋" w:hAnsi="仿宋" w:eastAsia="仿宋" w:cs="仿宋"/>
                <w:color w:val="000000"/>
                <w:sz w:val="24"/>
              </w:rPr>
            </w:pPr>
            <w:r>
              <w:rPr>
                <w:rFonts w:hint="eastAsia" w:ascii="仿宋" w:hAnsi="仿宋" w:eastAsia="仿宋" w:cs="仿宋"/>
                <w:color w:val="000000"/>
                <w:sz w:val="24"/>
              </w:rPr>
              <w:t>解释权</w:t>
            </w:r>
          </w:p>
        </w:tc>
        <w:tc>
          <w:tcPr>
            <w:tcW w:w="5654" w:type="dxa"/>
            <w:vAlign w:val="center"/>
          </w:tcPr>
          <w:p>
            <w:pPr>
              <w:spacing w:line="400" w:lineRule="exact"/>
              <w:rPr>
                <w:rFonts w:ascii="仿宋" w:hAnsi="仿宋" w:eastAsia="仿宋" w:cs="仿宋"/>
                <w:color w:val="000000"/>
                <w:sz w:val="24"/>
              </w:rPr>
            </w:pPr>
            <w:r>
              <w:rPr>
                <w:rFonts w:hint="eastAsia" w:ascii="仿宋" w:hAnsi="仿宋" w:eastAsia="仿宋" w:cs="仿宋"/>
                <w:color w:val="000000"/>
                <w:sz w:val="24"/>
              </w:rPr>
              <w:t>构成本招标文件的各个组成文件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vAlign w:val="center"/>
          </w:tcPr>
          <w:p>
            <w:pPr>
              <w:autoSpaceDE w:val="0"/>
              <w:autoSpaceDN w:val="0"/>
              <w:adjustRightInd w:val="0"/>
              <w:spacing w:line="400" w:lineRule="exact"/>
              <w:ind w:left="-107" w:right="-107"/>
              <w:jc w:val="center"/>
              <w:rPr>
                <w:rFonts w:ascii="仿宋" w:hAnsi="仿宋" w:eastAsia="仿宋" w:cs="仿宋"/>
                <w:color w:val="000000"/>
                <w:sz w:val="24"/>
              </w:rPr>
            </w:pPr>
            <w:r>
              <w:rPr>
                <w:rFonts w:hint="eastAsia" w:ascii="仿宋" w:hAnsi="仿宋" w:eastAsia="仿宋" w:cs="仿宋"/>
                <w:color w:val="000000"/>
                <w:sz w:val="24"/>
              </w:rPr>
              <w:t>10.5</w:t>
            </w:r>
          </w:p>
        </w:tc>
        <w:tc>
          <w:tcPr>
            <w:tcW w:w="2530" w:type="dxa"/>
            <w:vAlign w:val="center"/>
          </w:tcPr>
          <w:p>
            <w:pPr>
              <w:autoSpaceDE w:val="0"/>
              <w:autoSpaceDN w:val="0"/>
              <w:adjustRightInd w:val="0"/>
              <w:spacing w:line="400" w:lineRule="exact"/>
              <w:ind w:left="-107" w:right="-107"/>
              <w:jc w:val="center"/>
              <w:rPr>
                <w:rFonts w:ascii="仿宋" w:hAnsi="仿宋" w:eastAsia="仿宋" w:cs="仿宋"/>
                <w:color w:val="000000"/>
                <w:sz w:val="24"/>
              </w:rPr>
            </w:pPr>
            <w:r>
              <w:rPr>
                <w:rFonts w:hint="eastAsia" w:ascii="仿宋" w:hAnsi="仿宋" w:eastAsia="仿宋" w:cs="仿宋"/>
                <w:color w:val="000000"/>
                <w:sz w:val="24"/>
              </w:rPr>
              <w:t>投标人代表出席开标会</w:t>
            </w:r>
          </w:p>
          <w:p>
            <w:pPr>
              <w:autoSpaceDE w:val="0"/>
              <w:autoSpaceDN w:val="0"/>
              <w:adjustRightInd w:val="0"/>
              <w:spacing w:line="400" w:lineRule="exact"/>
              <w:ind w:left="-107" w:right="-107"/>
              <w:jc w:val="center"/>
              <w:rPr>
                <w:rFonts w:ascii="仿宋" w:hAnsi="仿宋" w:eastAsia="仿宋" w:cs="仿宋"/>
                <w:color w:val="000000"/>
                <w:sz w:val="24"/>
              </w:rPr>
            </w:pPr>
            <w:r>
              <w:rPr>
                <w:rFonts w:hint="eastAsia" w:ascii="仿宋" w:hAnsi="仿宋" w:eastAsia="仿宋" w:cs="仿宋"/>
                <w:color w:val="000000"/>
                <w:sz w:val="24"/>
              </w:rPr>
              <w:t>及其他</w:t>
            </w:r>
          </w:p>
        </w:tc>
        <w:tc>
          <w:tcPr>
            <w:tcW w:w="5654" w:type="dxa"/>
            <w:vAlign w:val="center"/>
          </w:tcPr>
          <w:p>
            <w:pPr>
              <w:spacing w:line="400" w:lineRule="exact"/>
              <w:rPr>
                <w:rFonts w:ascii="仿宋" w:hAnsi="仿宋" w:eastAsia="仿宋" w:cs="仿宋"/>
                <w:color w:val="000000"/>
                <w:sz w:val="24"/>
              </w:rPr>
            </w:pPr>
            <w:r>
              <w:rPr>
                <w:rFonts w:hint="eastAsia" w:ascii="仿宋" w:hAnsi="仿宋" w:eastAsia="仿宋" w:cs="仿宋"/>
                <w:color w:val="000000"/>
                <w:sz w:val="24"/>
              </w:rPr>
              <w:t>开标时各投标人的法定代表人（持法定代表人身份证明原件和身份证原件）或委托代理人（持身份证原件和授权委托书原件）到开标现场签到，各投标单位参加会议人数不得多于三人。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vAlign w:val="center"/>
          </w:tcPr>
          <w:p>
            <w:pPr>
              <w:autoSpaceDE w:val="0"/>
              <w:autoSpaceDN w:val="0"/>
              <w:adjustRightInd w:val="0"/>
              <w:spacing w:line="400" w:lineRule="exact"/>
              <w:ind w:left="-107" w:right="-107"/>
              <w:jc w:val="center"/>
              <w:rPr>
                <w:rFonts w:ascii="仿宋" w:hAnsi="仿宋" w:eastAsia="仿宋" w:cs="仿宋"/>
                <w:color w:val="000000"/>
                <w:sz w:val="24"/>
              </w:rPr>
            </w:pPr>
            <w:r>
              <w:rPr>
                <w:rFonts w:hint="eastAsia" w:ascii="仿宋" w:hAnsi="仿宋" w:eastAsia="仿宋" w:cs="仿宋"/>
                <w:color w:val="000000"/>
                <w:sz w:val="24"/>
              </w:rPr>
              <w:t>10.6</w:t>
            </w:r>
          </w:p>
        </w:tc>
        <w:tc>
          <w:tcPr>
            <w:tcW w:w="2530" w:type="dxa"/>
            <w:vAlign w:val="center"/>
          </w:tcPr>
          <w:p>
            <w:pPr>
              <w:autoSpaceDE w:val="0"/>
              <w:autoSpaceDN w:val="0"/>
              <w:adjustRightInd w:val="0"/>
              <w:spacing w:line="400" w:lineRule="exact"/>
              <w:ind w:left="-107" w:right="-107"/>
              <w:jc w:val="center"/>
              <w:rPr>
                <w:rFonts w:ascii="仿宋" w:hAnsi="仿宋" w:eastAsia="仿宋" w:cs="仿宋"/>
                <w:color w:val="000000"/>
                <w:sz w:val="24"/>
              </w:rPr>
            </w:pPr>
            <w:r>
              <w:rPr>
                <w:rFonts w:hint="eastAsia" w:ascii="仿宋" w:hAnsi="仿宋" w:eastAsia="仿宋" w:cs="仿宋"/>
                <w:color w:val="000000"/>
                <w:sz w:val="24"/>
              </w:rPr>
              <w:t>知识产权</w:t>
            </w:r>
          </w:p>
        </w:tc>
        <w:tc>
          <w:tcPr>
            <w:tcW w:w="5654" w:type="dxa"/>
            <w:vAlign w:val="center"/>
          </w:tcPr>
          <w:p>
            <w:pPr>
              <w:spacing w:line="400" w:lineRule="exact"/>
              <w:rPr>
                <w:rFonts w:ascii="仿宋" w:hAnsi="仿宋" w:eastAsia="仿宋" w:cs="仿宋"/>
                <w:color w:val="000000"/>
                <w:sz w:val="24"/>
              </w:rPr>
            </w:pPr>
            <w:r>
              <w:rPr>
                <w:rFonts w:hint="eastAsia" w:ascii="仿宋" w:hAnsi="仿宋" w:eastAsia="仿宋" w:cs="仿宋"/>
                <w:color w:val="000000"/>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vAlign w:val="center"/>
          </w:tcPr>
          <w:p>
            <w:pPr>
              <w:autoSpaceDE w:val="0"/>
              <w:autoSpaceDN w:val="0"/>
              <w:adjustRightInd w:val="0"/>
              <w:spacing w:line="400" w:lineRule="exact"/>
              <w:ind w:left="-107" w:right="-107"/>
              <w:jc w:val="center"/>
              <w:rPr>
                <w:rFonts w:ascii="仿宋" w:hAnsi="仿宋" w:eastAsia="仿宋" w:cs="仿宋"/>
                <w:color w:val="000000"/>
                <w:sz w:val="24"/>
              </w:rPr>
            </w:pPr>
            <w:r>
              <w:rPr>
                <w:rFonts w:hint="eastAsia" w:ascii="仿宋" w:hAnsi="仿宋" w:eastAsia="仿宋" w:cs="仿宋"/>
                <w:color w:val="000000"/>
                <w:sz w:val="24"/>
              </w:rPr>
              <w:t>10.8</w:t>
            </w:r>
          </w:p>
        </w:tc>
        <w:tc>
          <w:tcPr>
            <w:tcW w:w="2530" w:type="dxa"/>
            <w:vAlign w:val="center"/>
          </w:tcPr>
          <w:p>
            <w:pPr>
              <w:autoSpaceDE w:val="0"/>
              <w:autoSpaceDN w:val="0"/>
              <w:adjustRightInd w:val="0"/>
              <w:spacing w:line="400" w:lineRule="exact"/>
              <w:ind w:left="-107" w:right="-107"/>
              <w:jc w:val="center"/>
              <w:rPr>
                <w:rFonts w:ascii="仿宋" w:hAnsi="仿宋" w:eastAsia="仿宋" w:cs="仿宋"/>
                <w:color w:val="000000"/>
                <w:sz w:val="24"/>
              </w:rPr>
            </w:pPr>
            <w:r>
              <w:rPr>
                <w:rFonts w:hint="eastAsia" w:ascii="仿宋" w:hAnsi="仿宋" w:eastAsia="仿宋" w:cs="仿宋"/>
                <w:color w:val="000000"/>
                <w:sz w:val="24"/>
              </w:rPr>
              <w:t>需要补充的其他内容</w:t>
            </w:r>
          </w:p>
        </w:tc>
        <w:tc>
          <w:tcPr>
            <w:tcW w:w="5654" w:type="dxa"/>
            <w:vAlign w:val="center"/>
          </w:tcPr>
          <w:p>
            <w:pPr>
              <w:spacing w:line="400" w:lineRule="exact"/>
              <w:rPr>
                <w:rFonts w:ascii="仿宋" w:hAnsi="仿宋" w:eastAsia="仿宋" w:cs="仿宋"/>
                <w:color w:val="000000"/>
                <w:sz w:val="24"/>
              </w:rPr>
            </w:pPr>
            <w:r>
              <w:rPr>
                <w:rFonts w:hint="eastAsia" w:ascii="仿宋" w:hAnsi="仿宋" w:eastAsia="仿宋" w:cs="仿宋"/>
                <w:color w:val="000000"/>
                <w:sz w:val="24"/>
              </w:rPr>
              <w:t>中标单位须参照《国家计委〈计价格〔2002〕1980号〉》及《国家发展改革委办公厅〈发改办价格〔2003〕857号〉》之有关规定向招标代理机构交纳招标服务费。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vAlign w:val="center"/>
          </w:tcPr>
          <w:p>
            <w:pPr>
              <w:autoSpaceDE w:val="0"/>
              <w:autoSpaceDN w:val="0"/>
              <w:adjustRightInd w:val="0"/>
              <w:spacing w:line="400" w:lineRule="exact"/>
              <w:ind w:left="-107" w:right="-107"/>
              <w:jc w:val="center"/>
              <w:rPr>
                <w:rFonts w:ascii="仿宋" w:hAnsi="仿宋" w:eastAsia="仿宋" w:cs="仿宋"/>
                <w:color w:val="000000"/>
                <w:sz w:val="24"/>
              </w:rPr>
            </w:pPr>
            <w:r>
              <w:rPr>
                <w:rFonts w:hint="eastAsia" w:ascii="仿宋" w:hAnsi="仿宋" w:eastAsia="仿宋" w:cs="仿宋"/>
                <w:color w:val="000000"/>
                <w:sz w:val="24"/>
              </w:rPr>
              <w:t>10.10</w:t>
            </w:r>
          </w:p>
        </w:tc>
        <w:tc>
          <w:tcPr>
            <w:tcW w:w="2530" w:type="dxa"/>
            <w:vAlign w:val="center"/>
          </w:tcPr>
          <w:p>
            <w:pPr>
              <w:autoSpaceDE w:val="0"/>
              <w:autoSpaceDN w:val="0"/>
              <w:adjustRightInd w:val="0"/>
              <w:spacing w:line="400" w:lineRule="exact"/>
              <w:ind w:left="-107" w:right="-107"/>
              <w:jc w:val="center"/>
              <w:rPr>
                <w:rFonts w:ascii="仿宋" w:hAnsi="仿宋" w:eastAsia="仿宋" w:cs="仿宋"/>
                <w:color w:val="000000"/>
                <w:sz w:val="24"/>
              </w:rPr>
            </w:pPr>
            <w:r>
              <w:rPr>
                <w:rFonts w:hint="eastAsia" w:ascii="仿宋" w:hAnsi="仿宋" w:eastAsia="仿宋" w:cs="仿宋"/>
                <w:color w:val="000000"/>
                <w:sz w:val="24"/>
              </w:rPr>
              <w:t>特别提示</w:t>
            </w:r>
          </w:p>
        </w:tc>
        <w:tc>
          <w:tcPr>
            <w:tcW w:w="5654" w:type="dxa"/>
            <w:vAlign w:val="center"/>
          </w:tcPr>
          <w:p>
            <w:pPr>
              <w:spacing w:line="400" w:lineRule="exact"/>
              <w:rPr>
                <w:rFonts w:ascii="仿宋" w:hAnsi="仿宋" w:eastAsia="仿宋" w:cs="仿宋"/>
                <w:color w:val="000000"/>
                <w:sz w:val="24"/>
              </w:rPr>
            </w:pPr>
            <w:r>
              <w:rPr>
                <w:rFonts w:hint="eastAsia" w:ascii="仿宋" w:hAnsi="仿宋" w:eastAsia="仿宋" w:cs="仿宋"/>
                <w:color w:val="000000"/>
                <w:sz w:val="24"/>
              </w:rPr>
              <w:t>1、潜在投标人如对招标文件有异议，请在规定时间内在全国公共资源交易平台（河南省▪许昌市）上提出，以其他方式递交的异议不予接受。</w:t>
            </w:r>
          </w:p>
          <w:p>
            <w:pPr>
              <w:spacing w:line="400" w:lineRule="exact"/>
              <w:rPr>
                <w:rFonts w:ascii="仿宋" w:hAnsi="仿宋" w:eastAsia="仿宋" w:cs="仿宋"/>
                <w:color w:val="000000"/>
                <w:sz w:val="24"/>
              </w:rPr>
            </w:pPr>
            <w:r>
              <w:rPr>
                <w:rFonts w:hint="eastAsia" w:ascii="仿宋" w:hAnsi="仿宋" w:eastAsia="仿宋" w:cs="仿宋"/>
                <w:color w:val="000000"/>
                <w:sz w:val="24"/>
              </w:rPr>
              <w:t>2、投标人在投标截止时间前应随时关注全国公共资源交易平台（河南省▪许昌市）发出的有关本工程的答疑、修改等相关内容。</w:t>
            </w:r>
          </w:p>
          <w:p>
            <w:pPr>
              <w:spacing w:line="400" w:lineRule="exact"/>
              <w:rPr>
                <w:rFonts w:ascii="仿宋" w:hAnsi="仿宋" w:eastAsia="仿宋" w:cs="仿宋"/>
                <w:color w:val="000000"/>
                <w:sz w:val="24"/>
              </w:rPr>
            </w:pPr>
            <w:r>
              <w:rPr>
                <w:rFonts w:hint="eastAsia" w:ascii="仿宋" w:hAnsi="仿宋" w:eastAsia="仿宋" w:cs="仿宋"/>
                <w:color w:val="000000"/>
                <w:sz w:val="24"/>
              </w:rPr>
              <w:t>3、未通过全国公共资源交易平台（河南省▪许昌市）上下载招标文件的，视为自动放弃投标。</w:t>
            </w:r>
          </w:p>
          <w:p>
            <w:pPr>
              <w:spacing w:line="400" w:lineRule="exact"/>
              <w:rPr>
                <w:rFonts w:ascii="仿宋" w:hAnsi="仿宋" w:eastAsia="仿宋" w:cs="仿宋"/>
                <w:color w:val="000000"/>
                <w:sz w:val="24"/>
              </w:rPr>
            </w:pPr>
            <w:r>
              <w:rPr>
                <w:rFonts w:hint="eastAsia" w:ascii="仿宋" w:hAnsi="仿宋" w:eastAsia="仿宋" w:cs="仿宋"/>
                <w:color w:val="000000"/>
                <w:sz w:val="24"/>
              </w:rPr>
              <w:t>4、投标文件第一个信封（商务及技术文件）不得出现有关投标报价的金额，否则评标委员会将对投标文件第一个信封（商务及技术文件）作废标处理。</w:t>
            </w:r>
          </w:p>
        </w:tc>
      </w:tr>
    </w:tbl>
    <w:p>
      <w:pPr>
        <w:rPr>
          <w:rFonts w:ascii="宋体" w:hAnsi="宋体"/>
          <w:sz w:val="24"/>
        </w:rPr>
      </w:pPr>
    </w:p>
    <w:p>
      <w:pPr>
        <w:spacing w:line="338" w:lineRule="exact"/>
      </w:pPr>
    </w:p>
    <w:p>
      <w:pPr>
        <w:pStyle w:val="2"/>
        <w:ind w:firstLine="0" w:firstLineChars="0"/>
      </w:pPr>
    </w:p>
    <w:p>
      <w:pPr>
        <w:pStyle w:val="2"/>
        <w:ind w:firstLine="0" w:firstLineChars="0"/>
      </w:pPr>
    </w:p>
    <w:p>
      <w:pPr>
        <w:pStyle w:val="2"/>
        <w:ind w:firstLine="0" w:firstLineChars="0"/>
      </w:pPr>
    </w:p>
    <w:p>
      <w:pPr>
        <w:pStyle w:val="2"/>
        <w:ind w:firstLine="0" w:firstLineChars="0"/>
      </w:pPr>
    </w:p>
    <w:p>
      <w:pPr>
        <w:tabs>
          <w:tab w:val="left" w:pos="2880"/>
        </w:tabs>
        <w:spacing w:line="326" w:lineRule="exact"/>
        <w:rPr>
          <w:rFonts w:ascii="宋体" w:hAnsi="宋体"/>
          <w:b/>
          <w:sz w:val="28"/>
        </w:rPr>
      </w:pPr>
    </w:p>
    <w:p>
      <w:pPr>
        <w:tabs>
          <w:tab w:val="left" w:pos="2880"/>
        </w:tabs>
        <w:spacing w:line="326" w:lineRule="exact"/>
        <w:rPr>
          <w:rFonts w:ascii="宋体" w:hAnsi="宋体"/>
          <w:b/>
          <w:sz w:val="28"/>
        </w:rPr>
      </w:pPr>
      <w:r>
        <w:rPr>
          <w:rFonts w:ascii="宋体" w:hAnsi="宋体"/>
          <w:b/>
          <w:sz w:val="28"/>
        </w:rPr>
        <w:br w:type="page"/>
      </w:r>
    </w:p>
    <w:p>
      <w:pPr>
        <w:pStyle w:val="2"/>
        <w:ind w:firstLine="340"/>
      </w:pPr>
    </w:p>
    <w:p>
      <w:pPr>
        <w:tabs>
          <w:tab w:val="left" w:pos="2880"/>
        </w:tabs>
        <w:spacing w:line="326" w:lineRule="exact"/>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1</w:t>
      </w:r>
      <w:r>
        <w:rPr>
          <w:rFonts w:eastAsia="Times New Roman"/>
        </w:rPr>
        <w:tab/>
      </w:r>
      <w:r>
        <w:rPr>
          <w:rFonts w:ascii="宋体" w:hAnsi="宋体"/>
          <w:b/>
          <w:sz w:val="27"/>
        </w:rPr>
        <w:t>资格审查条件（资质最低要求）</w:t>
      </w:r>
    </w:p>
    <w:p>
      <w:pPr>
        <w:spacing w:line="200" w:lineRule="exact"/>
        <w:rPr>
          <w:rFonts w:eastAsia="Times New Roman"/>
        </w:rPr>
      </w:pPr>
      <w:r>
        <w:rPr>
          <w:rFonts w:ascii="MS PGothic" w:hAnsi="MS PGothic" w:eastAsia="MS PGothic"/>
          <w:b/>
          <w:sz w:val="27"/>
          <w:vertAlign w:val="superscript"/>
        </w:rPr>
        <mc:AlternateContent>
          <mc:Choice Requires="wps">
            <w:drawing>
              <wp:anchor distT="0" distB="0" distL="114300" distR="114300" simplePos="0" relativeHeight="251658240" behindDoc="0" locked="0" layoutInCell="0" allowOverlap="0">
                <wp:simplePos x="0" y="0"/>
                <wp:positionH relativeFrom="column">
                  <wp:posOffset>0</wp:posOffset>
                </wp:positionH>
                <wp:positionV relativeFrom="paragraph">
                  <wp:posOffset>25400</wp:posOffset>
                </wp:positionV>
                <wp:extent cx="5723255" cy="5080"/>
                <wp:effectExtent l="0" t="0" r="0" b="0"/>
                <wp:wrapNone/>
                <wp:docPr id="22" name="直接连接符 22"/>
                <wp:cNvGraphicFramePr/>
                <a:graphic xmlns:a="http://schemas.openxmlformats.org/drawingml/2006/main">
                  <a:graphicData uri="http://schemas.microsoft.com/office/word/2010/wordprocessingShape">
                    <wps:wsp>
                      <wps:cNvCnPr/>
                      <wps:spPr>
                        <a:xfrm flipV="1">
                          <a:off x="0" y="0"/>
                          <a:ext cx="5723255" cy="5080"/>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2pt;height:0.4pt;width:450.65pt;z-index:251658240;mso-width-relative:page;mso-height-relative:page;" filled="f" stroked="t" coordsize="21600,21600" o:allowincell="f" o:allowoverlap="f" o:gfxdata="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rZamtQAAAAEAQAADwAAAAAA&#10;AAABACAAAAAiAAAAZHJzL2Rvd25yZXYueG1sUEsBAhQAFAAAAAgAh07iQK560areAQAAmQMAAA4A&#10;AAAAAAAAAQAgAAAAIwEAAGRycy9lMm9Eb2MueG1sUEsFBgAAAAAGAAYAWQEAAHMFAAAAAA==&#10;">
                <v:fill on="f" focussize="0,0"/>
                <v:stroke weight="0.47992125984252pt" color="#000000" joinstyle="round"/>
                <v:imagedata o:title=""/>
                <o:lock v:ext="edit" aspectratio="f"/>
              </v:line>
            </w:pict>
          </mc:Fallback>
        </mc:AlternateContent>
      </w:r>
      <w:r>
        <w:rPr>
          <w:rFonts w:ascii="MS PGothic" w:hAnsi="MS PGothic" w:eastAsia="MS PGothic"/>
          <w:b/>
          <w:sz w:val="27"/>
          <w:vertAlign w:val="superscript"/>
        </w:rPr>
        <mc:AlternateContent>
          <mc:Choice Requires="wps">
            <w:drawing>
              <wp:anchor distT="0" distB="0" distL="114300" distR="114300" simplePos="0" relativeHeight="251659264" behindDoc="1" locked="0" layoutInCell="0" allowOverlap="1">
                <wp:simplePos x="0" y="0"/>
                <wp:positionH relativeFrom="column">
                  <wp:posOffset>-4445</wp:posOffset>
                </wp:positionH>
                <wp:positionV relativeFrom="paragraph">
                  <wp:posOffset>180340</wp:posOffset>
                </wp:positionV>
                <wp:extent cx="0" cy="7242810"/>
                <wp:effectExtent l="4445" t="0" r="14605" b="15240"/>
                <wp:wrapNone/>
                <wp:docPr id="28" name="直接连接符 28"/>
                <wp:cNvGraphicFramePr/>
                <a:graphic xmlns:a="http://schemas.openxmlformats.org/drawingml/2006/main">
                  <a:graphicData uri="http://schemas.microsoft.com/office/word/2010/wordprocessingShape">
                    <wps:wsp>
                      <wps:cNvCnPr/>
                      <wps:spPr>
                        <a:xfrm>
                          <a:off x="0" y="0"/>
                          <a:ext cx="0" cy="7242810"/>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35pt;margin-top:14.2pt;height:570.3pt;width:0pt;z-index:-251657216;mso-width-relative:page;mso-height-relative:page;" filled="f" stroked="t" coordsize="21600,21600" o:allowincell="f" o:gfxdata="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mt8DNIAAAAHAQAADwAAAAAAAAABACAAAAAiAAAA&#10;ZHJzL2Rvd25yZXYueG1sUEsBAhQAFAAAAAgAh07iQDRKf67UAQAAjAMAAA4AAAAAAAAAAQAgAAAA&#10;IQEAAGRycy9lMm9Eb2MueG1sUEsFBgAAAAAGAAYAWQEAAGcFAAAAAA==&#10;">
                <v:fill on="f" focussize="0,0"/>
                <v:stroke weight="0.47992125984252pt" color="#000000" joinstyle="round"/>
                <v:imagedata o:title=""/>
                <o:lock v:ext="edit" aspectratio="f"/>
              </v:line>
            </w:pict>
          </mc:Fallback>
        </mc:AlternateContent>
      </w:r>
      <w:r>
        <w:rPr>
          <w:rFonts w:ascii="MS PGothic" w:hAnsi="MS PGothic" w:eastAsia="MS PGothic"/>
          <w:b/>
          <w:sz w:val="27"/>
          <w:vertAlign w:val="superscript"/>
        </w:rPr>
        <mc:AlternateContent>
          <mc:Choice Requires="wps">
            <w:drawing>
              <wp:anchor distT="0" distB="0" distL="114300" distR="114300" simplePos="0" relativeHeight="251660288" behindDoc="1" locked="0" layoutInCell="0" allowOverlap="1">
                <wp:simplePos x="0" y="0"/>
                <wp:positionH relativeFrom="column">
                  <wp:posOffset>-7620</wp:posOffset>
                </wp:positionH>
                <wp:positionV relativeFrom="paragraph">
                  <wp:posOffset>809625</wp:posOffset>
                </wp:positionV>
                <wp:extent cx="5607050" cy="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5607050" cy="0"/>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6pt;margin-top:63.75pt;height:0pt;width:441.5pt;z-index:-251656192;mso-width-relative:page;mso-height-relative:page;" filled="f" stroked="t" coordsize="21600,21600" o:allowincell="f" o:gfxdata="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sncUNMAAAAKAQAADwAAAAAAAAABACAAAAAiAAAA&#10;ZHJzL2Rvd25yZXYueG1sUEsBAhQAFAAAAAgAh07iQK6zXonTAQAAjAMAAA4AAAAAAAAAAQAgAAAA&#10;IgEAAGRycy9lMm9Eb2MueG1sUEsFBgAAAAAGAAYAWQEAAGcFAAAAAA==&#10;">
                <v:fill on="f" focussize="0,0"/>
                <v:stroke weight="0.47992125984252pt" color="#000000" joinstyle="round"/>
                <v:imagedata o:title=""/>
                <o:lock v:ext="edit" aspectratio="f"/>
              </v:line>
            </w:pict>
          </mc:Fallback>
        </mc:AlternateContent>
      </w:r>
      <w:r>
        <w:rPr>
          <w:rFonts w:ascii="MS PGothic" w:hAnsi="MS PGothic" w:eastAsia="MS PGothic"/>
          <w:b/>
          <w:sz w:val="27"/>
          <w:vertAlign w:val="superscript"/>
        </w:rPr>
        <mc:AlternateContent>
          <mc:Choice Requires="wps">
            <w:drawing>
              <wp:anchor distT="0" distB="0" distL="114300" distR="114300" simplePos="0" relativeHeight="251661312" behindDoc="1" locked="0" layoutInCell="0" allowOverlap="1">
                <wp:simplePos x="0" y="0"/>
                <wp:positionH relativeFrom="column">
                  <wp:posOffset>5596890</wp:posOffset>
                </wp:positionH>
                <wp:positionV relativeFrom="paragraph">
                  <wp:posOffset>180340</wp:posOffset>
                </wp:positionV>
                <wp:extent cx="0" cy="7242810"/>
                <wp:effectExtent l="4445" t="0" r="14605" b="15240"/>
                <wp:wrapNone/>
                <wp:docPr id="33" name="直接连接符 33"/>
                <wp:cNvGraphicFramePr/>
                <a:graphic xmlns:a="http://schemas.openxmlformats.org/drawingml/2006/main">
                  <a:graphicData uri="http://schemas.microsoft.com/office/word/2010/wordprocessingShape">
                    <wps:wsp>
                      <wps:cNvCnPr/>
                      <wps:spPr>
                        <a:xfrm>
                          <a:off x="0" y="0"/>
                          <a:ext cx="0" cy="7242810"/>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40.7pt;margin-top:14.2pt;height:570.3pt;width:0pt;z-index:-251655168;mso-width-relative:page;mso-height-relative:page;" filled="f" stroked="t" coordsize="21600,21600" o:allowincell="f" o:gfxdata="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vJn3tUAAAALAQAADwAAAAAAAAABACAAAAAi&#10;AAAAZHJzL2Rvd25yZXYueG1sUEsBAhQAFAAAAAgAh07iQDyjsMzUAQAAjAMAAA4AAAAAAAAAAQAg&#10;AAAAJAEAAGRycy9lMm9Eb2MueG1sUEsFBgAAAAAGAAYAWQEAAGoFAAAAAA==&#10;">
                <v:fill on="f" focussize="0,0"/>
                <v:stroke weight="0.47992125984252pt" color="#000000" joinstyle="round"/>
                <v:imagedata o:title=""/>
                <o:lock v:ext="edit" aspectratio="f"/>
              </v:line>
            </w:pict>
          </mc:Fallback>
        </mc:AlternateContent>
      </w:r>
    </w:p>
    <w:p>
      <w:pPr>
        <w:spacing w:line="200" w:lineRule="exact"/>
        <w:rPr>
          <w:rFonts w:eastAsia="Times New Roman"/>
        </w:rPr>
      </w:pPr>
    </w:p>
    <w:p>
      <w:pPr>
        <w:spacing w:line="309" w:lineRule="exact"/>
        <w:rPr>
          <w:rFonts w:eastAsia="Times New Roman"/>
        </w:rPr>
      </w:pPr>
    </w:p>
    <w:p>
      <w:pPr>
        <w:spacing w:line="239" w:lineRule="auto"/>
        <w:ind w:left="3360"/>
        <w:rPr>
          <w:rFonts w:ascii="宋体" w:hAnsi="宋体"/>
          <w:sz w:val="21"/>
        </w:rPr>
      </w:pPr>
      <w:r>
        <w:rPr>
          <w:rFonts w:ascii="宋体" w:hAnsi="宋体"/>
          <w:sz w:val="21"/>
        </w:rPr>
        <w:t>施工企业资质等级要求</w:t>
      </w:r>
    </w:p>
    <w:p>
      <w:pPr>
        <w:spacing w:line="200" w:lineRule="exact"/>
        <w:rPr>
          <w:rFonts w:eastAsia="Times New Roman"/>
        </w:rPr>
      </w:pPr>
      <w:r>
        <w:rPr>
          <w:rFonts w:ascii="宋体" w:hAnsi="宋体"/>
          <w:sz w:val="21"/>
        </w:rPr>
        <mc:AlternateContent>
          <mc:Choice Requires="wps">
            <w:drawing>
              <wp:anchor distT="0" distB="0" distL="114300" distR="114300" simplePos="0" relativeHeight="251662336" behindDoc="1" locked="0" layoutInCell="0" allowOverlap="1">
                <wp:simplePos x="0" y="0"/>
                <wp:positionH relativeFrom="column">
                  <wp:posOffset>-7620</wp:posOffset>
                </wp:positionH>
                <wp:positionV relativeFrom="paragraph">
                  <wp:posOffset>6818630</wp:posOffset>
                </wp:positionV>
                <wp:extent cx="5607050"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560705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6pt;margin-top:536.9pt;height:0pt;width:441.5pt;z-index:-251654144;mso-width-relative:page;mso-height-relative:page;" filled="f" stroked="t" coordsize="21600,21600" o:allowincell="f" o:gfxdata="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RhzdXXAAAADAEAAA8AAAAAAAAAAQAgAAAA&#10;IgAAAGRycy9kb3ducmV2LnhtbFBLAQIUABQAAAAIAIdO4kCdlF8S0wEAAIwDAAAOAAAAAAAAAAEA&#10;IAAAACYBAABkcnMvZTJvRG9jLnhtbFBLBQYAAAAABgAGAFkBAABrBQAAAAA=&#10;">
                <v:fill on="f" focussize="0,0"/>
                <v:stroke weight="0.48pt" color="#000000" joinstyle="round"/>
                <v:imagedata o:title=""/>
                <o:lock v:ext="edit" aspectratio="f"/>
              </v:line>
            </w:pict>
          </mc:Fallback>
        </mc:AlternateContent>
      </w:r>
    </w:p>
    <w:p>
      <w:pPr>
        <w:spacing w:line="200" w:lineRule="exact"/>
        <w:rPr>
          <w:rFonts w:eastAsia="Times New Roman"/>
        </w:rPr>
      </w:pPr>
    </w:p>
    <w:p>
      <w:pPr>
        <w:numPr>
          <w:ilvl w:val="0"/>
          <w:numId w:val="1"/>
        </w:num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营业执照：具有在中华人民共和国境内注册的独立企业法人营业执照（在有</w:t>
      </w:r>
    </w:p>
    <w:p>
      <w:pPr>
        <w:autoSpaceDE w:val="0"/>
        <w:autoSpaceDN w:val="0"/>
        <w:adjustRightInd w:val="0"/>
        <w:snapToGrid w:val="0"/>
        <w:spacing w:line="460" w:lineRule="exact"/>
        <w:rPr>
          <w:rFonts w:ascii="宋体" w:hAnsi="宋体" w:cs="宋体"/>
          <w:sz w:val="24"/>
        </w:rPr>
      </w:pPr>
      <w:r>
        <w:rPr>
          <w:rFonts w:hint="eastAsia" w:ascii="宋体" w:hAnsi="宋体" w:cs="宋体"/>
          <w:sz w:val="24"/>
        </w:rPr>
        <w:t>效期内）。</w:t>
      </w:r>
    </w:p>
    <w:p>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2、资质要求：</w:t>
      </w:r>
      <w:r>
        <w:rPr>
          <w:rFonts w:hint="eastAsia" w:ascii="宋体" w:hAnsi="宋体" w:cs="宋体"/>
          <w:sz w:val="24"/>
          <w:lang w:val="zh-CN"/>
        </w:rPr>
        <w:t>公路工程施工总承包叁级及以上资</w:t>
      </w:r>
      <w:r>
        <w:rPr>
          <w:rFonts w:hint="eastAsia" w:ascii="宋体" w:hAnsi="宋体" w:cs="宋体"/>
          <w:sz w:val="24"/>
        </w:rPr>
        <w:t>质，并具备有效的企业安全生    产许可证，在人员、设备、资金等方面具有相应能力的施工企业。</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pPr>
    </w:p>
    <w:p>
      <w:pPr>
        <w:spacing w:line="200" w:lineRule="exact"/>
      </w:pPr>
    </w:p>
    <w:p>
      <w:pPr>
        <w:spacing w:line="200" w:lineRule="exact"/>
      </w:pPr>
    </w:p>
    <w:p>
      <w:pPr>
        <w:tabs>
          <w:tab w:val="left" w:pos="2880"/>
        </w:tabs>
        <w:spacing w:line="326" w:lineRule="exact"/>
        <w:ind w:left="1840"/>
        <w:rPr>
          <w:rFonts w:ascii="宋体" w:hAnsi="宋体"/>
          <w:b/>
          <w:sz w:val="28"/>
        </w:rPr>
      </w:pPr>
      <w:bookmarkStart w:id="13" w:name="page42"/>
      <w:bookmarkEnd w:id="13"/>
    </w:p>
    <w:p>
      <w:pPr>
        <w:tabs>
          <w:tab w:val="left" w:pos="2880"/>
        </w:tabs>
        <w:spacing w:line="326" w:lineRule="exact"/>
        <w:ind w:left="1840"/>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2</w:t>
      </w:r>
      <w:r>
        <w:rPr>
          <w:rFonts w:eastAsia="Times New Roman"/>
        </w:rPr>
        <w:tab/>
      </w:r>
      <w:r>
        <w:rPr>
          <w:rFonts w:ascii="宋体" w:hAnsi="宋体"/>
          <w:b/>
          <w:sz w:val="27"/>
        </w:rPr>
        <w:t>资格审查条件（财务最低要求）</w:t>
      </w:r>
    </w:p>
    <w:p>
      <w:pPr>
        <w:spacing w:line="200" w:lineRule="exact"/>
        <w:rPr>
          <w:rFonts w:eastAsia="Times New Roman"/>
        </w:rPr>
      </w:pPr>
      <w:r>
        <w:rPr>
          <w:rFonts w:ascii="MS PGothic" w:hAnsi="MS PGothic" w:eastAsia="MS PGothic"/>
          <w:b/>
          <w:sz w:val="27"/>
          <w:vertAlign w:val="superscript"/>
        </w:rPr>
        <mc:AlternateContent>
          <mc:Choice Requires="wps">
            <w:drawing>
              <wp:anchor distT="0" distB="0" distL="114300" distR="114300" simplePos="0" relativeHeight="251663360" behindDoc="1" locked="0" layoutInCell="0" allowOverlap="1">
                <wp:simplePos x="0" y="0"/>
                <wp:positionH relativeFrom="column">
                  <wp:posOffset>-7620</wp:posOffset>
                </wp:positionH>
                <wp:positionV relativeFrom="paragraph">
                  <wp:posOffset>183515</wp:posOffset>
                </wp:positionV>
                <wp:extent cx="560705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60705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6pt;margin-top:14.45pt;height:0pt;width:441.5pt;z-index:-251653120;mso-width-relative:page;mso-height-relative:page;" filled="f" stroked="t" coordsize="21600,21600" o:allowincell="f" o:gfxdata="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23kK9YAAAAIAQAADwAAAAAAAAABACAAAAAiAAAA&#10;ZHJzL2Rvd25yZXYueG1sUEsBAhQAFAAAAAgAh07iQHAG5ILQAQAAjAMAAA4AAAAAAAAAAQAgAAAA&#10;JQEAAGRycy9lMm9Eb2MueG1sUEsFBgAAAAAGAAYAWQEAAGcFAAAAAA==&#10;">
                <v:fill on="f" focussize="0,0"/>
                <v:stroke weight="0.48pt" color="#000000" joinstyle="round"/>
                <v:imagedata o:title=""/>
                <o:lock v:ext="edit" aspectratio="f"/>
              </v:line>
            </w:pict>
          </mc:Fallback>
        </mc:AlternateContent>
      </w:r>
      <w:r>
        <w:rPr>
          <w:rFonts w:ascii="MS PGothic" w:hAnsi="MS PGothic" w:eastAsia="MS PGothic"/>
          <w:b/>
          <w:sz w:val="27"/>
          <w:vertAlign w:val="superscript"/>
        </w:rPr>
        <mc:AlternateContent>
          <mc:Choice Requires="wps">
            <w:drawing>
              <wp:anchor distT="0" distB="0" distL="114300" distR="114300" simplePos="0" relativeHeight="251664384" behindDoc="1" locked="0" layoutInCell="0" allowOverlap="1">
                <wp:simplePos x="0" y="0"/>
                <wp:positionH relativeFrom="column">
                  <wp:posOffset>-4445</wp:posOffset>
                </wp:positionH>
                <wp:positionV relativeFrom="paragraph">
                  <wp:posOffset>180340</wp:posOffset>
                </wp:positionV>
                <wp:extent cx="0" cy="6988810"/>
                <wp:effectExtent l="5080" t="0" r="13970" b="2540"/>
                <wp:wrapNone/>
                <wp:docPr id="36" name="直接连接符 36"/>
                <wp:cNvGraphicFramePr/>
                <a:graphic xmlns:a="http://schemas.openxmlformats.org/drawingml/2006/main">
                  <a:graphicData uri="http://schemas.microsoft.com/office/word/2010/wordprocessingShape">
                    <wps:wsp>
                      <wps:cNvCnPr/>
                      <wps:spPr>
                        <a:xfrm>
                          <a:off x="0" y="0"/>
                          <a:ext cx="0" cy="6988810"/>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35pt;margin-top:14.2pt;height:550.3pt;width:0pt;z-index:-251652096;mso-width-relative:page;mso-height-relative:page;" filled="f" stroked="t" coordsize="21600,21600" o:allowincell="f" o:gfxdata="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&#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b4Ue0gAAAAcBAAAPAAAAAAAAAAEAIAAAACIAAABk&#10;cnMvZG93bnJldi54bWxQSwECFAAUAAAACACHTuJAAYbVfNMBAACMAwAADgAAAAAAAAABACAAAAAh&#10;AQAAZHJzL2Uyb0RvYy54bWxQSwUGAAAAAAYABgBZAQAAZgUAAAAA&#10;">
                <v:fill on="f" focussize="0,0"/>
                <v:stroke weight="0.47992125984252pt" color="#000000" joinstyle="round"/>
                <v:imagedata o:title=""/>
                <o:lock v:ext="edit" aspectratio="f"/>
              </v:line>
            </w:pict>
          </mc:Fallback>
        </mc:AlternateContent>
      </w:r>
      <w:r>
        <w:rPr>
          <w:rFonts w:ascii="MS PGothic" w:hAnsi="MS PGothic" w:eastAsia="MS PGothic"/>
          <w:b/>
          <w:sz w:val="27"/>
          <w:vertAlign w:val="superscript"/>
        </w:rPr>
        <mc:AlternateContent>
          <mc:Choice Requires="wps">
            <w:drawing>
              <wp:anchor distT="0" distB="0" distL="114300" distR="114300" simplePos="0" relativeHeight="251665408" behindDoc="1" locked="0" layoutInCell="0" allowOverlap="1">
                <wp:simplePos x="0" y="0"/>
                <wp:positionH relativeFrom="column">
                  <wp:posOffset>-7620</wp:posOffset>
                </wp:positionH>
                <wp:positionV relativeFrom="paragraph">
                  <wp:posOffset>808355</wp:posOffset>
                </wp:positionV>
                <wp:extent cx="5607050"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607050" cy="0"/>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6pt;margin-top:63.65pt;height:0pt;width:441.5pt;z-index:-251651072;mso-width-relative:page;mso-height-relative:page;" filled="f" stroked="t" coordsize="21600,21600" o:allowincell="f" o:gfxdata="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&#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vMJ50wAAAAoBAAAPAAAAAAAAAAEAIAAAACIAAABk&#10;cnMvZG93bnJldi54bWxQSwECFAAUAAAACACHTuJAue2EzNIBAACMAwAADgAAAAAAAAABACAAAAAi&#10;AQAAZHJzL2Uyb0RvYy54bWxQSwUGAAAAAAYABgBZAQAAZgUAAAAA&#10;">
                <v:fill on="f" focussize="0,0"/>
                <v:stroke weight="0.47992125984252pt" color="#000000" joinstyle="round"/>
                <v:imagedata o:title=""/>
                <o:lock v:ext="edit" aspectratio="f"/>
              </v:line>
            </w:pict>
          </mc:Fallback>
        </mc:AlternateContent>
      </w:r>
      <w:r>
        <w:rPr>
          <w:rFonts w:ascii="MS PGothic" w:hAnsi="MS PGothic" w:eastAsia="MS PGothic"/>
          <w:b/>
          <w:sz w:val="27"/>
          <w:vertAlign w:val="superscript"/>
        </w:rPr>
        <mc:AlternateContent>
          <mc:Choice Requires="wps">
            <w:drawing>
              <wp:anchor distT="0" distB="0" distL="114300" distR="114300" simplePos="0" relativeHeight="251666432" behindDoc="1" locked="0" layoutInCell="0" allowOverlap="1">
                <wp:simplePos x="0" y="0"/>
                <wp:positionH relativeFrom="column">
                  <wp:posOffset>5596890</wp:posOffset>
                </wp:positionH>
                <wp:positionV relativeFrom="paragraph">
                  <wp:posOffset>180340</wp:posOffset>
                </wp:positionV>
                <wp:extent cx="0" cy="6988810"/>
                <wp:effectExtent l="5080" t="0" r="13970" b="2540"/>
                <wp:wrapNone/>
                <wp:docPr id="29" name="直接连接符 29"/>
                <wp:cNvGraphicFramePr/>
                <a:graphic xmlns:a="http://schemas.openxmlformats.org/drawingml/2006/main">
                  <a:graphicData uri="http://schemas.microsoft.com/office/word/2010/wordprocessingShape">
                    <wps:wsp>
                      <wps:cNvCnPr/>
                      <wps:spPr>
                        <a:xfrm>
                          <a:off x="0" y="0"/>
                          <a:ext cx="0" cy="6988810"/>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40.7pt;margin-top:14.2pt;height:550.3pt;width:0pt;z-index:-251650048;mso-width-relative:page;mso-height-relative:page;" filled="f" stroked="t" coordsize="21600,21600" o:allowincell="f" o:gfxdata="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n2nszVAAAACwEAAA8AAAAAAAAAAQAgAAAAIgAA&#10;AGRycy9kb3ducmV2LnhtbFBLAQIUABQAAAAIAIdO4kC95xMK0gEAAIwDAAAOAAAAAAAAAAEAIAAA&#10;ACQBAABkcnMvZTJvRG9jLnhtbFBLBQYAAAAABgAGAFkBAABoBQAAAAA=&#10;">
                <v:fill on="f" focussize="0,0"/>
                <v:stroke weight="0.47992125984252pt" color="#000000" joinstyle="round"/>
                <v:imagedata o:title=""/>
                <o:lock v:ext="edit" aspectratio="f"/>
              </v:line>
            </w:pict>
          </mc:Fallback>
        </mc:AlternateContent>
      </w:r>
    </w:p>
    <w:p>
      <w:pPr>
        <w:spacing w:line="200" w:lineRule="exact"/>
        <w:rPr>
          <w:rFonts w:eastAsia="Times New Roman"/>
        </w:rPr>
      </w:pPr>
    </w:p>
    <w:p>
      <w:pPr>
        <w:spacing w:line="309" w:lineRule="exact"/>
        <w:rPr>
          <w:rFonts w:eastAsia="Times New Roman"/>
        </w:rPr>
      </w:pPr>
    </w:p>
    <w:p>
      <w:pPr>
        <w:spacing w:line="239" w:lineRule="auto"/>
        <w:ind w:left="3820"/>
        <w:rPr>
          <w:rFonts w:ascii="宋体" w:hAnsi="宋体"/>
          <w:sz w:val="21"/>
        </w:rPr>
      </w:pPr>
      <w:r>
        <w:rPr>
          <w:rFonts w:ascii="宋体" w:hAnsi="宋体"/>
          <w:sz w:val="21"/>
        </w:rPr>
        <w:t>财 务 要 求</w:t>
      </w:r>
    </w:p>
    <w:p>
      <w:pPr>
        <w:spacing w:line="200" w:lineRule="exact"/>
        <w:rPr>
          <w:rFonts w:eastAsia="Times New Roman"/>
        </w:rPr>
      </w:pPr>
      <w:r>
        <w:rPr>
          <w:rFonts w:ascii="宋体" w:hAnsi="宋体"/>
          <w:sz w:val="21"/>
        </w:rPr>
        <mc:AlternateContent>
          <mc:Choice Requires="wps">
            <w:drawing>
              <wp:anchor distT="0" distB="0" distL="114300" distR="114300" simplePos="0" relativeHeight="251667456" behindDoc="1" locked="0" layoutInCell="0" allowOverlap="1">
                <wp:simplePos x="0" y="0"/>
                <wp:positionH relativeFrom="column">
                  <wp:posOffset>-7620</wp:posOffset>
                </wp:positionH>
                <wp:positionV relativeFrom="paragraph">
                  <wp:posOffset>6563995</wp:posOffset>
                </wp:positionV>
                <wp:extent cx="5607050"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560705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6pt;margin-top:516.85pt;height:0pt;width:441.5pt;z-index:-251649024;mso-width-relative:page;mso-height-relative:page;" filled="f" stroked="t" coordsize="21600,21600" o:allowincell="f" o:gfxdata="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LcT9dcAAAAMAQAADwAAAAAAAAABACAAAAAi&#10;AAAAZHJzL2Rvd25yZXYueG1sUEsBAhQAFAAAAAgAh07iQLD2XRfSAQAAjAMAAA4AAAAAAAAAAQAg&#10;AAAAJgEAAGRycy9lMm9Eb2MueG1sUEsFBgAAAAAGAAYAWQEAAGoFAAAAAA==&#10;">
                <v:fill on="f" focussize="0,0"/>
                <v:stroke weight="0.48pt" color="#000000" joinstyle="round"/>
                <v:imagedata o:title=""/>
                <o:lock v:ext="edit" aspectratio="f"/>
              </v:line>
            </w:pict>
          </mc:Fallback>
        </mc:AlternateContent>
      </w:r>
    </w:p>
    <w:p>
      <w:pPr>
        <w:spacing w:line="200" w:lineRule="exact"/>
        <w:rPr>
          <w:rFonts w:eastAsia="Times New Roman"/>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hAnsi="宋体"/>
          <w:bCs/>
          <w:sz w:val="24"/>
        </w:rPr>
      </w:pPr>
      <w:r>
        <w:rPr>
          <w:rFonts w:hint="eastAsia" w:ascii="宋体" w:hAnsi="宋体"/>
          <w:sz w:val="24"/>
        </w:rPr>
        <w:t>投标申请人应提交最近三年内（</w:t>
      </w:r>
      <w:r>
        <w:rPr>
          <w:rFonts w:hint="eastAsia" w:ascii="宋体" w:hAnsi="宋体" w:cs="仿宋_GB2312"/>
          <w:sz w:val="24"/>
        </w:rPr>
        <w:t>2015年1月1日至2017年12月31日</w:t>
      </w:r>
      <w:r>
        <w:rPr>
          <w:rFonts w:hint="eastAsia" w:ascii="宋体" w:hAnsi="宋体"/>
          <w:sz w:val="24"/>
        </w:rPr>
        <w:t>）(</w:t>
      </w:r>
      <w:r>
        <w:rPr>
          <w:rFonts w:hint="eastAsia" w:hAnsi="宋体"/>
          <w:bCs/>
          <w:sz w:val="24"/>
        </w:rPr>
        <w:t>若公</w:t>
      </w:r>
    </w:p>
    <w:p>
      <w:pPr>
        <w:spacing w:line="480" w:lineRule="exact"/>
        <w:rPr>
          <w:rFonts w:ascii="宋体" w:hAnsi="宋体"/>
          <w:sz w:val="24"/>
        </w:rPr>
      </w:pPr>
      <w:r>
        <w:rPr>
          <w:rFonts w:hint="eastAsia" w:hAnsi="宋体"/>
          <w:bCs/>
          <w:sz w:val="24"/>
        </w:rPr>
        <w:t>司成立未满三年，须提供成立当年至今的财务报告</w:t>
      </w:r>
      <w:r>
        <w:rPr>
          <w:rFonts w:hint="eastAsia" w:ascii="宋体" w:hAnsi="宋体"/>
          <w:sz w:val="24"/>
        </w:rPr>
        <w:t>)经审计的资产负债表、利润表、    现金流量表，证明资格预审申请人的财务状况良好，财务无亏损，没有被接管、冻      结、破产状态；必要时，业主将向投标申请人的开户银行进行查询；</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pStyle w:val="2"/>
        <w:ind w:firstLine="0" w:firstLineChars="0"/>
        <w:sectPr>
          <w:pgSz w:w="11906" w:h="16838"/>
          <w:pgMar w:top="1440" w:right="1440" w:bottom="1440" w:left="1440" w:header="0" w:footer="567" w:gutter="0"/>
          <w:cols w:space="720" w:num="1"/>
          <w:docGrid w:linePitch="360" w:charSpace="0"/>
        </w:sectPr>
      </w:pPr>
    </w:p>
    <w:p>
      <w:pPr>
        <w:spacing w:line="239" w:lineRule="auto"/>
        <w:rPr>
          <w:sz w:val="18"/>
        </w:rPr>
        <w:sectPr>
          <w:type w:val="continuous"/>
          <w:pgSz w:w="11906" w:h="16838"/>
          <w:pgMar w:top="1440" w:right="1440" w:bottom="1440" w:left="1440" w:header="0" w:footer="0" w:gutter="0"/>
          <w:cols w:space="720" w:num="1"/>
          <w:docGrid w:linePitch="360" w:charSpace="0"/>
        </w:sectPr>
      </w:pPr>
    </w:p>
    <w:p>
      <w:pPr>
        <w:tabs>
          <w:tab w:val="left" w:pos="2880"/>
        </w:tabs>
        <w:spacing w:line="326" w:lineRule="exact"/>
        <w:rPr>
          <w:rFonts w:ascii="宋体" w:hAnsi="宋体"/>
          <w:b/>
          <w:sz w:val="28"/>
        </w:rPr>
      </w:pPr>
      <w:bookmarkStart w:id="14" w:name="page43"/>
      <w:bookmarkEnd w:id="14"/>
    </w:p>
    <w:p>
      <w:pPr>
        <w:tabs>
          <w:tab w:val="left" w:pos="2880"/>
        </w:tabs>
        <w:spacing w:line="326" w:lineRule="exact"/>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3</w:t>
      </w:r>
      <w:r>
        <w:rPr>
          <w:rFonts w:eastAsia="Times New Roman"/>
        </w:rPr>
        <w:tab/>
      </w:r>
      <w:r>
        <w:rPr>
          <w:rFonts w:ascii="宋体" w:hAnsi="宋体"/>
          <w:b/>
          <w:sz w:val="27"/>
        </w:rPr>
        <w:t>资格审查条件（业绩最低要求）</w:t>
      </w:r>
    </w:p>
    <w:p>
      <w:pPr>
        <w:spacing w:line="200" w:lineRule="exact"/>
        <w:rPr>
          <w:rFonts w:eastAsia="Times New Roman"/>
        </w:rPr>
      </w:pPr>
      <w:r>
        <w:rPr>
          <w:rFonts w:ascii="MS PGothic" w:hAnsi="MS PGothic" w:eastAsia="MS PGothic"/>
          <w:b/>
          <w:sz w:val="27"/>
          <w:vertAlign w:val="superscript"/>
        </w:rPr>
        <mc:AlternateContent>
          <mc:Choice Requires="wps">
            <w:drawing>
              <wp:anchor distT="0" distB="0" distL="114300" distR="114300" simplePos="0" relativeHeight="251668480" behindDoc="1" locked="0" layoutInCell="0" allowOverlap="1">
                <wp:simplePos x="0" y="0"/>
                <wp:positionH relativeFrom="column">
                  <wp:posOffset>-7620</wp:posOffset>
                </wp:positionH>
                <wp:positionV relativeFrom="paragraph">
                  <wp:posOffset>183515</wp:posOffset>
                </wp:positionV>
                <wp:extent cx="5607050" cy="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560705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6pt;margin-top:14.45pt;height:0pt;width:441.5pt;z-index:-251648000;mso-width-relative:page;mso-height-relative:page;" filled="f" stroked="t" coordsize="21600,21600" o:allowincell="f" o:gfxdata="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23kK9YAAAAIAQAADwAAAAAAAAABACAAAAAi&#10;AAAAZHJzL2Rvd25yZXYueG1sUEsBAhQAFAAAAAgAh07iQOoyWR3TAQAAjAMAAA4AAAAAAAAAAQAg&#10;AAAAJQEAAGRycy9lMm9Eb2MueG1sUEsFBgAAAAAGAAYAWQEAAGoFAAAAAA==&#10;">
                <v:fill on="f" focussize="0,0"/>
                <v:stroke weight="0.48pt" color="#000000" joinstyle="round"/>
                <v:imagedata o:title=""/>
                <o:lock v:ext="edit" aspectratio="f"/>
              </v:line>
            </w:pict>
          </mc:Fallback>
        </mc:AlternateContent>
      </w:r>
      <w:r>
        <w:rPr>
          <w:rFonts w:ascii="MS PGothic" w:hAnsi="MS PGothic" w:eastAsia="MS PGothic"/>
          <w:b/>
          <w:sz w:val="27"/>
          <w:vertAlign w:val="superscript"/>
        </w:rPr>
        <mc:AlternateContent>
          <mc:Choice Requires="wps">
            <w:drawing>
              <wp:anchor distT="0" distB="0" distL="114300" distR="114300" simplePos="0" relativeHeight="251669504" behindDoc="1" locked="0" layoutInCell="0" allowOverlap="1">
                <wp:simplePos x="0" y="0"/>
                <wp:positionH relativeFrom="column">
                  <wp:posOffset>-4445</wp:posOffset>
                </wp:positionH>
                <wp:positionV relativeFrom="paragraph">
                  <wp:posOffset>180340</wp:posOffset>
                </wp:positionV>
                <wp:extent cx="0" cy="7242810"/>
                <wp:effectExtent l="4445" t="0" r="14605" b="15240"/>
                <wp:wrapNone/>
                <wp:docPr id="23" name="直接连接符 23"/>
                <wp:cNvGraphicFramePr/>
                <a:graphic xmlns:a="http://schemas.openxmlformats.org/drawingml/2006/main">
                  <a:graphicData uri="http://schemas.microsoft.com/office/word/2010/wordprocessingShape">
                    <wps:wsp>
                      <wps:cNvCnPr/>
                      <wps:spPr>
                        <a:xfrm>
                          <a:off x="0" y="0"/>
                          <a:ext cx="0" cy="7242810"/>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35pt;margin-top:14.2pt;height:570.3pt;width:0pt;z-index:-251646976;mso-width-relative:page;mso-height-relative:page;" filled="f" stroked="t" coordsize="21600,21600" o:allowincell="f" o:gfxdata="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mt8DNIAAAAHAQAADwAAAAAAAAABACAAAAAiAAAA&#10;ZHJzL2Rvd25yZXYueG1sUEsBAhQAFAAAAAgAh07iQCv9aonUAQAAjAMAAA4AAAAAAAAAAQAgAAAA&#10;IQEAAGRycy9lMm9Eb2MueG1sUEsFBgAAAAAGAAYAWQEAAGcFAAAAAA==&#10;">
                <v:fill on="f" focussize="0,0"/>
                <v:stroke weight="0.47992125984252pt" color="#000000" joinstyle="round"/>
                <v:imagedata o:title=""/>
                <o:lock v:ext="edit" aspectratio="f"/>
              </v:line>
            </w:pict>
          </mc:Fallback>
        </mc:AlternateContent>
      </w:r>
      <w:r>
        <w:rPr>
          <w:rFonts w:ascii="MS PGothic" w:hAnsi="MS PGothic" w:eastAsia="MS PGothic"/>
          <w:b/>
          <w:sz w:val="27"/>
          <w:vertAlign w:val="superscript"/>
        </w:rPr>
        <mc:AlternateContent>
          <mc:Choice Requires="wps">
            <w:drawing>
              <wp:anchor distT="0" distB="0" distL="114300" distR="114300" simplePos="0" relativeHeight="251670528" behindDoc="1" locked="0" layoutInCell="0" allowOverlap="1">
                <wp:simplePos x="0" y="0"/>
                <wp:positionH relativeFrom="column">
                  <wp:posOffset>-7620</wp:posOffset>
                </wp:positionH>
                <wp:positionV relativeFrom="paragraph">
                  <wp:posOffset>808355</wp:posOffset>
                </wp:positionV>
                <wp:extent cx="5607050"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607050" cy="0"/>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6pt;margin-top:63.65pt;height:0pt;width:441.5pt;z-index:-251645952;mso-width-relative:page;mso-height-relative:page;" filled="f" stroked="t" coordsize="21600,21600" o:allowincell="f" o:gfxdata="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&#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vMJ50wAAAAoBAAAPAAAAAAAAAAEAIAAAACIAAABk&#10;cnMvZG93bnJldi54bWxQSwECFAAUAAAACACHTuJAlI+GydIBAACMAwAADgAAAAAAAAABACAAAAAi&#10;AQAAZHJzL2Uyb0RvYy54bWxQSwUGAAAAAAYABgBZAQAAZgUAAAAA&#10;">
                <v:fill on="f" focussize="0,0"/>
                <v:stroke weight="0.47992125984252pt" color="#000000" joinstyle="round"/>
                <v:imagedata o:title=""/>
                <o:lock v:ext="edit" aspectratio="f"/>
              </v:line>
            </w:pict>
          </mc:Fallback>
        </mc:AlternateContent>
      </w:r>
      <w:r>
        <w:rPr>
          <w:rFonts w:ascii="MS PGothic" w:hAnsi="MS PGothic" w:eastAsia="MS PGothic"/>
          <w:b/>
          <w:sz w:val="27"/>
          <w:vertAlign w:val="superscript"/>
        </w:rPr>
        <mc:AlternateContent>
          <mc:Choice Requires="wps">
            <w:drawing>
              <wp:anchor distT="0" distB="0" distL="114300" distR="114300" simplePos="0" relativeHeight="251671552" behindDoc="1" locked="0" layoutInCell="0" allowOverlap="1">
                <wp:simplePos x="0" y="0"/>
                <wp:positionH relativeFrom="column">
                  <wp:posOffset>5596890</wp:posOffset>
                </wp:positionH>
                <wp:positionV relativeFrom="paragraph">
                  <wp:posOffset>180340</wp:posOffset>
                </wp:positionV>
                <wp:extent cx="0" cy="7242810"/>
                <wp:effectExtent l="4445" t="0" r="14605" b="15240"/>
                <wp:wrapNone/>
                <wp:docPr id="27" name="直接连接符 27"/>
                <wp:cNvGraphicFramePr/>
                <a:graphic xmlns:a="http://schemas.openxmlformats.org/drawingml/2006/main">
                  <a:graphicData uri="http://schemas.microsoft.com/office/word/2010/wordprocessingShape">
                    <wps:wsp>
                      <wps:cNvCnPr/>
                      <wps:spPr>
                        <a:xfrm>
                          <a:off x="0" y="0"/>
                          <a:ext cx="0" cy="7242810"/>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40.7pt;margin-top:14.2pt;height:570.3pt;width:0pt;z-index:-251644928;mso-width-relative:page;mso-height-relative:page;" filled="f" stroked="t" coordsize="21600,21600" o:allowincell="f" o:gfxdata="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i8mfe1QAAAAsBAAAPAAAAAAAAAAEAIAAAACIA&#10;AABkcnMvZG93bnJldi54bWxQSwECFAAUAAAACACHTuJAn3VjndMBAACMAwAADgAAAAAAAAABACAA&#10;AAAkAQAAZHJzL2Uyb0RvYy54bWxQSwUGAAAAAAYABgBZAQAAaQUAAAAA&#10;">
                <v:fill on="f" focussize="0,0"/>
                <v:stroke weight="0.47992125984252pt" color="#000000" joinstyle="round"/>
                <v:imagedata o:title=""/>
                <o:lock v:ext="edit" aspectratio="f"/>
              </v:line>
            </w:pict>
          </mc:Fallback>
        </mc:AlternateContent>
      </w:r>
    </w:p>
    <w:p>
      <w:pPr>
        <w:spacing w:line="200" w:lineRule="exact"/>
        <w:rPr>
          <w:rFonts w:eastAsia="Times New Roman"/>
        </w:rPr>
      </w:pPr>
    </w:p>
    <w:p>
      <w:pPr>
        <w:spacing w:line="309" w:lineRule="exact"/>
        <w:rPr>
          <w:rFonts w:eastAsia="Times New Roman"/>
        </w:rPr>
      </w:pPr>
    </w:p>
    <w:p>
      <w:pPr>
        <w:spacing w:line="239" w:lineRule="auto"/>
        <w:ind w:left="3820"/>
        <w:rPr>
          <w:rFonts w:ascii="宋体" w:hAnsi="宋体"/>
          <w:sz w:val="21"/>
        </w:rPr>
      </w:pPr>
      <w:r>
        <w:rPr>
          <w:rFonts w:ascii="宋体" w:hAnsi="宋体"/>
          <w:sz w:val="21"/>
        </w:rPr>
        <w:t>业 绩 要 求</w:t>
      </w:r>
    </w:p>
    <w:p>
      <w:pPr>
        <w:spacing w:line="200" w:lineRule="exact"/>
        <w:rPr>
          <w:rFonts w:eastAsia="Times New Roman"/>
        </w:rPr>
      </w:pPr>
      <w:r>
        <w:rPr>
          <w:rFonts w:ascii="宋体" w:hAnsi="宋体"/>
          <w:sz w:val="21"/>
        </w:rPr>
        <mc:AlternateContent>
          <mc:Choice Requires="wps">
            <w:drawing>
              <wp:anchor distT="0" distB="0" distL="114300" distR="114300" simplePos="0" relativeHeight="251672576" behindDoc="1" locked="0" layoutInCell="0" allowOverlap="1">
                <wp:simplePos x="0" y="0"/>
                <wp:positionH relativeFrom="column">
                  <wp:posOffset>-7620</wp:posOffset>
                </wp:positionH>
                <wp:positionV relativeFrom="paragraph">
                  <wp:posOffset>6818630</wp:posOffset>
                </wp:positionV>
                <wp:extent cx="560705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5607050" cy="0"/>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6pt;margin-top:536.9pt;height:0pt;width:441.5pt;z-index:-251643904;mso-width-relative:page;mso-height-relative:page;" filled="f" stroked="t" coordsize="21600,21600" o:allowincell="f" o:gfxdata="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ONiLdQAAAAMAQAADwAAAAAAAAABACAAAAAiAAAA&#10;ZHJzL2Rvd25yZXYueG1sUEsBAhQAFAAAAAgAh07iQM5LgsPSAQAAjAMAAA4AAAAAAAAAAQAgAAAA&#10;IwEAAGRycy9lMm9Eb2MueG1sUEsFBgAAAAAGAAYAWQEAAGcFAAAAAA==&#10;">
                <v:fill on="f" focussize="0,0"/>
                <v:stroke weight="0.47992125984252pt" color="#000000" joinstyle="round"/>
                <v:imagedata o:title=""/>
                <o:lock v:ext="edit" aspectratio="f"/>
              </v:line>
            </w:pict>
          </mc:Fallback>
        </mc:AlternateConten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480" w:lineRule="exact"/>
        <w:ind w:firstLine="480" w:firstLineChars="200"/>
        <w:rPr>
          <w:rFonts w:ascii="宋体" w:hAnsi="宋体"/>
          <w:sz w:val="24"/>
        </w:rPr>
      </w:pPr>
      <w:r>
        <w:rPr>
          <w:rFonts w:hint="eastAsia" w:ascii="宋体" w:hAnsi="宋体"/>
          <w:sz w:val="24"/>
        </w:rPr>
        <w:t>自201</w:t>
      </w:r>
      <w:r>
        <w:rPr>
          <w:rFonts w:hint="eastAsia" w:ascii="宋体" w:hAnsi="宋体"/>
          <w:sz w:val="24"/>
          <w:lang w:val="en-US" w:eastAsia="zh-CN"/>
        </w:rPr>
        <w:t>6</w:t>
      </w:r>
      <w:r>
        <w:rPr>
          <w:rFonts w:hint="eastAsia" w:ascii="宋体" w:hAnsi="宋体"/>
          <w:sz w:val="24"/>
        </w:rPr>
        <w:t>年1月1日以来，企业有2项类似工程（公路工程）施工经历；</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379" w:lineRule="exact"/>
        <w:rPr>
          <w:rFonts w:eastAsia="Times New Roman"/>
        </w:rPr>
      </w:pPr>
    </w:p>
    <w:p>
      <w:pPr>
        <w:spacing w:line="239" w:lineRule="auto"/>
        <w:rPr>
          <w:sz w:val="18"/>
        </w:rPr>
      </w:pPr>
      <w:bookmarkStart w:id="15" w:name="page44"/>
      <w:bookmarkEnd w:id="15"/>
    </w:p>
    <w:p>
      <w:pPr>
        <w:spacing w:line="239" w:lineRule="auto"/>
        <w:rPr>
          <w:sz w:val="18"/>
        </w:rPr>
      </w:pPr>
    </w:p>
    <w:p>
      <w:pPr>
        <w:tabs>
          <w:tab w:val="left" w:pos="2880"/>
        </w:tabs>
        <w:spacing w:line="326" w:lineRule="exact"/>
        <w:ind w:left="1840"/>
        <w:rPr>
          <w:rFonts w:ascii="宋体" w:hAnsi="宋体"/>
          <w:b/>
          <w:sz w:val="28"/>
        </w:rPr>
      </w:pPr>
    </w:p>
    <w:p>
      <w:pPr>
        <w:tabs>
          <w:tab w:val="left" w:pos="2880"/>
        </w:tabs>
        <w:spacing w:line="326" w:lineRule="exact"/>
        <w:ind w:left="1840"/>
        <w:rPr>
          <w:rFonts w:ascii="宋体" w:hAnsi="宋体"/>
          <w:b/>
          <w:sz w:val="27"/>
        </w:rPr>
      </w:pPr>
      <w:r>
        <w:rPr>
          <w:rFonts w:ascii="宋体" w:hAnsi="宋体"/>
          <w:b/>
          <w:sz w:val="28"/>
        </w:rPr>
        <w:t xml:space="preserve">附录 </w:t>
      </w:r>
      <w:r>
        <w:rPr>
          <w:rFonts w:ascii="黑体" w:hAnsi="黑体" w:eastAsia="黑体"/>
          <w:b/>
          <w:sz w:val="28"/>
        </w:rPr>
        <w:t>4</w:t>
      </w:r>
      <w:r>
        <w:rPr>
          <w:rFonts w:eastAsia="Times New Roman"/>
        </w:rPr>
        <w:tab/>
      </w:r>
      <w:r>
        <w:rPr>
          <w:rFonts w:ascii="宋体" w:hAnsi="宋体"/>
          <w:b/>
          <w:sz w:val="27"/>
        </w:rPr>
        <w:t>资格审查条件（信誉最低要求）</w:t>
      </w:r>
    </w:p>
    <w:p>
      <w:pPr>
        <w:tabs>
          <w:tab w:val="left" w:pos="2880"/>
        </w:tabs>
        <w:spacing w:line="326" w:lineRule="exact"/>
        <w:ind w:left="1840"/>
        <w:rPr>
          <w:rFonts w:eastAsia="Times New Roman"/>
        </w:rPr>
      </w:pPr>
      <w:r>
        <w:rPr>
          <w:rFonts w:ascii="MS PGothic" w:hAnsi="MS PGothic" w:eastAsia="MS PGothic"/>
          <w:b/>
          <w:sz w:val="27"/>
          <w:vertAlign w:val="superscript"/>
        </w:rPr>
        <mc:AlternateContent>
          <mc:Choice Requires="wps">
            <w:drawing>
              <wp:anchor distT="0" distB="0" distL="114300" distR="114300" simplePos="0" relativeHeight="251673600" behindDoc="1" locked="0" layoutInCell="0" allowOverlap="1">
                <wp:simplePos x="0" y="0"/>
                <wp:positionH relativeFrom="column">
                  <wp:posOffset>-7620</wp:posOffset>
                </wp:positionH>
                <wp:positionV relativeFrom="paragraph">
                  <wp:posOffset>183515</wp:posOffset>
                </wp:positionV>
                <wp:extent cx="56070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0705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6pt;margin-top:14.45pt;height:0pt;width:441.5pt;z-index:-251642880;mso-width-relative:page;mso-height-relative:page;" filled="f" stroked="t" coordsize="21600,21600" o:allowincell="f" o:gfxdata="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eQr1gAAAAgBAAAPAAAAAAAAAAEAIAAAACIA&#10;AABkcnMvZG93bnJldi54bWxQSwECFAAUAAAACACHTuJAsyjrmdIBAACMAwAADgAAAAAAAAABACAA&#10;AAAlAQAAZHJzL2Uyb0RvYy54bWxQSwUGAAAAAAYABgBZAQAAaQUAAAAA&#10;">
                <v:fill on="f" focussize="0,0"/>
                <v:stroke weight="0.48pt" color="#000000" joinstyle="round"/>
                <v:imagedata o:title=""/>
                <o:lock v:ext="edit" aspectratio="f"/>
              </v:line>
            </w:pict>
          </mc:Fallback>
        </mc:AlternateContent>
      </w:r>
      <w:r>
        <w:rPr>
          <w:rFonts w:ascii="MS PGothic" w:hAnsi="MS PGothic" w:eastAsia="MS PGothic"/>
          <w:b/>
          <w:sz w:val="27"/>
          <w:vertAlign w:val="superscript"/>
        </w:rPr>
        <mc:AlternateContent>
          <mc:Choice Requires="wps">
            <w:drawing>
              <wp:anchor distT="0" distB="0" distL="114300" distR="114300" simplePos="0" relativeHeight="251674624" behindDoc="1" locked="0" layoutInCell="0" allowOverlap="1">
                <wp:simplePos x="0" y="0"/>
                <wp:positionH relativeFrom="column">
                  <wp:posOffset>-4445</wp:posOffset>
                </wp:positionH>
                <wp:positionV relativeFrom="paragraph">
                  <wp:posOffset>180340</wp:posOffset>
                </wp:positionV>
                <wp:extent cx="0" cy="7242810"/>
                <wp:effectExtent l="4445" t="0" r="14605" b="15240"/>
                <wp:wrapNone/>
                <wp:docPr id="34" name="直接连接符 34"/>
                <wp:cNvGraphicFramePr/>
                <a:graphic xmlns:a="http://schemas.openxmlformats.org/drawingml/2006/main">
                  <a:graphicData uri="http://schemas.microsoft.com/office/word/2010/wordprocessingShape">
                    <wps:wsp>
                      <wps:cNvCnPr/>
                      <wps:spPr>
                        <a:xfrm>
                          <a:off x="0" y="0"/>
                          <a:ext cx="0" cy="7242810"/>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35pt;margin-top:14.2pt;height:570.3pt;width:0pt;z-index:-251641856;mso-width-relative:page;mso-height-relative:page;" filled="f" stroked="t" coordsize="21600,21600" o:allowincell="f" o:gfxdata="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mt8DNIAAAAHAQAADwAAAAAAAAABACAAAAAiAAAA&#10;ZHJzL2Rvd25yZXYueG1sUEsBAhQAFAAAAAgAh07iQP+Nv9fUAQAAjAMAAA4AAAAAAAAAAQAgAAAA&#10;IQEAAGRycy9lMm9Eb2MueG1sUEsFBgAAAAAGAAYAWQEAAGcFAAAAAA==&#10;">
                <v:fill on="f" focussize="0,0"/>
                <v:stroke weight="0.47992125984252pt" color="#000000" joinstyle="round"/>
                <v:imagedata o:title=""/>
                <o:lock v:ext="edit" aspectratio="f"/>
              </v:line>
            </w:pict>
          </mc:Fallback>
        </mc:AlternateContent>
      </w:r>
      <w:r>
        <w:rPr>
          <w:rFonts w:ascii="MS PGothic" w:hAnsi="MS PGothic" w:eastAsia="MS PGothic"/>
          <w:b/>
          <w:sz w:val="27"/>
          <w:vertAlign w:val="superscript"/>
        </w:rPr>
        <mc:AlternateContent>
          <mc:Choice Requires="wps">
            <w:drawing>
              <wp:anchor distT="0" distB="0" distL="114300" distR="114300" simplePos="0" relativeHeight="251675648" behindDoc="1" locked="0" layoutInCell="0" allowOverlap="1">
                <wp:simplePos x="0" y="0"/>
                <wp:positionH relativeFrom="column">
                  <wp:posOffset>-7620</wp:posOffset>
                </wp:positionH>
                <wp:positionV relativeFrom="paragraph">
                  <wp:posOffset>808355</wp:posOffset>
                </wp:positionV>
                <wp:extent cx="5607050" cy="0"/>
                <wp:effectExtent l="0" t="0" r="0" b="0"/>
                <wp:wrapNone/>
                <wp:docPr id="37" name="直接连接符 37"/>
                <wp:cNvGraphicFramePr/>
                <a:graphic xmlns:a="http://schemas.openxmlformats.org/drawingml/2006/main">
                  <a:graphicData uri="http://schemas.microsoft.com/office/word/2010/wordprocessingShape">
                    <wps:wsp>
                      <wps:cNvCnPr/>
                      <wps:spPr>
                        <a:xfrm>
                          <a:off x="0" y="0"/>
                          <a:ext cx="5607050" cy="0"/>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6pt;margin-top:63.65pt;height:0pt;width:441.5pt;z-index:-251640832;mso-width-relative:page;mso-height-relative:page;" filled="f" stroked="t" coordsize="21600,21600" o:allowincell="f" o:gfxdata="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bzCedMAAAAKAQAADwAAAAAAAAABACAAAAAiAAAA&#10;ZHJzL2Rvd25yZXYueG1sUEsBAhQAFAAAAAgAh07iQPR3WoPTAQAAjAMAAA4AAAAAAAAAAQAgAAAA&#10;IgEAAGRycy9lMm9Eb2MueG1sUEsFBgAAAAAGAAYAWQEAAGcFAAAAAA==&#10;">
                <v:fill on="f" focussize="0,0"/>
                <v:stroke weight="0.47992125984252pt" color="#000000" joinstyle="round"/>
                <v:imagedata o:title=""/>
                <o:lock v:ext="edit" aspectratio="f"/>
              </v:line>
            </w:pict>
          </mc:Fallback>
        </mc:AlternateContent>
      </w:r>
    </w:p>
    <w:p>
      <w:pPr>
        <w:spacing w:line="200" w:lineRule="exact"/>
        <w:rPr>
          <w:rFonts w:eastAsia="Times New Roman"/>
        </w:rPr>
      </w:pPr>
      <w:r>
        <w:rPr>
          <w:rFonts w:ascii="MS PGothic" w:hAnsi="MS PGothic" w:eastAsia="MS PGothic"/>
          <w:b/>
          <w:sz w:val="27"/>
          <w:vertAlign w:val="superscript"/>
        </w:rPr>
        <mc:AlternateContent>
          <mc:Choice Requires="wps">
            <w:drawing>
              <wp:anchor distT="0" distB="0" distL="114300" distR="114300" simplePos="0" relativeHeight="251676672" behindDoc="1" locked="0" layoutInCell="0" allowOverlap="1">
                <wp:simplePos x="0" y="0"/>
                <wp:positionH relativeFrom="column">
                  <wp:posOffset>5588000</wp:posOffset>
                </wp:positionH>
                <wp:positionV relativeFrom="paragraph">
                  <wp:posOffset>62865</wp:posOffset>
                </wp:positionV>
                <wp:extent cx="37465" cy="7242810"/>
                <wp:effectExtent l="4445" t="0" r="15240" b="15240"/>
                <wp:wrapTight wrapText="bothSides">
                  <wp:wrapPolygon>
                    <wp:start x="10251" y="0"/>
                    <wp:lineTo x="10251" y="21532"/>
                    <wp:lineTo x="23797" y="21532"/>
                    <wp:lineTo x="23797" y="0"/>
                    <wp:lineTo x="10251" y="0"/>
                  </wp:wrapPolygon>
                </wp:wrapTight>
                <wp:docPr id="21" name="直接连接符 21"/>
                <wp:cNvGraphicFramePr/>
                <a:graphic xmlns:a="http://schemas.openxmlformats.org/drawingml/2006/main">
                  <a:graphicData uri="http://schemas.microsoft.com/office/word/2010/wordprocessingShape">
                    <wps:wsp>
                      <wps:cNvCnPr/>
                      <wps:spPr>
                        <a:xfrm flipH="1">
                          <a:off x="0" y="0"/>
                          <a:ext cx="37465" cy="7242810"/>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440pt;margin-top:4.95pt;height:570.3pt;width:2.95pt;mso-wrap-distance-left:9pt;mso-wrap-distance-right:9pt;z-index:-251639808;mso-width-relative:page;mso-height-relative:page;" filled="f" stroked="t" coordsize="21600,21600" wrapcoords="10251 0 10251 21532 23797 21532 23797 0 10251 0" o:allowincell="f" o:gfxdata="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pTl4TYAAAACgEA&#10;AA8AAAAAAAAAAQAgAAAAIgAAAGRycy9kb3ducmV2LnhtbFBLAQIUABQAAAAIAIdO4kBd6XPs4QEA&#10;AJoDAAAOAAAAAAAAAAEAIAAAACcBAABkcnMvZTJvRG9jLnhtbFBLBQYAAAAABgAGAFkBAAB6BQAA&#10;AAA=&#10;">
                <v:fill on="f" focussize="0,0"/>
                <v:stroke weight="0.47992125984252pt" color="#000000" joinstyle="round"/>
                <v:imagedata o:title=""/>
                <o:lock v:ext="edit" aspectratio="f"/>
                <w10:wrap type="tight"/>
              </v:line>
            </w:pict>
          </mc:Fallback>
        </mc:AlternateContent>
      </w:r>
    </w:p>
    <w:p>
      <w:pPr>
        <w:spacing w:line="309" w:lineRule="exact"/>
        <w:rPr>
          <w:rFonts w:eastAsia="Times New Roman"/>
        </w:rPr>
      </w:pPr>
    </w:p>
    <w:p>
      <w:pPr>
        <w:spacing w:line="239" w:lineRule="auto"/>
        <w:ind w:left="3820"/>
        <w:rPr>
          <w:rFonts w:ascii="宋体" w:hAnsi="宋体"/>
          <w:sz w:val="21"/>
        </w:rPr>
      </w:pPr>
      <w:r>
        <w:rPr>
          <w:rFonts w:ascii="宋体" w:hAnsi="宋体"/>
          <w:sz w:val="21"/>
        </w:rPr>
        <w:t>信 誉 要 求</w:t>
      </w:r>
    </w:p>
    <w:p>
      <w:pPr>
        <w:spacing w:line="200" w:lineRule="exact"/>
        <w:rPr>
          <w:rFonts w:eastAsia="Times New Roman"/>
        </w:rPr>
      </w:pPr>
      <w:r>
        <w:rPr>
          <w:rFonts w:ascii="宋体" w:hAnsi="宋体"/>
          <w:sz w:val="21"/>
        </w:rPr>
        <mc:AlternateContent>
          <mc:Choice Requires="wps">
            <w:drawing>
              <wp:anchor distT="0" distB="0" distL="114300" distR="114300" simplePos="0" relativeHeight="251677696" behindDoc="1" locked="0" layoutInCell="0" allowOverlap="1">
                <wp:simplePos x="0" y="0"/>
                <wp:positionH relativeFrom="column">
                  <wp:posOffset>-7620</wp:posOffset>
                </wp:positionH>
                <wp:positionV relativeFrom="paragraph">
                  <wp:posOffset>6818630</wp:posOffset>
                </wp:positionV>
                <wp:extent cx="560705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607050" cy="0"/>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6pt;margin-top:536.9pt;height:0pt;width:441.5pt;z-index:-251638784;mso-width-relative:page;mso-height-relative:page;" filled="f" stroked="t" coordsize="21600,21600" o:allowincell="f" o:gfxdata="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ONiLdQAAAAMAQAADwAAAAAAAAABACAAAAAiAAAA&#10;ZHJzL2Rvd25yZXYueG1sUEsBAhQAFAAAAAgAh07iQNrL7gjSAQAAjAMAAA4AAAAAAAAAAQAgAAAA&#10;IwEAAGRycy9lMm9Eb2MueG1sUEsFBgAAAAAGAAYAWQEAAGcFAAAAAA==&#10;">
                <v:fill on="f" focussize="0,0"/>
                <v:stroke weight="0.47992125984252pt" color="#000000" joinstyle="round"/>
                <v:imagedata o:title=""/>
                <o:lock v:ext="edit" aspectratio="f"/>
              </v:line>
            </w:pict>
          </mc:Fallback>
        </mc:AlternateConten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widowControl w:val="0"/>
        <w:numPr>
          <w:ilvl w:val="0"/>
          <w:numId w:val="2"/>
        </w:numPr>
        <w:tabs>
          <w:tab w:val="right" w:leader="dot" w:pos="8295"/>
        </w:tabs>
        <w:adjustRightInd w:val="0"/>
        <w:snapToGrid w:val="0"/>
        <w:spacing w:line="360" w:lineRule="auto"/>
        <w:ind w:firstLine="480" w:firstLineChars="200"/>
        <w:rPr>
          <w:spacing w:val="-12"/>
          <w:sz w:val="24"/>
        </w:rPr>
      </w:pPr>
      <w:r>
        <w:rPr>
          <w:rFonts w:hint="eastAsia"/>
          <w:sz w:val="24"/>
        </w:rPr>
        <w:t>按照最新的信用评价结果，被河南省交通运输厅或交通运输部信用等级评定为</w:t>
      </w:r>
      <w:r>
        <w:rPr>
          <w:sz w:val="24"/>
        </w:rPr>
        <w:t>D</w:t>
      </w:r>
      <w:r>
        <w:rPr>
          <w:rFonts w:hint="eastAsia"/>
          <w:sz w:val="24"/>
        </w:rPr>
        <w:t>级施工</w:t>
      </w:r>
      <w:r>
        <w:rPr>
          <w:rFonts w:hint="eastAsia"/>
          <w:spacing w:val="-12"/>
          <w:sz w:val="24"/>
        </w:rPr>
        <w:t>企业不得参与投标。</w:t>
      </w:r>
    </w:p>
    <w:p>
      <w:pPr>
        <w:widowControl w:val="0"/>
        <w:tabs>
          <w:tab w:val="right" w:leader="dot" w:pos="8295"/>
        </w:tabs>
        <w:adjustRightInd w:val="0"/>
        <w:snapToGrid w:val="0"/>
        <w:spacing w:line="360" w:lineRule="auto"/>
        <w:ind w:firstLine="480" w:firstLineChars="200"/>
        <w:rPr>
          <w:sz w:val="24"/>
          <w:szCs w:val="22"/>
        </w:rPr>
      </w:pPr>
      <w:r>
        <w:rPr>
          <w:rFonts w:hint="eastAsia"/>
          <w:sz w:val="24"/>
          <w:szCs w:val="22"/>
        </w:rPr>
        <w:t>2、未被工商行政管理机关在全国企业信用信息公示系统中列入严重违法失信企业名单;未被最高人民法院在“信用中国”网站(www.creditchina.gov.cn)或各级信用信息共享平台中列入失信被执行人名单的投标单位。。</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tabs>
          <w:tab w:val="left" w:pos="1900"/>
        </w:tabs>
        <w:spacing w:line="326" w:lineRule="exact"/>
        <w:rPr>
          <w:sz w:val="18"/>
        </w:rPr>
      </w:pPr>
      <w:bookmarkStart w:id="16" w:name="page45"/>
      <w:bookmarkEnd w:id="16"/>
    </w:p>
    <w:p>
      <w:pPr>
        <w:tabs>
          <w:tab w:val="left" w:pos="1900"/>
        </w:tabs>
        <w:spacing w:line="326" w:lineRule="exact"/>
        <w:rPr>
          <w:sz w:val="18"/>
        </w:rPr>
      </w:pPr>
    </w:p>
    <w:p>
      <w:pPr>
        <w:tabs>
          <w:tab w:val="left" w:pos="1900"/>
        </w:tabs>
        <w:spacing w:line="326" w:lineRule="exact"/>
        <w:rPr>
          <w:sz w:val="18"/>
        </w:rPr>
      </w:pPr>
    </w:p>
    <w:p>
      <w:pPr>
        <w:tabs>
          <w:tab w:val="left" w:pos="1900"/>
        </w:tabs>
        <w:spacing w:line="326" w:lineRule="exact"/>
        <w:rPr>
          <w:sz w:val="18"/>
        </w:rPr>
      </w:pPr>
    </w:p>
    <w:p>
      <w:pPr>
        <w:tabs>
          <w:tab w:val="left" w:pos="1900"/>
        </w:tabs>
        <w:spacing w:line="326" w:lineRule="exact"/>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5</w:t>
      </w:r>
      <w:r>
        <w:rPr>
          <w:rFonts w:eastAsia="Times New Roman"/>
        </w:rPr>
        <w:tab/>
      </w:r>
      <w:r>
        <w:rPr>
          <w:rFonts w:ascii="宋体" w:hAnsi="宋体"/>
          <w:b/>
          <w:sz w:val="27"/>
        </w:rPr>
        <w:t>资格审查条件（项目经理和项目总工最低要求）</w:t>
      </w:r>
    </w:p>
    <w:p>
      <w:pPr>
        <w:spacing w:line="200" w:lineRule="exact"/>
      </w:pPr>
    </w:p>
    <w:tbl>
      <w:tblPr>
        <w:tblStyle w:val="13"/>
        <w:tblW w:w="9217" w:type="dxa"/>
        <w:jc w:val="center"/>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457"/>
        <w:gridCol w:w="994"/>
        <w:gridCol w:w="3685"/>
        <w:gridCol w:w="30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803" w:hRule="exact"/>
          <w:jc w:val="center"/>
        </w:trPr>
        <w:tc>
          <w:tcPr>
            <w:tcW w:w="1457" w:type="dxa"/>
            <w:vAlign w:val="center"/>
          </w:tcPr>
          <w:p>
            <w:pPr>
              <w:jc w:val="center"/>
              <w:rPr>
                <w:rFonts w:ascii="宋体" w:hAnsi="宋体"/>
                <w:sz w:val="24"/>
              </w:rPr>
            </w:pPr>
            <w:r>
              <w:rPr>
                <w:rFonts w:hint="eastAsia" w:ascii="宋体" w:hAnsi="宋体"/>
                <w:sz w:val="24"/>
              </w:rPr>
              <w:t>人  员</w:t>
            </w:r>
          </w:p>
        </w:tc>
        <w:tc>
          <w:tcPr>
            <w:tcW w:w="994" w:type="dxa"/>
            <w:vAlign w:val="center"/>
          </w:tcPr>
          <w:p>
            <w:pPr>
              <w:jc w:val="center"/>
              <w:rPr>
                <w:rFonts w:ascii="宋体" w:hAnsi="宋体"/>
                <w:sz w:val="24"/>
              </w:rPr>
            </w:pPr>
            <w:r>
              <w:rPr>
                <w:rFonts w:hint="eastAsia" w:ascii="宋体" w:hAnsi="宋体"/>
                <w:sz w:val="24"/>
              </w:rPr>
              <w:t>数  量</w:t>
            </w:r>
          </w:p>
        </w:tc>
        <w:tc>
          <w:tcPr>
            <w:tcW w:w="3685" w:type="dxa"/>
            <w:vAlign w:val="center"/>
          </w:tcPr>
          <w:p>
            <w:pPr>
              <w:jc w:val="center"/>
              <w:rPr>
                <w:rFonts w:ascii="宋体" w:hAnsi="宋体"/>
                <w:sz w:val="24"/>
              </w:rPr>
            </w:pPr>
            <w:r>
              <w:rPr>
                <w:rFonts w:hint="eastAsia" w:ascii="宋体" w:hAnsi="宋体"/>
                <w:sz w:val="24"/>
              </w:rPr>
              <w:t>资 格 要 求</w:t>
            </w:r>
          </w:p>
        </w:tc>
        <w:tc>
          <w:tcPr>
            <w:tcW w:w="3081" w:type="dxa"/>
          </w:tcPr>
          <w:p>
            <w:pPr>
              <w:jc w:val="center"/>
              <w:rPr>
                <w:rFonts w:ascii="宋体" w:hAnsi="宋体"/>
                <w:sz w:val="24"/>
              </w:rPr>
            </w:pPr>
            <w:r>
              <w:rPr>
                <w:rFonts w:ascii="宋体" w:hAnsi="宋体"/>
                <w:sz w:val="24"/>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074" w:hRule="atLeast"/>
          <w:jc w:val="center"/>
        </w:trPr>
        <w:tc>
          <w:tcPr>
            <w:tcW w:w="1457" w:type="dxa"/>
            <w:vAlign w:val="center"/>
          </w:tcPr>
          <w:p>
            <w:pPr>
              <w:jc w:val="center"/>
              <w:rPr>
                <w:rFonts w:ascii="宋体" w:hAnsi="宋体"/>
                <w:sz w:val="24"/>
              </w:rPr>
            </w:pPr>
            <w:r>
              <w:rPr>
                <w:rFonts w:hint="eastAsia" w:ascii="宋体" w:hAnsi="宋体"/>
                <w:sz w:val="24"/>
              </w:rPr>
              <w:t>项目经理</w:t>
            </w:r>
          </w:p>
        </w:tc>
        <w:tc>
          <w:tcPr>
            <w:tcW w:w="994" w:type="dxa"/>
            <w:vAlign w:val="center"/>
          </w:tcPr>
          <w:p>
            <w:pPr>
              <w:jc w:val="center"/>
              <w:rPr>
                <w:rFonts w:ascii="宋体" w:hAnsi="宋体"/>
                <w:sz w:val="24"/>
              </w:rPr>
            </w:pPr>
            <w:r>
              <w:rPr>
                <w:rFonts w:hint="eastAsia" w:ascii="宋体" w:hAnsi="宋体"/>
                <w:sz w:val="24"/>
              </w:rPr>
              <w:t>1</w:t>
            </w:r>
          </w:p>
        </w:tc>
        <w:tc>
          <w:tcPr>
            <w:tcW w:w="3685" w:type="dxa"/>
          </w:tcPr>
          <w:p>
            <w:pPr>
              <w:rPr>
                <w:szCs w:val="21"/>
              </w:rPr>
            </w:pPr>
          </w:p>
          <w:p>
            <w:pPr>
              <w:rPr>
                <w:szCs w:val="21"/>
              </w:rPr>
            </w:pPr>
          </w:p>
          <w:p>
            <w:pPr>
              <w:rPr>
                <w:szCs w:val="21"/>
              </w:rPr>
            </w:pPr>
          </w:p>
          <w:p>
            <w:pPr>
              <w:rPr>
                <w:szCs w:val="21"/>
              </w:rPr>
            </w:pPr>
          </w:p>
          <w:p>
            <w:pPr>
              <w:rPr>
                <w:szCs w:val="21"/>
              </w:rPr>
            </w:pPr>
          </w:p>
          <w:p>
            <w:pPr>
              <w:rPr>
                <w:szCs w:val="21"/>
              </w:rPr>
            </w:pPr>
          </w:p>
          <w:p>
            <w:pPr>
              <w:ind w:firstLine="240" w:firstLineChars="100"/>
              <w:rPr>
                <w:szCs w:val="21"/>
              </w:rPr>
            </w:pPr>
            <w:r>
              <w:rPr>
                <w:rFonts w:hint="eastAsia" w:ascii="宋体" w:hAnsi="宋体"/>
                <w:sz w:val="24"/>
              </w:rPr>
              <w:t>具备贰级及以上公路工程专业注册建造师执业资格，具备有效的安全生产考核合格证书，且未担任其他在施建设项目的项目经理。</w:t>
            </w:r>
          </w:p>
        </w:tc>
        <w:tc>
          <w:tcPr>
            <w:tcW w:w="3081" w:type="dxa"/>
            <w:vMerge w:val="restart"/>
          </w:tcPr>
          <w:p>
            <w:pPr>
              <w:rPr>
                <w:szCs w:val="21"/>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r>
              <w:rPr>
                <w:rFonts w:hint="eastAsia" w:ascii="宋体" w:hAnsi="宋体"/>
                <w:sz w:val="24"/>
              </w:rPr>
              <w:t>无在岗项目（指目前未在其他项目上任职，或虽在其他项目上任职但本项目中标后能够从该项目撤离）</w:t>
            </w:r>
          </w:p>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521" w:hRule="atLeast"/>
          <w:jc w:val="center"/>
        </w:trPr>
        <w:tc>
          <w:tcPr>
            <w:tcW w:w="1457" w:type="dxa"/>
            <w:vAlign w:val="center"/>
          </w:tcPr>
          <w:p>
            <w:pPr>
              <w:jc w:val="center"/>
              <w:rPr>
                <w:rFonts w:ascii="宋体" w:hAnsi="宋体"/>
                <w:sz w:val="24"/>
              </w:rPr>
            </w:pPr>
            <w:r>
              <w:rPr>
                <w:rFonts w:hint="eastAsia" w:ascii="宋体" w:hAnsi="宋体"/>
                <w:sz w:val="24"/>
              </w:rPr>
              <w:t>项目总工程师</w:t>
            </w:r>
          </w:p>
        </w:tc>
        <w:tc>
          <w:tcPr>
            <w:tcW w:w="994" w:type="dxa"/>
            <w:vAlign w:val="center"/>
          </w:tcPr>
          <w:p>
            <w:pPr>
              <w:jc w:val="center"/>
              <w:rPr>
                <w:rFonts w:ascii="宋体" w:hAnsi="宋体"/>
                <w:sz w:val="24"/>
              </w:rPr>
            </w:pPr>
            <w:r>
              <w:rPr>
                <w:rFonts w:hint="eastAsia" w:ascii="宋体" w:hAnsi="宋体"/>
                <w:sz w:val="24"/>
              </w:rPr>
              <w:t>1</w:t>
            </w:r>
          </w:p>
        </w:tc>
        <w:tc>
          <w:tcPr>
            <w:tcW w:w="3685"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firstLine="240" w:firstLineChars="100"/>
              <w:rPr>
                <w:szCs w:val="21"/>
              </w:rPr>
            </w:pPr>
            <w:r>
              <w:rPr>
                <w:rFonts w:hint="eastAsia" w:ascii="宋体" w:hAnsi="宋体"/>
                <w:sz w:val="24"/>
              </w:rPr>
              <w:t>中级及以上相关专业技术职称。</w:t>
            </w:r>
            <w:r>
              <w:rPr>
                <w:szCs w:val="21"/>
              </w:rPr>
              <w:t xml:space="preserve"> </w:t>
            </w:r>
          </w:p>
        </w:tc>
        <w:tc>
          <w:tcPr>
            <w:tcW w:w="3081" w:type="dxa"/>
            <w:vMerge w:val="continue"/>
          </w:tcPr>
          <w:p>
            <w:pPr>
              <w:rPr>
                <w:szCs w:val="21"/>
              </w:rPr>
            </w:pPr>
          </w:p>
        </w:tc>
      </w:tr>
    </w:tbl>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pPr>
    </w:p>
    <w:p>
      <w:pPr>
        <w:spacing w:line="303" w:lineRule="exact"/>
      </w:pPr>
    </w:p>
    <w:p>
      <w:pPr>
        <w:spacing w:line="303" w:lineRule="exact"/>
      </w:pPr>
    </w:p>
    <w:p>
      <w:pPr>
        <w:spacing w:line="303" w:lineRule="exact"/>
      </w:pPr>
    </w:p>
    <w:p>
      <w:pPr>
        <w:spacing w:line="303" w:lineRule="exact"/>
      </w:pPr>
    </w:p>
    <w:p>
      <w:pPr>
        <w:spacing w:line="303" w:lineRule="exact"/>
      </w:pPr>
    </w:p>
    <w:p>
      <w:pPr>
        <w:tabs>
          <w:tab w:val="left" w:pos="2000"/>
        </w:tabs>
        <w:spacing w:line="326" w:lineRule="exact"/>
        <w:ind w:left="960"/>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6</w:t>
      </w:r>
      <w:r>
        <w:rPr>
          <w:rFonts w:eastAsia="Times New Roman"/>
        </w:rPr>
        <w:tab/>
      </w:r>
      <w:r>
        <w:rPr>
          <w:rFonts w:ascii="宋体" w:hAnsi="宋体"/>
          <w:b/>
          <w:sz w:val="27"/>
        </w:rPr>
        <w:t>资格审查条件（其他管理和技术人员最低要求）</w:t>
      </w:r>
    </w:p>
    <w:p>
      <w:pPr>
        <w:spacing w:line="265" w:lineRule="exact"/>
        <w:rPr>
          <w:rFonts w:eastAsia="Times New Roman"/>
        </w:rPr>
      </w:pPr>
    </w:p>
    <w:tbl>
      <w:tblPr>
        <w:tblStyle w:val="13"/>
        <w:tblW w:w="9300"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706" w:hRule="atLeast"/>
        </w:trPr>
        <w:tc>
          <w:tcPr>
            <w:tcW w:w="2250" w:type="dxa"/>
            <w:vAlign w:val="center"/>
          </w:tcPr>
          <w:p>
            <w:pPr>
              <w:jc w:val="center"/>
              <w:rPr>
                <w:rFonts w:ascii="宋体" w:hAnsi="宋体"/>
                <w:sz w:val="24"/>
              </w:rPr>
            </w:pPr>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93"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财务负责人</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会计师，工程经验3年以上，从事类似工作2年以上。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质检工程师</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工程师，工程经验3年以上，从事类似工程2年以上。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42"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路基、路面工程师</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工程师，工程经验3年以上，从事类似工作2年以上。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42"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测量工程师</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工程师，工程经验3年以上，从事类似工作2年以上。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42"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试验负责人</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工程师，工程经验3年以上，从事类似工作2年以上，具有交通运输部颁发的试验检测工程师资格证。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42"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机械工程师</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工程师，工程经验3年以上，从事类似工作2年以上。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42"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专职安全员</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从事类似工作3年以上</w:t>
            </w:r>
            <w:r>
              <w:rPr>
                <w:rFonts w:hint="eastAsia" w:ascii="宋体" w:hAnsi="宋体"/>
                <w:sz w:val="24"/>
                <w:szCs w:val="22"/>
                <w:lang w:val="zh-CN"/>
              </w:rPr>
              <w:t>，</w:t>
            </w:r>
            <w:r>
              <w:rPr>
                <w:rFonts w:hint="eastAsia" w:ascii="宋体" w:hAnsi="宋体"/>
                <w:sz w:val="24"/>
                <w:szCs w:val="22"/>
              </w:rPr>
              <w:t>具有有效的安全生产考核合格证。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42" w:hRule="atLeast"/>
        </w:trPr>
        <w:tc>
          <w:tcPr>
            <w:tcW w:w="2250" w:type="dxa"/>
            <w:tcBorders>
              <w:bottom w:val="single" w:color="auto" w:sz="6" w:space="0"/>
            </w:tcBorders>
            <w:vAlign w:val="center"/>
          </w:tcPr>
          <w:p>
            <w:pPr>
              <w:jc w:val="center"/>
              <w:rPr>
                <w:rFonts w:ascii="宋体" w:hAnsi="宋体"/>
                <w:sz w:val="24"/>
              </w:rPr>
            </w:pPr>
          </w:p>
        </w:tc>
        <w:tc>
          <w:tcPr>
            <w:tcW w:w="1997" w:type="dxa"/>
            <w:tcBorders>
              <w:bottom w:val="single" w:color="auto" w:sz="6" w:space="0"/>
            </w:tcBorders>
            <w:vAlign w:val="center"/>
          </w:tcPr>
          <w:p>
            <w:pPr>
              <w:jc w:val="center"/>
              <w:rPr>
                <w:rFonts w:ascii="宋体" w:hAnsi="宋体"/>
                <w:sz w:val="24"/>
              </w:rPr>
            </w:pPr>
          </w:p>
        </w:tc>
        <w:tc>
          <w:tcPr>
            <w:tcW w:w="5053" w:type="dxa"/>
            <w:tcBorders>
              <w:bottom w:val="single" w:color="auto" w:sz="6"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42" w:hRule="atLeast"/>
        </w:trPr>
        <w:tc>
          <w:tcPr>
            <w:tcW w:w="2250" w:type="dxa"/>
            <w:tcBorders>
              <w:top w:val="single" w:color="auto" w:sz="6" w:space="0"/>
              <w:bottom w:val="single" w:color="auto" w:sz="4" w:space="0"/>
            </w:tcBorders>
            <w:vAlign w:val="center"/>
          </w:tcPr>
          <w:p>
            <w:pPr>
              <w:jc w:val="center"/>
              <w:rPr>
                <w:rFonts w:ascii="宋体" w:hAnsi="宋体"/>
                <w:sz w:val="24"/>
              </w:rPr>
            </w:pPr>
          </w:p>
        </w:tc>
        <w:tc>
          <w:tcPr>
            <w:tcW w:w="1997" w:type="dxa"/>
            <w:tcBorders>
              <w:top w:val="single" w:color="auto" w:sz="6" w:space="0"/>
              <w:bottom w:val="single" w:color="auto" w:sz="4" w:space="0"/>
            </w:tcBorders>
            <w:vAlign w:val="center"/>
          </w:tcPr>
          <w:p>
            <w:pPr>
              <w:jc w:val="center"/>
              <w:rPr>
                <w:rFonts w:ascii="宋体" w:hAnsi="宋体"/>
                <w:sz w:val="24"/>
              </w:rPr>
            </w:pPr>
          </w:p>
        </w:tc>
        <w:tc>
          <w:tcPr>
            <w:tcW w:w="5053" w:type="dxa"/>
            <w:tcBorders>
              <w:top w:val="single" w:color="auto" w:sz="6"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42" w:hRule="atLeast"/>
        </w:trPr>
        <w:tc>
          <w:tcPr>
            <w:tcW w:w="9300" w:type="dxa"/>
            <w:gridSpan w:val="3"/>
            <w:tcBorders>
              <w:top w:val="single" w:color="auto" w:sz="4" w:space="0"/>
              <w:left w:val="nil"/>
              <w:bottom w:val="nil"/>
              <w:right w:val="nil"/>
            </w:tcBorders>
            <w:vAlign w:val="center"/>
          </w:tcPr>
          <w:p>
            <w:pPr>
              <w:rPr>
                <w:rFonts w:ascii="宋体" w:hAnsi="宋体"/>
                <w:sz w:val="24"/>
              </w:rPr>
            </w:pPr>
            <w:r>
              <w:rPr>
                <w:rFonts w:hint="eastAsia" w:ascii="宋体" w:hAnsi="宋体"/>
                <w:sz w:val="24"/>
              </w:rPr>
              <w:t>只需做出承诺，不再提供相关证明原件及复印件。</w:t>
            </w:r>
          </w:p>
          <w:p>
            <w:pPr>
              <w:jc w:val="center"/>
              <w:rPr>
                <w:rFonts w:ascii="宋体" w:hAnsi="宋体"/>
                <w:sz w:val="24"/>
              </w:rPr>
            </w:pPr>
          </w:p>
        </w:tc>
      </w:tr>
    </w:tbl>
    <w:p>
      <w:pPr>
        <w:spacing w:line="264" w:lineRule="exact"/>
        <w:jc w:val="both"/>
        <w:rPr>
          <w:rFonts w:ascii="宋体" w:hAnsi="宋体"/>
          <w:sz w:val="18"/>
        </w:rPr>
        <w:sectPr>
          <w:pgSz w:w="11906" w:h="16838"/>
          <w:pgMar w:top="1440" w:right="1440" w:bottom="1440" w:left="1440" w:header="0" w:footer="567" w:gutter="0"/>
          <w:cols w:space="720" w:num="1"/>
          <w:docGrid w:linePitch="360" w:charSpace="0"/>
        </w:sectPr>
      </w:pPr>
    </w:p>
    <w:p>
      <w:pPr>
        <w:spacing w:line="239" w:lineRule="auto"/>
        <w:rPr>
          <w:sz w:val="18"/>
        </w:rPr>
        <w:sectPr>
          <w:type w:val="continuous"/>
          <w:pgSz w:w="11906" w:h="16838"/>
          <w:pgMar w:top="1440" w:right="1440" w:bottom="1440" w:left="1440" w:header="0" w:footer="0" w:gutter="0"/>
          <w:cols w:space="720" w:num="1"/>
          <w:docGrid w:linePitch="360" w:charSpace="0"/>
        </w:sectPr>
      </w:pPr>
    </w:p>
    <w:p>
      <w:pPr>
        <w:spacing w:line="0" w:lineRule="atLeast"/>
        <w:rPr>
          <w:rFonts w:eastAsia="Times New Roman"/>
        </w:rPr>
      </w:pPr>
      <w:bookmarkStart w:id="17" w:name="page48"/>
      <w:bookmarkEnd w:id="17"/>
      <w:bookmarkStart w:id="18" w:name="page47"/>
      <w:bookmarkEnd w:id="18"/>
      <w:r>
        <w:rPr>
          <w:rFonts w:ascii="黑体" w:hAnsi="黑体" w:eastAsia="黑体"/>
          <w:b/>
          <w:sz w:val="28"/>
        </w:rPr>
        <w:t xml:space="preserve">1. </w:t>
      </w:r>
      <w:r>
        <w:rPr>
          <w:rFonts w:ascii="宋体" w:hAnsi="宋体"/>
          <w:b/>
          <w:sz w:val="28"/>
        </w:rPr>
        <w:t>总则</w:t>
      </w:r>
    </w:p>
    <w:p>
      <w:pPr>
        <w:numPr>
          <w:ilvl w:val="0"/>
          <w:numId w:val="3"/>
        </w:numPr>
        <w:tabs>
          <w:tab w:val="left" w:pos="480"/>
        </w:tabs>
        <w:spacing w:line="0" w:lineRule="atLeast"/>
        <w:ind w:left="480" w:hanging="471"/>
        <w:jc w:val="both"/>
        <w:rPr>
          <w:rFonts w:ascii="黑体" w:hAnsi="黑体" w:eastAsia="黑体"/>
          <w:sz w:val="24"/>
        </w:rPr>
      </w:pPr>
      <w:r>
        <w:rPr>
          <w:rFonts w:ascii="宋体" w:hAnsi="宋体"/>
          <w:b/>
          <w:sz w:val="24"/>
        </w:rPr>
        <w:t>项目概况</w:t>
      </w:r>
    </w:p>
    <w:p>
      <w:pPr>
        <w:numPr>
          <w:ilvl w:val="1"/>
          <w:numId w:val="3"/>
        </w:numPr>
        <w:tabs>
          <w:tab w:val="left" w:pos="1080"/>
        </w:tabs>
        <w:spacing w:line="323" w:lineRule="auto"/>
        <w:ind w:left="-120" w:firstLine="609"/>
        <w:rPr>
          <w:rFonts w:eastAsia="Times New Roman"/>
          <w:sz w:val="24"/>
        </w:rPr>
      </w:pPr>
      <w:r>
        <w:rPr>
          <w:rFonts w:ascii="宋体" w:hAnsi="宋体"/>
          <w:sz w:val="24"/>
        </w:rPr>
        <w:t>根据《中华人民共和国招标投标法》《中华人民共和国招标投标法实施条例》《公路工程建设项目招标投标管理办法》等有关法律、法规和规章的规定，本招标项目已具备招标条件，现对本标段施工进行招标。</w:t>
      </w:r>
    </w:p>
    <w:p>
      <w:pPr>
        <w:tabs>
          <w:tab w:val="left" w:pos="1080"/>
        </w:tabs>
        <w:spacing w:line="323" w:lineRule="auto"/>
        <w:ind w:firstLine="480" w:firstLineChars="200"/>
        <w:rPr>
          <w:rFonts w:ascii="宋体" w:hAnsi="宋体"/>
          <w:sz w:val="24"/>
        </w:rPr>
      </w:pPr>
      <w:r>
        <w:rPr>
          <w:rFonts w:hint="eastAsia" w:ascii="宋体" w:hAnsi="宋体"/>
          <w:sz w:val="24"/>
        </w:rPr>
        <w:t>1.1.2 本招标项目招标人：见投标人须知前附表。</w:t>
      </w:r>
    </w:p>
    <w:p>
      <w:pPr>
        <w:tabs>
          <w:tab w:val="left" w:pos="1080"/>
        </w:tabs>
        <w:spacing w:line="323" w:lineRule="auto"/>
        <w:ind w:firstLine="480" w:firstLineChars="200"/>
        <w:rPr>
          <w:rFonts w:ascii="宋体" w:hAnsi="宋体"/>
          <w:sz w:val="24"/>
        </w:rPr>
      </w:pPr>
      <w:r>
        <w:rPr>
          <w:rFonts w:hint="eastAsia" w:ascii="宋体" w:hAnsi="宋体"/>
          <w:sz w:val="24"/>
        </w:rPr>
        <w:t>1.1.3 本标段招标代理机构：见投标人须知前附表。</w:t>
      </w:r>
    </w:p>
    <w:p>
      <w:pPr>
        <w:tabs>
          <w:tab w:val="left" w:pos="1080"/>
        </w:tabs>
        <w:spacing w:line="323" w:lineRule="auto"/>
        <w:ind w:firstLine="480" w:firstLineChars="200"/>
        <w:rPr>
          <w:rFonts w:ascii="宋体" w:hAnsi="宋体"/>
          <w:sz w:val="24"/>
        </w:rPr>
      </w:pPr>
      <w:r>
        <w:rPr>
          <w:rFonts w:hint="eastAsia" w:ascii="宋体" w:hAnsi="宋体"/>
          <w:sz w:val="24"/>
        </w:rPr>
        <w:t>1.1.4 本招标项目名称：见投标人须知前附表。</w:t>
      </w:r>
    </w:p>
    <w:p>
      <w:pPr>
        <w:tabs>
          <w:tab w:val="left" w:pos="1080"/>
        </w:tabs>
        <w:spacing w:line="323" w:lineRule="auto"/>
        <w:ind w:firstLine="480" w:firstLineChars="200"/>
        <w:rPr>
          <w:rFonts w:eastAsia="Times New Roman"/>
        </w:rPr>
      </w:pPr>
      <w:r>
        <w:rPr>
          <w:rFonts w:hint="eastAsia" w:ascii="宋体" w:hAnsi="宋体"/>
          <w:sz w:val="24"/>
        </w:rPr>
        <w:t>1.1.5 本标段建设地点：见投标人须知前附表。</w:t>
      </w:r>
    </w:p>
    <w:p>
      <w:pPr>
        <w:numPr>
          <w:ilvl w:val="0"/>
          <w:numId w:val="4"/>
        </w:numPr>
        <w:tabs>
          <w:tab w:val="left" w:pos="480"/>
        </w:tabs>
        <w:spacing w:line="0" w:lineRule="atLeast"/>
        <w:ind w:left="480" w:hanging="471"/>
        <w:jc w:val="both"/>
        <w:rPr>
          <w:rFonts w:ascii="黑体" w:hAnsi="黑体" w:eastAsia="黑体"/>
          <w:sz w:val="24"/>
        </w:rPr>
      </w:pPr>
      <w:r>
        <w:rPr>
          <w:rFonts w:ascii="宋体" w:hAnsi="宋体"/>
          <w:b/>
          <w:sz w:val="24"/>
        </w:rPr>
        <w:t>招标项目的资金来源和落实情况</w:t>
      </w:r>
    </w:p>
    <w:p>
      <w:pPr>
        <w:tabs>
          <w:tab w:val="left" w:pos="1080"/>
        </w:tabs>
        <w:spacing w:line="323" w:lineRule="auto"/>
        <w:ind w:firstLine="480" w:firstLineChars="200"/>
        <w:rPr>
          <w:rFonts w:ascii="宋体" w:hAnsi="宋体"/>
          <w:sz w:val="24"/>
          <w:szCs w:val="22"/>
        </w:rPr>
      </w:pPr>
      <w:r>
        <w:rPr>
          <w:rFonts w:hint="eastAsia" w:ascii="宋体" w:hAnsi="宋体"/>
          <w:sz w:val="24"/>
          <w:szCs w:val="22"/>
        </w:rPr>
        <w:t>1.2.1资金来源及比例：见投标人须知前附表。</w:t>
      </w:r>
    </w:p>
    <w:p>
      <w:pPr>
        <w:tabs>
          <w:tab w:val="left" w:pos="1080"/>
        </w:tabs>
        <w:spacing w:line="323" w:lineRule="auto"/>
        <w:ind w:firstLine="480" w:firstLineChars="200"/>
        <w:rPr>
          <w:rFonts w:ascii="宋体" w:hAnsi="宋体"/>
          <w:sz w:val="24"/>
          <w:szCs w:val="22"/>
        </w:rPr>
      </w:pPr>
      <w:r>
        <w:rPr>
          <w:rFonts w:hint="eastAsia" w:ascii="宋体" w:hAnsi="宋体"/>
          <w:sz w:val="24"/>
          <w:szCs w:val="22"/>
        </w:rPr>
        <w:t>1.2.2资金落实情况：见投标人须知前附表。</w:t>
      </w:r>
    </w:p>
    <w:p>
      <w:pPr>
        <w:numPr>
          <w:ilvl w:val="0"/>
          <w:numId w:val="4"/>
        </w:numPr>
        <w:tabs>
          <w:tab w:val="left" w:pos="480"/>
        </w:tabs>
        <w:spacing w:line="0" w:lineRule="atLeast"/>
        <w:ind w:left="480" w:hanging="471"/>
        <w:jc w:val="both"/>
        <w:rPr>
          <w:rFonts w:ascii="黑体" w:hAnsi="黑体" w:eastAsia="黑体"/>
          <w:sz w:val="24"/>
        </w:rPr>
      </w:pPr>
      <w:r>
        <w:rPr>
          <w:rFonts w:ascii="宋体" w:hAnsi="宋体"/>
          <w:b/>
          <w:sz w:val="24"/>
        </w:rPr>
        <w:t>招标范围、计划工期、质量要求和安全目标</w:t>
      </w:r>
    </w:p>
    <w:p>
      <w:pPr>
        <w:spacing w:line="400" w:lineRule="exact"/>
        <w:ind w:firstLine="480" w:firstLineChars="200"/>
        <w:rPr>
          <w:rFonts w:ascii="宋体" w:hAnsi="宋体"/>
          <w:sz w:val="24"/>
        </w:rPr>
      </w:pPr>
      <w:r>
        <w:rPr>
          <w:rFonts w:ascii="宋体" w:hAnsi="宋体"/>
          <w:sz w:val="24"/>
        </w:rPr>
        <w:t>1.3.1 本次招标范围：见投标人须知前附表。</w:t>
      </w:r>
    </w:p>
    <w:p>
      <w:pPr>
        <w:spacing w:line="400" w:lineRule="exact"/>
        <w:ind w:firstLine="480" w:firstLineChars="200"/>
        <w:rPr>
          <w:rFonts w:ascii="宋体" w:hAnsi="宋体"/>
          <w:sz w:val="24"/>
        </w:rPr>
      </w:pPr>
      <w:r>
        <w:rPr>
          <w:rFonts w:ascii="宋体" w:hAnsi="宋体"/>
          <w:sz w:val="24"/>
        </w:rPr>
        <w:t>1.3.2 本标段的计划工期：见投标人须知前附表。</w:t>
      </w:r>
    </w:p>
    <w:p>
      <w:pPr>
        <w:spacing w:line="400" w:lineRule="exact"/>
        <w:ind w:firstLine="480" w:firstLineChars="200"/>
        <w:rPr>
          <w:rFonts w:ascii="宋体" w:hAnsi="宋体"/>
          <w:sz w:val="24"/>
        </w:rPr>
      </w:pPr>
      <w:r>
        <w:rPr>
          <w:rFonts w:ascii="宋体" w:hAnsi="宋体"/>
          <w:sz w:val="24"/>
        </w:rPr>
        <w:t>1.3.3 本标段的质量要求：见投标人须知前附表。</w:t>
      </w:r>
    </w:p>
    <w:p>
      <w:pPr>
        <w:spacing w:line="97" w:lineRule="exact"/>
        <w:rPr>
          <w:rFonts w:eastAsia="Times New Roman"/>
        </w:rPr>
      </w:pPr>
    </w:p>
    <w:p>
      <w:pPr>
        <w:spacing w:line="400" w:lineRule="exact"/>
        <w:ind w:firstLine="480" w:firstLineChars="200"/>
        <w:rPr>
          <w:rFonts w:eastAsia="Times New Roman"/>
        </w:rPr>
      </w:pPr>
      <w:r>
        <w:rPr>
          <w:rFonts w:ascii="宋体" w:hAnsi="宋体"/>
          <w:sz w:val="24"/>
        </w:rPr>
        <w:t>1.3.4 本标段的安全目标：见投标人须知前附表。</w:t>
      </w:r>
    </w:p>
    <w:p>
      <w:pPr>
        <w:numPr>
          <w:ilvl w:val="0"/>
          <w:numId w:val="5"/>
        </w:numPr>
        <w:tabs>
          <w:tab w:val="left" w:pos="480"/>
        </w:tabs>
        <w:spacing w:line="0" w:lineRule="atLeast"/>
        <w:ind w:left="480" w:hanging="471"/>
        <w:jc w:val="both"/>
        <w:rPr>
          <w:rFonts w:ascii="黑体" w:hAnsi="黑体" w:eastAsia="黑体"/>
          <w:sz w:val="24"/>
        </w:rPr>
      </w:pPr>
      <w:r>
        <w:rPr>
          <w:rFonts w:ascii="宋体" w:hAnsi="宋体"/>
          <w:b/>
          <w:sz w:val="24"/>
        </w:rPr>
        <w:t>投标人资格要求</w:t>
      </w:r>
    </w:p>
    <w:p>
      <w:pPr>
        <w:numPr>
          <w:ilvl w:val="1"/>
          <w:numId w:val="5"/>
        </w:numPr>
        <w:tabs>
          <w:tab w:val="left" w:pos="1080"/>
        </w:tabs>
        <w:spacing w:line="326" w:lineRule="auto"/>
        <w:ind w:left="360" w:firstLine="129"/>
        <w:rPr>
          <w:rFonts w:eastAsia="Times New Roman"/>
          <w:sz w:val="24"/>
        </w:rPr>
      </w:pPr>
      <w:r>
        <w:rPr>
          <w:rFonts w:ascii="宋体" w:hAnsi="宋体"/>
          <w:sz w:val="24"/>
        </w:rPr>
        <w:t>投标人应具备承担本标段施工的资质条件、能力和信誉。</w:t>
      </w:r>
    </w:p>
    <w:p>
      <w:pPr>
        <w:tabs>
          <w:tab w:val="left" w:pos="1080"/>
        </w:tabs>
        <w:spacing w:line="326" w:lineRule="auto"/>
        <w:ind w:left="489" w:firstLine="110" w:firstLineChars="46"/>
        <w:rPr>
          <w:rFonts w:eastAsia="Times New Roman"/>
          <w:sz w:val="24"/>
        </w:rPr>
      </w:pPr>
      <w:r>
        <w:rPr>
          <w:rFonts w:ascii="宋体" w:hAnsi="宋体"/>
          <w:sz w:val="24"/>
        </w:rPr>
        <w:t>（</w:t>
      </w:r>
      <w:r>
        <w:rPr>
          <w:rFonts w:eastAsia="Times New Roman"/>
          <w:sz w:val="24"/>
        </w:rPr>
        <w:t>1</w:t>
      </w:r>
      <w:r>
        <w:rPr>
          <w:rFonts w:ascii="宋体" w:hAnsi="宋体"/>
          <w:sz w:val="24"/>
        </w:rPr>
        <w:t>）资质要求：见投标人须知前附表；</w:t>
      </w:r>
    </w:p>
    <w:p>
      <w:pPr>
        <w:tabs>
          <w:tab w:val="left" w:pos="1080"/>
        </w:tabs>
        <w:spacing w:line="326" w:lineRule="auto"/>
        <w:ind w:firstLine="600" w:firstLineChars="250"/>
        <w:rPr>
          <w:rFonts w:ascii="宋体" w:hAnsi="宋体"/>
          <w:sz w:val="24"/>
        </w:rPr>
      </w:pPr>
      <w:r>
        <w:rPr>
          <w:rFonts w:ascii="宋体" w:hAnsi="宋体"/>
          <w:sz w:val="24"/>
        </w:rPr>
        <w:t>（</w:t>
      </w:r>
      <w:r>
        <w:rPr>
          <w:rFonts w:eastAsia="Times New Roman"/>
          <w:sz w:val="24"/>
        </w:rPr>
        <w:t>2</w:t>
      </w:r>
      <w:r>
        <w:rPr>
          <w:rFonts w:ascii="宋体" w:hAnsi="宋体"/>
          <w:sz w:val="24"/>
        </w:rPr>
        <w:t>）财务要求：见投标人须知前附表；</w:t>
      </w:r>
    </w:p>
    <w:p>
      <w:pPr>
        <w:tabs>
          <w:tab w:val="left" w:pos="1080"/>
        </w:tabs>
        <w:spacing w:line="326" w:lineRule="auto"/>
        <w:ind w:left="360" w:firstLine="240" w:firstLineChars="100"/>
        <w:rPr>
          <w:rFonts w:ascii="宋体" w:hAnsi="宋体"/>
          <w:sz w:val="24"/>
        </w:rPr>
      </w:pPr>
      <w:r>
        <w:rPr>
          <w:rFonts w:ascii="宋体" w:hAnsi="宋体"/>
          <w:sz w:val="24"/>
        </w:rPr>
        <w:t>（</w:t>
      </w:r>
      <w:r>
        <w:rPr>
          <w:rFonts w:eastAsia="Times New Roman"/>
          <w:sz w:val="24"/>
        </w:rPr>
        <w:t>3</w:t>
      </w:r>
      <w:r>
        <w:rPr>
          <w:rFonts w:ascii="宋体" w:hAnsi="宋体"/>
          <w:sz w:val="24"/>
        </w:rPr>
        <w:t>）业绩要求：见投标人须知前附表；</w:t>
      </w:r>
    </w:p>
    <w:p>
      <w:pPr>
        <w:tabs>
          <w:tab w:val="left" w:pos="1080"/>
        </w:tabs>
        <w:spacing w:line="326" w:lineRule="auto"/>
        <w:ind w:left="360" w:firstLine="240" w:firstLineChars="100"/>
        <w:rPr>
          <w:sz w:val="24"/>
        </w:rPr>
      </w:pPr>
      <w:r>
        <w:rPr>
          <w:rFonts w:ascii="宋体" w:hAnsi="宋体"/>
          <w:sz w:val="24"/>
        </w:rPr>
        <w:t>（</w:t>
      </w:r>
      <w:r>
        <w:rPr>
          <w:rFonts w:eastAsia="Times New Roman"/>
          <w:sz w:val="24"/>
        </w:rPr>
        <w:t>4</w:t>
      </w:r>
      <w:r>
        <w:rPr>
          <w:rFonts w:ascii="宋体" w:hAnsi="宋体"/>
          <w:sz w:val="24"/>
        </w:rPr>
        <w:t>）信誉要求：见投标人须知前附表；</w:t>
      </w:r>
    </w:p>
    <w:p>
      <w:pPr>
        <w:spacing w:line="306" w:lineRule="auto"/>
        <w:ind w:left="360" w:firstLine="240" w:firstLineChars="100"/>
        <w:jc w:val="both"/>
        <w:rPr>
          <w:rFonts w:ascii="宋体" w:hAnsi="宋体"/>
          <w:sz w:val="24"/>
        </w:rPr>
      </w:pPr>
      <w:r>
        <w:rPr>
          <w:rFonts w:ascii="宋体" w:hAnsi="宋体"/>
          <w:sz w:val="24"/>
        </w:rPr>
        <w:t>（</w:t>
      </w:r>
      <w:r>
        <w:rPr>
          <w:rFonts w:eastAsia="Times New Roman"/>
          <w:sz w:val="24"/>
        </w:rPr>
        <w:t>5</w:t>
      </w:r>
      <w:r>
        <w:rPr>
          <w:rFonts w:ascii="宋体" w:hAnsi="宋体"/>
          <w:sz w:val="24"/>
        </w:rPr>
        <w:t>）项目经理和项目总工资格：见投标人须知前附表；</w:t>
      </w:r>
    </w:p>
    <w:p>
      <w:pPr>
        <w:spacing w:line="306" w:lineRule="auto"/>
        <w:ind w:left="360" w:firstLine="240" w:firstLineChars="100"/>
        <w:jc w:val="both"/>
        <w:rPr>
          <w:rFonts w:ascii="宋体" w:hAnsi="宋体"/>
          <w:sz w:val="24"/>
        </w:rPr>
      </w:pPr>
      <w:r>
        <w:rPr>
          <w:rFonts w:ascii="宋体" w:hAnsi="宋体"/>
          <w:sz w:val="24"/>
        </w:rPr>
        <w:t>（</w:t>
      </w:r>
      <w:r>
        <w:rPr>
          <w:rFonts w:eastAsia="Times New Roman"/>
          <w:sz w:val="24"/>
        </w:rPr>
        <w:t>6</w:t>
      </w:r>
      <w:r>
        <w:rPr>
          <w:rFonts w:ascii="宋体" w:hAnsi="宋体"/>
          <w:sz w:val="24"/>
        </w:rPr>
        <w:t>）其他要求：见投标人须知前附表。</w:t>
      </w:r>
    </w:p>
    <w:p>
      <w:pPr>
        <w:spacing w:line="29" w:lineRule="exact"/>
        <w:rPr>
          <w:rFonts w:eastAsia="Times New Roman"/>
          <w:sz w:val="24"/>
        </w:rPr>
      </w:pPr>
    </w:p>
    <w:p>
      <w:pPr>
        <w:spacing w:line="0" w:lineRule="atLeast"/>
        <w:ind w:left="480"/>
        <w:jc w:val="both"/>
        <w:rPr>
          <w:rFonts w:ascii="宋体" w:hAnsi="宋体"/>
          <w:sz w:val="24"/>
        </w:rPr>
      </w:pPr>
      <w:r>
        <w:rPr>
          <w:rFonts w:ascii="宋体" w:hAnsi="宋体"/>
          <w:sz w:val="24"/>
        </w:rPr>
        <w:t xml:space="preserve">需要提交的相关证明材料见本章第 </w:t>
      </w:r>
      <w:r>
        <w:rPr>
          <w:rFonts w:eastAsia="Times New Roman"/>
          <w:sz w:val="24"/>
        </w:rPr>
        <w:t>3.5</w:t>
      </w:r>
      <w:r>
        <w:rPr>
          <w:rFonts w:ascii="宋体" w:hAnsi="宋体"/>
          <w:sz w:val="24"/>
        </w:rPr>
        <w:t xml:space="preserve"> 款的规定。</w:t>
      </w:r>
    </w:p>
    <w:p>
      <w:pPr>
        <w:spacing w:line="400" w:lineRule="exact"/>
        <w:ind w:firstLine="480" w:firstLineChars="200"/>
        <w:rPr>
          <w:rFonts w:ascii="宋体" w:hAnsi="宋体"/>
          <w:sz w:val="24"/>
        </w:rPr>
      </w:pPr>
      <w:r>
        <w:rPr>
          <w:rFonts w:ascii="宋体" w:hAnsi="宋体"/>
          <w:sz w:val="24"/>
        </w:rPr>
        <w:t xml:space="preserve">1.4.2 </w:t>
      </w:r>
      <w:r>
        <w:rPr>
          <w:rFonts w:hint="eastAsia" w:ascii="宋体" w:hAnsi="宋体"/>
          <w:sz w:val="24"/>
        </w:rPr>
        <w:t>本次招标不</w:t>
      </w:r>
      <w:r>
        <w:rPr>
          <w:rFonts w:ascii="宋体" w:hAnsi="宋体"/>
          <w:sz w:val="24"/>
        </w:rPr>
        <w:t>接受联合体</w:t>
      </w:r>
      <w:r>
        <w:rPr>
          <w:rFonts w:hint="eastAsia" w:ascii="宋体" w:hAnsi="宋体"/>
          <w:sz w:val="24"/>
        </w:rPr>
        <w:t>。</w:t>
      </w:r>
    </w:p>
    <w:p>
      <w:pPr>
        <w:spacing w:line="400" w:lineRule="exact"/>
        <w:ind w:firstLine="480" w:firstLineChars="200"/>
        <w:rPr>
          <w:rFonts w:ascii="宋体" w:hAnsi="宋体"/>
          <w:sz w:val="24"/>
        </w:rPr>
      </w:pPr>
      <w:r>
        <w:rPr>
          <w:rFonts w:ascii="宋体" w:hAnsi="宋体"/>
          <w:sz w:val="24"/>
        </w:rPr>
        <w:t>1.4.3 投标人不得存在下列情形之一：</w:t>
      </w:r>
    </w:p>
    <w:p>
      <w:pPr>
        <w:spacing w:line="400" w:lineRule="exact"/>
        <w:ind w:firstLine="480" w:firstLineChars="200"/>
        <w:rPr>
          <w:rFonts w:ascii="宋体" w:hAnsi="宋体"/>
          <w:sz w:val="24"/>
        </w:rPr>
      </w:pPr>
      <w:r>
        <w:rPr>
          <w:rFonts w:ascii="宋体" w:hAnsi="宋体"/>
          <w:sz w:val="24"/>
        </w:rPr>
        <w:t>（1）为招标人不具有独立法人资格的附属机构（单位）；</w:t>
      </w:r>
    </w:p>
    <w:p>
      <w:pPr>
        <w:spacing w:line="400" w:lineRule="exact"/>
        <w:ind w:firstLine="480" w:firstLineChars="200"/>
        <w:rPr>
          <w:rFonts w:ascii="宋体" w:hAnsi="宋体"/>
          <w:sz w:val="24"/>
        </w:rPr>
      </w:pPr>
      <w:r>
        <w:rPr>
          <w:rFonts w:ascii="宋体" w:hAnsi="宋体"/>
          <w:sz w:val="24"/>
        </w:rPr>
        <w:t>（2）为本标段前期准备提供设计或咨询服务的，但设计施工总承包的除外；</w:t>
      </w:r>
    </w:p>
    <w:p>
      <w:pPr>
        <w:spacing w:line="400" w:lineRule="exact"/>
        <w:ind w:firstLine="480" w:firstLineChars="200"/>
        <w:rPr>
          <w:rFonts w:ascii="宋体" w:hAnsi="宋体"/>
          <w:sz w:val="24"/>
        </w:rPr>
      </w:pPr>
      <w:r>
        <w:rPr>
          <w:rFonts w:ascii="宋体" w:hAnsi="宋体"/>
          <w:sz w:val="24"/>
        </w:rPr>
        <w:t>（3）为本标段的监理人；</w:t>
      </w:r>
    </w:p>
    <w:p>
      <w:pPr>
        <w:spacing w:line="400" w:lineRule="exact"/>
        <w:ind w:firstLine="480" w:firstLineChars="200"/>
        <w:rPr>
          <w:rFonts w:ascii="宋体" w:hAnsi="宋体"/>
          <w:sz w:val="24"/>
        </w:rPr>
      </w:pPr>
      <w:r>
        <w:rPr>
          <w:rFonts w:ascii="宋体" w:hAnsi="宋体"/>
          <w:sz w:val="24"/>
        </w:rPr>
        <w:t>（4）为本标段的代建人；</w:t>
      </w:r>
    </w:p>
    <w:p>
      <w:pPr>
        <w:spacing w:line="400" w:lineRule="exact"/>
        <w:ind w:firstLine="480" w:firstLineChars="200"/>
        <w:rPr>
          <w:rFonts w:ascii="宋体" w:hAnsi="宋体"/>
          <w:sz w:val="24"/>
        </w:rPr>
      </w:pPr>
      <w:r>
        <w:rPr>
          <w:rFonts w:ascii="宋体" w:hAnsi="宋体"/>
          <w:sz w:val="24"/>
        </w:rPr>
        <w:t>（5）为本标段提供招标代理服务的；</w:t>
      </w:r>
    </w:p>
    <w:p>
      <w:pPr>
        <w:spacing w:line="400" w:lineRule="exact"/>
        <w:ind w:firstLine="480" w:firstLineChars="200"/>
        <w:rPr>
          <w:rFonts w:ascii="宋体" w:hAnsi="宋体"/>
          <w:sz w:val="24"/>
        </w:rPr>
      </w:pPr>
      <w:r>
        <w:rPr>
          <w:rFonts w:ascii="宋体" w:hAnsi="宋体"/>
          <w:sz w:val="24"/>
        </w:rPr>
        <w:t>（6）与本标段的监理人或代建人或招标代理机构同为一个法定代表人的；</w:t>
      </w:r>
    </w:p>
    <w:p>
      <w:pPr>
        <w:spacing w:line="400" w:lineRule="exact"/>
        <w:ind w:firstLine="480" w:firstLineChars="200"/>
        <w:rPr>
          <w:rFonts w:ascii="宋体" w:hAnsi="宋体"/>
          <w:sz w:val="24"/>
        </w:rPr>
      </w:pPr>
      <w:r>
        <w:rPr>
          <w:rFonts w:ascii="宋体" w:hAnsi="宋体"/>
          <w:sz w:val="24"/>
        </w:rPr>
        <w:t>（7）与本标段的监理人或代建人或招标代理机构相互控股或参股的；</w:t>
      </w:r>
    </w:p>
    <w:p>
      <w:pPr>
        <w:spacing w:line="400" w:lineRule="exact"/>
        <w:ind w:firstLine="480" w:firstLineChars="200"/>
        <w:rPr>
          <w:rFonts w:ascii="宋体" w:hAnsi="宋体"/>
          <w:sz w:val="24"/>
        </w:rPr>
      </w:pPr>
      <w:r>
        <w:rPr>
          <w:rFonts w:ascii="宋体" w:hAnsi="宋体"/>
          <w:sz w:val="24"/>
        </w:rPr>
        <w:t>（8）与本标段的监理人或代建人或招标代理机构相互任职或工作的；</w:t>
      </w:r>
    </w:p>
    <w:p>
      <w:pPr>
        <w:spacing w:line="400" w:lineRule="exact"/>
        <w:ind w:firstLine="480" w:firstLineChars="200"/>
        <w:rPr>
          <w:rFonts w:ascii="宋体" w:hAnsi="宋体"/>
          <w:sz w:val="24"/>
        </w:rPr>
      </w:pPr>
      <w:r>
        <w:rPr>
          <w:rFonts w:ascii="宋体" w:hAnsi="宋体"/>
          <w:sz w:val="24"/>
        </w:rPr>
        <w:t>（9）被责令停业的；</w:t>
      </w:r>
    </w:p>
    <w:p>
      <w:pPr>
        <w:spacing w:line="400" w:lineRule="exact"/>
        <w:ind w:firstLine="480" w:firstLineChars="200"/>
        <w:rPr>
          <w:rFonts w:ascii="宋体" w:hAnsi="宋体"/>
          <w:sz w:val="24"/>
        </w:rPr>
      </w:pPr>
      <w:r>
        <w:rPr>
          <w:rFonts w:ascii="宋体" w:hAnsi="宋体"/>
          <w:sz w:val="24"/>
        </w:rPr>
        <w:t>（10）被暂停或取消投标资格的；</w:t>
      </w:r>
    </w:p>
    <w:p>
      <w:pPr>
        <w:spacing w:line="400" w:lineRule="exact"/>
        <w:ind w:firstLine="480" w:firstLineChars="200"/>
        <w:rPr>
          <w:rFonts w:ascii="宋体" w:hAnsi="宋体"/>
          <w:sz w:val="24"/>
          <w:szCs w:val="22"/>
        </w:rPr>
      </w:pPr>
      <w:r>
        <w:rPr>
          <w:rFonts w:ascii="宋体" w:hAnsi="宋体"/>
          <w:sz w:val="24"/>
          <w:szCs w:val="22"/>
        </w:rPr>
        <w:t>（11）财产被接管或冻结的；</w:t>
      </w:r>
    </w:p>
    <w:p>
      <w:pPr>
        <w:spacing w:line="400" w:lineRule="exact"/>
        <w:ind w:firstLine="480" w:firstLineChars="200"/>
        <w:rPr>
          <w:rFonts w:ascii="宋体" w:hAnsi="宋体"/>
          <w:sz w:val="24"/>
          <w:szCs w:val="22"/>
        </w:rPr>
      </w:pPr>
      <w:r>
        <w:rPr>
          <w:rFonts w:ascii="宋体" w:hAnsi="宋体"/>
          <w:sz w:val="24"/>
          <w:szCs w:val="22"/>
        </w:rPr>
        <w:t>（12）在最近三年内有骗取中标或严重违约或重大工程质量问题的</w:t>
      </w:r>
      <w:r>
        <w:rPr>
          <w:rFonts w:hint="eastAsia" w:ascii="宋体" w:hAnsi="宋体"/>
          <w:sz w:val="24"/>
          <w:szCs w:val="22"/>
        </w:rPr>
        <w:t>；</w:t>
      </w:r>
    </w:p>
    <w:p>
      <w:pPr>
        <w:spacing w:line="400" w:lineRule="exact"/>
        <w:ind w:firstLine="480" w:firstLineChars="200"/>
        <w:rPr>
          <w:rFonts w:ascii="宋体" w:hAnsi="宋体"/>
          <w:sz w:val="24"/>
          <w:szCs w:val="22"/>
        </w:rPr>
      </w:pPr>
      <w:r>
        <w:rPr>
          <w:rFonts w:hint="eastAsia" w:ascii="宋体" w:hAnsi="宋体"/>
          <w:sz w:val="24"/>
          <w:szCs w:val="22"/>
        </w:rPr>
        <w:t>（13）涉及正在诉讼的案件，或涉及正在诉讼的案件但经审查委员会认定不会对承担本项目造成重大影响；</w:t>
      </w:r>
    </w:p>
    <w:p>
      <w:pPr>
        <w:spacing w:line="400" w:lineRule="exact"/>
        <w:ind w:firstLine="480" w:firstLineChars="200"/>
        <w:rPr>
          <w:rFonts w:ascii="宋体" w:hAnsi="宋体"/>
          <w:sz w:val="24"/>
          <w:szCs w:val="22"/>
        </w:rPr>
      </w:pPr>
      <w:r>
        <w:rPr>
          <w:rFonts w:hint="eastAsia" w:ascii="宋体" w:hAnsi="宋体"/>
          <w:sz w:val="24"/>
          <w:szCs w:val="22"/>
        </w:rPr>
        <w:t>（14）被省级及以上交通主管部门取消项目所在地的投标资格或禁止进入该区域公路建设市场且处于有效期内；</w:t>
      </w:r>
    </w:p>
    <w:p>
      <w:pPr>
        <w:spacing w:line="400" w:lineRule="exact"/>
        <w:ind w:firstLine="480" w:firstLineChars="200"/>
        <w:rPr>
          <w:rFonts w:ascii="宋体" w:hAnsi="宋体"/>
          <w:sz w:val="24"/>
          <w:szCs w:val="22"/>
        </w:rPr>
      </w:pPr>
      <w:r>
        <w:rPr>
          <w:rFonts w:hint="eastAsia" w:ascii="宋体" w:hAnsi="宋体"/>
          <w:sz w:val="24"/>
          <w:szCs w:val="22"/>
        </w:rPr>
        <w:t>（15）为投资参股本项目的法人单位。</w:t>
      </w:r>
    </w:p>
    <w:p>
      <w:pPr>
        <w:spacing w:line="400" w:lineRule="exact"/>
        <w:ind w:firstLine="480" w:firstLineChars="200"/>
        <w:rPr>
          <w:rFonts w:ascii="宋体" w:hAnsi="宋体"/>
          <w:sz w:val="24"/>
          <w:szCs w:val="22"/>
        </w:rPr>
      </w:pPr>
      <w:r>
        <w:rPr>
          <w:rFonts w:hint="eastAsia" w:ascii="宋体" w:hAnsi="宋体"/>
          <w:sz w:val="24"/>
          <w:szCs w:val="22"/>
        </w:rPr>
        <w:t>1.4.4  投标人不得存在下列不良状况或不良信用记录：</w:t>
      </w:r>
    </w:p>
    <w:p>
      <w:pPr>
        <w:spacing w:line="400" w:lineRule="exact"/>
        <w:ind w:firstLine="480" w:firstLineChars="200"/>
        <w:rPr>
          <w:rFonts w:ascii="宋体" w:hAnsi="宋体"/>
          <w:sz w:val="24"/>
          <w:szCs w:val="22"/>
        </w:rPr>
      </w:pPr>
      <w:r>
        <w:rPr>
          <w:rFonts w:hint="eastAsia" w:ascii="宋体" w:hAnsi="宋体"/>
          <w:sz w:val="24"/>
          <w:szCs w:val="22"/>
        </w:rPr>
        <w:t>（1）被省级及以上交通运输主管部门取消招标项目所在地的投标资格且处于有效期内；</w:t>
      </w:r>
    </w:p>
    <w:p>
      <w:pPr>
        <w:spacing w:line="400" w:lineRule="exact"/>
        <w:ind w:firstLine="480" w:firstLineChars="200"/>
        <w:rPr>
          <w:rFonts w:ascii="宋体" w:hAnsi="宋体"/>
          <w:sz w:val="24"/>
          <w:szCs w:val="22"/>
        </w:rPr>
      </w:pPr>
      <w:r>
        <w:rPr>
          <w:rFonts w:hint="eastAsia" w:ascii="宋体" w:hAnsi="宋体"/>
          <w:sz w:val="24"/>
          <w:szCs w:val="22"/>
        </w:rPr>
        <w:t>（2）被责令停业，暂扣或吊销执照，或吊销资质证书；</w:t>
      </w:r>
    </w:p>
    <w:p>
      <w:pPr>
        <w:spacing w:line="400" w:lineRule="exact"/>
        <w:ind w:firstLine="480" w:firstLineChars="200"/>
        <w:rPr>
          <w:rFonts w:ascii="宋体" w:hAnsi="宋体"/>
          <w:sz w:val="24"/>
          <w:szCs w:val="22"/>
        </w:rPr>
      </w:pPr>
      <w:r>
        <w:rPr>
          <w:rFonts w:hint="eastAsia" w:ascii="宋体" w:hAnsi="宋体"/>
          <w:sz w:val="24"/>
          <w:szCs w:val="22"/>
        </w:rPr>
        <w:t>（3）进入清算程序，或被宣告破产，或其他丧失履约能力的情形；</w:t>
      </w:r>
    </w:p>
    <w:p>
      <w:pPr>
        <w:spacing w:line="400" w:lineRule="exact"/>
        <w:ind w:firstLine="480" w:firstLineChars="200"/>
        <w:rPr>
          <w:rFonts w:ascii="宋体" w:hAnsi="宋体"/>
          <w:sz w:val="24"/>
          <w:szCs w:val="22"/>
        </w:rPr>
      </w:pPr>
      <w:r>
        <w:rPr>
          <w:rFonts w:hint="eastAsia" w:ascii="宋体" w:hAnsi="宋体"/>
          <w:sz w:val="24"/>
          <w:szCs w:val="22"/>
        </w:rPr>
        <w:t>（4）被工商行政管理机关在全国企业信用信息公示系统中列入严重违法失信企业名单；被最高人民法院在“信用中国”网站（www.creditchina.gov.cn）或各级信用信息共享平台中列入失信被执行人名单；</w:t>
      </w:r>
    </w:p>
    <w:p>
      <w:pPr>
        <w:spacing w:line="400" w:lineRule="exact"/>
        <w:ind w:firstLine="480" w:firstLineChars="200"/>
        <w:rPr>
          <w:rFonts w:ascii="宋体" w:hAnsi="宋体"/>
          <w:sz w:val="24"/>
          <w:szCs w:val="22"/>
        </w:rPr>
      </w:pPr>
      <w:r>
        <w:rPr>
          <w:rFonts w:hint="eastAsia" w:ascii="宋体" w:hAnsi="宋体"/>
          <w:sz w:val="24"/>
          <w:szCs w:val="22"/>
        </w:rPr>
        <w:t>（5）法律法规或投标人须知前附表规定的其他情形。</w:t>
      </w:r>
    </w:p>
    <w:p>
      <w:pPr>
        <w:spacing w:line="106" w:lineRule="exact"/>
        <w:rPr>
          <w:rFonts w:eastAsia="Times New Roman"/>
          <w:sz w:val="24"/>
        </w:rPr>
      </w:pPr>
    </w:p>
    <w:p>
      <w:pPr>
        <w:numPr>
          <w:ilvl w:val="0"/>
          <w:numId w:val="6"/>
        </w:numPr>
        <w:tabs>
          <w:tab w:val="left" w:pos="480"/>
        </w:tabs>
        <w:spacing w:line="0" w:lineRule="atLeast"/>
        <w:ind w:left="480" w:hanging="471"/>
        <w:jc w:val="both"/>
        <w:rPr>
          <w:rFonts w:ascii="宋体" w:hAnsi="宋体"/>
          <w:b/>
          <w:sz w:val="24"/>
        </w:rPr>
      </w:pPr>
      <w:r>
        <w:rPr>
          <w:rFonts w:ascii="宋体" w:hAnsi="宋体"/>
          <w:b/>
          <w:sz w:val="24"/>
        </w:rPr>
        <w:t>费用承担</w:t>
      </w:r>
    </w:p>
    <w:p>
      <w:pPr>
        <w:pStyle w:val="2"/>
        <w:ind w:firstLine="240"/>
        <w:rPr>
          <w:rFonts w:ascii="黑体" w:hAnsi="黑体" w:eastAsia="黑体"/>
          <w:sz w:val="24"/>
        </w:rPr>
      </w:pPr>
      <w:r>
        <w:rPr>
          <w:rFonts w:hint="eastAsia" w:hAnsi="宋体"/>
          <w:sz w:val="24"/>
        </w:rPr>
        <w:t>投标人准备和参加投标活动发生的费用自理。</w:t>
      </w:r>
    </w:p>
    <w:p>
      <w:pPr>
        <w:tabs>
          <w:tab w:val="left" w:pos="480"/>
        </w:tabs>
        <w:spacing w:line="0" w:lineRule="atLeast"/>
        <w:ind w:left="9"/>
        <w:jc w:val="both"/>
        <w:rPr>
          <w:rFonts w:eastAsia="Times New Roman"/>
        </w:rPr>
      </w:pPr>
      <w:r>
        <w:rPr>
          <w:rFonts w:hint="eastAsia" w:ascii="宋体" w:hAnsi="宋体"/>
          <w:b/>
          <w:sz w:val="24"/>
        </w:rPr>
        <w:t>1.6</w:t>
      </w:r>
      <w:r>
        <w:rPr>
          <w:rFonts w:ascii="宋体" w:hAnsi="宋体"/>
          <w:b/>
          <w:sz w:val="24"/>
        </w:rPr>
        <w:t>保密</w:t>
      </w:r>
    </w:p>
    <w:p>
      <w:pPr>
        <w:spacing w:line="319" w:lineRule="auto"/>
        <w:ind w:firstLine="480"/>
        <w:rPr>
          <w:rFonts w:eastAsia="Times New Roman"/>
        </w:rPr>
      </w:pPr>
      <w:r>
        <w:rPr>
          <w:rFonts w:ascii="宋体" w:hAnsi="宋体"/>
          <w:sz w:val="24"/>
        </w:rPr>
        <w:t>参与招标投标活动的各方应对招标文件和投标文件中的商业</w:t>
      </w:r>
      <w:bookmarkStart w:id="136" w:name="_GoBack"/>
      <w:bookmarkEnd w:id="136"/>
      <w:r>
        <w:rPr>
          <w:rFonts w:ascii="宋体" w:hAnsi="宋体"/>
          <w:sz w:val="24"/>
        </w:rPr>
        <w:t>和技术等秘密保密，否则应承担相应的法律责任。</w:t>
      </w:r>
    </w:p>
    <w:p>
      <w:pPr>
        <w:numPr>
          <w:ilvl w:val="0"/>
          <w:numId w:val="7"/>
        </w:numPr>
        <w:tabs>
          <w:tab w:val="left" w:pos="480"/>
        </w:tabs>
        <w:spacing w:line="360" w:lineRule="auto"/>
        <w:ind w:left="480" w:hanging="471"/>
        <w:jc w:val="both"/>
        <w:rPr>
          <w:rFonts w:ascii="宋体" w:hAnsi="宋体"/>
          <w:b/>
          <w:sz w:val="24"/>
        </w:rPr>
      </w:pPr>
      <w:r>
        <w:rPr>
          <w:rFonts w:ascii="宋体" w:hAnsi="宋体"/>
          <w:b/>
          <w:sz w:val="24"/>
        </w:rPr>
        <w:t>语言文字</w:t>
      </w:r>
    </w:p>
    <w:p>
      <w:pPr>
        <w:spacing w:line="360" w:lineRule="auto"/>
        <w:rPr>
          <w:rFonts w:ascii="宋体" w:hAnsi="宋体"/>
          <w:sz w:val="24"/>
        </w:rPr>
      </w:pPr>
      <w:r>
        <w:rPr>
          <w:rFonts w:ascii="宋体" w:hAnsi="宋体"/>
          <w:sz w:val="24"/>
        </w:rPr>
        <w:t>招标投标文件使用的语言文字为中文。专用术语使用外文的，应附有中文注释。</w:t>
      </w:r>
    </w:p>
    <w:p>
      <w:pPr>
        <w:tabs>
          <w:tab w:val="left" w:pos="480"/>
        </w:tabs>
        <w:spacing w:line="360" w:lineRule="auto"/>
        <w:jc w:val="both"/>
        <w:rPr>
          <w:rFonts w:ascii="宋体" w:hAnsi="宋体"/>
          <w:b/>
          <w:sz w:val="24"/>
        </w:rPr>
      </w:pPr>
      <w:r>
        <w:rPr>
          <w:rFonts w:hint="eastAsia" w:ascii="宋体" w:hAnsi="宋体"/>
          <w:b/>
          <w:sz w:val="24"/>
        </w:rPr>
        <w:t>1.8</w:t>
      </w:r>
      <w:r>
        <w:rPr>
          <w:rFonts w:ascii="宋体" w:hAnsi="宋体"/>
          <w:b/>
          <w:sz w:val="24"/>
        </w:rPr>
        <w:t>计量单位</w:t>
      </w:r>
    </w:p>
    <w:p>
      <w:pPr>
        <w:pStyle w:val="2"/>
        <w:ind w:firstLine="240"/>
        <w:rPr>
          <w:rFonts w:hAnsi="宋体"/>
          <w:sz w:val="24"/>
        </w:rPr>
      </w:pPr>
      <w:r>
        <w:rPr>
          <w:rFonts w:hint="eastAsia" w:hAnsi="宋体"/>
          <w:sz w:val="24"/>
        </w:rPr>
        <w:t>所有计量均采用中华共和国和国家计量单位</w:t>
      </w:r>
    </w:p>
    <w:p>
      <w:pPr>
        <w:tabs>
          <w:tab w:val="left" w:pos="480"/>
        </w:tabs>
        <w:spacing w:line="360" w:lineRule="auto"/>
        <w:jc w:val="both"/>
        <w:rPr>
          <w:rFonts w:ascii="黑体" w:hAnsi="黑体" w:eastAsia="黑体"/>
          <w:b/>
          <w:sz w:val="24"/>
        </w:rPr>
      </w:pPr>
      <w:r>
        <w:rPr>
          <w:rFonts w:hint="eastAsia" w:ascii="宋体" w:hAnsi="宋体"/>
          <w:b/>
          <w:sz w:val="24"/>
        </w:rPr>
        <w:t>1.9</w:t>
      </w:r>
      <w:r>
        <w:rPr>
          <w:rFonts w:ascii="宋体" w:hAnsi="宋体"/>
          <w:b/>
          <w:sz w:val="24"/>
        </w:rPr>
        <w:t>踏勘现场</w:t>
      </w:r>
    </w:p>
    <w:p>
      <w:pPr>
        <w:tabs>
          <w:tab w:val="left" w:pos="480"/>
        </w:tabs>
        <w:spacing w:line="360" w:lineRule="auto"/>
        <w:ind w:firstLine="240" w:firstLineChars="100"/>
        <w:jc w:val="both"/>
        <w:rPr>
          <w:rFonts w:ascii="黑体" w:hAnsi="黑体" w:eastAsia="黑体"/>
          <w:b/>
          <w:sz w:val="24"/>
        </w:rPr>
      </w:pPr>
      <w:r>
        <w:rPr>
          <w:rFonts w:hint="eastAsia" w:ascii="宋体" w:hAnsi="宋体"/>
          <w:sz w:val="24"/>
          <w:szCs w:val="24"/>
        </w:rPr>
        <w:t>1.9.1 投标人须知前附表规定组织踏勘现场的，招标人按投标人须知前附表规定的时间、地点组织投标人踏勘项目现场。</w:t>
      </w:r>
    </w:p>
    <w:p>
      <w:pPr>
        <w:tabs>
          <w:tab w:val="left" w:pos="480"/>
        </w:tabs>
        <w:spacing w:line="360" w:lineRule="auto"/>
        <w:ind w:firstLine="240" w:firstLineChars="100"/>
        <w:jc w:val="both"/>
        <w:rPr>
          <w:rFonts w:ascii="黑体" w:hAnsi="黑体" w:eastAsia="黑体"/>
          <w:b/>
          <w:sz w:val="24"/>
        </w:rPr>
      </w:pPr>
      <w:r>
        <w:rPr>
          <w:rFonts w:hint="eastAsia" w:ascii="宋体" w:hAnsi="宋体"/>
          <w:sz w:val="24"/>
          <w:szCs w:val="24"/>
        </w:rPr>
        <w:t>1.9.2 投标人踏勘现场发生的费用自理。</w:t>
      </w:r>
    </w:p>
    <w:p>
      <w:pPr>
        <w:tabs>
          <w:tab w:val="left" w:pos="480"/>
        </w:tabs>
        <w:spacing w:line="360" w:lineRule="auto"/>
        <w:ind w:firstLine="240" w:firstLineChars="100"/>
        <w:jc w:val="both"/>
        <w:rPr>
          <w:rFonts w:ascii="黑体" w:hAnsi="黑体" w:eastAsia="黑体"/>
          <w:b/>
          <w:sz w:val="24"/>
        </w:rPr>
      </w:pPr>
      <w:r>
        <w:rPr>
          <w:rFonts w:hint="eastAsia" w:ascii="宋体" w:hAnsi="宋体"/>
          <w:sz w:val="24"/>
          <w:szCs w:val="24"/>
        </w:rPr>
        <w:t>1.9.3 除招标人的原因外，投标人自行负责在踏勘现场中所发生的人员伤亡和财产损失。</w:t>
      </w:r>
    </w:p>
    <w:p>
      <w:pPr>
        <w:tabs>
          <w:tab w:val="left" w:pos="480"/>
        </w:tabs>
        <w:spacing w:line="360" w:lineRule="auto"/>
        <w:ind w:firstLine="240" w:firstLineChars="100"/>
        <w:jc w:val="both"/>
        <w:rPr>
          <w:rFonts w:ascii="黑体" w:hAnsi="黑体" w:eastAsia="黑体"/>
          <w:b/>
          <w:sz w:val="24"/>
        </w:rPr>
      </w:pPr>
      <w:r>
        <w:rPr>
          <w:rFonts w:hint="eastAsia" w:ascii="宋体" w:hAnsi="宋体"/>
          <w:sz w:val="24"/>
          <w:szCs w:val="24"/>
        </w:rPr>
        <w:t>1.9.4 招标人在踏勘现场中介绍的工程场地和相关的周边环境情况，供投标人在编制投标文件时参考，招标人不对投标人据此作出的判断和决策负责。</w:t>
      </w:r>
    </w:p>
    <w:p>
      <w:pPr>
        <w:tabs>
          <w:tab w:val="left" w:pos="480"/>
        </w:tabs>
        <w:spacing w:line="360" w:lineRule="auto"/>
        <w:ind w:firstLine="240" w:firstLineChars="100"/>
        <w:jc w:val="both"/>
        <w:rPr>
          <w:rFonts w:ascii="黑体" w:hAnsi="黑体" w:eastAsia="黑体"/>
          <w:b/>
          <w:sz w:val="24"/>
        </w:rPr>
      </w:pPr>
      <w:r>
        <w:rPr>
          <w:rFonts w:hint="eastAsia" w:ascii="宋体" w:hAnsi="宋体"/>
          <w:sz w:val="24"/>
          <w:szCs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tabs>
          <w:tab w:val="left" w:pos="600"/>
        </w:tabs>
        <w:spacing w:line="0" w:lineRule="atLeast"/>
        <w:ind w:left="9"/>
        <w:jc w:val="both"/>
        <w:rPr>
          <w:rFonts w:ascii="黑体" w:hAnsi="黑体" w:eastAsia="黑体"/>
          <w:sz w:val="24"/>
        </w:rPr>
      </w:pPr>
      <w:r>
        <w:rPr>
          <w:rFonts w:hint="eastAsia" w:ascii="宋体" w:hAnsi="宋体"/>
          <w:b/>
          <w:sz w:val="24"/>
        </w:rPr>
        <w:t>1.10</w:t>
      </w:r>
      <w:r>
        <w:rPr>
          <w:rFonts w:ascii="宋体" w:hAnsi="宋体"/>
          <w:b/>
          <w:sz w:val="24"/>
        </w:rPr>
        <w:t>投标预备会</w:t>
      </w:r>
      <w:r>
        <w:rPr>
          <w:rFonts w:hint="eastAsia" w:ascii="宋体" w:hAnsi="宋体"/>
          <w:b/>
          <w:sz w:val="24"/>
        </w:rPr>
        <w:t>(无)</w:t>
      </w:r>
    </w:p>
    <w:p>
      <w:pPr>
        <w:tabs>
          <w:tab w:val="left" w:pos="720"/>
        </w:tabs>
        <w:spacing w:line="0" w:lineRule="atLeast"/>
        <w:jc w:val="both"/>
        <w:rPr>
          <w:rFonts w:ascii="黑体" w:hAnsi="黑体" w:eastAsia="黑体"/>
          <w:sz w:val="24"/>
        </w:rPr>
      </w:pPr>
      <w:bookmarkStart w:id="19" w:name="page51"/>
      <w:bookmarkEnd w:id="19"/>
      <w:r>
        <w:rPr>
          <w:rFonts w:hint="eastAsia" w:ascii="宋体" w:hAnsi="宋体"/>
          <w:b/>
          <w:sz w:val="24"/>
        </w:rPr>
        <w:t>1.11</w:t>
      </w:r>
      <w:r>
        <w:rPr>
          <w:rFonts w:ascii="宋体" w:hAnsi="宋体"/>
          <w:b/>
          <w:sz w:val="24"/>
        </w:rPr>
        <w:t>分包</w:t>
      </w:r>
      <w:r>
        <w:rPr>
          <w:rFonts w:hint="eastAsia" w:ascii="宋体" w:hAnsi="宋体"/>
          <w:b/>
          <w:sz w:val="24"/>
        </w:rPr>
        <w:t>（本项目不适用）</w:t>
      </w:r>
    </w:p>
    <w:p>
      <w:pPr>
        <w:numPr>
          <w:ilvl w:val="1"/>
          <w:numId w:val="8"/>
        </w:numPr>
        <w:tabs>
          <w:tab w:val="left" w:pos="1310"/>
        </w:tabs>
        <w:spacing w:line="302" w:lineRule="auto"/>
        <w:ind w:left="120" w:firstLine="489"/>
        <w:jc w:val="both"/>
        <w:rPr>
          <w:rFonts w:eastAsia="Times New Roman"/>
          <w:sz w:val="24"/>
        </w:rPr>
      </w:pPr>
      <w:r>
        <w:rPr>
          <w:rFonts w:ascii="宋体" w:hAnsi="宋体"/>
          <w:sz w:val="24"/>
        </w:rPr>
        <w:t>投标人拟在中标后将中标项目的部分非主体、非关键性工作进行分包的，应符合以下规定：</w:t>
      </w:r>
    </w:p>
    <w:p>
      <w:pPr>
        <w:spacing w:line="80" w:lineRule="exact"/>
        <w:rPr>
          <w:rFonts w:eastAsia="Times New Roman"/>
          <w:sz w:val="24"/>
        </w:rPr>
      </w:pPr>
    </w:p>
    <w:p>
      <w:pPr>
        <w:spacing w:line="327" w:lineRule="auto"/>
        <w:ind w:left="120" w:firstLine="360"/>
        <w:jc w:val="both"/>
        <w:rPr>
          <w:rFonts w:ascii="宋体" w:hAnsi="宋体"/>
          <w:sz w:val="24"/>
        </w:rPr>
      </w:pPr>
      <w:r>
        <w:rPr>
          <w:rFonts w:ascii="宋体" w:hAnsi="宋体"/>
          <w:sz w:val="24"/>
        </w:rPr>
        <w:t>（</w:t>
      </w:r>
      <w:r>
        <w:rPr>
          <w:rFonts w:eastAsia="Times New Roman"/>
          <w:sz w:val="24"/>
        </w:rPr>
        <w:t>1</w:t>
      </w:r>
      <w:r>
        <w:rPr>
          <w:rFonts w:ascii="宋体" w:hAnsi="宋体"/>
          <w:sz w:val="24"/>
        </w:rPr>
        <w:t>）分包内容要求：允许分包的工程范围仅限于非关键性工程或适合专业化队伍施工的专项工程。招标人允许分包或不允许分包的专项工程（如有）应在投标人须知前附表中载明。</w:t>
      </w:r>
    </w:p>
    <w:p>
      <w:pPr>
        <w:spacing w:line="56" w:lineRule="exact"/>
        <w:rPr>
          <w:rFonts w:eastAsia="Times New Roman"/>
          <w:sz w:val="24"/>
        </w:rPr>
      </w:pPr>
    </w:p>
    <w:p>
      <w:pPr>
        <w:spacing w:line="309" w:lineRule="auto"/>
        <w:ind w:left="120" w:firstLine="360"/>
        <w:jc w:val="both"/>
        <w:rPr>
          <w:rFonts w:ascii="宋体" w:hAnsi="宋体"/>
          <w:sz w:val="24"/>
        </w:rPr>
      </w:pPr>
      <w:r>
        <w:rPr>
          <w:rFonts w:ascii="宋体" w:hAnsi="宋体"/>
          <w:sz w:val="24"/>
        </w:rPr>
        <w:t>（</w:t>
      </w:r>
      <w:r>
        <w:rPr>
          <w:rFonts w:eastAsia="Times New Roman"/>
          <w:sz w:val="24"/>
        </w:rPr>
        <w:t>2</w:t>
      </w:r>
      <w:r>
        <w:rPr>
          <w:rFonts w:ascii="宋体" w:hAnsi="宋体"/>
          <w:sz w:val="24"/>
        </w:rPr>
        <w:t>）接受分包的第三人资格要求：分包人的资格能力应与其分包工程的标准和规模相适应，且具备投标人须知前附表中规定的资格条件。</w:t>
      </w:r>
    </w:p>
    <w:p>
      <w:pPr>
        <w:spacing w:line="43" w:lineRule="exact"/>
        <w:rPr>
          <w:rFonts w:eastAsia="Times New Roman"/>
          <w:sz w:val="24"/>
        </w:rPr>
      </w:pPr>
    </w:p>
    <w:p>
      <w:pPr>
        <w:spacing w:line="0" w:lineRule="atLeast"/>
        <w:ind w:left="480"/>
        <w:jc w:val="both"/>
        <w:rPr>
          <w:rFonts w:ascii="宋体" w:hAnsi="宋体"/>
          <w:sz w:val="24"/>
        </w:rPr>
      </w:pPr>
      <w:r>
        <w:rPr>
          <w:rFonts w:ascii="宋体" w:hAnsi="宋体"/>
          <w:sz w:val="24"/>
        </w:rPr>
        <w:t>（</w:t>
      </w:r>
      <w:r>
        <w:rPr>
          <w:rFonts w:eastAsia="Times New Roman"/>
          <w:sz w:val="24"/>
        </w:rPr>
        <w:t>3</w:t>
      </w:r>
      <w:r>
        <w:rPr>
          <w:rFonts w:ascii="宋体" w:hAnsi="宋体"/>
          <w:sz w:val="24"/>
        </w:rPr>
        <w:t>）其他要求：投标人如有分包计划，应按第九章</w:t>
      </w:r>
      <w:r>
        <w:rPr>
          <w:rFonts w:ascii="Arial" w:hAnsi="Arial" w:eastAsia="Arial"/>
          <w:sz w:val="24"/>
        </w:rPr>
        <w:t>“</w:t>
      </w:r>
      <w:r>
        <w:rPr>
          <w:rFonts w:ascii="宋体" w:hAnsi="宋体"/>
          <w:sz w:val="24"/>
        </w:rPr>
        <w:t>投标文件格式</w:t>
      </w:r>
      <w:r>
        <w:rPr>
          <w:rFonts w:ascii="Arial" w:hAnsi="Arial" w:eastAsia="Arial"/>
          <w:sz w:val="24"/>
        </w:rPr>
        <w:t>”</w:t>
      </w:r>
      <w:r>
        <w:rPr>
          <w:rFonts w:ascii="宋体" w:hAnsi="宋体"/>
          <w:sz w:val="24"/>
        </w:rPr>
        <w:t>的要求填写</w:t>
      </w:r>
    </w:p>
    <w:p>
      <w:pPr>
        <w:spacing w:line="92" w:lineRule="exact"/>
        <w:rPr>
          <w:rFonts w:eastAsia="Times New Roman"/>
        </w:rPr>
      </w:pPr>
    </w:p>
    <w:p>
      <w:pPr>
        <w:spacing w:line="0" w:lineRule="atLeast"/>
        <w:rPr>
          <w:rFonts w:ascii="宋体" w:hAnsi="宋体"/>
          <w:sz w:val="24"/>
        </w:rPr>
      </w:pPr>
      <w:r>
        <w:rPr>
          <w:rFonts w:ascii="Arial" w:hAnsi="Arial" w:eastAsia="Arial"/>
          <w:sz w:val="24"/>
        </w:rPr>
        <w:t>“</w:t>
      </w:r>
      <w:r>
        <w:rPr>
          <w:rFonts w:ascii="宋体" w:hAnsi="宋体"/>
          <w:sz w:val="24"/>
        </w:rPr>
        <w:t>拟分包项目情况表</w:t>
      </w:r>
      <w:r>
        <w:rPr>
          <w:rFonts w:ascii="Arial" w:hAnsi="Arial" w:eastAsia="Arial"/>
          <w:sz w:val="24"/>
        </w:rPr>
        <w:t>”</w:t>
      </w:r>
      <w:r>
        <w:rPr>
          <w:rFonts w:ascii="宋体" w:hAnsi="宋体"/>
          <w:sz w:val="24"/>
        </w:rPr>
        <w:t>，明确拟分包的工程及规模，且投标人中标后的分包应满足合同</w:t>
      </w:r>
    </w:p>
    <w:p>
      <w:pPr>
        <w:spacing w:line="124" w:lineRule="exact"/>
        <w:rPr>
          <w:rFonts w:eastAsia="Times New Roman"/>
        </w:rPr>
      </w:pPr>
    </w:p>
    <w:p>
      <w:pPr>
        <w:spacing w:line="0" w:lineRule="atLeast"/>
        <w:ind w:left="120"/>
        <w:rPr>
          <w:rFonts w:ascii="宋体" w:hAnsi="宋体"/>
          <w:sz w:val="24"/>
        </w:rPr>
      </w:pPr>
      <w:r>
        <w:rPr>
          <w:rFonts w:ascii="宋体" w:hAnsi="宋体"/>
          <w:sz w:val="24"/>
        </w:rPr>
        <w:t xml:space="preserve">条款第 </w:t>
      </w:r>
      <w:r>
        <w:rPr>
          <w:rFonts w:eastAsia="Times New Roman"/>
          <w:sz w:val="24"/>
        </w:rPr>
        <w:t>4.3</w:t>
      </w:r>
      <w:r>
        <w:rPr>
          <w:rFonts w:ascii="宋体" w:hAnsi="宋体"/>
          <w:sz w:val="24"/>
        </w:rPr>
        <w:t xml:space="preserve"> 款的相关要求。</w:t>
      </w:r>
    </w:p>
    <w:p>
      <w:pPr>
        <w:spacing w:line="146" w:lineRule="exact"/>
        <w:rPr>
          <w:rFonts w:eastAsia="Times New Roman"/>
        </w:rPr>
      </w:pPr>
    </w:p>
    <w:p>
      <w:pPr>
        <w:numPr>
          <w:ilvl w:val="1"/>
          <w:numId w:val="9"/>
        </w:numPr>
        <w:tabs>
          <w:tab w:val="left" w:pos="1310"/>
        </w:tabs>
        <w:spacing w:line="302" w:lineRule="auto"/>
        <w:ind w:left="120" w:firstLine="489"/>
        <w:jc w:val="both"/>
        <w:rPr>
          <w:rFonts w:eastAsia="Times New Roman"/>
          <w:sz w:val="24"/>
        </w:rPr>
      </w:pPr>
      <w:r>
        <w:rPr>
          <w:rFonts w:ascii="宋体" w:hAnsi="宋体"/>
          <w:sz w:val="24"/>
        </w:rPr>
        <w:t>中标人不得向他人转让中标项目，接受分包的人不得再次分包。中标人应就分包项目向招标人负责，接受分包的人就分包项目承担连带责任。</w:t>
      </w:r>
    </w:p>
    <w:p>
      <w:pPr>
        <w:tabs>
          <w:tab w:val="left" w:pos="720"/>
        </w:tabs>
        <w:spacing w:line="0" w:lineRule="atLeast"/>
        <w:ind w:left="129"/>
        <w:jc w:val="both"/>
        <w:rPr>
          <w:rFonts w:ascii="黑体" w:hAnsi="黑体" w:eastAsia="黑体"/>
          <w:sz w:val="24"/>
        </w:rPr>
      </w:pPr>
      <w:r>
        <w:rPr>
          <w:rFonts w:hint="eastAsia" w:ascii="宋体" w:hAnsi="宋体"/>
          <w:b/>
          <w:sz w:val="24"/>
        </w:rPr>
        <w:t>1.12</w:t>
      </w:r>
      <w:r>
        <w:rPr>
          <w:rFonts w:ascii="宋体" w:hAnsi="宋体"/>
          <w:b/>
          <w:sz w:val="24"/>
        </w:rPr>
        <w:t>响应和偏差</w:t>
      </w:r>
    </w:p>
    <w:p>
      <w:pPr>
        <w:numPr>
          <w:ilvl w:val="1"/>
          <w:numId w:val="10"/>
        </w:numPr>
        <w:tabs>
          <w:tab w:val="left" w:pos="1320"/>
        </w:tabs>
        <w:spacing w:line="302" w:lineRule="auto"/>
        <w:ind w:left="120" w:firstLine="489"/>
        <w:jc w:val="both"/>
        <w:rPr>
          <w:rFonts w:eastAsia="Times New Roman"/>
          <w:sz w:val="24"/>
        </w:rPr>
      </w:pPr>
      <w:r>
        <w:rPr>
          <w:rFonts w:ascii="宋体" w:hAnsi="宋体"/>
          <w:sz w:val="24"/>
        </w:rPr>
        <w:t>投标文件偏离招标文件某些要求，视为投标文件存在偏差。偏差包括重大偏差和细微偏差。</w:t>
      </w:r>
    </w:p>
    <w:p>
      <w:pPr>
        <w:spacing w:line="87" w:lineRule="exact"/>
        <w:rPr>
          <w:rFonts w:eastAsia="Times New Roman"/>
          <w:sz w:val="24"/>
        </w:rPr>
      </w:pPr>
    </w:p>
    <w:p>
      <w:pPr>
        <w:numPr>
          <w:ilvl w:val="1"/>
          <w:numId w:val="10"/>
        </w:numPr>
        <w:tabs>
          <w:tab w:val="left" w:pos="1325"/>
        </w:tabs>
        <w:spacing w:line="302" w:lineRule="auto"/>
        <w:ind w:left="120" w:firstLine="489"/>
        <w:jc w:val="both"/>
        <w:rPr>
          <w:rFonts w:eastAsia="Times New Roman"/>
          <w:sz w:val="24"/>
        </w:rPr>
      </w:pPr>
      <w:r>
        <w:rPr>
          <w:rFonts w:ascii="宋体" w:hAnsi="宋体"/>
          <w:sz w:val="24"/>
        </w:rPr>
        <w:t>投标文件应对招标文件的实质性要求和条件作出满足性或更有利于招标人的响应，否则，视为投标文件存在重大偏差，投标人的投标将被否决。</w:t>
      </w:r>
    </w:p>
    <w:p>
      <w:pPr>
        <w:spacing w:line="89" w:lineRule="exact"/>
        <w:rPr>
          <w:rFonts w:eastAsia="Times New Roman"/>
          <w:sz w:val="24"/>
        </w:rPr>
      </w:pPr>
    </w:p>
    <w:p>
      <w:pPr>
        <w:spacing w:line="301" w:lineRule="auto"/>
        <w:ind w:left="120" w:firstLine="480"/>
        <w:jc w:val="both"/>
        <w:rPr>
          <w:rFonts w:ascii="宋体" w:hAnsi="宋体"/>
          <w:sz w:val="24"/>
        </w:rPr>
      </w:pPr>
      <w:r>
        <w:rPr>
          <w:rFonts w:ascii="宋体" w:hAnsi="宋体"/>
          <w:sz w:val="24"/>
        </w:rPr>
        <w:t>投标文件存在第三章</w:t>
      </w:r>
      <w:r>
        <w:rPr>
          <w:rFonts w:ascii="Arial" w:hAnsi="Arial" w:eastAsia="Arial"/>
          <w:sz w:val="24"/>
        </w:rPr>
        <w:t>“</w:t>
      </w:r>
      <w:r>
        <w:rPr>
          <w:rFonts w:ascii="宋体" w:hAnsi="宋体"/>
          <w:sz w:val="24"/>
        </w:rPr>
        <w:t>评标办法</w:t>
      </w:r>
      <w:r>
        <w:rPr>
          <w:rFonts w:ascii="Arial" w:hAnsi="Arial" w:eastAsia="Arial"/>
          <w:sz w:val="24"/>
        </w:rPr>
        <w:t>”</w:t>
      </w:r>
      <w:r>
        <w:rPr>
          <w:rFonts w:ascii="宋体" w:hAnsi="宋体"/>
          <w:sz w:val="24"/>
        </w:rPr>
        <w:t>中所列任一否决投标情形的，均属于存在重大偏差。</w:t>
      </w:r>
    </w:p>
    <w:p>
      <w:pPr>
        <w:spacing w:line="35" w:lineRule="exact"/>
        <w:rPr>
          <w:rFonts w:eastAsia="Times New Roman"/>
          <w:sz w:val="24"/>
        </w:rPr>
      </w:pPr>
    </w:p>
    <w:p>
      <w:pPr>
        <w:numPr>
          <w:ilvl w:val="1"/>
          <w:numId w:val="10"/>
        </w:numPr>
        <w:tabs>
          <w:tab w:val="left" w:pos="1320"/>
        </w:tabs>
        <w:spacing w:line="0" w:lineRule="atLeast"/>
        <w:ind w:left="1320" w:hanging="711"/>
        <w:jc w:val="both"/>
        <w:rPr>
          <w:rFonts w:eastAsia="Times New Roman"/>
          <w:sz w:val="24"/>
        </w:rPr>
      </w:pPr>
      <w:r>
        <w:rPr>
          <w:rFonts w:ascii="宋体" w:hAnsi="宋体"/>
          <w:sz w:val="24"/>
        </w:rPr>
        <w:t>投标文件中的下列偏差为细微偏差：</w:t>
      </w:r>
    </w:p>
    <w:p>
      <w:pPr>
        <w:spacing w:line="156" w:lineRule="exact"/>
        <w:rPr>
          <w:rFonts w:eastAsia="Times New Roman"/>
          <w:color w:val="FF0000"/>
        </w:rPr>
      </w:pPr>
    </w:p>
    <w:p>
      <w:pPr>
        <w:spacing w:line="310" w:lineRule="auto"/>
        <w:ind w:left="120" w:firstLine="360"/>
        <w:jc w:val="both"/>
        <w:rPr>
          <w:rFonts w:ascii="宋体" w:hAnsi="宋体"/>
          <w:sz w:val="24"/>
        </w:rPr>
      </w:pPr>
      <w:r>
        <w:rPr>
          <w:rFonts w:ascii="宋体" w:hAnsi="宋体"/>
          <w:sz w:val="24"/>
        </w:rPr>
        <w:t>（</w:t>
      </w:r>
      <w:r>
        <w:rPr>
          <w:rFonts w:eastAsia="Times New Roman"/>
          <w:sz w:val="24"/>
        </w:rPr>
        <w:t>1</w:t>
      </w:r>
      <w:r>
        <w:rPr>
          <w:rFonts w:ascii="宋体" w:hAnsi="宋体"/>
          <w:sz w:val="24"/>
        </w:rPr>
        <w:t>）在按照第三章</w:t>
      </w:r>
      <w:r>
        <w:rPr>
          <w:rFonts w:ascii="Arial" w:hAnsi="Arial" w:eastAsia="Arial"/>
          <w:sz w:val="24"/>
        </w:rPr>
        <w:t>“</w:t>
      </w:r>
      <w:r>
        <w:rPr>
          <w:rFonts w:ascii="宋体" w:hAnsi="宋体"/>
          <w:sz w:val="24"/>
        </w:rPr>
        <w:t>评标办法</w:t>
      </w:r>
      <w:r>
        <w:rPr>
          <w:rFonts w:ascii="Arial" w:hAnsi="Arial" w:eastAsia="Arial"/>
          <w:sz w:val="24"/>
        </w:rPr>
        <w:t>”</w:t>
      </w:r>
      <w:r>
        <w:rPr>
          <w:rFonts w:ascii="宋体" w:hAnsi="宋体"/>
          <w:sz w:val="24"/>
        </w:rPr>
        <w:t>的规定对投标价进行算术性错误修正及其他错误修正后，最终投标报价未超过最高投标限价（如有）的情况下，出现第三章</w:t>
      </w:r>
      <w:r>
        <w:rPr>
          <w:rFonts w:ascii="Arial" w:hAnsi="Arial" w:eastAsia="Arial"/>
          <w:sz w:val="24"/>
        </w:rPr>
        <w:t>“</w:t>
      </w:r>
      <w:r>
        <w:rPr>
          <w:rFonts w:ascii="宋体" w:hAnsi="宋体"/>
          <w:sz w:val="24"/>
        </w:rPr>
        <w:t>评标办法</w:t>
      </w:r>
      <w:r>
        <w:rPr>
          <w:rFonts w:ascii="Arial" w:hAnsi="Arial" w:eastAsia="Arial"/>
          <w:sz w:val="24"/>
        </w:rPr>
        <w:t>”</w:t>
      </w:r>
      <w:r>
        <w:rPr>
          <w:rFonts w:ascii="宋体" w:hAnsi="宋体"/>
          <w:sz w:val="24"/>
        </w:rPr>
        <w:t>规定的算术性错误和投标报价的其他错误；</w:t>
      </w:r>
    </w:p>
    <w:p>
      <w:pPr>
        <w:spacing w:line="72" w:lineRule="exact"/>
        <w:rPr>
          <w:rFonts w:eastAsia="Times New Roman"/>
        </w:rPr>
      </w:pPr>
    </w:p>
    <w:p>
      <w:pPr>
        <w:numPr>
          <w:ilvl w:val="0"/>
          <w:numId w:val="11"/>
        </w:numPr>
        <w:spacing w:line="324" w:lineRule="auto"/>
        <w:ind w:left="480"/>
        <w:rPr>
          <w:rFonts w:ascii="宋体" w:hAnsi="宋体"/>
          <w:sz w:val="24"/>
        </w:rPr>
      </w:pPr>
      <w:r>
        <w:rPr>
          <w:rFonts w:ascii="宋体" w:hAnsi="宋体"/>
          <w:sz w:val="24"/>
        </w:rPr>
        <w:t>施工组织设计（含关键工程技术方案）和项目管理机构不够完善；</w:t>
      </w:r>
    </w:p>
    <w:p>
      <w:pPr>
        <w:spacing w:line="324" w:lineRule="auto"/>
        <w:ind w:firstLine="480" w:firstLineChars="200"/>
        <w:rPr>
          <w:rFonts w:ascii="宋体" w:hAnsi="宋体"/>
          <w:sz w:val="24"/>
        </w:rPr>
      </w:pPr>
      <w:r>
        <w:rPr>
          <w:rFonts w:ascii="宋体" w:hAnsi="宋体"/>
          <w:sz w:val="24"/>
        </w:rPr>
        <w:t>（</w:t>
      </w:r>
      <w:r>
        <w:rPr>
          <w:rFonts w:eastAsia="Times New Roman"/>
          <w:sz w:val="24"/>
        </w:rPr>
        <w:t>3</w:t>
      </w:r>
      <w:r>
        <w:rPr>
          <w:rFonts w:ascii="宋体" w:hAnsi="宋体"/>
          <w:sz w:val="24"/>
        </w:rPr>
        <w:t>）投标文件页码不连续、个别文字有遗漏错误等不影响投标文件实质性内容的偏差。</w:t>
      </w:r>
    </w:p>
    <w:p>
      <w:pPr>
        <w:spacing w:line="127" w:lineRule="exact"/>
        <w:rPr>
          <w:rFonts w:eastAsia="Times New Roman"/>
        </w:rPr>
      </w:pPr>
    </w:p>
    <w:p>
      <w:pPr>
        <w:spacing w:line="0" w:lineRule="atLeast"/>
        <w:ind w:left="600"/>
        <w:rPr>
          <w:rFonts w:ascii="宋体" w:hAnsi="宋体"/>
          <w:sz w:val="24"/>
        </w:rPr>
      </w:pPr>
      <w:r>
        <w:rPr>
          <w:rFonts w:eastAsia="Times New Roman"/>
          <w:sz w:val="24"/>
        </w:rPr>
        <w:t xml:space="preserve">1.12.4 </w:t>
      </w:r>
      <w:r>
        <w:rPr>
          <w:rFonts w:ascii="宋体" w:hAnsi="宋体"/>
          <w:sz w:val="24"/>
        </w:rPr>
        <w:t>评标委员会对投标文件中的细微偏差按如下规定处理：</w:t>
      </w:r>
    </w:p>
    <w:p>
      <w:pPr>
        <w:spacing w:line="106"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1</w:t>
      </w:r>
      <w:r>
        <w:rPr>
          <w:rFonts w:ascii="宋体" w:hAnsi="宋体"/>
          <w:sz w:val="24"/>
        </w:rPr>
        <w:t xml:space="preserve">）对于本章第 </w:t>
      </w:r>
      <w:r>
        <w:rPr>
          <w:rFonts w:eastAsia="Times New Roman"/>
          <w:sz w:val="24"/>
        </w:rPr>
        <w:t>1.12.3</w:t>
      </w:r>
      <w:r>
        <w:rPr>
          <w:rFonts w:ascii="宋体" w:hAnsi="宋体"/>
          <w:sz w:val="24"/>
        </w:rPr>
        <w:t xml:space="preserve"> 项（</w:t>
      </w:r>
      <w:r>
        <w:rPr>
          <w:rFonts w:eastAsia="Times New Roman"/>
          <w:sz w:val="24"/>
        </w:rPr>
        <w:t>1</w:t>
      </w:r>
      <w:r>
        <w:rPr>
          <w:rFonts w:ascii="宋体" w:hAnsi="宋体"/>
          <w:sz w:val="24"/>
        </w:rPr>
        <w:t>）目所述的细微偏差，按照第三章</w:t>
      </w:r>
      <w:r>
        <w:rPr>
          <w:rFonts w:ascii="Arial" w:hAnsi="Arial" w:eastAsia="Arial"/>
          <w:sz w:val="24"/>
        </w:rPr>
        <w:t>“</w:t>
      </w:r>
      <w:r>
        <w:rPr>
          <w:rFonts w:ascii="宋体" w:hAnsi="宋体"/>
          <w:sz w:val="24"/>
        </w:rPr>
        <w:t>评标办法</w:t>
      </w:r>
      <w:r>
        <w:rPr>
          <w:rFonts w:ascii="Arial" w:hAnsi="Arial" w:eastAsia="Arial"/>
          <w:sz w:val="24"/>
        </w:rPr>
        <w:t>”</w:t>
      </w:r>
      <w:r>
        <w:rPr>
          <w:rFonts w:ascii="宋体" w:hAnsi="宋体"/>
          <w:sz w:val="24"/>
        </w:rPr>
        <w:t>的</w:t>
      </w:r>
    </w:p>
    <w:p>
      <w:pPr>
        <w:spacing w:line="109" w:lineRule="exact"/>
        <w:rPr>
          <w:rFonts w:eastAsia="Times New Roman"/>
        </w:rPr>
      </w:pPr>
    </w:p>
    <w:p>
      <w:pPr>
        <w:spacing w:line="0" w:lineRule="atLeast"/>
        <w:ind w:left="120"/>
        <w:rPr>
          <w:rFonts w:ascii="宋体" w:hAnsi="宋体"/>
          <w:sz w:val="24"/>
        </w:rPr>
      </w:pPr>
      <w:r>
        <w:rPr>
          <w:rFonts w:ascii="宋体" w:hAnsi="宋体"/>
          <w:sz w:val="24"/>
        </w:rPr>
        <w:t>规定予以修正并要求投标人进行澄清；</w:t>
      </w:r>
    </w:p>
    <w:p>
      <w:pPr>
        <w:spacing w:line="155" w:lineRule="exact"/>
        <w:rPr>
          <w:rFonts w:eastAsia="Times New Roman"/>
        </w:rPr>
      </w:pPr>
    </w:p>
    <w:p>
      <w:pPr>
        <w:spacing w:line="333" w:lineRule="auto"/>
        <w:ind w:left="120" w:firstLine="360"/>
        <w:rPr>
          <w:rFonts w:ascii="宋体" w:hAnsi="宋体"/>
          <w:sz w:val="23"/>
        </w:rPr>
      </w:pPr>
      <w:r>
        <w:rPr>
          <w:rFonts w:ascii="宋体" w:hAnsi="宋体"/>
          <w:sz w:val="23"/>
        </w:rPr>
        <w:t>（</w:t>
      </w:r>
      <w:r>
        <w:rPr>
          <w:rFonts w:eastAsia="Times New Roman"/>
          <w:sz w:val="23"/>
        </w:rPr>
        <w:t>2</w:t>
      </w:r>
      <w:r>
        <w:rPr>
          <w:rFonts w:ascii="宋体" w:hAnsi="宋体"/>
          <w:sz w:val="23"/>
        </w:rPr>
        <w:t>）</w:t>
      </w:r>
      <w:r>
        <w:rPr>
          <w:rFonts w:ascii="宋体" w:hAnsi="宋体"/>
          <w:sz w:val="24"/>
        </w:rPr>
        <w:t>对于本章第 1.12.3 项（2）目所述的细微偏差，如果采用合理低价法或经评审的最低投标价法评标，应要求投标人对细微偏差进行澄清，只有投标人的澄清文件</w:t>
      </w:r>
      <w:bookmarkStart w:id="20" w:name="page52"/>
      <w:bookmarkEnd w:id="20"/>
      <w:r>
        <w:rPr>
          <w:rFonts w:ascii="宋体" w:hAnsi="宋体"/>
          <w:sz w:val="24"/>
        </w:rPr>
        <w:t>被评标委员会接受，投标人才能参加评标价的最终评比。如果采用技术评分最低标价法或综合评分法评标，可在相关评分因素的评分中酌情扣分；</w:t>
      </w:r>
    </w:p>
    <w:p>
      <w:pPr>
        <w:spacing w:line="69" w:lineRule="exact"/>
        <w:rPr>
          <w:rFonts w:eastAsia="Times New Roman"/>
        </w:rPr>
      </w:pPr>
    </w:p>
    <w:p>
      <w:pPr>
        <w:spacing w:line="310" w:lineRule="auto"/>
        <w:ind w:firstLine="360"/>
        <w:rPr>
          <w:rFonts w:ascii="宋体" w:hAnsi="宋体"/>
          <w:sz w:val="24"/>
        </w:rPr>
      </w:pPr>
      <w:r>
        <w:rPr>
          <w:rFonts w:ascii="宋体" w:hAnsi="宋体"/>
          <w:sz w:val="24"/>
        </w:rPr>
        <w:t>（</w:t>
      </w:r>
      <w:r>
        <w:rPr>
          <w:rFonts w:eastAsia="Times New Roman"/>
          <w:sz w:val="24"/>
        </w:rPr>
        <w:t>3</w:t>
      </w:r>
      <w:r>
        <w:rPr>
          <w:rFonts w:ascii="宋体" w:hAnsi="宋体"/>
          <w:sz w:val="24"/>
        </w:rPr>
        <w:t xml:space="preserve">）对于本章第 </w:t>
      </w:r>
      <w:r>
        <w:rPr>
          <w:rFonts w:eastAsia="Times New Roman"/>
          <w:sz w:val="24"/>
        </w:rPr>
        <w:t>1.12.3</w:t>
      </w:r>
      <w:r>
        <w:rPr>
          <w:rFonts w:ascii="宋体" w:hAnsi="宋体"/>
          <w:sz w:val="24"/>
        </w:rPr>
        <w:t xml:space="preserve"> 项（</w:t>
      </w:r>
      <w:r>
        <w:rPr>
          <w:rFonts w:eastAsia="Times New Roman"/>
          <w:sz w:val="24"/>
        </w:rPr>
        <w:t>3</w:t>
      </w:r>
      <w:r>
        <w:rPr>
          <w:rFonts w:ascii="宋体" w:hAnsi="宋体"/>
          <w:sz w:val="24"/>
        </w:rPr>
        <w:t>）目所述的细微偏差，可要求投标人对细微偏差进行澄清。</w:t>
      </w:r>
    </w:p>
    <w:p>
      <w:pPr>
        <w:spacing w:line="40" w:lineRule="exact"/>
        <w:rPr>
          <w:rFonts w:eastAsia="Times New Roman"/>
        </w:rPr>
      </w:pPr>
    </w:p>
    <w:p>
      <w:pPr>
        <w:spacing w:line="0" w:lineRule="atLeast"/>
        <w:ind w:firstLine="566" w:firstLineChars="236"/>
        <w:rPr>
          <w:rFonts w:ascii="宋体" w:hAnsi="宋体"/>
          <w:sz w:val="24"/>
        </w:rPr>
      </w:pPr>
      <w:r>
        <w:rPr>
          <w:rFonts w:eastAsia="Times New Roman"/>
          <w:sz w:val="24"/>
        </w:rPr>
        <w:t xml:space="preserve">1.12.5  </w:t>
      </w:r>
      <w:r>
        <w:rPr>
          <w:rFonts w:ascii="宋体" w:hAnsi="宋体"/>
          <w:sz w:val="24"/>
        </w:rPr>
        <w:t>投标人应根据招标文件的要求提供施工组织设计等内容以对招标文件作出响应。</w:t>
      </w:r>
    </w:p>
    <w:p>
      <w:pPr>
        <w:spacing w:line="0" w:lineRule="atLeast"/>
        <w:rPr>
          <w:rFonts w:eastAsia="Times New Roman"/>
        </w:rPr>
      </w:pPr>
      <w:r>
        <w:rPr>
          <w:rFonts w:ascii="黑体" w:hAnsi="黑体" w:eastAsia="黑体"/>
          <w:b/>
          <w:sz w:val="28"/>
        </w:rPr>
        <w:t xml:space="preserve">2. </w:t>
      </w:r>
      <w:r>
        <w:rPr>
          <w:rFonts w:ascii="宋体" w:hAnsi="宋体"/>
          <w:b/>
          <w:sz w:val="28"/>
        </w:rPr>
        <w:t>招标文件</w:t>
      </w:r>
    </w:p>
    <w:p>
      <w:pPr>
        <w:spacing w:line="0" w:lineRule="atLeast"/>
        <w:rPr>
          <w:rFonts w:ascii="宋体" w:hAnsi="宋体"/>
          <w:b/>
          <w:sz w:val="24"/>
        </w:rPr>
      </w:pPr>
      <w:r>
        <w:rPr>
          <w:rFonts w:ascii="黑体" w:hAnsi="黑体" w:eastAsia="黑体"/>
          <w:b/>
          <w:sz w:val="24"/>
        </w:rPr>
        <w:t xml:space="preserve">2.1 </w:t>
      </w:r>
      <w:r>
        <w:rPr>
          <w:rFonts w:ascii="宋体" w:hAnsi="宋体"/>
          <w:b/>
          <w:sz w:val="24"/>
        </w:rPr>
        <w:t>招标文件的组成</w:t>
      </w:r>
    </w:p>
    <w:p>
      <w:pPr>
        <w:tabs>
          <w:tab w:val="left" w:pos="8920"/>
        </w:tabs>
        <w:spacing w:line="331" w:lineRule="auto"/>
        <w:ind w:left="360" w:leftChars="180" w:firstLine="120" w:firstLineChars="50"/>
        <w:rPr>
          <w:rFonts w:ascii="宋体" w:hAnsi="宋体"/>
          <w:sz w:val="24"/>
        </w:rPr>
      </w:pPr>
      <w:r>
        <w:rPr>
          <w:rFonts w:ascii="宋体" w:hAnsi="宋体"/>
          <w:sz w:val="24"/>
        </w:rPr>
        <w:t>本招标文件包括：</w:t>
      </w:r>
    </w:p>
    <w:p>
      <w:pPr>
        <w:tabs>
          <w:tab w:val="left" w:pos="8920"/>
        </w:tabs>
        <w:spacing w:line="331" w:lineRule="auto"/>
        <w:ind w:left="360"/>
        <w:rPr>
          <w:rFonts w:ascii="宋体" w:hAnsi="宋体"/>
          <w:sz w:val="24"/>
        </w:rPr>
      </w:pPr>
      <w:r>
        <w:rPr>
          <w:rFonts w:ascii="宋体" w:hAnsi="宋体"/>
          <w:sz w:val="24"/>
        </w:rPr>
        <w:t>（1）招标公告；</w:t>
      </w:r>
    </w:p>
    <w:p>
      <w:pPr>
        <w:tabs>
          <w:tab w:val="left" w:pos="8920"/>
        </w:tabs>
        <w:spacing w:line="331" w:lineRule="auto"/>
        <w:ind w:left="360"/>
        <w:rPr>
          <w:rFonts w:ascii="宋体" w:hAnsi="宋体"/>
          <w:sz w:val="24"/>
        </w:rPr>
      </w:pPr>
      <w:r>
        <w:rPr>
          <w:rFonts w:ascii="宋体" w:hAnsi="宋体"/>
          <w:sz w:val="24"/>
        </w:rPr>
        <w:t>（</w:t>
      </w:r>
      <w:r>
        <w:rPr>
          <w:rFonts w:eastAsia="Times New Roman"/>
          <w:sz w:val="24"/>
        </w:rPr>
        <w:t>2</w:t>
      </w:r>
      <w:r>
        <w:rPr>
          <w:rFonts w:ascii="宋体" w:hAnsi="宋体"/>
          <w:sz w:val="24"/>
        </w:rPr>
        <w:t>）投标人须知；</w:t>
      </w:r>
    </w:p>
    <w:p>
      <w:pPr>
        <w:tabs>
          <w:tab w:val="left" w:pos="8920"/>
        </w:tabs>
        <w:spacing w:line="331" w:lineRule="auto"/>
        <w:ind w:left="360"/>
        <w:rPr>
          <w:rFonts w:ascii="宋体" w:hAnsi="宋体"/>
          <w:sz w:val="24"/>
        </w:rPr>
      </w:pPr>
      <w:r>
        <w:rPr>
          <w:rFonts w:ascii="宋体" w:hAnsi="宋体"/>
          <w:sz w:val="24"/>
        </w:rPr>
        <w:t>（</w:t>
      </w:r>
      <w:r>
        <w:rPr>
          <w:rFonts w:eastAsia="Times New Roman"/>
          <w:sz w:val="24"/>
        </w:rPr>
        <w:t>3</w:t>
      </w:r>
      <w:r>
        <w:rPr>
          <w:rFonts w:ascii="宋体" w:hAnsi="宋体"/>
          <w:sz w:val="24"/>
        </w:rPr>
        <w:t>）评标办法；</w:t>
      </w:r>
    </w:p>
    <w:p>
      <w:pPr>
        <w:tabs>
          <w:tab w:val="left" w:pos="8920"/>
        </w:tabs>
        <w:spacing w:line="331" w:lineRule="auto"/>
        <w:ind w:left="360"/>
        <w:rPr>
          <w:rFonts w:ascii="宋体" w:hAnsi="宋体"/>
          <w:sz w:val="24"/>
        </w:rPr>
      </w:pPr>
      <w:r>
        <w:rPr>
          <w:rFonts w:ascii="宋体" w:hAnsi="宋体"/>
          <w:sz w:val="24"/>
        </w:rPr>
        <w:t>（</w:t>
      </w:r>
      <w:r>
        <w:rPr>
          <w:rFonts w:eastAsia="Times New Roman"/>
          <w:sz w:val="24"/>
        </w:rPr>
        <w:t>4</w:t>
      </w:r>
      <w:r>
        <w:rPr>
          <w:rFonts w:ascii="宋体" w:hAnsi="宋体"/>
          <w:sz w:val="24"/>
        </w:rPr>
        <w:t>）合同条款及格式；</w:t>
      </w:r>
    </w:p>
    <w:p>
      <w:pPr>
        <w:tabs>
          <w:tab w:val="left" w:pos="8920"/>
        </w:tabs>
        <w:spacing w:line="331" w:lineRule="auto"/>
        <w:ind w:left="360"/>
        <w:rPr>
          <w:rFonts w:ascii="宋体" w:hAnsi="宋体"/>
          <w:sz w:val="24"/>
        </w:rPr>
      </w:pPr>
      <w:r>
        <w:rPr>
          <w:rFonts w:ascii="宋体" w:hAnsi="宋体"/>
          <w:sz w:val="24"/>
        </w:rPr>
        <w:t>（</w:t>
      </w:r>
      <w:r>
        <w:rPr>
          <w:rFonts w:eastAsia="Times New Roman"/>
          <w:sz w:val="24"/>
        </w:rPr>
        <w:t>5</w:t>
      </w:r>
      <w:r>
        <w:rPr>
          <w:rFonts w:ascii="宋体" w:hAnsi="宋体"/>
          <w:sz w:val="24"/>
        </w:rPr>
        <w:t>）工程量清单；</w:t>
      </w:r>
    </w:p>
    <w:p>
      <w:pPr>
        <w:tabs>
          <w:tab w:val="left" w:pos="8920"/>
        </w:tabs>
        <w:spacing w:line="331" w:lineRule="auto"/>
        <w:ind w:left="360"/>
        <w:rPr>
          <w:rFonts w:ascii="宋体" w:hAnsi="宋体"/>
          <w:sz w:val="24"/>
        </w:rPr>
      </w:pPr>
      <w:r>
        <w:rPr>
          <w:rFonts w:ascii="宋体" w:hAnsi="宋体"/>
          <w:sz w:val="24"/>
        </w:rPr>
        <w:t>（</w:t>
      </w:r>
      <w:r>
        <w:rPr>
          <w:rFonts w:eastAsia="Times New Roman"/>
          <w:sz w:val="24"/>
        </w:rPr>
        <w:t>6</w:t>
      </w:r>
      <w:r>
        <w:rPr>
          <w:rFonts w:ascii="宋体" w:hAnsi="宋体"/>
          <w:sz w:val="24"/>
        </w:rPr>
        <w:t>）图纸；</w:t>
      </w:r>
    </w:p>
    <w:p>
      <w:pPr>
        <w:tabs>
          <w:tab w:val="left" w:pos="8920"/>
        </w:tabs>
        <w:spacing w:line="331" w:lineRule="auto"/>
        <w:ind w:left="360"/>
        <w:rPr>
          <w:rFonts w:ascii="宋体" w:hAnsi="宋体"/>
          <w:sz w:val="24"/>
        </w:rPr>
      </w:pPr>
      <w:r>
        <w:rPr>
          <w:rFonts w:ascii="宋体" w:hAnsi="宋体"/>
          <w:sz w:val="24"/>
        </w:rPr>
        <w:t>（</w:t>
      </w:r>
      <w:r>
        <w:rPr>
          <w:rFonts w:eastAsia="Times New Roman"/>
          <w:sz w:val="24"/>
        </w:rPr>
        <w:t>7</w:t>
      </w:r>
      <w:r>
        <w:rPr>
          <w:rFonts w:ascii="宋体" w:hAnsi="宋体"/>
          <w:sz w:val="24"/>
        </w:rPr>
        <w:t>）技术规范；</w:t>
      </w:r>
    </w:p>
    <w:p>
      <w:pPr>
        <w:spacing w:line="306" w:lineRule="auto"/>
        <w:ind w:left="360"/>
        <w:rPr>
          <w:rFonts w:ascii="宋体" w:hAnsi="宋体"/>
          <w:sz w:val="24"/>
        </w:rPr>
      </w:pPr>
      <w:r>
        <w:rPr>
          <w:rFonts w:ascii="宋体" w:hAnsi="宋体"/>
          <w:sz w:val="24"/>
        </w:rPr>
        <w:t>（</w:t>
      </w:r>
      <w:r>
        <w:rPr>
          <w:rFonts w:eastAsia="Times New Roman"/>
          <w:sz w:val="24"/>
        </w:rPr>
        <w:t>8</w:t>
      </w:r>
      <w:r>
        <w:rPr>
          <w:rFonts w:ascii="宋体" w:hAnsi="宋体"/>
          <w:sz w:val="24"/>
        </w:rPr>
        <w:t>）工程量清单计量规则；</w:t>
      </w:r>
    </w:p>
    <w:p>
      <w:pPr>
        <w:spacing w:line="306" w:lineRule="auto"/>
        <w:ind w:left="360"/>
        <w:rPr>
          <w:rFonts w:ascii="宋体" w:hAnsi="宋体"/>
          <w:sz w:val="24"/>
        </w:rPr>
      </w:pPr>
      <w:r>
        <w:rPr>
          <w:rFonts w:ascii="宋体" w:hAnsi="宋体"/>
          <w:sz w:val="24"/>
        </w:rPr>
        <w:t>（</w:t>
      </w:r>
      <w:r>
        <w:rPr>
          <w:rFonts w:eastAsia="Times New Roman"/>
          <w:sz w:val="24"/>
        </w:rPr>
        <w:t>9</w:t>
      </w:r>
      <w:r>
        <w:rPr>
          <w:rFonts w:ascii="宋体" w:hAnsi="宋体"/>
          <w:sz w:val="24"/>
        </w:rPr>
        <w:t>）投标文件格式；</w:t>
      </w:r>
    </w:p>
    <w:p>
      <w:pPr>
        <w:spacing w:line="137" w:lineRule="exact"/>
        <w:rPr>
          <w:rFonts w:eastAsia="Times New Roman"/>
        </w:rPr>
      </w:pPr>
    </w:p>
    <w:p>
      <w:pPr>
        <w:spacing w:line="310" w:lineRule="auto"/>
        <w:ind w:firstLine="480"/>
        <w:rPr>
          <w:rFonts w:ascii="宋体" w:hAnsi="宋体"/>
          <w:sz w:val="24"/>
        </w:rPr>
      </w:pPr>
      <w:r>
        <w:rPr>
          <w:rFonts w:ascii="宋体" w:hAnsi="宋体"/>
          <w:sz w:val="24"/>
        </w:rPr>
        <w:t xml:space="preserve">根据本章第 </w:t>
      </w:r>
      <w:r>
        <w:rPr>
          <w:rFonts w:eastAsia="Times New Roman"/>
          <w:sz w:val="24"/>
        </w:rPr>
        <w:t>1.10</w:t>
      </w:r>
      <w:r>
        <w:rPr>
          <w:rFonts w:ascii="宋体" w:hAnsi="宋体"/>
          <w:sz w:val="24"/>
        </w:rPr>
        <w:t xml:space="preserve"> 款、第 </w:t>
      </w:r>
      <w:r>
        <w:rPr>
          <w:rFonts w:eastAsia="Times New Roman"/>
          <w:sz w:val="24"/>
        </w:rPr>
        <w:t>2.2</w:t>
      </w:r>
      <w:r>
        <w:rPr>
          <w:rFonts w:ascii="宋体" w:hAnsi="宋体"/>
          <w:sz w:val="24"/>
        </w:rPr>
        <w:t xml:space="preserve"> 款和第 </w:t>
      </w:r>
      <w:r>
        <w:rPr>
          <w:rFonts w:eastAsia="Times New Roman"/>
          <w:sz w:val="24"/>
        </w:rPr>
        <w:t>2.3</w:t>
      </w:r>
      <w:r>
        <w:rPr>
          <w:rFonts w:ascii="宋体" w:hAnsi="宋体"/>
          <w:sz w:val="24"/>
        </w:rPr>
        <w:t xml:space="preserve"> 款对招标文件所作的澄清、修改，构成招标文件的组成部分。</w:t>
      </w:r>
    </w:p>
    <w:p>
      <w:pPr>
        <w:spacing w:line="79" w:lineRule="exact"/>
        <w:rPr>
          <w:rFonts w:eastAsia="Times New Roman"/>
        </w:rPr>
      </w:pPr>
    </w:p>
    <w:p>
      <w:pPr>
        <w:spacing w:line="318" w:lineRule="auto"/>
        <w:ind w:firstLine="480"/>
        <w:rPr>
          <w:rFonts w:eastAsia="Times New Roman"/>
        </w:rPr>
      </w:pPr>
      <w:r>
        <w:rPr>
          <w:rFonts w:ascii="宋体" w:hAnsi="宋体"/>
          <w:sz w:val="24"/>
        </w:rPr>
        <w:t>当招标文件、招标文件的澄清或修改等在同一内容的表述上不一致时，以最后发出的书面文件为准。</w:t>
      </w:r>
    </w:p>
    <w:p>
      <w:pPr>
        <w:tabs>
          <w:tab w:val="left" w:pos="480"/>
        </w:tabs>
        <w:spacing w:line="0" w:lineRule="atLeast"/>
        <w:ind w:left="9"/>
        <w:jc w:val="both"/>
        <w:rPr>
          <w:rFonts w:ascii="黑体" w:hAnsi="黑体" w:eastAsia="黑体"/>
          <w:sz w:val="24"/>
        </w:rPr>
      </w:pPr>
      <w:r>
        <w:rPr>
          <w:rFonts w:hint="eastAsia" w:ascii="宋体" w:hAnsi="宋体"/>
          <w:b/>
          <w:sz w:val="24"/>
        </w:rPr>
        <w:t>2.2</w:t>
      </w:r>
      <w:r>
        <w:rPr>
          <w:rFonts w:ascii="宋体" w:hAnsi="宋体"/>
          <w:b/>
          <w:sz w:val="24"/>
        </w:rPr>
        <w:t>招标文件的澄清</w:t>
      </w:r>
    </w:p>
    <w:p>
      <w:pPr>
        <w:tabs>
          <w:tab w:val="left" w:pos="1080"/>
        </w:tabs>
        <w:spacing w:line="333" w:lineRule="auto"/>
        <w:ind w:firstLine="482" w:firstLineChars="200"/>
        <w:jc w:val="both"/>
        <w:rPr>
          <w:rFonts w:ascii="宋体" w:hAnsi="宋体"/>
          <w:b/>
          <w:sz w:val="24"/>
        </w:rPr>
      </w:pPr>
      <w:r>
        <w:rPr>
          <w:rFonts w:hint="eastAsia" w:ascii="宋体" w:hAnsi="宋体"/>
          <w:b/>
          <w:sz w:val="24"/>
          <w:szCs w:val="24"/>
        </w:rPr>
        <w:t>2.2.1</w:t>
      </w:r>
      <w:r>
        <w:rPr>
          <w:rFonts w:ascii="宋体" w:hAnsi="宋体"/>
          <w:sz w:val="24"/>
        </w:rPr>
        <w:t>投标人应仔细阅读和检查招标文件的全部内容。如发现缺页或附件不全，应及时向招标人提出，以便补齐。如有疑问，应按投标人须知前附表规定的时间</w:t>
      </w:r>
      <w:r>
        <w:rPr>
          <w:rFonts w:hint="eastAsia" w:ascii="宋体" w:hAnsi="宋体"/>
          <w:sz w:val="24"/>
        </w:rPr>
        <w:t>要求</w:t>
      </w:r>
      <w:r>
        <w:rPr>
          <w:rFonts w:ascii="宋体" w:hAnsi="宋体"/>
          <w:sz w:val="24"/>
        </w:rPr>
        <w:t>招标对招标文件予以澄清。</w:t>
      </w:r>
      <w:r>
        <w:rPr>
          <w:rFonts w:hint="eastAsia" w:ascii="宋体" w:hAnsi="宋体"/>
          <w:b/>
          <w:sz w:val="24"/>
        </w:rPr>
        <w:t>如未提出异议，视为全面接受。</w:t>
      </w:r>
    </w:p>
    <w:p>
      <w:pPr>
        <w:spacing w:line="360" w:lineRule="auto"/>
        <w:ind w:firstLine="354" w:firstLineChars="147"/>
        <w:rPr>
          <w:rFonts w:ascii="宋体" w:hAnsi="宋体"/>
          <w:sz w:val="24"/>
        </w:rPr>
      </w:pPr>
      <w:r>
        <w:rPr>
          <w:rFonts w:hint="eastAsia" w:ascii="宋体" w:hAnsi="宋体"/>
          <w:b/>
          <w:sz w:val="24"/>
          <w:szCs w:val="24"/>
        </w:rPr>
        <w:t>2.2.2</w:t>
      </w:r>
      <w:r>
        <w:rPr>
          <w:rFonts w:hint="eastAsia" w:ascii="宋体" w:hAnsi="宋体"/>
          <w:sz w:val="24"/>
        </w:rPr>
        <w:t xml:space="preserve"> 招标文件的澄清将在投标人须知前附表规定的投标截止时间10 天前通过公共资源交易系统电子平台发出，但不指明澄清问题的来源。如果澄清发出的时间距投标截止时间不足10 天，相应延长投标截止时间。</w:t>
      </w:r>
    </w:p>
    <w:p>
      <w:pPr>
        <w:tabs>
          <w:tab w:val="left" w:pos="1080"/>
        </w:tabs>
        <w:spacing w:line="360" w:lineRule="auto"/>
        <w:ind w:firstLine="482" w:firstLineChars="200"/>
        <w:rPr>
          <w:rFonts w:ascii="宋体" w:hAnsi="宋体"/>
          <w:sz w:val="24"/>
        </w:rPr>
      </w:pPr>
      <w:r>
        <w:rPr>
          <w:rFonts w:hint="eastAsia" w:ascii="宋体" w:hAnsi="宋体"/>
          <w:b/>
          <w:sz w:val="24"/>
          <w:szCs w:val="24"/>
        </w:rPr>
        <w:t>2.2.3</w:t>
      </w:r>
      <w:r>
        <w:rPr>
          <w:rFonts w:hint="eastAsia" w:ascii="宋体" w:hAnsi="宋体"/>
          <w:sz w:val="24"/>
        </w:rPr>
        <w:t>投标人在收到澄清后，应按投标人须知前附表规定的时间和形式通知招标</w:t>
      </w:r>
      <w:r>
        <w:rPr>
          <w:rFonts w:ascii="宋体" w:hAnsi="宋体"/>
          <w:sz w:val="24"/>
        </w:rPr>
        <w:t>人，确认已收到该澄清。</w:t>
      </w:r>
    </w:p>
    <w:p>
      <w:pPr>
        <w:spacing w:line="360" w:lineRule="auto"/>
        <w:ind w:firstLine="482" w:firstLineChars="200"/>
        <w:rPr>
          <w:rFonts w:ascii="宋体" w:hAnsi="宋体"/>
          <w:sz w:val="24"/>
        </w:rPr>
      </w:pPr>
      <w:r>
        <w:rPr>
          <w:rFonts w:hint="eastAsia" w:ascii="宋体" w:hAnsi="宋体"/>
          <w:b/>
          <w:sz w:val="24"/>
          <w:szCs w:val="24"/>
        </w:rPr>
        <w:t>2.2.4</w:t>
      </w:r>
      <w:r>
        <w:rPr>
          <w:rFonts w:hint="eastAsia" w:ascii="宋体" w:hAnsi="宋体"/>
          <w:sz w:val="24"/>
        </w:rPr>
        <w:t>所有澄清、答疑全部以公共资源交易系统电子平台发出的为准，不再接受书面形式的递交。</w:t>
      </w:r>
    </w:p>
    <w:p>
      <w:pPr>
        <w:numPr>
          <w:ilvl w:val="0"/>
          <w:numId w:val="12"/>
        </w:numPr>
        <w:tabs>
          <w:tab w:val="left" w:pos="480"/>
        </w:tabs>
        <w:spacing w:line="360" w:lineRule="auto"/>
        <w:ind w:left="480" w:hanging="471"/>
        <w:jc w:val="both"/>
        <w:rPr>
          <w:rFonts w:ascii="黑体" w:hAnsi="黑体" w:eastAsia="黑体"/>
          <w:b/>
          <w:sz w:val="24"/>
        </w:rPr>
      </w:pPr>
      <w:r>
        <w:rPr>
          <w:rFonts w:ascii="宋体" w:hAnsi="宋体"/>
          <w:b/>
          <w:sz w:val="24"/>
        </w:rPr>
        <w:t>招标文件的修改</w:t>
      </w:r>
    </w:p>
    <w:p>
      <w:pPr>
        <w:tabs>
          <w:tab w:val="left" w:pos="480"/>
        </w:tabs>
        <w:spacing w:line="360" w:lineRule="auto"/>
        <w:ind w:left="480"/>
        <w:jc w:val="both"/>
        <w:rPr>
          <w:rFonts w:ascii="新宋体" w:hAnsi="新宋体" w:eastAsia="新宋体" w:cs="仿宋_GB2312"/>
          <w:sz w:val="24"/>
          <w:szCs w:val="24"/>
        </w:rPr>
      </w:pPr>
      <w:r>
        <w:rPr>
          <w:rFonts w:hint="eastAsia" w:ascii="宋体" w:hAnsi="宋体"/>
          <w:sz w:val="24"/>
          <w:szCs w:val="24"/>
        </w:rPr>
        <w:t xml:space="preserve">2.3.1 </w:t>
      </w:r>
      <w:r>
        <w:rPr>
          <w:rFonts w:hint="eastAsia" w:ascii="新宋体" w:hAnsi="新宋体" w:eastAsia="新宋体" w:cs="仿宋_GB2312"/>
          <w:sz w:val="24"/>
          <w:szCs w:val="24"/>
        </w:rPr>
        <w:t>在投标截止时间</w:t>
      </w:r>
      <w:r>
        <w:rPr>
          <w:rFonts w:hint="eastAsia" w:ascii="新宋体" w:hAnsi="新宋体" w:eastAsia="新宋体" w:cs="TimesNewRomanPSMT"/>
          <w:sz w:val="24"/>
          <w:szCs w:val="24"/>
        </w:rPr>
        <w:t>15</w:t>
      </w:r>
      <w:r>
        <w:rPr>
          <w:rFonts w:hint="eastAsia" w:ascii="新宋体" w:hAnsi="新宋体" w:eastAsia="新宋体" w:cs="仿宋_GB2312"/>
          <w:sz w:val="24"/>
          <w:szCs w:val="24"/>
        </w:rPr>
        <w:t>天前，招标人可以通过全国公共资源交易平台（河南</w:t>
      </w:r>
    </w:p>
    <w:p>
      <w:pPr>
        <w:tabs>
          <w:tab w:val="left" w:pos="480"/>
        </w:tabs>
        <w:spacing w:line="360" w:lineRule="auto"/>
        <w:jc w:val="both"/>
        <w:rPr>
          <w:rFonts w:ascii="新宋体" w:hAnsi="新宋体" w:eastAsia="新宋体" w:cs="仿宋_GB2312"/>
          <w:sz w:val="24"/>
          <w:szCs w:val="24"/>
        </w:rPr>
      </w:pPr>
      <w:r>
        <w:rPr>
          <w:rFonts w:hint="eastAsia" w:ascii="新宋体" w:hAnsi="新宋体" w:eastAsia="新宋体" w:cs="仿宋_GB2312"/>
          <w:sz w:val="24"/>
          <w:szCs w:val="24"/>
        </w:rPr>
        <w:t>省·许昌市）修改招标文件，如果修改招标文件的时间距投标截止时间不足</w:t>
      </w:r>
      <w:r>
        <w:rPr>
          <w:rFonts w:hint="eastAsia" w:ascii="新宋体" w:hAnsi="新宋体" w:eastAsia="新宋体" w:cs="TimesNewRomanPSMT"/>
          <w:sz w:val="24"/>
          <w:szCs w:val="24"/>
        </w:rPr>
        <w:t xml:space="preserve">15 </w:t>
      </w:r>
      <w:r>
        <w:rPr>
          <w:rFonts w:hint="eastAsia" w:ascii="新宋体" w:hAnsi="新宋体" w:eastAsia="新宋体" w:cs="仿宋_GB2312"/>
          <w:sz w:val="24"/>
          <w:szCs w:val="24"/>
        </w:rPr>
        <w:t>天，相应延长投标截止时间。</w:t>
      </w:r>
    </w:p>
    <w:p>
      <w:pPr>
        <w:tabs>
          <w:tab w:val="left" w:pos="480"/>
        </w:tabs>
        <w:spacing w:line="360" w:lineRule="auto"/>
        <w:ind w:firstLine="120" w:firstLineChars="50"/>
        <w:jc w:val="both"/>
        <w:rPr>
          <w:rFonts w:ascii="新宋体" w:hAnsi="新宋体" w:eastAsia="新宋体" w:cs="仿宋_GB2312"/>
          <w:sz w:val="24"/>
          <w:szCs w:val="24"/>
        </w:rPr>
      </w:pPr>
      <w:r>
        <w:rPr>
          <w:rFonts w:hint="eastAsia" w:ascii="宋体" w:hAnsi="宋体"/>
          <w:sz w:val="24"/>
          <w:szCs w:val="24"/>
        </w:rPr>
        <w:t xml:space="preserve">  2.3.2 当招标文件（含评标、定标办法）、补充通知且修改内容可能影响投标文件编制的，内容相互矛盾时，以最后发出的通知（或纪要）为准。</w:t>
      </w:r>
    </w:p>
    <w:p>
      <w:pPr>
        <w:spacing w:line="360" w:lineRule="auto"/>
        <w:rPr>
          <w:rFonts w:ascii="宋体" w:hAnsi="宋体"/>
          <w:b/>
          <w:sz w:val="24"/>
        </w:rPr>
      </w:pPr>
      <w:r>
        <w:rPr>
          <w:rFonts w:ascii="黑体" w:hAnsi="黑体" w:eastAsia="黑体"/>
          <w:b/>
          <w:sz w:val="24"/>
        </w:rPr>
        <w:t xml:space="preserve">2.4 </w:t>
      </w:r>
      <w:r>
        <w:rPr>
          <w:rFonts w:ascii="宋体" w:hAnsi="宋体"/>
          <w:b/>
          <w:sz w:val="24"/>
        </w:rPr>
        <w:t>招标文件的异议</w:t>
      </w:r>
    </w:p>
    <w:p>
      <w:pPr>
        <w:tabs>
          <w:tab w:val="left" w:pos="480"/>
        </w:tabs>
        <w:spacing w:line="360" w:lineRule="auto"/>
        <w:ind w:left="480"/>
        <w:jc w:val="both"/>
        <w:rPr>
          <w:rFonts w:ascii="新宋体" w:hAnsi="新宋体" w:eastAsia="新宋体" w:cs="仿宋_GB2312"/>
          <w:sz w:val="24"/>
          <w:szCs w:val="24"/>
        </w:rPr>
      </w:pPr>
      <w:r>
        <w:rPr>
          <w:rFonts w:ascii="新宋体" w:hAnsi="新宋体" w:eastAsia="新宋体" w:cs="仿宋_GB2312"/>
          <w:sz w:val="24"/>
          <w:szCs w:val="24"/>
        </w:rPr>
        <w:t>投标人或其他利害关系人对招标文件有异议的，应在投标截止时间 10 日</w:t>
      </w:r>
      <w:r>
        <w:rPr>
          <w:rFonts w:hint="eastAsia" w:ascii="新宋体" w:hAnsi="新宋体" w:eastAsia="新宋体" w:cs="仿宋_GB2312"/>
          <w:sz w:val="24"/>
          <w:szCs w:val="24"/>
        </w:rPr>
        <w:t>前通过</w:t>
      </w:r>
    </w:p>
    <w:p>
      <w:pPr>
        <w:tabs>
          <w:tab w:val="left" w:pos="480"/>
        </w:tabs>
        <w:spacing w:line="360" w:lineRule="auto"/>
        <w:jc w:val="both"/>
        <w:rPr>
          <w:rFonts w:ascii="新宋体" w:hAnsi="新宋体" w:eastAsia="新宋体" w:cs="仿宋_GB2312"/>
          <w:sz w:val="24"/>
          <w:szCs w:val="24"/>
        </w:rPr>
      </w:pPr>
      <w:r>
        <w:rPr>
          <w:rFonts w:hint="eastAsia" w:ascii="新宋体" w:hAnsi="新宋体" w:eastAsia="新宋体" w:cs="仿宋_GB2312"/>
          <w:sz w:val="24"/>
          <w:szCs w:val="24"/>
        </w:rPr>
        <w:t>公共资源交易系统电子平台提出，不再接受书面形式的递交。</w:t>
      </w:r>
      <w:r>
        <w:rPr>
          <w:rFonts w:ascii="新宋体" w:hAnsi="新宋体" w:eastAsia="新宋体" w:cs="仿宋_GB2312"/>
          <w:sz w:val="24"/>
          <w:szCs w:val="24"/>
        </w:rPr>
        <w:t>招标人将在收到异议之日起 3 日内作出答复；作出答复前，将暂停招标投</w:t>
      </w:r>
      <w:r>
        <w:rPr>
          <w:rFonts w:ascii="宋体" w:hAnsi="宋体"/>
          <w:sz w:val="24"/>
        </w:rPr>
        <w:t>标活动。</w:t>
      </w:r>
    </w:p>
    <w:p>
      <w:pPr>
        <w:spacing w:line="0" w:lineRule="atLeast"/>
        <w:rPr>
          <w:rFonts w:eastAsia="Times New Roman"/>
        </w:rPr>
      </w:pPr>
      <w:r>
        <w:rPr>
          <w:rFonts w:hint="eastAsia" w:ascii="黑体" w:hAnsi="黑体" w:eastAsia="黑体"/>
          <w:b/>
          <w:sz w:val="28"/>
        </w:rPr>
        <w:t>3.</w:t>
      </w:r>
      <w:r>
        <w:rPr>
          <w:rFonts w:ascii="宋体" w:hAnsi="宋体"/>
          <w:b/>
          <w:sz w:val="28"/>
        </w:rPr>
        <w:t>投标文件</w:t>
      </w:r>
    </w:p>
    <w:p>
      <w:pPr>
        <w:spacing w:line="0" w:lineRule="atLeast"/>
        <w:rPr>
          <w:rFonts w:eastAsia="Times New Roman"/>
        </w:rPr>
      </w:pPr>
      <w:r>
        <w:rPr>
          <w:rFonts w:ascii="黑体" w:hAnsi="黑体" w:eastAsia="黑体"/>
          <w:sz w:val="24"/>
        </w:rPr>
        <w:t xml:space="preserve">3.1 </w:t>
      </w:r>
      <w:r>
        <w:rPr>
          <w:rFonts w:ascii="宋体" w:hAnsi="宋体"/>
          <w:sz w:val="24"/>
        </w:rPr>
        <w:t>投标文件的组成</w:t>
      </w:r>
    </w:p>
    <w:p>
      <w:pPr>
        <w:spacing w:line="0" w:lineRule="atLeast"/>
        <w:ind w:left="480"/>
        <w:rPr>
          <w:rFonts w:ascii="宋体" w:hAnsi="宋体"/>
          <w:sz w:val="24"/>
        </w:rPr>
      </w:pPr>
      <w:r>
        <w:rPr>
          <w:rFonts w:ascii="宋体" w:hAnsi="宋体"/>
          <w:sz w:val="24"/>
        </w:rPr>
        <w:t>根据投标人须知前附表规定的不同形式，投标文件的组成应满足相应条款要求。</w:t>
      </w:r>
    </w:p>
    <w:p>
      <w:pPr>
        <w:spacing w:line="127" w:lineRule="exact"/>
        <w:rPr>
          <w:rFonts w:eastAsia="Times New Roman"/>
        </w:rPr>
      </w:pPr>
    </w:p>
    <w:p>
      <w:pPr>
        <w:spacing w:line="0" w:lineRule="atLeast"/>
        <w:ind w:left="480"/>
        <w:rPr>
          <w:rFonts w:ascii="宋体" w:hAnsi="宋体"/>
          <w:sz w:val="24"/>
        </w:rPr>
      </w:pPr>
      <w:r>
        <w:rPr>
          <w:rFonts w:ascii="宋体" w:hAnsi="宋体"/>
          <w:sz w:val="24"/>
        </w:rPr>
        <w:t xml:space="preserve">若采用双信封形式，第 </w:t>
      </w:r>
      <w:r>
        <w:rPr>
          <w:rFonts w:eastAsia="Times New Roman"/>
          <w:sz w:val="24"/>
        </w:rPr>
        <w:t>3.1.1</w:t>
      </w:r>
      <w:r>
        <w:rPr>
          <w:rFonts w:ascii="宋体" w:hAnsi="宋体"/>
          <w:sz w:val="24"/>
        </w:rPr>
        <w:t xml:space="preserve"> 项采用以下条款：</w:t>
      </w:r>
    </w:p>
    <w:p>
      <w:pPr>
        <w:spacing w:line="109" w:lineRule="exact"/>
        <w:rPr>
          <w:rFonts w:eastAsia="Times New Roman"/>
        </w:rPr>
      </w:pPr>
    </w:p>
    <w:p>
      <w:pPr>
        <w:spacing w:line="0" w:lineRule="atLeast"/>
        <w:ind w:left="480"/>
        <w:rPr>
          <w:rFonts w:ascii="宋体" w:hAnsi="宋体"/>
          <w:sz w:val="24"/>
        </w:rPr>
      </w:pPr>
      <w:r>
        <w:rPr>
          <w:rFonts w:eastAsia="Times New Roman"/>
          <w:sz w:val="24"/>
        </w:rPr>
        <w:t xml:space="preserve">3.1.1 </w:t>
      </w:r>
      <w:r>
        <w:rPr>
          <w:rFonts w:ascii="宋体" w:hAnsi="宋体"/>
          <w:sz w:val="24"/>
        </w:rPr>
        <w:t>投标文件应包括下列内容：</w:t>
      </w:r>
    </w:p>
    <w:p>
      <w:pPr>
        <w:spacing w:line="107" w:lineRule="exact"/>
        <w:rPr>
          <w:rFonts w:eastAsia="Times New Roman"/>
        </w:rPr>
      </w:pPr>
    </w:p>
    <w:p>
      <w:pPr>
        <w:spacing w:line="0" w:lineRule="atLeast"/>
        <w:ind w:left="480"/>
        <w:rPr>
          <w:rFonts w:ascii="宋体" w:hAnsi="宋体"/>
          <w:sz w:val="24"/>
        </w:rPr>
      </w:pPr>
      <w:r>
        <w:rPr>
          <w:rFonts w:ascii="宋体" w:hAnsi="宋体"/>
          <w:sz w:val="24"/>
        </w:rPr>
        <w:t>第一个信封（商务及技术文件）：</w:t>
      </w:r>
    </w:p>
    <w:p>
      <w:pPr>
        <w:spacing w:line="156" w:lineRule="exact"/>
        <w:rPr>
          <w:rFonts w:eastAsia="Times New Roman"/>
        </w:rPr>
      </w:pPr>
    </w:p>
    <w:p>
      <w:pPr>
        <w:spacing w:line="333" w:lineRule="auto"/>
        <w:ind w:left="360"/>
        <w:rPr>
          <w:rFonts w:ascii="宋体" w:hAnsi="宋体"/>
          <w:sz w:val="24"/>
        </w:rPr>
      </w:pPr>
      <w:r>
        <w:rPr>
          <w:rFonts w:ascii="宋体" w:hAnsi="宋体"/>
          <w:sz w:val="24"/>
        </w:rPr>
        <w:t>（</w:t>
      </w:r>
      <w:r>
        <w:rPr>
          <w:rFonts w:eastAsia="Times New Roman"/>
          <w:sz w:val="24"/>
        </w:rPr>
        <w:t>1</w:t>
      </w:r>
      <w:r>
        <w:rPr>
          <w:rFonts w:ascii="宋体" w:hAnsi="宋体"/>
          <w:sz w:val="24"/>
        </w:rPr>
        <w:t>）投标函及投标函附录；</w:t>
      </w:r>
    </w:p>
    <w:p>
      <w:pPr>
        <w:spacing w:line="333" w:lineRule="auto"/>
        <w:ind w:left="360"/>
        <w:rPr>
          <w:rFonts w:ascii="宋体" w:hAnsi="宋体"/>
          <w:sz w:val="24"/>
        </w:rPr>
      </w:pPr>
      <w:r>
        <w:rPr>
          <w:rFonts w:ascii="宋体" w:hAnsi="宋体"/>
          <w:sz w:val="24"/>
        </w:rPr>
        <w:t>（</w:t>
      </w:r>
      <w:r>
        <w:rPr>
          <w:rFonts w:eastAsia="Times New Roman"/>
          <w:sz w:val="24"/>
        </w:rPr>
        <w:t>2</w:t>
      </w:r>
      <w:r>
        <w:rPr>
          <w:rFonts w:ascii="宋体" w:hAnsi="宋体"/>
          <w:sz w:val="24"/>
        </w:rPr>
        <w:t>）授权委托书或法定代表人身份证明；</w:t>
      </w:r>
    </w:p>
    <w:p>
      <w:pPr>
        <w:spacing w:line="333" w:lineRule="auto"/>
        <w:ind w:left="360"/>
        <w:rPr>
          <w:rFonts w:ascii="宋体" w:hAnsi="宋体"/>
          <w:sz w:val="24"/>
        </w:rPr>
      </w:pPr>
      <w:r>
        <w:rPr>
          <w:rFonts w:ascii="宋体" w:hAnsi="宋体"/>
          <w:sz w:val="24"/>
        </w:rPr>
        <w:t>（</w:t>
      </w:r>
      <w:r>
        <w:rPr>
          <w:rFonts w:hint="eastAsia"/>
          <w:sz w:val="24"/>
        </w:rPr>
        <w:t>3</w:t>
      </w:r>
      <w:r>
        <w:rPr>
          <w:rFonts w:ascii="宋体" w:hAnsi="宋体"/>
          <w:sz w:val="24"/>
        </w:rPr>
        <w:t>）投标保证金；</w:t>
      </w:r>
    </w:p>
    <w:p>
      <w:pPr>
        <w:spacing w:line="333" w:lineRule="auto"/>
        <w:ind w:left="360"/>
        <w:rPr>
          <w:rFonts w:ascii="宋体" w:hAnsi="宋体"/>
          <w:sz w:val="24"/>
        </w:rPr>
      </w:pPr>
      <w:r>
        <w:rPr>
          <w:rFonts w:ascii="宋体" w:hAnsi="宋体"/>
          <w:sz w:val="24"/>
        </w:rPr>
        <w:t>（</w:t>
      </w:r>
      <w:r>
        <w:rPr>
          <w:rFonts w:hint="eastAsia"/>
          <w:sz w:val="24"/>
        </w:rPr>
        <w:t>4</w:t>
      </w:r>
      <w:r>
        <w:rPr>
          <w:rFonts w:ascii="宋体" w:hAnsi="宋体"/>
          <w:sz w:val="24"/>
        </w:rPr>
        <w:t>）施工组织设计；</w:t>
      </w:r>
    </w:p>
    <w:p>
      <w:pPr>
        <w:spacing w:line="333" w:lineRule="auto"/>
        <w:ind w:left="360"/>
        <w:rPr>
          <w:rFonts w:ascii="宋体" w:hAnsi="宋体"/>
          <w:sz w:val="24"/>
        </w:rPr>
      </w:pPr>
      <w:r>
        <w:rPr>
          <w:rFonts w:ascii="宋体" w:hAnsi="宋体"/>
          <w:sz w:val="24"/>
        </w:rPr>
        <w:t>（</w:t>
      </w:r>
      <w:r>
        <w:rPr>
          <w:rFonts w:hint="eastAsia"/>
          <w:sz w:val="24"/>
        </w:rPr>
        <w:t>5</w:t>
      </w:r>
      <w:r>
        <w:rPr>
          <w:rFonts w:ascii="宋体" w:hAnsi="宋体"/>
          <w:sz w:val="24"/>
        </w:rPr>
        <w:t>）项目管理机构；</w:t>
      </w:r>
    </w:p>
    <w:p>
      <w:pPr>
        <w:spacing w:line="306" w:lineRule="auto"/>
        <w:ind w:left="360"/>
        <w:rPr>
          <w:rFonts w:ascii="宋体" w:hAnsi="宋体"/>
          <w:sz w:val="24"/>
        </w:rPr>
      </w:pPr>
      <w:r>
        <w:rPr>
          <w:rFonts w:ascii="宋体" w:hAnsi="宋体"/>
          <w:sz w:val="24"/>
        </w:rPr>
        <w:t>（</w:t>
      </w:r>
      <w:r>
        <w:rPr>
          <w:rFonts w:hint="eastAsia"/>
          <w:sz w:val="24"/>
        </w:rPr>
        <w:t>6</w:t>
      </w:r>
      <w:r>
        <w:rPr>
          <w:rFonts w:ascii="宋体" w:hAnsi="宋体"/>
          <w:sz w:val="24"/>
        </w:rPr>
        <w:t>）拟分包项目情况表；</w:t>
      </w:r>
    </w:p>
    <w:p>
      <w:pPr>
        <w:spacing w:line="306" w:lineRule="auto"/>
        <w:ind w:left="360"/>
        <w:rPr>
          <w:rFonts w:ascii="宋体" w:hAnsi="宋体"/>
          <w:sz w:val="24"/>
        </w:rPr>
      </w:pPr>
      <w:r>
        <w:rPr>
          <w:rFonts w:ascii="宋体" w:hAnsi="宋体"/>
          <w:sz w:val="24"/>
        </w:rPr>
        <w:t>（</w:t>
      </w:r>
      <w:r>
        <w:rPr>
          <w:rFonts w:hint="eastAsia"/>
          <w:sz w:val="24"/>
        </w:rPr>
        <w:t>7</w:t>
      </w:r>
      <w:r>
        <w:rPr>
          <w:rFonts w:ascii="宋体" w:hAnsi="宋体"/>
          <w:sz w:val="24"/>
        </w:rPr>
        <w:t>）资格审查资料；</w:t>
      </w:r>
    </w:p>
    <w:p>
      <w:pPr>
        <w:spacing w:line="55" w:lineRule="exact"/>
        <w:rPr>
          <w:rFonts w:eastAsia="Times New Roman"/>
        </w:rPr>
      </w:pPr>
    </w:p>
    <w:p>
      <w:pPr>
        <w:spacing w:line="310" w:lineRule="auto"/>
        <w:ind w:left="480" w:hanging="119"/>
        <w:rPr>
          <w:rFonts w:ascii="宋体" w:hAnsi="宋体"/>
          <w:sz w:val="24"/>
        </w:rPr>
      </w:pPr>
      <w:r>
        <w:rPr>
          <w:rFonts w:ascii="宋体" w:hAnsi="宋体"/>
          <w:sz w:val="24"/>
        </w:rPr>
        <w:t>（</w:t>
      </w:r>
      <w:r>
        <w:rPr>
          <w:rFonts w:hint="eastAsia"/>
          <w:sz w:val="24"/>
        </w:rPr>
        <w:t>8</w:t>
      </w:r>
      <w:r>
        <w:rPr>
          <w:rFonts w:ascii="宋体" w:hAnsi="宋体"/>
          <w:sz w:val="24"/>
        </w:rPr>
        <w:t>）其他资料。</w:t>
      </w:r>
    </w:p>
    <w:p>
      <w:pPr>
        <w:spacing w:line="310" w:lineRule="auto"/>
        <w:ind w:left="480" w:hanging="119"/>
        <w:rPr>
          <w:rFonts w:ascii="宋体" w:hAnsi="宋体"/>
          <w:sz w:val="24"/>
        </w:rPr>
      </w:pPr>
      <w:r>
        <w:rPr>
          <w:rFonts w:ascii="宋体" w:hAnsi="宋体"/>
          <w:sz w:val="24"/>
        </w:rPr>
        <w:t>第二个信封（</w:t>
      </w:r>
      <w:r>
        <w:rPr>
          <w:rFonts w:hint="eastAsia" w:ascii="宋体" w:hAnsi="宋体"/>
          <w:sz w:val="24"/>
        </w:rPr>
        <w:t>投标</w:t>
      </w:r>
      <w:r>
        <w:rPr>
          <w:rFonts w:ascii="宋体" w:hAnsi="宋体"/>
          <w:sz w:val="24"/>
        </w:rPr>
        <w:t>报价</w:t>
      </w:r>
      <w:r>
        <w:rPr>
          <w:rFonts w:hint="eastAsia" w:ascii="宋体" w:hAnsi="宋体"/>
          <w:sz w:val="24"/>
        </w:rPr>
        <w:t>和工程量清单</w:t>
      </w:r>
      <w:r>
        <w:rPr>
          <w:rFonts w:ascii="宋体" w:hAnsi="宋体"/>
          <w:sz w:val="24"/>
        </w:rPr>
        <w:t>）：</w:t>
      </w:r>
    </w:p>
    <w:p>
      <w:pPr>
        <w:spacing w:line="43" w:lineRule="exact"/>
        <w:rPr>
          <w:rFonts w:eastAsia="Times New Roman"/>
        </w:rPr>
      </w:pPr>
    </w:p>
    <w:p>
      <w:pPr>
        <w:spacing w:line="324" w:lineRule="auto"/>
        <w:ind w:left="480"/>
        <w:rPr>
          <w:rFonts w:ascii="宋体" w:hAnsi="宋体"/>
          <w:sz w:val="24"/>
        </w:rPr>
      </w:pPr>
      <w:bookmarkStart w:id="21" w:name="page54"/>
      <w:bookmarkEnd w:id="21"/>
      <w:r>
        <w:rPr>
          <w:rFonts w:ascii="宋体" w:hAnsi="宋体"/>
          <w:sz w:val="24"/>
        </w:rPr>
        <w:t>（</w:t>
      </w:r>
      <w:r>
        <w:rPr>
          <w:rFonts w:hint="eastAsia"/>
          <w:sz w:val="24"/>
        </w:rPr>
        <w:t>1</w:t>
      </w:r>
      <w:r>
        <w:rPr>
          <w:rFonts w:ascii="宋体" w:hAnsi="宋体"/>
          <w:sz w:val="24"/>
        </w:rPr>
        <w:t>）投标函；</w:t>
      </w:r>
    </w:p>
    <w:p>
      <w:pPr>
        <w:spacing w:line="324" w:lineRule="auto"/>
        <w:ind w:left="480"/>
        <w:rPr>
          <w:rFonts w:ascii="宋体" w:hAnsi="宋体"/>
          <w:sz w:val="24"/>
        </w:rPr>
      </w:pPr>
      <w:r>
        <w:rPr>
          <w:rFonts w:ascii="宋体" w:hAnsi="宋体"/>
          <w:sz w:val="24"/>
        </w:rPr>
        <w:t>（</w:t>
      </w:r>
      <w:r>
        <w:rPr>
          <w:rFonts w:hint="eastAsia"/>
          <w:sz w:val="24"/>
        </w:rPr>
        <w:t>2</w:t>
      </w:r>
      <w:r>
        <w:rPr>
          <w:rFonts w:ascii="宋体" w:hAnsi="宋体"/>
          <w:sz w:val="24"/>
        </w:rPr>
        <w:t>）已标价工程量清单；</w:t>
      </w:r>
    </w:p>
    <w:p>
      <w:pPr>
        <w:spacing w:line="7" w:lineRule="exact"/>
        <w:rPr>
          <w:rFonts w:eastAsia="Times New Roman"/>
        </w:rPr>
      </w:pPr>
    </w:p>
    <w:p>
      <w:pPr>
        <w:spacing w:line="0" w:lineRule="atLeast"/>
        <w:ind w:left="480"/>
        <w:rPr>
          <w:rFonts w:ascii="宋体" w:hAnsi="宋体"/>
          <w:color w:val="FF0000"/>
          <w:sz w:val="24"/>
        </w:rPr>
      </w:pPr>
      <w:r>
        <w:rPr>
          <w:rFonts w:ascii="宋体" w:hAnsi="宋体"/>
          <w:sz w:val="24"/>
        </w:rPr>
        <w:t>（</w:t>
      </w:r>
      <w:r>
        <w:rPr>
          <w:rFonts w:hint="eastAsia"/>
          <w:sz w:val="24"/>
        </w:rPr>
        <w:t>3</w:t>
      </w:r>
      <w:r>
        <w:rPr>
          <w:rFonts w:ascii="宋体" w:hAnsi="宋体"/>
          <w:sz w:val="24"/>
        </w:rPr>
        <w:t>）合同用款估算表。</w:t>
      </w:r>
    </w:p>
    <w:p>
      <w:pPr>
        <w:spacing w:line="146" w:lineRule="exact"/>
        <w:rPr>
          <w:rFonts w:eastAsia="Times New Roman"/>
          <w:color w:val="FF0000"/>
        </w:rPr>
      </w:pPr>
    </w:p>
    <w:p>
      <w:pPr>
        <w:spacing w:line="316" w:lineRule="auto"/>
        <w:ind w:left="120" w:firstLine="480"/>
      </w:pPr>
      <w:r>
        <w:rPr>
          <w:rFonts w:hint="eastAsia" w:ascii="宋体" w:hAnsi="宋体"/>
          <w:sz w:val="24"/>
        </w:rPr>
        <w:t>3.1.2</w:t>
      </w:r>
      <w:r>
        <w:rPr>
          <w:rFonts w:ascii="宋体" w:hAnsi="宋体"/>
          <w:sz w:val="24"/>
        </w:rPr>
        <w:t>投标人在评标过程中作出的符合法律法规和招标文件规定的澄清确认，构成投标文件的组成部分。</w:t>
      </w:r>
    </w:p>
    <w:p>
      <w:pPr>
        <w:spacing w:line="41" w:lineRule="exact"/>
        <w:rPr>
          <w:rFonts w:eastAsia="Times New Roman"/>
        </w:rPr>
      </w:pPr>
    </w:p>
    <w:p>
      <w:pPr>
        <w:spacing w:line="69" w:lineRule="exact"/>
        <w:rPr>
          <w:rFonts w:eastAsia="Times New Roman"/>
        </w:rPr>
      </w:pPr>
    </w:p>
    <w:p>
      <w:pPr>
        <w:numPr>
          <w:ilvl w:val="0"/>
          <w:numId w:val="13"/>
        </w:numPr>
        <w:tabs>
          <w:tab w:val="left" w:pos="600"/>
        </w:tabs>
        <w:spacing w:line="0" w:lineRule="atLeast"/>
        <w:ind w:left="600" w:hanging="471"/>
        <w:jc w:val="both"/>
        <w:rPr>
          <w:rFonts w:ascii="黑体" w:hAnsi="黑体" w:eastAsia="黑体"/>
          <w:b/>
          <w:sz w:val="24"/>
        </w:rPr>
      </w:pPr>
      <w:r>
        <w:rPr>
          <w:rFonts w:ascii="宋体" w:hAnsi="宋体"/>
          <w:b/>
          <w:sz w:val="24"/>
        </w:rPr>
        <w:t>投标报价</w:t>
      </w:r>
    </w:p>
    <w:p>
      <w:pPr>
        <w:spacing w:line="200" w:lineRule="exact"/>
        <w:rPr>
          <w:rFonts w:ascii="黑体" w:hAnsi="黑体" w:eastAsia="黑体"/>
          <w:sz w:val="24"/>
        </w:rPr>
      </w:pPr>
    </w:p>
    <w:p>
      <w:pPr>
        <w:tabs>
          <w:tab w:val="left" w:pos="1200"/>
        </w:tabs>
        <w:spacing w:line="315" w:lineRule="auto"/>
        <w:ind w:firstLine="360" w:firstLineChars="150"/>
        <w:rPr>
          <w:rFonts w:eastAsia="Times New Roman"/>
          <w:sz w:val="24"/>
        </w:rPr>
      </w:pPr>
      <w:r>
        <w:rPr>
          <w:rFonts w:hint="eastAsia" w:ascii="黑体" w:hAnsi="黑体" w:eastAsia="黑体"/>
          <w:sz w:val="24"/>
        </w:rPr>
        <w:t>3.2.1</w:t>
      </w:r>
      <w:r>
        <w:rPr>
          <w:rFonts w:ascii="宋体" w:hAnsi="宋体"/>
          <w:sz w:val="24"/>
        </w:rPr>
        <w:t>投标人应按第九章</w:t>
      </w:r>
      <w:r>
        <w:rPr>
          <w:rFonts w:ascii="Arial" w:hAnsi="Arial" w:eastAsia="Arial"/>
          <w:sz w:val="24"/>
        </w:rPr>
        <w:t>“</w:t>
      </w:r>
      <w:r>
        <w:rPr>
          <w:rFonts w:ascii="宋体" w:hAnsi="宋体"/>
          <w:sz w:val="24"/>
        </w:rPr>
        <w:t>投标文件格式</w:t>
      </w:r>
      <w:r>
        <w:rPr>
          <w:rFonts w:ascii="Arial" w:hAnsi="Arial" w:eastAsia="Arial"/>
          <w:sz w:val="24"/>
        </w:rPr>
        <w:t>”</w:t>
      </w:r>
      <w:r>
        <w:rPr>
          <w:rFonts w:ascii="宋体" w:hAnsi="宋体"/>
          <w:sz w:val="24"/>
        </w:rPr>
        <w:t>的要求在投标函中进行报价并填写工程量清单相应表格。</w:t>
      </w:r>
    </w:p>
    <w:p>
      <w:pPr>
        <w:spacing w:line="75" w:lineRule="exact"/>
        <w:rPr>
          <w:rFonts w:eastAsia="Times New Roman"/>
          <w:sz w:val="24"/>
        </w:rPr>
      </w:pPr>
    </w:p>
    <w:p>
      <w:pPr>
        <w:spacing w:line="316" w:lineRule="auto"/>
        <w:ind w:left="120" w:firstLine="480"/>
        <w:jc w:val="both"/>
        <w:rPr>
          <w:rFonts w:ascii="宋体" w:hAnsi="宋体"/>
          <w:sz w:val="24"/>
        </w:rPr>
      </w:pPr>
      <w:r>
        <w:rPr>
          <w:rFonts w:ascii="宋体" w:hAnsi="宋体"/>
          <w:sz w:val="24"/>
        </w:rPr>
        <w:t>投标人应按投标人须知前附表规定的方式填写工程量清单。</w:t>
      </w:r>
    </w:p>
    <w:p>
      <w:pPr>
        <w:spacing w:line="316" w:lineRule="auto"/>
        <w:ind w:firstLine="480"/>
        <w:jc w:val="both"/>
        <w:rPr>
          <w:rFonts w:ascii="宋体" w:hAnsi="宋体"/>
          <w:sz w:val="24"/>
        </w:rPr>
      </w:pPr>
      <w:r>
        <w:rPr>
          <w:rFonts w:ascii="宋体" w:hAnsi="宋体"/>
          <w:sz w:val="23"/>
        </w:rPr>
        <w:t>（</w:t>
      </w:r>
      <w:r>
        <w:rPr>
          <w:rFonts w:hint="eastAsia"/>
          <w:sz w:val="23"/>
        </w:rPr>
        <w:t>1）本项</w:t>
      </w:r>
      <w:r>
        <w:rPr>
          <w:rFonts w:ascii="宋体" w:hAnsi="宋体"/>
          <w:sz w:val="24"/>
        </w:rPr>
        <w:t>目招标采用工程量固化清单，招标人在出售招标文件的同时向投标人</w:t>
      </w:r>
      <w:bookmarkStart w:id="22" w:name="page55"/>
      <w:bookmarkEnd w:id="22"/>
      <w:r>
        <w:rPr>
          <w:rFonts w:ascii="宋体" w:hAnsi="宋体"/>
          <w:sz w:val="24"/>
        </w:rPr>
        <w:t>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tabs>
          <w:tab w:val="left" w:pos="1200"/>
        </w:tabs>
        <w:spacing w:line="315" w:lineRule="auto"/>
        <w:ind w:firstLine="566" w:firstLineChars="236"/>
        <w:rPr>
          <w:rFonts w:ascii="宋体" w:hAnsi="宋体"/>
          <w:sz w:val="24"/>
        </w:rPr>
      </w:pPr>
      <w:r>
        <w:rPr>
          <w:rFonts w:ascii="宋体" w:hAnsi="宋体"/>
          <w:sz w:val="24"/>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w:t>
      </w:r>
    </w:p>
    <w:p>
      <w:pPr>
        <w:tabs>
          <w:tab w:val="left" w:pos="1200"/>
        </w:tabs>
        <w:spacing w:line="315" w:lineRule="auto"/>
        <w:ind w:firstLine="566" w:firstLineChars="236"/>
        <w:rPr>
          <w:rFonts w:ascii="宋体" w:hAnsi="宋体"/>
          <w:sz w:val="24"/>
        </w:rPr>
      </w:pPr>
      <w:r>
        <w:rPr>
          <w:rFonts w:ascii="宋体" w:hAnsi="宋体"/>
          <w:sz w:val="24"/>
        </w:rPr>
        <w:t>投标人根据招标人提供的工程量固化清单电子文件填报完成并打印的投标工程量清单中的投标报价和投标函大写金额报价应一致，如果报价金额出现差异，其投标将被否决。</w:t>
      </w:r>
    </w:p>
    <w:p>
      <w:pPr>
        <w:spacing w:line="51" w:lineRule="exact"/>
        <w:rPr>
          <w:rFonts w:eastAsia="Times New Roman"/>
        </w:rPr>
      </w:pPr>
    </w:p>
    <w:p>
      <w:pPr>
        <w:spacing w:line="313" w:lineRule="auto"/>
        <w:ind w:firstLine="360"/>
        <w:jc w:val="both"/>
        <w:rPr>
          <w:rFonts w:ascii="宋体" w:hAnsi="宋体"/>
          <w:sz w:val="24"/>
        </w:rPr>
      </w:pPr>
      <w:r>
        <w:rPr>
          <w:rFonts w:ascii="宋体" w:hAnsi="宋体"/>
          <w:sz w:val="24"/>
        </w:rPr>
        <w:t>（2）本项目招标由招标人提供书面工程量清单，由投标人按照招标人提供的工程量清单填写本合同各工程子目的单价、合价和总额价。评标委员会将按照第三章“评</w:t>
      </w:r>
    </w:p>
    <w:p>
      <w:pPr>
        <w:spacing w:line="26" w:lineRule="exact"/>
        <w:rPr>
          <w:rFonts w:ascii="宋体" w:hAnsi="宋体"/>
          <w:sz w:val="24"/>
        </w:rPr>
      </w:pPr>
    </w:p>
    <w:p>
      <w:pPr>
        <w:spacing w:line="0" w:lineRule="atLeast"/>
        <w:rPr>
          <w:rFonts w:ascii="宋体" w:hAnsi="宋体"/>
          <w:sz w:val="24"/>
        </w:rPr>
      </w:pPr>
      <w:r>
        <w:rPr>
          <w:rFonts w:ascii="宋体" w:hAnsi="宋体"/>
          <w:sz w:val="24"/>
        </w:rPr>
        <w:t>标办法”的规定对投标价进行算术性错误修正及其他错误修正。</w:t>
      </w:r>
    </w:p>
    <w:p>
      <w:pPr>
        <w:spacing w:line="109" w:lineRule="exact"/>
        <w:rPr>
          <w:rFonts w:eastAsia="Times New Roman"/>
        </w:rPr>
      </w:pPr>
    </w:p>
    <w:p>
      <w:pPr>
        <w:numPr>
          <w:ilvl w:val="0"/>
          <w:numId w:val="14"/>
        </w:numPr>
        <w:tabs>
          <w:tab w:val="left" w:pos="1080"/>
        </w:tabs>
        <w:spacing w:line="0" w:lineRule="atLeast"/>
        <w:ind w:left="1080" w:hanging="591"/>
        <w:jc w:val="both"/>
        <w:rPr>
          <w:rFonts w:eastAsia="Times New Roman"/>
          <w:sz w:val="24"/>
        </w:rPr>
      </w:pPr>
      <w:r>
        <w:rPr>
          <w:rFonts w:ascii="宋体" w:hAnsi="宋体"/>
          <w:sz w:val="24"/>
        </w:rPr>
        <w:t>投标人应充分了解本项目的总体情况以及影响投标报价的其他要素。</w:t>
      </w:r>
    </w:p>
    <w:p>
      <w:pPr>
        <w:spacing w:line="162" w:lineRule="exact"/>
        <w:rPr>
          <w:rFonts w:eastAsia="Times New Roman"/>
          <w:sz w:val="24"/>
        </w:rPr>
      </w:pPr>
    </w:p>
    <w:p>
      <w:pPr>
        <w:numPr>
          <w:ilvl w:val="0"/>
          <w:numId w:val="14"/>
        </w:numPr>
        <w:tabs>
          <w:tab w:val="left" w:pos="1080"/>
        </w:tabs>
        <w:spacing w:line="314" w:lineRule="auto"/>
        <w:ind w:firstLine="489"/>
        <w:jc w:val="both"/>
        <w:rPr>
          <w:rFonts w:eastAsia="Times New Roman"/>
          <w:sz w:val="24"/>
        </w:rPr>
      </w:pPr>
      <w:r>
        <w:rPr>
          <w:rFonts w:ascii="宋体" w:hAnsi="宋体"/>
          <w:sz w:val="24"/>
        </w:rPr>
        <w:t>本项目的报价方式见投标人须知前附表。投标人在投标截止时间前修改投标函中的投标总报价，应同时修改投标文件</w:t>
      </w:r>
      <w:r>
        <w:rPr>
          <w:rFonts w:eastAsia="Times New Roman"/>
          <w:sz w:val="24"/>
        </w:rPr>
        <w:t>“</w:t>
      </w:r>
      <w:r>
        <w:rPr>
          <w:rFonts w:ascii="宋体" w:hAnsi="宋体"/>
          <w:sz w:val="24"/>
        </w:rPr>
        <w:t>已标价工程量清单</w:t>
      </w:r>
      <w:r>
        <w:rPr>
          <w:rFonts w:eastAsia="Times New Roman"/>
          <w:sz w:val="24"/>
        </w:rPr>
        <w:t>”</w:t>
      </w:r>
      <w:r>
        <w:rPr>
          <w:rFonts w:ascii="宋体" w:hAnsi="宋体"/>
          <w:sz w:val="24"/>
        </w:rPr>
        <w:t xml:space="preserve">中的相应报价。此修改须符合本章第 </w:t>
      </w:r>
      <w:r>
        <w:rPr>
          <w:rFonts w:eastAsia="Times New Roman"/>
          <w:sz w:val="24"/>
        </w:rPr>
        <w:t>4.3</w:t>
      </w:r>
      <w:r>
        <w:rPr>
          <w:rFonts w:ascii="宋体" w:hAnsi="宋体"/>
          <w:sz w:val="24"/>
        </w:rPr>
        <w:t xml:space="preserve"> 款的有关要求。</w:t>
      </w:r>
    </w:p>
    <w:p>
      <w:pPr>
        <w:spacing w:line="54" w:lineRule="exact"/>
        <w:rPr>
          <w:rFonts w:eastAsia="Times New Roman"/>
          <w:sz w:val="24"/>
        </w:rPr>
      </w:pPr>
    </w:p>
    <w:p>
      <w:pPr>
        <w:numPr>
          <w:ilvl w:val="0"/>
          <w:numId w:val="14"/>
        </w:numPr>
        <w:tabs>
          <w:tab w:val="left" w:pos="1080"/>
        </w:tabs>
        <w:spacing w:line="324" w:lineRule="auto"/>
        <w:ind w:firstLine="489"/>
        <w:jc w:val="both"/>
        <w:rPr>
          <w:rFonts w:eastAsia="Times New Roman"/>
          <w:sz w:val="24"/>
        </w:rPr>
      </w:pPr>
      <w:r>
        <w:rPr>
          <w:rFonts w:ascii="宋体" w:hAnsi="宋体"/>
          <w:sz w:val="24"/>
        </w:rPr>
        <w:t>投标人如果发现工程量清单中的数量与图纸中数量不一致时，应立即通知招标人核查，除非招标人以书面方式予以更正，否则，应以工程量清单中列出的数量为准。</w:t>
      </w:r>
    </w:p>
    <w:p>
      <w:pPr>
        <w:spacing w:line="66" w:lineRule="exact"/>
        <w:rPr>
          <w:rFonts w:eastAsia="Times New Roman"/>
          <w:sz w:val="24"/>
        </w:rPr>
      </w:pPr>
    </w:p>
    <w:p>
      <w:pPr>
        <w:tabs>
          <w:tab w:val="left" w:pos="1080"/>
        </w:tabs>
        <w:spacing w:line="322" w:lineRule="auto"/>
        <w:ind w:firstLine="480" w:firstLineChars="200"/>
        <w:jc w:val="both"/>
        <w:rPr>
          <w:rFonts w:eastAsia="Times New Roman"/>
        </w:rPr>
      </w:pPr>
      <w:r>
        <w:rPr>
          <w:rFonts w:hint="eastAsia" w:ascii="宋体" w:hAnsi="宋体"/>
          <w:sz w:val="24"/>
        </w:rPr>
        <w:t>3.2.5</w:t>
      </w:r>
      <w:r>
        <w:rPr>
          <w:rFonts w:ascii="宋体" w:hAnsi="宋体"/>
          <w:sz w:val="24"/>
        </w:rPr>
        <w:t>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p>
    <w:p>
      <w:pPr>
        <w:spacing w:line="61" w:lineRule="exact"/>
        <w:rPr>
          <w:rFonts w:eastAsia="Times New Roman"/>
          <w:sz w:val="24"/>
        </w:rPr>
      </w:pPr>
    </w:p>
    <w:p>
      <w:pPr>
        <w:tabs>
          <w:tab w:val="left" w:pos="1080"/>
        </w:tabs>
        <w:spacing w:line="302" w:lineRule="auto"/>
        <w:ind w:firstLine="240" w:firstLineChars="100"/>
        <w:jc w:val="both"/>
        <w:rPr>
          <w:rFonts w:eastAsia="Times New Roman"/>
          <w:sz w:val="24"/>
        </w:rPr>
      </w:pPr>
      <w:r>
        <w:rPr>
          <w:rFonts w:hint="eastAsia" w:ascii="宋体" w:hAnsi="宋体"/>
          <w:sz w:val="24"/>
        </w:rPr>
        <w:t>3.2.6</w:t>
      </w:r>
      <w:r>
        <w:rPr>
          <w:rFonts w:ascii="宋体" w:hAnsi="宋体"/>
          <w:sz w:val="24"/>
        </w:rPr>
        <w:t>招标人设有最高投标限价的，投标人的投标报价不得超过最高投标限价，最高投标限价在投标人须知前附表中载明。</w:t>
      </w:r>
    </w:p>
    <w:p>
      <w:pPr>
        <w:numPr>
          <w:ilvl w:val="0"/>
          <w:numId w:val="15"/>
        </w:numPr>
        <w:tabs>
          <w:tab w:val="left" w:pos="420"/>
        </w:tabs>
        <w:spacing w:line="0" w:lineRule="atLeast"/>
        <w:ind w:left="420" w:hanging="411"/>
        <w:jc w:val="both"/>
        <w:rPr>
          <w:rFonts w:ascii="黑体" w:hAnsi="黑体" w:eastAsia="黑体"/>
          <w:sz w:val="24"/>
        </w:rPr>
      </w:pPr>
      <w:r>
        <w:rPr>
          <w:rFonts w:ascii="宋体" w:hAnsi="宋体"/>
          <w:sz w:val="24"/>
        </w:rPr>
        <w:t>投标有效期</w:t>
      </w:r>
    </w:p>
    <w:p>
      <w:pPr>
        <w:numPr>
          <w:ilvl w:val="1"/>
          <w:numId w:val="15"/>
        </w:numPr>
        <w:tabs>
          <w:tab w:val="left" w:pos="1080"/>
        </w:tabs>
        <w:spacing w:line="0" w:lineRule="atLeast"/>
        <w:ind w:left="1080" w:hanging="591"/>
        <w:jc w:val="both"/>
        <w:rPr>
          <w:rFonts w:eastAsia="Times New Roman"/>
          <w:sz w:val="24"/>
        </w:rPr>
      </w:pPr>
      <w:r>
        <w:rPr>
          <w:rFonts w:ascii="宋体" w:hAnsi="宋体"/>
          <w:sz w:val="24"/>
        </w:rPr>
        <w:t>除投标人须知前附表另有规定外，投标有效期为</w:t>
      </w:r>
      <w:r>
        <w:rPr>
          <w:rFonts w:hint="eastAsia" w:ascii="宋体" w:hAnsi="宋体"/>
          <w:sz w:val="24"/>
        </w:rPr>
        <w:t>90</w:t>
      </w:r>
      <w:r>
        <w:rPr>
          <w:rFonts w:ascii="宋体" w:hAnsi="宋体"/>
          <w:sz w:val="24"/>
        </w:rPr>
        <w:t>日。</w:t>
      </w:r>
    </w:p>
    <w:p>
      <w:pPr>
        <w:spacing w:line="88" w:lineRule="exact"/>
        <w:rPr>
          <w:rFonts w:eastAsia="Times New Roman"/>
          <w:sz w:val="24"/>
        </w:rPr>
      </w:pPr>
    </w:p>
    <w:p>
      <w:pPr>
        <w:numPr>
          <w:ilvl w:val="1"/>
          <w:numId w:val="15"/>
        </w:numPr>
        <w:tabs>
          <w:tab w:val="left" w:pos="1080"/>
        </w:tabs>
        <w:spacing w:line="0" w:lineRule="atLeast"/>
        <w:ind w:left="1080" w:hanging="591"/>
        <w:jc w:val="both"/>
        <w:rPr>
          <w:rFonts w:eastAsia="Times New Roman"/>
          <w:sz w:val="24"/>
        </w:rPr>
      </w:pPr>
      <w:r>
        <w:rPr>
          <w:rFonts w:ascii="宋体" w:hAnsi="宋体"/>
          <w:sz w:val="24"/>
        </w:rPr>
        <w:t>在投标有效期内，投标人撤销投标文件的，应承担招标文件和法律规定的</w:t>
      </w:r>
    </w:p>
    <w:p>
      <w:pPr>
        <w:spacing w:line="127" w:lineRule="exact"/>
        <w:rPr>
          <w:rFonts w:eastAsia="Times New Roman"/>
          <w:sz w:val="24"/>
        </w:rPr>
      </w:pPr>
    </w:p>
    <w:p>
      <w:pPr>
        <w:spacing w:line="0" w:lineRule="atLeast"/>
        <w:jc w:val="both"/>
        <w:rPr>
          <w:rFonts w:eastAsia="Times New Roman"/>
          <w:sz w:val="24"/>
        </w:rPr>
      </w:pPr>
      <w:r>
        <w:rPr>
          <w:rFonts w:ascii="宋体" w:hAnsi="宋体"/>
          <w:sz w:val="24"/>
        </w:rPr>
        <w:t>责任。</w:t>
      </w:r>
    </w:p>
    <w:p>
      <w:pPr>
        <w:numPr>
          <w:ilvl w:val="1"/>
          <w:numId w:val="15"/>
        </w:numPr>
        <w:tabs>
          <w:tab w:val="left" w:pos="1080"/>
        </w:tabs>
        <w:spacing w:line="336" w:lineRule="auto"/>
        <w:ind w:firstLine="489"/>
        <w:jc w:val="both"/>
        <w:rPr>
          <w:rFonts w:eastAsia="Times New Roman"/>
          <w:sz w:val="24"/>
        </w:rPr>
      </w:pPr>
      <w:r>
        <w:rPr>
          <w:rFonts w:ascii="宋体" w:hAnsi="宋体"/>
          <w:sz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w:t>
      </w:r>
      <w:r>
        <w:rPr>
          <w:rFonts w:ascii="宋体" w:hAnsi="宋体"/>
          <w:b/>
          <w:sz w:val="24"/>
        </w:rPr>
        <w:t>期活期存款利息。</w:t>
      </w:r>
    </w:p>
    <w:p>
      <w:pPr>
        <w:numPr>
          <w:ilvl w:val="0"/>
          <w:numId w:val="15"/>
        </w:numPr>
        <w:tabs>
          <w:tab w:val="left" w:pos="540"/>
        </w:tabs>
        <w:spacing w:line="0" w:lineRule="atLeast"/>
        <w:ind w:left="540" w:hanging="531"/>
        <w:jc w:val="both"/>
        <w:rPr>
          <w:rFonts w:ascii="黑体" w:hAnsi="黑体" w:eastAsia="黑体"/>
          <w:sz w:val="24"/>
        </w:rPr>
      </w:pPr>
      <w:r>
        <w:rPr>
          <w:rFonts w:ascii="宋体" w:hAnsi="宋体"/>
          <w:sz w:val="24"/>
        </w:rPr>
        <w:t>投标保证金</w:t>
      </w:r>
    </w:p>
    <w:p>
      <w:pPr>
        <w:widowControl w:val="0"/>
        <w:spacing w:line="400" w:lineRule="exact"/>
        <w:ind w:firstLine="360" w:firstLineChars="150"/>
        <w:jc w:val="both"/>
        <w:rPr>
          <w:rFonts w:ascii="宋体" w:hAnsi="宋体"/>
          <w:kern w:val="2"/>
          <w:sz w:val="24"/>
          <w:szCs w:val="24"/>
        </w:rPr>
      </w:pPr>
      <w:r>
        <w:rPr>
          <w:rFonts w:hint="eastAsia" w:ascii="宋体" w:hAnsi="宋体"/>
          <w:kern w:val="2"/>
          <w:sz w:val="24"/>
          <w:szCs w:val="24"/>
        </w:rPr>
        <w:t>3.4.1投标人应按投标人须知前附表规定缴纳投标保证金。</w:t>
      </w:r>
    </w:p>
    <w:p>
      <w:pPr>
        <w:widowControl w:val="0"/>
        <w:spacing w:line="400" w:lineRule="exact"/>
        <w:ind w:firstLine="360" w:firstLineChars="150"/>
        <w:jc w:val="both"/>
        <w:rPr>
          <w:rFonts w:ascii="宋体" w:hAnsi="宋体"/>
          <w:kern w:val="2"/>
          <w:sz w:val="24"/>
          <w:szCs w:val="24"/>
        </w:rPr>
      </w:pPr>
      <w:r>
        <w:rPr>
          <w:rFonts w:hint="eastAsia" w:ascii="宋体" w:hAnsi="宋体"/>
          <w:kern w:val="2"/>
          <w:sz w:val="24"/>
          <w:szCs w:val="24"/>
        </w:rPr>
        <w:t>3.4.2投标保证金的相关规定</w:t>
      </w:r>
    </w:p>
    <w:p>
      <w:pPr>
        <w:widowControl w:val="0"/>
        <w:spacing w:line="400" w:lineRule="exact"/>
        <w:ind w:firstLine="480" w:firstLineChars="200"/>
        <w:jc w:val="both"/>
        <w:rPr>
          <w:rFonts w:ascii="宋体" w:hAnsi="宋体"/>
          <w:kern w:val="2"/>
          <w:sz w:val="24"/>
          <w:szCs w:val="24"/>
        </w:rPr>
      </w:pPr>
      <w:r>
        <w:rPr>
          <w:rFonts w:hint="eastAsia" w:ascii="宋体" w:hAnsi="宋体"/>
          <w:kern w:val="2"/>
          <w:sz w:val="24"/>
          <w:szCs w:val="24"/>
        </w:rPr>
        <w:t>1、 投标保证金的退还：</w:t>
      </w:r>
    </w:p>
    <w:p>
      <w:pPr>
        <w:widowControl w:val="0"/>
        <w:spacing w:line="400" w:lineRule="exact"/>
        <w:ind w:firstLine="480" w:firstLineChars="200"/>
        <w:jc w:val="both"/>
        <w:rPr>
          <w:rFonts w:ascii="宋体" w:hAnsi="宋体"/>
          <w:kern w:val="2"/>
          <w:sz w:val="24"/>
          <w:szCs w:val="24"/>
        </w:rPr>
      </w:pPr>
      <w:r>
        <w:rPr>
          <w:rFonts w:hint="eastAsia" w:ascii="宋体" w:hAnsi="宋体"/>
          <w:kern w:val="2"/>
          <w:sz w:val="24"/>
          <w:szCs w:val="24"/>
        </w:rPr>
        <w:t>（1）中标公告发出后，5个工作日内退还非中标候选人投标保证金及银行同期活期存款利息。</w:t>
      </w:r>
    </w:p>
    <w:p>
      <w:pPr>
        <w:widowControl w:val="0"/>
        <w:spacing w:line="400" w:lineRule="exact"/>
        <w:ind w:firstLine="480" w:firstLineChars="200"/>
        <w:jc w:val="both"/>
        <w:rPr>
          <w:rFonts w:ascii="宋体" w:hAnsi="宋体"/>
          <w:kern w:val="2"/>
          <w:sz w:val="24"/>
          <w:szCs w:val="24"/>
        </w:rPr>
      </w:pPr>
      <w:r>
        <w:rPr>
          <w:rFonts w:hint="eastAsia" w:ascii="宋体" w:hAnsi="宋体"/>
          <w:kern w:val="2"/>
          <w:sz w:val="24"/>
          <w:szCs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widowControl w:val="0"/>
        <w:spacing w:line="400" w:lineRule="exact"/>
        <w:ind w:firstLine="480" w:firstLineChars="200"/>
        <w:jc w:val="both"/>
        <w:rPr>
          <w:rFonts w:ascii="宋体" w:hAnsi="宋体"/>
          <w:kern w:val="2"/>
          <w:sz w:val="24"/>
          <w:szCs w:val="24"/>
        </w:rPr>
      </w:pPr>
      <w:r>
        <w:rPr>
          <w:rFonts w:hint="eastAsia" w:ascii="宋体" w:hAnsi="宋体"/>
          <w:kern w:val="2"/>
          <w:sz w:val="24"/>
          <w:szCs w:val="24"/>
        </w:rPr>
        <w:t>（3）项目废标或招标人终止招标的，在此后5个工作日内退还投标保证金及银行同期活期存利息。</w:t>
      </w:r>
    </w:p>
    <w:p>
      <w:pPr>
        <w:widowControl w:val="0"/>
        <w:spacing w:line="400" w:lineRule="exact"/>
        <w:ind w:firstLine="480" w:firstLineChars="200"/>
        <w:jc w:val="both"/>
        <w:rPr>
          <w:rFonts w:ascii="宋体" w:hAnsi="宋体"/>
          <w:kern w:val="2"/>
          <w:sz w:val="24"/>
          <w:szCs w:val="24"/>
        </w:rPr>
      </w:pPr>
      <w:r>
        <w:rPr>
          <w:rFonts w:hint="eastAsia" w:ascii="宋体" w:hAnsi="宋体"/>
          <w:kern w:val="2"/>
          <w:sz w:val="24"/>
          <w:szCs w:val="24"/>
        </w:rPr>
        <w:t>（4）投标活动中出现质疑、投诉的，中标候选人、质疑人和被质疑人、投诉人和被投诉人的投标保证金暂停退还。</w:t>
      </w:r>
    </w:p>
    <w:p>
      <w:pPr>
        <w:widowControl w:val="0"/>
        <w:spacing w:line="400" w:lineRule="exact"/>
        <w:ind w:firstLine="480" w:firstLineChars="200"/>
        <w:jc w:val="both"/>
        <w:rPr>
          <w:rFonts w:ascii="宋体" w:hAnsi="宋体"/>
          <w:kern w:val="2"/>
          <w:sz w:val="24"/>
          <w:szCs w:val="24"/>
        </w:rPr>
      </w:pPr>
      <w:r>
        <w:rPr>
          <w:rFonts w:hint="eastAsia" w:ascii="宋体" w:hAnsi="宋体"/>
          <w:kern w:val="2"/>
          <w:sz w:val="24"/>
          <w:szCs w:val="24"/>
        </w:rPr>
        <w:t>（5）相关投标人有违法违规行为的项目，其投标保证金暂不退还，待行政监督部门对相关情况处置后，按照有关规定办理。</w:t>
      </w:r>
    </w:p>
    <w:p>
      <w:pPr>
        <w:widowControl w:val="0"/>
        <w:spacing w:line="400" w:lineRule="exact"/>
        <w:ind w:firstLine="480" w:firstLineChars="200"/>
        <w:jc w:val="both"/>
        <w:rPr>
          <w:rFonts w:ascii="宋体" w:hAnsi="宋体"/>
          <w:kern w:val="2"/>
          <w:sz w:val="24"/>
          <w:szCs w:val="24"/>
        </w:rPr>
      </w:pPr>
      <w:r>
        <w:rPr>
          <w:rFonts w:hint="eastAsia" w:ascii="宋体" w:hAnsi="宋体"/>
          <w:kern w:val="2"/>
          <w:sz w:val="24"/>
          <w:szCs w:val="24"/>
        </w:rPr>
        <w:t>（6）退还投标保证金，除另有规定外，一般以转账方式一次性退还至投标保证金的原提交账户。</w:t>
      </w:r>
    </w:p>
    <w:p>
      <w:pPr>
        <w:widowControl w:val="0"/>
        <w:spacing w:line="400" w:lineRule="exact"/>
        <w:ind w:firstLine="480" w:firstLineChars="200"/>
        <w:jc w:val="both"/>
        <w:rPr>
          <w:rFonts w:ascii="宋体" w:hAnsi="宋体"/>
          <w:kern w:val="2"/>
          <w:sz w:val="24"/>
          <w:szCs w:val="24"/>
        </w:rPr>
      </w:pPr>
      <w:r>
        <w:rPr>
          <w:rFonts w:hint="eastAsia" w:ascii="宋体" w:hAnsi="宋体"/>
          <w:kern w:val="2"/>
          <w:sz w:val="24"/>
          <w:szCs w:val="24"/>
        </w:rPr>
        <w:t>2、投标人有下列情形之一的，不予退还投标保证金：</w:t>
      </w:r>
    </w:p>
    <w:p>
      <w:pPr>
        <w:widowControl w:val="0"/>
        <w:spacing w:line="400" w:lineRule="exact"/>
        <w:ind w:firstLine="480" w:firstLineChars="200"/>
        <w:jc w:val="both"/>
        <w:rPr>
          <w:rFonts w:ascii="宋体" w:hAnsi="宋体"/>
          <w:kern w:val="2"/>
          <w:sz w:val="24"/>
          <w:szCs w:val="24"/>
        </w:rPr>
      </w:pPr>
      <w:r>
        <w:rPr>
          <w:rFonts w:hint="eastAsia" w:ascii="宋体" w:hAnsi="宋体"/>
          <w:kern w:val="2"/>
          <w:sz w:val="24"/>
          <w:szCs w:val="24"/>
        </w:rPr>
        <w:t xml:space="preserve">（一）在招标文件要求提交投标文件的截止时间后至投标文件有效期满前撤回投标的； </w:t>
      </w:r>
    </w:p>
    <w:p>
      <w:pPr>
        <w:widowControl w:val="0"/>
        <w:spacing w:line="400" w:lineRule="exact"/>
        <w:ind w:firstLine="480" w:firstLineChars="200"/>
        <w:jc w:val="both"/>
        <w:rPr>
          <w:rFonts w:ascii="宋体" w:hAnsi="宋体"/>
          <w:kern w:val="2"/>
          <w:sz w:val="24"/>
          <w:szCs w:val="24"/>
        </w:rPr>
      </w:pPr>
      <w:r>
        <w:rPr>
          <w:rFonts w:hint="eastAsia" w:ascii="宋体" w:hAnsi="宋体"/>
          <w:kern w:val="2"/>
          <w:sz w:val="24"/>
          <w:szCs w:val="24"/>
        </w:rPr>
        <w:t xml:space="preserve">（二）中标通知书发出后，中标人无故放弃中标项目或无正当理由在规定时间内不与招标人签订合同或未按招标文件规定提交履约担保的； </w:t>
      </w:r>
    </w:p>
    <w:p>
      <w:pPr>
        <w:widowControl w:val="0"/>
        <w:spacing w:line="400" w:lineRule="exact"/>
        <w:ind w:firstLine="360" w:firstLineChars="150"/>
        <w:jc w:val="both"/>
        <w:rPr>
          <w:rFonts w:ascii="宋体" w:hAnsi="宋体"/>
          <w:kern w:val="2"/>
          <w:sz w:val="24"/>
          <w:szCs w:val="24"/>
        </w:rPr>
      </w:pPr>
      <w:r>
        <w:rPr>
          <w:rFonts w:hint="eastAsia" w:ascii="宋体" w:hAnsi="宋体"/>
          <w:kern w:val="2"/>
          <w:sz w:val="24"/>
          <w:szCs w:val="24"/>
        </w:rPr>
        <w:t xml:space="preserve">（三）将中标项目转让给他人，或者在投标文件中未说明，且未经招标人同意，将中标项目分包给他人的； </w:t>
      </w:r>
    </w:p>
    <w:p>
      <w:pPr>
        <w:widowControl w:val="0"/>
        <w:spacing w:line="400" w:lineRule="exact"/>
        <w:ind w:firstLine="360" w:firstLineChars="150"/>
        <w:jc w:val="both"/>
        <w:rPr>
          <w:rFonts w:ascii="宋体" w:hAnsi="宋体"/>
          <w:kern w:val="2"/>
          <w:sz w:val="24"/>
          <w:szCs w:val="24"/>
        </w:rPr>
      </w:pPr>
      <w:r>
        <w:rPr>
          <w:rFonts w:hint="eastAsia" w:ascii="宋体" w:hAnsi="宋体"/>
          <w:kern w:val="2"/>
          <w:sz w:val="24"/>
          <w:szCs w:val="24"/>
        </w:rPr>
        <w:t xml:space="preserve">（四）投标人在招投标活动中弄虚作假、围标串标，骗取中标并经招投标行政监督部门调查核实的； </w:t>
      </w:r>
    </w:p>
    <w:p>
      <w:pPr>
        <w:widowControl w:val="0"/>
        <w:spacing w:line="400" w:lineRule="exact"/>
        <w:ind w:firstLine="360" w:firstLineChars="150"/>
        <w:jc w:val="both"/>
        <w:rPr>
          <w:rFonts w:ascii="宋体" w:hAnsi="宋体"/>
          <w:kern w:val="2"/>
          <w:sz w:val="24"/>
          <w:szCs w:val="24"/>
        </w:rPr>
      </w:pPr>
      <w:r>
        <w:rPr>
          <w:rFonts w:hint="eastAsia" w:ascii="宋体" w:hAnsi="宋体"/>
          <w:kern w:val="2"/>
          <w:sz w:val="24"/>
          <w:szCs w:val="24"/>
        </w:rPr>
        <w:t>（五）拒绝履行合同义务的；</w:t>
      </w:r>
    </w:p>
    <w:p>
      <w:pPr>
        <w:widowControl w:val="0"/>
        <w:spacing w:line="400" w:lineRule="exact"/>
        <w:ind w:firstLine="360" w:firstLineChars="150"/>
        <w:jc w:val="both"/>
        <w:rPr>
          <w:rFonts w:ascii="宋体" w:hAnsi="宋体"/>
          <w:kern w:val="2"/>
          <w:sz w:val="24"/>
          <w:szCs w:val="24"/>
        </w:rPr>
      </w:pPr>
      <w:r>
        <w:rPr>
          <w:rFonts w:hint="eastAsia" w:ascii="宋体" w:hAnsi="宋体"/>
          <w:sz w:val="24"/>
        </w:rPr>
        <w:t>（六）相关法律、法规规定不予退还的其它情形。</w:t>
      </w:r>
    </w:p>
    <w:p>
      <w:pPr>
        <w:widowControl w:val="0"/>
        <w:spacing w:line="400" w:lineRule="exact"/>
        <w:ind w:firstLine="360" w:firstLineChars="150"/>
        <w:jc w:val="both"/>
        <w:rPr>
          <w:rFonts w:ascii="宋体" w:hAnsi="宋体"/>
          <w:kern w:val="2"/>
          <w:sz w:val="24"/>
          <w:szCs w:val="24"/>
        </w:rPr>
      </w:pPr>
      <w:r>
        <w:rPr>
          <w:rFonts w:hint="eastAsia" w:ascii="宋体" w:hAnsi="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ascii="宋体" w:hAnsi="宋体"/>
          <w:sz w:val="24"/>
        </w:rPr>
        <w:t>。</w:t>
      </w:r>
    </w:p>
    <w:p>
      <w:pPr>
        <w:tabs>
          <w:tab w:val="left" w:pos="520"/>
        </w:tabs>
        <w:spacing w:line="360" w:lineRule="auto"/>
        <w:rPr>
          <w:rFonts w:ascii="宋体" w:hAnsi="宋体"/>
          <w:sz w:val="24"/>
        </w:rPr>
      </w:pPr>
      <w:r>
        <w:rPr>
          <w:rFonts w:ascii="宋体" w:hAnsi="宋体"/>
          <w:sz w:val="24"/>
        </w:rPr>
        <w:t>3.5</w:t>
      </w:r>
      <w:r>
        <w:rPr>
          <w:rFonts w:ascii="宋体" w:hAnsi="宋体"/>
          <w:sz w:val="24"/>
        </w:rPr>
        <w:tab/>
      </w:r>
      <w:r>
        <w:rPr>
          <w:rFonts w:ascii="宋体" w:hAnsi="宋体"/>
          <w:sz w:val="24"/>
        </w:rPr>
        <w:t>资格审查资料</w:t>
      </w:r>
    </w:p>
    <w:p>
      <w:pPr>
        <w:tabs>
          <w:tab w:val="left" w:pos="520"/>
        </w:tabs>
        <w:spacing w:line="360" w:lineRule="auto"/>
        <w:ind w:firstLine="480" w:firstLineChars="200"/>
        <w:rPr>
          <w:rFonts w:ascii="宋体" w:hAnsi="宋体"/>
          <w:sz w:val="24"/>
        </w:rPr>
      </w:pPr>
      <w:r>
        <w:rPr>
          <w:rFonts w:ascii="宋体" w:hAnsi="宋体"/>
          <w:sz w:val="24"/>
        </w:rPr>
        <w:t>除投标人须知前附表另有规定外，投标人应按下列规定提供资格审查资料，以证</w:t>
      </w:r>
    </w:p>
    <w:p>
      <w:pPr>
        <w:spacing w:line="0" w:lineRule="atLeast"/>
        <w:rPr>
          <w:rFonts w:ascii="宋体" w:hAnsi="宋体"/>
          <w:sz w:val="24"/>
        </w:rPr>
      </w:pPr>
      <w:r>
        <w:rPr>
          <w:rFonts w:ascii="宋体" w:hAnsi="宋体"/>
          <w:sz w:val="24"/>
        </w:rPr>
        <w:t>明其满足本章第 1.4 款规定的资质、财务、业绩、信誉等要求。</w:t>
      </w:r>
    </w:p>
    <w:p>
      <w:pPr>
        <w:spacing w:line="146" w:lineRule="exact"/>
        <w:rPr>
          <w:rFonts w:ascii="宋体" w:hAnsi="宋体"/>
          <w:sz w:val="24"/>
        </w:rPr>
      </w:pPr>
    </w:p>
    <w:p>
      <w:pPr>
        <w:tabs>
          <w:tab w:val="left" w:pos="520"/>
        </w:tabs>
        <w:spacing w:line="360" w:lineRule="auto"/>
        <w:ind w:firstLine="480" w:firstLineChars="200"/>
        <w:rPr>
          <w:rFonts w:eastAsia="Times New Roman"/>
          <w:sz w:val="24"/>
        </w:rPr>
      </w:pPr>
      <w:r>
        <w:rPr>
          <w:rFonts w:hint="eastAsia" w:ascii="宋体" w:hAnsi="宋体"/>
          <w:sz w:val="24"/>
        </w:rPr>
        <w:t>3.5.1</w:t>
      </w:r>
      <w:r>
        <w:rPr>
          <w:rFonts w:ascii="宋体" w:hAnsi="宋体"/>
          <w:sz w:val="24"/>
        </w:rPr>
        <w:t>“投标人基本情况表”应附企业法人营业执照副本和组织机构代码证副本（按照“三证合一”或“五证合一”登记制度进行登记的，可仅提供营业执照副本，下同）、施工资质证书副本、安全生产许可证副本、基本账户开户许可证的复印件</w:t>
      </w:r>
      <w:r>
        <w:rPr>
          <w:rFonts w:hint="eastAsia" w:ascii="宋体" w:hAnsi="宋体"/>
          <w:sz w:val="24"/>
        </w:rPr>
        <w:t>，</w:t>
      </w:r>
      <w:r>
        <w:rPr>
          <w:rFonts w:ascii="宋体" w:hAnsi="宋体"/>
          <w:sz w:val="24"/>
        </w:rPr>
        <w:t>以及投标人在国家企业信用信息公示系统中基础信息（体现股东及出资详细信息）的网页截图复印件。</w:t>
      </w:r>
    </w:p>
    <w:p>
      <w:pPr>
        <w:tabs>
          <w:tab w:val="left" w:pos="520"/>
        </w:tabs>
        <w:spacing w:line="360" w:lineRule="auto"/>
        <w:ind w:firstLine="480" w:firstLineChars="200"/>
        <w:rPr>
          <w:rFonts w:ascii="宋体" w:hAnsi="宋体"/>
          <w:sz w:val="24"/>
        </w:rPr>
      </w:pPr>
      <w:r>
        <w:rPr>
          <w:rFonts w:ascii="宋体" w:hAnsi="宋体"/>
          <w:sz w:val="24"/>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w:t>
      </w:r>
      <w:r>
        <w:rPr>
          <w:rFonts w:hint="eastAsia" w:ascii="宋体" w:hAnsi="宋体"/>
          <w:sz w:val="24"/>
        </w:rPr>
        <w:t>公</w:t>
      </w:r>
      <w:r>
        <w:rPr>
          <w:rFonts w:ascii="宋体" w:hAnsi="宋体"/>
          <w:sz w:val="24"/>
        </w:rPr>
        <w:t>章。</w:t>
      </w:r>
    </w:p>
    <w:p>
      <w:pPr>
        <w:spacing w:line="54" w:lineRule="exact"/>
        <w:rPr>
          <w:rFonts w:eastAsia="Times New Roman"/>
          <w:sz w:val="24"/>
        </w:rPr>
      </w:pPr>
    </w:p>
    <w:p>
      <w:pPr>
        <w:tabs>
          <w:tab w:val="left" w:pos="520"/>
        </w:tabs>
        <w:spacing w:line="360" w:lineRule="auto"/>
        <w:ind w:firstLine="480" w:firstLineChars="200"/>
        <w:rPr>
          <w:rFonts w:ascii="宋体" w:hAnsi="宋体"/>
          <w:sz w:val="24"/>
        </w:rPr>
      </w:pPr>
      <w:r>
        <w:rPr>
          <w:rFonts w:hint="eastAsia" w:ascii="宋体" w:hAnsi="宋体"/>
          <w:sz w:val="24"/>
        </w:rPr>
        <w:t>3.5.2</w:t>
      </w:r>
      <w:r>
        <w:rPr>
          <w:rFonts w:ascii="宋体" w:hAnsi="宋体"/>
          <w:sz w:val="24"/>
        </w:rPr>
        <w:t>“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tabs>
          <w:tab w:val="left" w:pos="520"/>
        </w:tabs>
        <w:spacing w:line="360" w:lineRule="auto"/>
        <w:ind w:firstLine="480" w:firstLineChars="200"/>
        <w:rPr>
          <w:rFonts w:ascii="宋体" w:hAnsi="宋体"/>
          <w:sz w:val="24"/>
        </w:rPr>
      </w:pPr>
      <w:r>
        <w:rPr>
          <w:rFonts w:hint="eastAsia" w:ascii="宋体" w:hAnsi="宋体"/>
          <w:sz w:val="24"/>
        </w:rPr>
        <w:t>3.5.3</w:t>
      </w:r>
      <w:r>
        <w:rPr>
          <w:rFonts w:ascii="宋体" w:hAnsi="宋体"/>
          <w:sz w:val="24"/>
        </w:rPr>
        <w:t>“近年完成的类似项目”</w:t>
      </w:r>
      <w:r>
        <w:rPr>
          <w:rFonts w:hint="eastAsia" w:ascii="宋体" w:hAnsi="宋体"/>
          <w:sz w:val="24"/>
        </w:rPr>
        <w:t>应附合同、中标通知书、竣工验收证明材料和中标公示网页版复印件。</w:t>
      </w:r>
    </w:p>
    <w:p>
      <w:pPr>
        <w:spacing w:line="21" w:lineRule="exact"/>
        <w:rPr>
          <w:rFonts w:eastAsia="Times New Roman"/>
        </w:rPr>
      </w:pPr>
    </w:p>
    <w:p>
      <w:pPr>
        <w:spacing w:line="58" w:lineRule="exact"/>
        <w:rPr>
          <w:rFonts w:eastAsia="Times New Roman"/>
        </w:rPr>
      </w:pPr>
    </w:p>
    <w:p>
      <w:pPr>
        <w:numPr>
          <w:ilvl w:val="0"/>
          <w:numId w:val="16"/>
        </w:numPr>
        <w:tabs>
          <w:tab w:val="left" w:pos="1080"/>
        </w:tabs>
        <w:spacing w:line="331" w:lineRule="auto"/>
        <w:ind w:firstLine="489"/>
        <w:jc w:val="both"/>
        <w:rPr>
          <w:rFonts w:ascii="宋体" w:hAnsi="宋体"/>
          <w:sz w:val="24"/>
          <w:szCs w:val="22"/>
        </w:rPr>
      </w:pPr>
      <w:r>
        <w:rPr>
          <w:rFonts w:ascii="Arial" w:hAnsi="Arial" w:eastAsia="Arial"/>
          <w:sz w:val="24"/>
        </w:rPr>
        <w:t>“</w:t>
      </w:r>
      <w:r>
        <w:rPr>
          <w:rFonts w:ascii="宋体" w:hAnsi="宋体"/>
          <w:sz w:val="24"/>
        </w:rPr>
        <w:t>投标人的信誉情况表</w:t>
      </w:r>
      <w:r>
        <w:rPr>
          <w:rFonts w:ascii="Arial" w:hAnsi="Arial" w:eastAsia="Arial"/>
          <w:sz w:val="24"/>
        </w:rPr>
        <w:t>”</w:t>
      </w:r>
      <w:r>
        <w:rPr>
          <w:rFonts w:ascii="宋体" w:hAnsi="宋体"/>
          <w:sz w:val="24"/>
        </w:rPr>
        <w:t>应附投标人在国家企业信用信息公示系统中未被列入严重违法失信企业名单</w:t>
      </w:r>
      <w:r>
        <w:rPr>
          <w:rFonts w:hint="eastAsia" w:ascii="宋体" w:hAnsi="宋体"/>
          <w:sz w:val="24"/>
          <w:szCs w:val="22"/>
        </w:rPr>
        <w:t>、被工商行政管理机关在全国企业信心信息公示系统中列入严重违法失信企业名单的及在“信用中国”网站或各级信用信息共享平台中列入失信被执行人名单的网页截图复印件。</w:t>
      </w:r>
    </w:p>
    <w:p>
      <w:pPr>
        <w:spacing w:line="62" w:lineRule="exact"/>
        <w:rPr>
          <w:rFonts w:eastAsia="Times New Roman"/>
          <w:sz w:val="24"/>
        </w:rPr>
      </w:pPr>
    </w:p>
    <w:p>
      <w:pPr>
        <w:numPr>
          <w:ilvl w:val="0"/>
          <w:numId w:val="16"/>
        </w:numPr>
        <w:tabs>
          <w:tab w:val="left" w:pos="1080"/>
        </w:tabs>
        <w:spacing w:line="339" w:lineRule="auto"/>
        <w:ind w:firstLine="489"/>
        <w:jc w:val="both"/>
        <w:rPr>
          <w:rFonts w:eastAsia="Times New Roman"/>
          <w:sz w:val="24"/>
        </w:rPr>
      </w:pPr>
      <w:r>
        <w:rPr>
          <w:rFonts w:ascii="Arial" w:hAnsi="Arial" w:eastAsia="Arial"/>
          <w:sz w:val="24"/>
        </w:rPr>
        <w:t>“</w:t>
      </w:r>
      <w:r>
        <w:rPr>
          <w:rFonts w:ascii="宋体" w:hAnsi="宋体"/>
          <w:sz w:val="24"/>
        </w:rPr>
        <w:t>拟委任的项目经理和项目总工资历表</w:t>
      </w:r>
      <w:r>
        <w:rPr>
          <w:rFonts w:ascii="Arial" w:hAnsi="Arial" w:eastAsia="Arial"/>
          <w:sz w:val="24"/>
        </w:rPr>
        <w:t>”</w:t>
      </w:r>
      <w:r>
        <w:rPr>
          <w:rFonts w:ascii="宋体" w:hAnsi="宋体"/>
          <w:sz w:val="24"/>
        </w:rPr>
        <w:t>应附项目经理和项目总工的身份证、</w:t>
      </w:r>
      <w:r>
        <w:rPr>
          <w:rFonts w:hint="eastAsia" w:ascii="宋体" w:hAnsi="宋体"/>
          <w:sz w:val="24"/>
        </w:rPr>
        <w:t>注册建造师证或</w:t>
      </w:r>
      <w:r>
        <w:rPr>
          <w:rFonts w:ascii="宋体" w:hAnsi="宋体"/>
          <w:sz w:val="24"/>
        </w:rPr>
        <w:t>职称资格证书以及资格审查条件所要求的其他相关证书（如安全生产考核合格证书等）的复印件，以及投标人所属社保机构出具的拟委任的项目经理和项目总工</w:t>
      </w:r>
      <w:r>
        <w:rPr>
          <w:rFonts w:hint="eastAsia" w:ascii="宋体" w:hAnsi="宋体"/>
          <w:sz w:val="24"/>
        </w:rPr>
        <w:t>，</w:t>
      </w:r>
      <w:r>
        <w:rPr>
          <w:rFonts w:ascii="宋体" w:hAnsi="宋体"/>
          <w:sz w:val="24"/>
        </w:rPr>
        <w:t>参加社保的有效证明材料复印件。</w:t>
      </w:r>
    </w:p>
    <w:p>
      <w:pPr>
        <w:spacing w:line="64" w:lineRule="exact"/>
        <w:rPr>
          <w:rFonts w:eastAsia="Times New Roman"/>
        </w:rPr>
      </w:pPr>
    </w:p>
    <w:p>
      <w:pPr>
        <w:spacing w:line="316" w:lineRule="auto"/>
        <w:ind w:firstLine="480"/>
        <w:jc w:val="both"/>
        <w:rPr>
          <w:rFonts w:ascii="宋体" w:hAnsi="宋体"/>
          <w:sz w:val="24"/>
        </w:rPr>
      </w:pPr>
      <w:r>
        <w:rPr>
          <w:rFonts w:ascii="宋体" w:hAnsi="宋体"/>
          <w:sz w:val="24"/>
        </w:rPr>
        <w:t>如项目经理或项目总工目前仍在其他项目上任职，则投标人应提供由该项目发包人出具的、承诺上述人员能够从该项目撤离的书面证明材料</w:t>
      </w:r>
      <w:r>
        <w:rPr>
          <w:rFonts w:hint="eastAsia" w:ascii="宋体" w:hAnsi="宋体"/>
          <w:sz w:val="24"/>
        </w:rPr>
        <w:t>复印</w:t>
      </w:r>
      <w:r>
        <w:rPr>
          <w:rFonts w:ascii="宋体" w:hAnsi="宋体"/>
          <w:sz w:val="24"/>
        </w:rPr>
        <w:t>件。</w:t>
      </w:r>
    </w:p>
    <w:p>
      <w:pPr>
        <w:spacing w:line="69" w:lineRule="exact"/>
        <w:rPr>
          <w:rFonts w:eastAsia="Times New Roman"/>
        </w:rPr>
      </w:pPr>
    </w:p>
    <w:p>
      <w:pPr>
        <w:spacing w:line="333" w:lineRule="auto"/>
        <w:ind w:firstLine="480"/>
        <w:rPr>
          <w:rFonts w:ascii="宋体" w:hAnsi="宋体"/>
          <w:sz w:val="24"/>
        </w:rPr>
      </w:pPr>
      <w:r>
        <w:rPr>
          <w:rFonts w:eastAsia="Times New Roman"/>
          <w:sz w:val="24"/>
        </w:rPr>
        <w:t xml:space="preserve">3.5.6 </w:t>
      </w:r>
      <w:r>
        <w:rPr>
          <w:rFonts w:ascii="Arial" w:hAnsi="Arial" w:eastAsia="Arial"/>
          <w:sz w:val="24"/>
        </w:rPr>
        <w:t>“</w:t>
      </w:r>
      <w:r>
        <w:rPr>
          <w:rFonts w:ascii="宋体" w:hAnsi="宋体"/>
          <w:sz w:val="24"/>
        </w:rPr>
        <w:t>拟委任的其他管理和技术人员汇总表</w:t>
      </w:r>
      <w:r>
        <w:rPr>
          <w:rFonts w:ascii="Arial" w:hAnsi="Arial" w:eastAsia="Arial"/>
          <w:sz w:val="24"/>
        </w:rPr>
        <w:t>”</w:t>
      </w:r>
      <w:r>
        <w:rPr>
          <w:rFonts w:ascii="宋体" w:hAnsi="宋体"/>
          <w:sz w:val="24"/>
        </w:rPr>
        <w:t xml:space="preserve">（如有）应填报满足投标人须知前附表附录 </w:t>
      </w:r>
      <w:r>
        <w:rPr>
          <w:rFonts w:eastAsia="Times New Roman"/>
          <w:sz w:val="24"/>
        </w:rPr>
        <w:t>6</w:t>
      </w:r>
      <w:r>
        <w:rPr>
          <w:rFonts w:ascii="宋体" w:hAnsi="宋体"/>
          <w:sz w:val="24"/>
        </w:rPr>
        <w:t xml:space="preserve"> 规定的其他人员的相关信息。</w:t>
      </w:r>
      <w:r>
        <w:rPr>
          <w:rFonts w:ascii="Arial" w:hAnsi="Arial" w:eastAsia="Arial"/>
          <w:sz w:val="24"/>
        </w:rPr>
        <w:t>“</w:t>
      </w:r>
      <w:r>
        <w:rPr>
          <w:rFonts w:ascii="宋体" w:hAnsi="宋体"/>
          <w:sz w:val="24"/>
        </w:rPr>
        <w:t>拟委任的其他管理和技术人员资历表</w:t>
      </w:r>
      <w:r>
        <w:rPr>
          <w:rFonts w:ascii="Arial" w:hAnsi="Arial" w:eastAsia="Arial"/>
          <w:sz w:val="24"/>
        </w:rPr>
        <w:t>”</w:t>
      </w:r>
      <w:r>
        <w:rPr>
          <w:rFonts w:ascii="宋体" w:hAnsi="宋体"/>
          <w:sz w:val="24"/>
        </w:rPr>
        <w:t>（如有）中相关人员应附身份证、职称资格证书</w:t>
      </w:r>
      <w:r>
        <w:rPr>
          <w:rFonts w:hint="eastAsia" w:ascii="宋体" w:hAnsi="宋体"/>
          <w:sz w:val="24"/>
        </w:rPr>
        <w:t>（如有）</w:t>
      </w:r>
      <w:r>
        <w:rPr>
          <w:rFonts w:ascii="宋体" w:hAnsi="宋体"/>
          <w:sz w:val="24"/>
        </w:rPr>
        <w:t>以及资格审查条件所要求的其他相关证书的复印件，相关业绩证明材料复印件，以及投标人所属社保机构出具的参加社保的有效证明材料复印件。</w:t>
      </w:r>
    </w:p>
    <w:p>
      <w:pPr>
        <w:spacing w:line="82" w:lineRule="exact"/>
        <w:rPr>
          <w:rFonts w:eastAsia="Times New Roman"/>
          <w:sz w:val="24"/>
        </w:rPr>
      </w:pPr>
    </w:p>
    <w:p>
      <w:pPr>
        <w:tabs>
          <w:tab w:val="left" w:pos="1080"/>
        </w:tabs>
        <w:spacing w:line="302" w:lineRule="auto"/>
        <w:ind w:firstLine="480" w:firstLineChars="200"/>
        <w:jc w:val="both"/>
        <w:rPr>
          <w:rFonts w:eastAsia="Times New Roman"/>
          <w:sz w:val="24"/>
        </w:rPr>
      </w:pPr>
      <w:r>
        <w:rPr>
          <w:rFonts w:hint="eastAsia" w:eastAsia="Times New Roman"/>
          <w:sz w:val="24"/>
        </w:rPr>
        <w:t>3.5.7</w:t>
      </w:r>
      <w:r>
        <w:rPr>
          <w:rFonts w:ascii="宋体" w:hAnsi="宋体"/>
          <w:sz w:val="24"/>
        </w:rPr>
        <w:t>除合同条款约定的特殊情形外，投标人在投标文件中填报的项目经理和项目总工不允许更换。</w:t>
      </w:r>
    </w:p>
    <w:p>
      <w:pPr>
        <w:spacing w:line="88" w:lineRule="exact"/>
        <w:rPr>
          <w:rFonts w:eastAsia="Times New Roman"/>
          <w:sz w:val="24"/>
        </w:rPr>
      </w:pPr>
    </w:p>
    <w:p>
      <w:pPr>
        <w:tabs>
          <w:tab w:val="left" w:pos="1190"/>
        </w:tabs>
        <w:spacing w:line="350" w:lineRule="auto"/>
        <w:ind w:firstLine="480" w:firstLineChars="200"/>
        <w:jc w:val="both"/>
        <w:rPr>
          <w:rFonts w:eastAsia="Times New Roman"/>
        </w:rPr>
      </w:pPr>
      <w:r>
        <w:rPr>
          <w:rFonts w:hint="eastAsia" w:eastAsia="Times New Roman"/>
          <w:sz w:val="24"/>
        </w:rPr>
        <w:t>3.5.8</w:t>
      </w:r>
      <w:r>
        <w:rPr>
          <w:rFonts w:ascii="宋体" w:hAnsi="宋体"/>
          <w:sz w:val="24"/>
          <w:szCs w:val="22"/>
        </w:rPr>
        <w:t>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w:t>
      </w:r>
      <w:r>
        <w:rPr>
          <w:rFonts w:ascii="宋体" w:hAnsi="宋体"/>
          <w:sz w:val="24"/>
        </w:rPr>
        <w:t>交通运输主管部门，作为不良记录纳入公路建设市场信用信息管理系统。</w:t>
      </w:r>
    </w:p>
    <w:p>
      <w:pPr>
        <w:numPr>
          <w:ilvl w:val="0"/>
          <w:numId w:val="17"/>
        </w:numPr>
        <w:tabs>
          <w:tab w:val="left" w:pos="480"/>
        </w:tabs>
        <w:spacing w:line="0" w:lineRule="atLeast"/>
        <w:ind w:left="480" w:hanging="471"/>
        <w:jc w:val="both"/>
        <w:rPr>
          <w:rFonts w:ascii="黑体" w:hAnsi="黑体" w:eastAsia="黑体"/>
          <w:b/>
          <w:sz w:val="24"/>
        </w:rPr>
      </w:pPr>
      <w:r>
        <w:rPr>
          <w:rFonts w:ascii="宋体" w:hAnsi="宋体"/>
          <w:b/>
          <w:sz w:val="24"/>
        </w:rPr>
        <w:t>备选投标方案</w:t>
      </w:r>
    </w:p>
    <w:p>
      <w:pPr>
        <w:spacing w:line="204" w:lineRule="exact"/>
        <w:rPr>
          <w:rFonts w:ascii="黑体" w:hAnsi="黑体" w:eastAsia="黑体"/>
          <w:sz w:val="24"/>
        </w:rPr>
      </w:pPr>
    </w:p>
    <w:p>
      <w:pPr>
        <w:numPr>
          <w:ilvl w:val="1"/>
          <w:numId w:val="17"/>
        </w:numPr>
        <w:tabs>
          <w:tab w:val="left" w:pos="1080"/>
        </w:tabs>
        <w:spacing w:line="300" w:lineRule="auto"/>
        <w:ind w:firstLine="489"/>
        <w:jc w:val="both"/>
        <w:rPr>
          <w:rFonts w:eastAsia="Times New Roman"/>
          <w:sz w:val="24"/>
        </w:rPr>
      </w:pPr>
      <w:r>
        <w:rPr>
          <w:rFonts w:ascii="宋体" w:hAnsi="宋体"/>
          <w:sz w:val="24"/>
        </w:rPr>
        <w:t>除投标人须知前附表规定允许外，投标人不得递交备选投标方案，否则其投标将被否决。</w:t>
      </w:r>
    </w:p>
    <w:p>
      <w:pPr>
        <w:numPr>
          <w:ilvl w:val="1"/>
          <w:numId w:val="17"/>
        </w:numPr>
        <w:tabs>
          <w:tab w:val="left" w:pos="1080"/>
        </w:tabs>
        <w:spacing w:line="323" w:lineRule="auto"/>
        <w:ind w:firstLine="489"/>
        <w:jc w:val="both"/>
        <w:rPr>
          <w:rFonts w:eastAsia="Times New Roman"/>
          <w:sz w:val="24"/>
        </w:rPr>
      </w:pPr>
      <w:r>
        <w:rPr>
          <w:rFonts w:ascii="宋体" w:hAnsi="宋体"/>
          <w:sz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70" w:lineRule="exact"/>
        <w:rPr>
          <w:rFonts w:eastAsia="Times New Roman"/>
          <w:sz w:val="24"/>
        </w:rPr>
      </w:pPr>
    </w:p>
    <w:p>
      <w:pPr>
        <w:numPr>
          <w:ilvl w:val="1"/>
          <w:numId w:val="17"/>
        </w:numPr>
        <w:tabs>
          <w:tab w:val="left" w:pos="1080"/>
        </w:tabs>
        <w:spacing w:line="323" w:lineRule="auto"/>
        <w:ind w:firstLine="489"/>
        <w:jc w:val="both"/>
        <w:rPr>
          <w:rFonts w:ascii="宋体" w:hAnsi="宋体"/>
          <w:sz w:val="24"/>
        </w:rPr>
      </w:pPr>
      <w:r>
        <w:rPr>
          <w:rFonts w:ascii="宋体" w:hAnsi="宋体"/>
          <w:sz w:val="24"/>
        </w:rPr>
        <w:t>投标人提供两个或两个以上投标报价，或在投标文件中提供一个报价，但同时提供两个或两个以上施工组织设计的，视为提供备选方案。</w:t>
      </w:r>
    </w:p>
    <w:p>
      <w:pPr>
        <w:numPr>
          <w:ilvl w:val="0"/>
          <w:numId w:val="17"/>
        </w:numPr>
        <w:tabs>
          <w:tab w:val="left" w:pos="480"/>
        </w:tabs>
        <w:spacing w:line="360" w:lineRule="auto"/>
        <w:ind w:left="480" w:hanging="471"/>
        <w:jc w:val="both"/>
        <w:rPr>
          <w:rFonts w:ascii="黑体" w:hAnsi="黑体" w:eastAsia="黑体"/>
          <w:b/>
          <w:sz w:val="24"/>
        </w:rPr>
      </w:pPr>
      <w:r>
        <w:rPr>
          <w:rFonts w:ascii="宋体" w:hAnsi="宋体"/>
          <w:b/>
          <w:sz w:val="24"/>
        </w:rPr>
        <w:t>投标文件的编制</w:t>
      </w:r>
    </w:p>
    <w:p>
      <w:pPr>
        <w:tabs>
          <w:tab w:val="left" w:pos="1080"/>
        </w:tabs>
        <w:spacing w:line="360" w:lineRule="auto"/>
        <w:ind w:firstLine="360" w:firstLineChars="150"/>
        <w:jc w:val="both"/>
        <w:rPr>
          <w:rFonts w:eastAsia="Times New Roman"/>
          <w:sz w:val="24"/>
        </w:rPr>
      </w:pPr>
      <w:r>
        <w:rPr>
          <w:rFonts w:hint="eastAsia" w:ascii="黑体" w:hAnsi="黑体" w:eastAsia="黑体"/>
          <w:sz w:val="24"/>
        </w:rPr>
        <w:t>3.7.1</w:t>
      </w:r>
      <w:r>
        <w:rPr>
          <w:rFonts w:ascii="宋体" w:hAnsi="宋体"/>
          <w:sz w:val="24"/>
        </w:rPr>
        <w:t>投标文件应按第九章“投标文件格式”进行编写，如有必要，可以增加附页，作为投标文件的组成部分。其中，投标函附录在满足招标文件实质性要求的基础上，可以提出比招标文件要求更有利于招标人的承诺。</w:t>
      </w:r>
    </w:p>
    <w:p>
      <w:pPr>
        <w:spacing w:line="66" w:lineRule="exact"/>
        <w:rPr>
          <w:rFonts w:eastAsia="Times New Roman"/>
          <w:sz w:val="24"/>
        </w:rPr>
      </w:pPr>
    </w:p>
    <w:p>
      <w:pPr>
        <w:numPr>
          <w:ilvl w:val="1"/>
          <w:numId w:val="18"/>
        </w:numPr>
        <w:tabs>
          <w:tab w:val="left" w:pos="1080"/>
        </w:tabs>
        <w:spacing w:line="302" w:lineRule="auto"/>
        <w:ind w:firstLine="489"/>
        <w:jc w:val="both"/>
        <w:rPr>
          <w:rFonts w:eastAsia="Times New Roman"/>
          <w:sz w:val="24"/>
        </w:rPr>
      </w:pPr>
      <w:r>
        <w:rPr>
          <w:rFonts w:ascii="宋体" w:hAnsi="宋体"/>
          <w:sz w:val="24"/>
        </w:rPr>
        <w:t>投标文件应对招标文件有关工期、投标有效期、质量要求、安全目标、技术标准和要求、招标范围等实质性内容作出响应。</w:t>
      </w:r>
    </w:p>
    <w:p>
      <w:pPr>
        <w:spacing w:line="31" w:lineRule="exact"/>
        <w:rPr>
          <w:rFonts w:eastAsia="Times New Roman"/>
          <w:sz w:val="24"/>
        </w:rPr>
      </w:pPr>
    </w:p>
    <w:p>
      <w:pPr>
        <w:numPr>
          <w:ilvl w:val="1"/>
          <w:numId w:val="18"/>
        </w:numPr>
        <w:tabs>
          <w:tab w:val="left" w:pos="0"/>
        </w:tabs>
        <w:spacing w:line="360" w:lineRule="auto"/>
        <w:ind w:firstLine="567"/>
        <w:jc w:val="both"/>
        <w:rPr>
          <w:rFonts w:eastAsia="Times New Roman"/>
          <w:sz w:val="24"/>
        </w:rPr>
      </w:pPr>
      <w:r>
        <w:rPr>
          <w:rFonts w:ascii="宋体" w:hAnsi="宋体"/>
          <w:sz w:val="24"/>
        </w:rPr>
        <w:t>投标文件应用不褪色的材料书写或打印。投标文件格式中明确要求投标人</w:t>
      </w:r>
      <w:bookmarkStart w:id="23" w:name="page61"/>
      <w:bookmarkEnd w:id="23"/>
      <w:r>
        <w:rPr>
          <w:rFonts w:ascii="宋体" w:hAnsi="宋体"/>
          <w:sz w:val="24"/>
        </w:rPr>
        <w:t>法定代表人或其委托代理人签字之处，必须由相关人员亲笔签名，不得使用印章、签名章或其他电子制版签名代替；明确要求投标人加盖单位章之处，必须加盖单位章。其中，投标函、对投标文件的澄清和说明应加盖投标人单位章，或由投标人的法定代表人或其委托代理人签字。</w:t>
      </w:r>
    </w:p>
    <w:p>
      <w:pPr>
        <w:spacing w:line="14" w:lineRule="exact"/>
        <w:rPr>
          <w:rFonts w:eastAsia="Times New Roman"/>
        </w:rPr>
      </w:pPr>
    </w:p>
    <w:p>
      <w:pPr>
        <w:spacing w:line="0" w:lineRule="atLeast"/>
        <w:ind w:left="480"/>
        <w:rPr>
          <w:rFonts w:ascii="宋体" w:hAnsi="宋体"/>
          <w:sz w:val="24"/>
        </w:rPr>
      </w:pPr>
      <w:r>
        <w:rPr>
          <w:rFonts w:ascii="宋体" w:hAnsi="宋体"/>
          <w:sz w:val="24"/>
        </w:rPr>
        <w:t>如果投标文件由委托代理人签署，则投标人须提交授权委托书，授权委托书应按</w:t>
      </w:r>
    </w:p>
    <w:p>
      <w:pPr>
        <w:spacing w:line="155" w:lineRule="exact"/>
        <w:rPr>
          <w:rFonts w:eastAsia="Times New Roman"/>
        </w:rPr>
      </w:pPr>
    </w:p>
    <w:p>
      <w:pPr>
        <w:spacing w:line="310" w:lineRule="auto"/>
        <w:jc w:val="both"/>
        <w:rPr>
          <w:rFonts w:ascii="宋体" w:hAnsi="宋体"/>
          <w:sz w:val="24"/>
        </w:rPr>
      </w:pPr>
      <w:r>
        <w:rPr>
          <w:rFonts w:ascii="宋体" w:hAnsi="宋体"/>
          <w:sz w:val="24"/>
        </w:rPr>
        <w:t>第九章</w:t>
      </w:r>
      <w:r>
        <w:rPr>
          <w:rFonts w:eastAsia="Times New Roman"/>
          <w:sz w:val="24"/>
        </w:rPr>
        <w:t>“</w:t>
      </w:r>
      <w:r>
        <w:rPr>
          <w:rFonts w:ascii="宋体" w:hAnsi="宋体"/>
          <w:sz w:val="24"/>
        </w:rPr>
        <w:t>投标文件格式</w:t>
      </w:r>
      <w:r>
        <w:rPr>
          <w:rFonts w:eastAsia="Times New Roman"/>
          <w:sz w:val="24"/>
        </w:rPr>
        <w:t>”</w:t>
      </w:r>
      <w:r>
        <w:rPr>
          <w:rFonts w:ascii="宋体" w:hAnsi="宋体"/>
          <w:sz w:val="24"/>
        </w:rPr>
        <w:t>的要求出具，并由法定代表人和委托代理人亲笔签名，不得使用印章、签名章或其他电子制版签名代替。</w:t>
      </w:r>
    </w:p>
    <w:p>
      <w:pPr>
        <w:spacing w:line="41" w:lineRule="exact"/>
        <w:rPr>
          <w:rFonts w:eastAsia="Times New Roman"/>
        </w:rPr>
      </w:pPr>
    </w:p>
    <w:p>
      <w:pPr>
        <w:spacing w:line="0" w:lineRule="atLeast"/>
        <w:ind w:left="480"/>
        <w:rPr>
          <w:rFonts w:ascii="宋体" w:hAnsi="宋体"/>
          <w:sz w:val="24"/>
        </w:rPr>
      </w:pPr>
      <w:r>
        <w:rPr>
          <w:rFonts w:ascii="宋体" w:hAnsi="宋体"/>
          <w:sz w:val="24"/>
        </w:rPr>
        <w:t>如果由投标人的法定代表人亲自签署投标文件，则投标人须提交法定代表人身份</w:t>
      </w:r>
    </w:p>
    <w:p>
      <w:pPr>
        <w:spacing w:line="127" w:lineRule="exact"/>
        <w:rPr>
          <w:rFonts w:eastAsia="Times New Roman"/>
        </w:rPr>
      </w:pPr>
    </w:p>
    <w:p>
      <w:pPr>
        <w:spacing w:line="0" w:lineRule="atLeast"/>
        <w:rPr>
          <w:rFonts w:ascii="宋体" w:hAnsi="宋体"/>
          <w:color w:val="FF0000"/>
          <w:sz w:val="24"/>
        </w:rPr>
      </w:pPr>
      <w:r>
        <w:rPr>
          <w:rFonts w:ascii="宋体" w:hAnsi="宋体"/>
          <w:sz w:val="24"/>
        </w:rPr>
        <w:t>证明，身份证明应符合第九章“投标文件格式”的要求。</w:t>
      </w:r>
    </w:p>
    <w:p>
      <w:pPr>
        <w:spacing w:line="146" w:lineRule="exact"/>
        <w:rPr>
          <w:rFonts w:eastAsia="Times New Roman"/>
          <w:color w:val="FF0000"/>
        </w:rPr>
      </w:pPr>
    </w:p>
    <w:p>
      <w:pPr>
        <w:spacing w:line="316" w:lineRule="auto"/>
        <w:ind w:firstLine="480"/>
        <w:jc w:val="both"/>
        <w:rPr>
          <w:rFonts w:ascii="宋体" w:hAnsi="宋体"/>
          <w:sz w:val="24"/>
        </w:rPr>
      </w:pPr>
      <w:r>
        <w:rPr>
          <w:rFonts w:ascii="宋体" w:hAnsi="宋体"/>
          <w:sz w:val="24"/>
        </w:rPr>
        <w:t>投标文件应尽量避免涂改、行间插字或删除。如果出现上述情况，改动之处应由投标人的法定代表人或其授权的代理人签字或盖单位章。</w:t>
      </w:r>
    </w:p>
    <w:p>
      <w:pPr>
        <w:spacing w:line="69" w:lineRule="exact"/>
        <w:rPr>
          <w:rFonts w:eastAsia="Times New Roman"/>
        </w:rPr>
      </w:pPr>
    </w:p>
    <w:p>
      <w:pPr>
        <w:numPr>
          <w:ilvl w:val="1"/>
          <w:numId w:val="19"/>
        </w:numPr>
        <w:tabs>
          <w:tab w:val="left" w:pos="1082"/>
        </w:tabs>
        <w:spacing w:line="328" w:lineRule="auto"/>
        <w:ind w:firstLine="489"/>
        <w:jc w:val="both"/>
        <w:rPr>
          <w:rFonts w:eastAsia="Times New Roman"/>
          <w:sz w:val="24"/>
        </w:rPr>
      </w:pPr>
      <w:r>
        <w:rPr>
          <w:rFonts w:ascii="宋体" w:hAnsi="宋体"/>
          <w:sz w:val="24"/>
        </w:rPr>
        <w:t>投标文件正本一份</w:t>
      </w:r>
      <w:r>
        <w:rPr>
          <w:rFonts w:eastAsia="Times New Roman"/>
          <w:sz w:val="24"/>
        </w:rPr>
        <w:t>,</w:t>
      </w:r>
      <w:r>
        <w:rPr>
          <w:rFonts w:ascii="宋体" w:hAnsi="宋体"/>
          <w:sz w:val="24"/>
        </w:rPr>
        <w:t xml:space="preserve"> 副本份数见投标人须知前附表。正本和副本的封面右上角上应清楚地标记</w:t>
      </w:r>
      <w:r>
        <w:rPr>
          <w:rFonts w:eastAsia="Times New Roman"/>
          <w:sz w:val="24"/>
        </w:rPr>
        <w:t>“</w:t>
      </w:r>
      <w:r>
        <w:rPr>
          <w:rFonts w:ascii="宋体" w:hAnsi="宋体"/>
          <w:sz w:val="24"/>
        </w:rPr>
        <w:t>正本</w:t>
      </w:r>
      <w:r>
        <w:rPr>
          <w:rFonts w:eastAsia="Times New Roman"/>
          <w:sz w:val="24"/>
        </w:rPr>
        <w:t>”</w:t>
      </w:r>
      <w:r>
        <w:rPr>
          <w:rFonts w:ascii="宋体" w:hAnsi="宋体"/>
          <w:sz w:val="24"/>
        </w:rPr>
        <w:t>或</w:t>
      </w:r>
      <w:r>
        <w:rPr>
          <w:rFonts w:eastAsia="Times New Roman"/>
          <w:sz w:val="24"/>
        </w:rPr>
        <w:t>“</w:t>
      </w:r>
      <w:r>
        <w:rPr>
          <w:rFonts w:ascii="宋体" w:hAnsi="宋体"/>
          <w:sz w:val="24"/>
        </w:rPr>
        <w:t>副本</w:t>
      </w:r>
      <w:r>
        <w:rPr>
          <w:rFonts w:eastAsia="Times New Roman"/>
          <w:sz w:val="24"/>
        </w:rPr>
        <w:t>”</w:t>
      </w:r>
      <w:r>
        <w:rPr>
          <w:rFonts w:ascii="宋体" w:hAnsi="宋体"/>
          <w:sz w:val="24"/>
        </w:rPr>
        <w:t>字样。投标人应根据投标人须知前附表要求提供电子版文件。当副本和正本不一致或电子版文件和纸质正本文件不一致时，以纸质正本文件为准。</w:t>
      </w:r>
    </w:p>
    <w:p>
      <w:pPr>
        <w:spacing w:line="55" w:lineRule="exact"/>
        <w:rPr>
          <w:rFonts w:eastAsia="Times New Roman"/>
          <w:sz w:val="24"/>
        </w:rPr>
      </w:pPr>
    </w:p>
    <w:p>
      <w:pPr>
        <w:tabs>
          <w:tab w:val="left" w:pos="1082"/>
        </w:tabs>
        <w:spacing w:line="328" w:lineRule="auto"/>
        <w:ind w:firstLine="480" w:firstLineChars="200"/>
        <w:jc w:val="both"/>
        <w:rPr>
          <w:rFonts w:ascii="宋体" w:hAnsi="宋体"/>
          <w:sz w:val="24"/>
          <w:szCs w:val="22"/>
        </w:rPr>
      </w:pPr>
      <w:r>
        <w:rPr>
          <w:rFonts w:hint="eastAsia" w:ascii="宋体" w:hAnsi="宋体"/>
          <w:sz w:val="24"/>
          <w:szCs w:val="22"/>
        </w:rPr>
        <w:t>3.7.5</w:t>
      </w:r>
      <w:r>
        <w:rPr>
          <w:rFonts w:ascii="宋体" w:hAnsi="宋体"/>
          <w:sz w:val="24"/>
          <w:szCs w:val="22"/>
        </w:rPr>
        <w:t>投标文件的正本与副本应分别装订成册（A4 纸幅），编制目录并</w:t>
      </w:r>
      <w:r>
        <w:rPr>
          <w:rFonts w:hint="eastAsia" w:ascii="宋体" w:hAnsi="宋体"/>
          <w:sz w:val="24"/>
          <w:szCs w:val="22"/>
        </w:rPr>
        <w:t>除封面外</w:t>
      </w:r>
      <w:r>
        <w:rPr>
          <w:rFonts w:ascii="宋体" w:hAnsi="宋体"/>
          <w:sz w:val="24"/>
          <w:szCs w:val="22"/>
        </w:rPr>
        <w:t>逐页标注连续页码。投标文件不得采用活页夹装订，否则，招标人对由于投标文件装订松散而造成的丢失或其他后果不承担任何责任。装订的其他要求见投标人须知前附表。</w:t>
      </w:r>
    </w:p>
    <w:p>
      <w:pPr>
        <w:tabs>
          <w:tab w:val="left" w:pos="420"/>
        </w:tabs>
        <w:spacing w:line="0" w:lineRule="atLeast"/>
        <w:jc w:val="both"/>
        <w:rPr>
          <w:rFonts w:ascii="黑体" w:hAnsi="黑体" w:eastAsia="黑体"/>
          <w:b/>
          <w:sz w:val="28"/>
        </w:rPr>
      </w:pPr>
      <w:r>
        <w:rPr>
          <w:rFonts w:hint="eastAsia" w:ascii="宋体" w:hAnsi="宋体"/>
          <w:b/>
          <w:sz w:val="28"/>
        </w:rPr>
        <w:t>4.</w:t>
      </w:r>
      <w:r>
        <w:rPr>
          <w:rFonts w:ascii="宋体" w:hAnsi="宋体"/>
          <w:b/>
          <w:sz w:val="28"/>
        </w:rPr>
        <w:t>投标</w:t>
      </w:r>
    </w:p>
    <w:p>
      <w:pPr>
        <w:tabs>
          <w:tab w:val="left" w:pos="480"/>
        </w:tabs>
        <w:spacing w:line="360" w:lineRule="auto"/>
        <w:ind w:firstLine="360" w:firstLineChars="150"/>
        <w:jc w:val="both"/>
        <w:rPr>
          <w:rFonts w:ascii="黑体" w:hAnsi="黑体" w:eastAsia="黑体"/>
          <w:sz w:val="24"/>
        </w:rPr>
      </w:pPr>
      <w:r>
        <w:rPr>
          <w:rFonts w:hint="eastAsia" w:ascii="宋体" w:hAnsi="宋体"/>
          <w:sz w:val="24"/>
        </w:rPr>
        <w:t>4.1</w:t>
      </w:r>
      <w:r>
        <w:rPr>
          <w:rFonts w:ascii="宋体" w:hAnsi="宋体"/>
          <w:sz w:val="24"/>
        </w:rPr>
        <w:t>投标文件的密封和标识</w:t>
      </w:r>
    </w:p>
    <w:p>
      <w:pPr>
        <w:spacing w:line="360" w:lineRule="auto"/>
        <w:jc w:val="both"/>
        <w:rPr>
          <w:rFonts w:ascii="宋体" w:hAnsi="宋体"/>
          <w:sz w:val="24"/>
        </w:rPr>
      </w:pPr>
      <w:r>
        <w:rPr>
          <w:rFonts w:ascii="宋体" w:hAnsi="宋体"/>
          <w:sz w:val="24"/>
        </w:rPr>
        <w:t xml:space="preserve">若采用双信封形式，第 </w:t>
      </w:r>
      <w:r>
        <w:rPr>
          <w:rFonts w:eastAsia="Times New Roman"/>
          <w:sz w:val="24"/>
        </w:rPr>
        <w:t>4.1.1</w:t>
      </w:r>
      <w:r>
        <w:rPr>
          <w:rFonts w:ascii="宋体" w:hAnsi="宋体"/>
          <w:sz w:val="24"/>
        </w:rPr>
        <w:t xml:space="preserve"> 项和第 </w:t>
      </w:r>
      <w:r>
        <w:rPr>
          <w:rFonts w:eastAsia="Times New Roman"/>
          <w:sz w:val="24"/>
        </w:rPr>
        <w:t>4.1.2</w:t>
      </w:r>
      <w:r>
        <w:rPr>
          <w:rFonts w:ascii="宋体" w:hAnsi="宋体"/>
          <w:sz w:val="24"/>
        </w:rPr>
        <w:t xml:space="preserve"> 项采用以下条款：</w:t>
      </w:r>
    </w:p>
    <w:p>
      <w:pPr>
        <w:spacing w:line="360" w:lineRule="auto"/>
        <w:ind w:firstLine="240" w:firstLineChars="100"/>
        <w:jc w:val="both"/>
        <w:rPr>
          <w:rFonts w:ascii="宋体" w:hAnsi="宋体"/>
          <w:sz w:val="24"/>
        </w:rPr>
      </w:pPr>
      <w:r>
        <w:rPr>
          <w:rFonts w:hint="eastAsia" w:ascii="宋体" w:hAnsi="宋体"/>
          <w:sz w:val="24"/>
        </w:rPr>
        <w:t>4.1.1</w:t>
      </w:r>
      <w:r>
        <w:rPr>
          <w:rFonts w:ascii="宋体" w:hAnsi="宋体"/>
          <w:sz w:val="24"/>
        </w:rPr>
        <w:t>投标文件应采用双信封形式密封。投标文件第一个信封（商务及技术文件）以及第二个信封（</w:t>
      </w:r>
      <w:r>
        <w:rPr>
          <w:rFonts w:hint="eastAsia" w:ascii="宋体" w:hAnsi="宋体"/>
          <w:sz w:val="24"/>
        </w:rPr>
        <w:t>投标</w:t>
      </w:r>
      <w:r>
        <w:rPr>
          <w:rFonts w:ascii="宋体" w:hAnsi="宋体"/>
          <w:sz w:val="24"/>
        </w:rPr>
        <w:t>报价</w:t>
      </w:r>
      <w:r>
        <w:rPr>
          <w:rFonts w:hint="eastAsia" w:ascii="宋体" w:hAnsi="宋体"/>
          <w:sz w:val="24"/>
        </w:rPr>
        <w:t>和工程量清单</w:t>
      </w:r>
      <w:r>
        <w:rPr>
          <w:rFonts w:ascii="宋体" w:hAnsi="宋体"/>
          <w:sz w:val="24"/>
        </w:rPr>
        <w:t>）应单独密封包装。商务及技术文件的正本与副本应统一密封在一个封套中。</w:t>
      </w:r>
      <w:r>
        <w:rPr>
          <w:rFonts w:hint="eastAsia" w:ascii="宋体" w:hAnsi="宋体"/>
          <w:sz w:val="24"/>
        </w:rPr>
        <w:t>第二信封（投标</w:t>
      </w:r>
      <w:r>
        <w:rPr>
          <w:rFonts w:ascii="宋体" w:hAnsi="宋体"/>
          <w:sz w:val="24"/>
        </w:rPr>
        <w:t>报价</w:t>
      </w:r>
      <w:r>
        <w:rPr>
          <w:rFonts w:hint="eastAsia" w:ascii="宋体" w:hAnsi="宋体"/>
          <w:sz w:val="24"/>
        </w:rPr>
        <w:t>和工程量清单）</w:t>
      </w:r>
      <w:r>
        <w:rPr>
          <w:rFonts w:ascii="宋体" w:hAnsi="宋体"/>
          <w:sz w:val="24"/>
        </w:rPr>
        <w:t>的正本与</w:t>
      </w:r>
      <w:r>
        <w:rPr>
          <w:rFonts w:hint="eastAsia" w:ascii="宋体" w:hAnsi="宋体"/>
          <w:sz w:val="24"/>
        </w:rPr>
        <w:t>副本</w:t>
      </w:r>
      <w:r>
        <w:rPr>
          <w:rFonts w:ascii="宋体" w:hAnsi="宋体"/>
          <w:sz w:val="24"/>
        </w:rPr>
        <w:t>、投标文件电子版文件（如需要）以及填写完毕的工程量固化清单电子文件（如采用工程量固化清单形式）应统一密封在另一个封套中。封套应加贴封条，并在封套的封口处加盖投标人单位</w:t>
      </w:r>
      <w:r>
        <w:rPr>
          <w:rFonts w:hint="eastAsia" w:ascii="宋体" w:hAnsi="宋体"/>
          <w:sz w:val="24"/>
        </w:rPr>
        <w:t>公</w:t>
      </w:r>
      <w:r>
        <w:rPr>
          <w:rFonts w:ascii="宋体" w:hAnsi="宋体"/>
          <w:sz w:val="24"/>
        </w:rPr>
        <w:t>章或由投标人的法定代表人或其委托代理人签字。</w:t>
      </w:r>
    </w:p>
    <w:p>
      <w:pPr>
        <w:tabs>
          <w:tab w:val="left" w:pos="0"/>
        </w:tabs>
        <w:spacing w:line="360" w:lineRule="auto"/>
        <w:ind w:firstLine="240" w:firstLineChars="100"/>
        <w:jc w:val="both"/>
        <w:rPr>
          <w:rFonts w:ascii="宋体" w:hAnsi="宋体"/>
          <w:sz w:val="24"/>
        </w:rPr>
      </w:pPr>
      <w:r>
        <w:rPr>
          <w:rFonts w:hint="eastAsia" w:ascii="宋体" w:hAnsi="宋体"/>
          <w:sz w:val="24"/>
        </w:rPr>
        <w:t>4.1.2</w:t>
      </w:r>
      <w:r>
        <w:rPr>
          <w:rFonts w:ascii="宋体" w:hAnsi="宋体"/>
          <w:sz w:val="24"/>
        </w:rPr>
        <w:t>投标文件第一个信封（商务及技术文件）</w:t>
      </w:r>
      <w:r>
        <w:rPr>
          <w:rFonts w:hint="eastAsia" w:ascii="宋体" w:hAnsi="宋体"/>
          <w:sz w:val="24"/>
        </w:rPr>
        <w:t>以及</w:t>
      </w:r>
      <w:r>
        <w:rPr>
          <w:rFonts w:ascii="宋体" w:hAnsi="宋体"/>
          <w:sz w:val="24"/>
        </w:rPr>
        <w:t>第二个信封（</w:t>
      </w:r>
      <w:r>
        <w:rPr>
          <w:rFonts w:hint="eastAsia" w:ascii="宋体" w:hAnsi="宋体"/>
          <w:sz w:val="24"/>
        </w:rPr>
        <w:t>投标</w:t>
      </w:r>
      <w:r>
        <w:rPr>
          <w:rFonts w:ascii="宋体" w:hAnsi="宋体"/>
          <w:sz w:val="24"/>
        </w:rPr>
        <w:t>报价</w:t>
      </w:r>
      <w:r>
        <w:rPr>
          <w:rFonts w:hint="eastAsia" w:ascii="宋体" w:hAnsi="宋体"/>
          <w:sz w:val="24"/>
        </w:rPr>
        <w:t>和工程量清单</w:t>
      </w:r>
      <w:r>
        <w:rPr>
          <w:rFonts w:ascii="宋体" w:hAnsi="宋体"/>
          <w:sz w:val="24"/>
        </w:rPr>
        <w:t>）封套上应写明的内容见投标人须知前附表。</w:t>
      </w:r>
    </w:p>
    <w:p>
      <w:pPr>
        <w:tabs>
          <w:tab w:val="left" w:pos="0"/>
        </w:tabs>
        <w:spacing w:line="360" w:lineRule="auto"/>
        <w:ind w:firstLine="240" w:firstLineChars="100"/>
        <w:jc w:val="both"/>
        <w:rPr>
          <w:rFonts w:ascii="宋体" w:hAnsi="宋体"/>
          <w:sz w:val="24"/>
        </w:rPr>
      </w:pPr>
      <w:r>
        <w:rPr>
          <w:rFonts w:hint="eastAsia" w:ascii="宋体" w:hAnsi="宋体"/>
          <w:sz w:val="24"/>
        </w:rPr>
        <w:t>4.1.3</w:t>
      </w:r>
      <w:r>
        <w:rPr>
          <w:rFonts w:ascii="宋体" w:hAnsi="宋体"/>
          <w:sz w:val="24"/>
        </w:rPr>
        <w:t xml:space="preserve">未按本章第 </w:t>
      </w:r>
      <w:r>
        <w:rPr>
          <w:rFonts w:eastAsia="Times New Roman"/>
          <w:sz w:val="24"/>
        </w:rPr>
        <w:t>4.1.1</w:t>
      </w:r>
      <w:r>
        <w:rPr>
          <w:rFonts w:ascii="宋体" w:hAnsi="宋体"/>
          <w:sz w:val="24"/>
        </w:rPr>
        <w:t xml:space="preserve"> 项</w:t>
      </w:r>
      <w:r>
        <w:rPr>
          <w:rFonts w:hint="eastAsia" w:ascii="宋体" w:hAnsi="宋体"/>
          <w:sz w:val="24"/>
        </w:rPr>
        <w:t>或4.1.2项</w:t>
      </w:r>
      <w:r>
        <w:rPr>
          <w:rFonts w:ascii="宋体" w:hAnsi="宋体"/>
          <w:sz w:val="24"/>
        </w:rPr>
        <w:t>要求密封</w:t>
      </w:r>
      <w:r>
        <w:rPr>
          <w:rFonts w:hint="eastAsia" w:ascii="宋体" w:hAnsi="宋体"/>
          <w:sz w:val="24"/>
        </w:rPr>
        <w:t>和加标记</w:t>
      </w:r>
      <w:r>
        <w:rPr>
          <w:rFonts w:ascii="宋体" w:hAnsi="宋体"/>
          <w:sz w:val="24"/>
        </w:rPr>
        <w:t>的投标文件，招标人将予以拒收。</w:t>
      </w:r>
    </w:p>
    <w:p>
      <w:pPr>
        <w:tabs>
          <w:tab w:val="left" w:pos="540"/>
        </w:tabs>
        <w:spacing w:line="0" w:lineRule="atLeast"/>
        <w:jc w:val="both"/>
        <w:rPr>
          <w:rFonts w:ascii="黑体" w:hAnsi="黑体" w:eastAsia="黑体"/>
          <w:sz w:val="24"/>
        </w:rPr>
      </w:pPr>
      <w:r>
        <w:rPr>
          <w:rFonts w:hint="eastAsia"/>
          <w:sz w:val="24"/>
        </w:rPr>
        <w:t>4.2</w:t>
      </w:r>
      <w:r>
        <w:rPr>
          <w:rFonts w:ascii="宋体" w:hAnsi="宋体"/>
          <w:sz w:val="24"/>
        </w:rPr>
        <w:t>投标文件的递交</w:t>
      </w:r>
    </w:p>
    <w:p>
      <w:pPr>
        <w:spacing w:line="200" w:lineRule="exact"/>
        <w:rPr>
          <w:rFonts w:ascii="黑体" w:hAnsi="黑体" w:eastAsia="黑体"/>
          <w:sz w:val="24"/>
        </w:rPr>
      </w:pPr>
    </w:p>
    <w:p>
      <w:pPr>
        <w:tabs>
          <w:tab w:val="left" w:pos="1080"/>
        </w:tabs>
        <w:spacing w:line="302" w:lineRule="auto"/>
        <w:ind w:firstLine="360" w:firstLineChars="150"/>
        <w:jc w:val="both"/>
        <w:rPr>
          <w:rFonts w:eastAsia="Times New Roman"/>
          <w:color w:val="FF0000"/>
          <w:sz w:val="24"/>
        </w:rPr>
      </w:pPr>
      <w:r>
        <w:rPr>
          <w:rFonts w:hint="eastAsia" w:ascii="黑体" w:hAnsi="黑体" w:eastAsia="黑体"/>
          <w:sz w:val="24"/>
        </w:rPr>
        <w:t>4.2.1</w:t>
      </w:r>
      <w:r>
        <w:rPr>
          <w:rFonts w:ascii="宋体" w:hAnsi="宋体"/>
          <w:sz w:val="24"/>
        </w:rPr>
        <w:t>投标人应在规定的投标截止时间前递交投标文件。</w:t>
      </w:r>
    </w:p>
    <w:p>
      <w:pPr>
        <w:spacing w:line="34" w:lineRule="exact"/>
        <w:rPr>
          <w:rFonts w:eastAsia="Times New Roman"/>
          <w:sz w:val="24"/>
        </w:rPr>
      </w:pPr>
    </w:p>
    <w:p>
      <w:pPr>
        <w:tabs>
          <w:tab w:val="left" w:pos="1080"/>
        </w:tabs>
        <w:spacing w:line="0" w:lineRule="atLeast"/>
        <w:ind w:firstLine="360" w:firstLineChars="150"/>
        <w:jc w:val="both"/>
      </w:pPr>
      <w:r>
        <w:rPr>
          <w:rFonts w:hint="eastAsia" w:ascii="宋体" w:hAnsi="宋体"/>
          <w:sz w:val="24"/>
        </w:rPr>
        <w:t>4.2.2</w:t>
      </w:r>
      <w:r>
        <w:rPr>
          <w:rFonts w:ascii="宋体" w:hAnsi="宋体"/>
          <w:sz w:val="24"/>
        </w:rPr>
        <w:t>投标人递交投标文件的地点</w:t>
      </w:r>
      <w:r>
        <w:rPr>
          <w:rFonts w:hint="eastAsia" w:ascii="宋体" w:hAnsi="宋体"/>
          <w:sz w:val="24"/>
        </w:rPr>
        <w:t>见前附表</w:t>
      </w:r>
      <w:r>
        <w:rPr>
          <w:rFonts w:ascii="宋体" w:hAnsi="宋体"/>
          <w:sz w:val="24"/>
        </w:rPr>
        <w:t>。</w:t>
      </w:r>
    </w:p>
    <w:p>
      <w:pPr>
        <w:spacing w:line="162" w:lineRule="exact"/>
        <w:rPr>
          <w:rFonts w:eastAsia="Times New Roman"/>
          <w:sz w:val="24"/>
        </w:rPr>
      </w:pPr>
    </w:p>
    <w:p>
      <w:pPr>
        <w:tabs>
          <w:tab w:val="left" w:pos="1080"/>
        </w:tabs>
        <w:spacing w:line="298" w:lineRule="auto"/>
        <w:ind w:firstLine="360" w:firstLineChars="150"/>
        <w:jc w:val="both"/>
        <w:rPr>
          <w:rFonts w:eastAsia="Times New Roman"/>
          <w:sz w:val="24"/>
        </w:rPr>
      </w:pPr>
      <w:r>
        <w:rPr>
          <w:rFonts w:hint="eastAsia" w:ascii="宋体" w:hAnsi="宋体"/>
          <w:sz w:val="24"/>
        </w:rPr>
        <w:t>4.2.3</w:t>
      </w:r>
      <w:r>
        <w:rPr>
          <w:rFonts w:ascii="宋体" w:hAnsi="宋体"/>
          <w:sz w:val="24"/>
        </w:rPr>
        <w:t xml:space="preserve">除投标人须知前附表另有规定外，投标人所递交的投标文件不予退还。投标人少于 </w:t>
      </w:r>
      <w:r>
        <w:rPr>
          <w:rFonts w:eastAsia="Times New Roman"/>
          <w:sz w:val="24"/>
        </w:rPr>
        <w:t>3</w:t>
      </w:r>
      <w:r>
        <w:rPr>
          <w:rFonts w:ascii="宋体" w:hAnsi="宋体"/>
          <w:sz w:val="24"/>
        </w:rPr>
        <w:t xml:space="preserve"> 个的，投标文件当场退还给投标人。</w:t>
      </w:r>
    </w:p>
    <w:p>
      <w:pPr>
        <w:spacing w:line="67" w:lineRule="exact"/>
        <w:rPr>
          <w:rFonts w:eastAsia="Times New Roman"/>
        </w:rPr>
      </w:pPr>
    </w:p>
    <w:p>
      <w:pPr>
        <w:spacing w:line="76" w:lineRule="exact"/>
        <w:rPr>
          <w:rFonts w:eastAsia="Times New Roman"/>
        </w:rPr>
      </w:pPr>
    </w:p>
    <w:p>
      <w:pPr>
        <w:tabs>
          <w:tab w:val="left" w:pos="1080"/>
        </w:tabs>
        <w:spacing w:line="0" w:lineRule="atLeast"/>
        <w:ind w:firstLine="360" w:firstLineChars="150"/>
        <w:jc w:val="both"/>
        <w:rPr>
          <w:rFonts w:eastAsia="Times New Roman"/>
          <w:sz w:val="24"/>
        </w:rPr>
      </w:pPr>
      <w:r>
        <w:rPr>
          <w:rFonts w:hint="eastAsia" w:ascii="宋体" w:hAnsi="宋体"/>
          <w:sz w:val="24"/>
        </w:rPr>
        <w:t>4.2.4</w:t>
      </w:r>
      <w:r>
        <w:rPr>
          <w:rFonts w:ascii="宋体" w:hAnsi="宋体"/>
          <w:sz w:val="24"/>
        </w:rPr>
        <w:t>逾期送达的或未送达指定地点的投标文件，招标人将予以拒收。</w:t>
      </w:r>
    </w:p>
    <w:p>
      <w:pPr>
        <w:spacing w:line="278" w:lineRule="exact"/>
        <w:rPr>
          <w:rFonts w:eastAsia="Times New Roman"/>
          <w:sz w:val="24"/>
        </w:rPr>
      </w:pPr>
    </w:p>
    <w:p>
      <w:pPr>
        <w:numPr>
          <w:ilvl w:val="0"/>
          <w:numId w:val="20"/>
        </w:numPr>
        <w:tabs>
          <w:tab w:val="left" w:pos="480"/>
        </w:tabs>
        <w:spacing w:line="360" w:lineRule="auto"/>
        <w:ind w:left="480" w:hanging="471"/>
        <w:jc w:val="both"/>
        <w:rPr>
          <w:rFonts w:ascii="黑体" w:hAnsi="黑体" w:eastAsia="黑体"/>
          <w:sz w:val="24"/>
        </w:rPr>
      </w:pPr>
      <w:r>
        <w:rPr>
          <w:rFonts w:ascii="宋体" w:hAnsi="宋体"/>
          <w:sz w:val="24"/>
        </w:rPr>
        <w:t>投标文件的修改与撤回</w:t>
      </w:r>
    </w:p>
    <w:p>
      <w:pPr>
        <w:tabs>
          <w:tab w:val="left" w:pos="1080"/>
        </w:tabs>
        <w:spacing w:line="360" w:lineRule="auto"/>
        <w:ind w:firstLine="360" w:firstLineChars="150"/>
        <w:jc w:val="both"/>
        <w:rPr>
          <w:rFonts w:ascii="宋体" w:hAnsi="宋体"/>
          <w:sz w:val="24"/>
        </w:rPr>
      </w:pPr>
      <w:r>
        <w:rPr>
          <w:rFonts w:hint="eastAsia" w:ascii="黑体" w:hAnsi="黑体" w:eastAsia="黑体"/>
          <w:sz w:val="24"/>
        </w:rPr>
        <w:t>4.3.1</w:t>
      </w:r>
      <w:r>
        <w:rPr>
          <w:rFonts w:ascii="宋体" w:hAnsi="宋体"/>
          <w:sz w:val="24"/>
        </w:rPr>
        <w:t xml:space="preserve">在本章第 </w:t>
      </w:r>
      <w:r>
        <w:rPr>
          <w:rFonts w:eastAsia="Times New Roman"/>
          <w:sz w:val="24"/>
        </w:rPr>
        <w:t>4.2.1</w:t>
      </w:r>
      <w:r>
        <w:rPr>
          <w:rFonts w:ascii="宋体" w:hAnsi="宋体"/>
          <w:sz w:val="24"/>
        </w:rPr>
        <w:t xml:space="preserve"> 项规定的投标截止时间前，投标人可以修改或撤回已递交的投标文件，但应以书面形式通知招标人。</w:t>
      </w:r>
    </w:p>
    <w:p>
      <w:pPr>
        <w:spacing w:line="73" w:lineRule="exact"/>
        <w:rPr>
          <w:rFonts w:eastAsia="Times New Roman"/>
          <w:color w:val="FF0000"/>
        </w:rPr>
      </w:pPr>
    </w:p>
    <w:p>
      <w:pPr>
        <w:tabs>
          <w:tab w:val="left" w:pos="1080"/>
        </w:tabs>
        <w:spacing w:line="360" w:lineRule="auto"/>
        <w:ind w:firstLine="360" w:firstLineChars="150"/>
        <w:jc w:val="both"/>
        <w:rPr>
          <w:rFonts w:ascii="宋体" w:hAnsi="宋体"/>
          <w:sz w:val="24"/>
        </w:rPr>
      </w:pPr>
      <w:r>
        <w:rPr>
          <w:rFonts w:ascii="宋体" w:hAnsi="宋体"/>
          <w:sz w:val="24"/>
        </w:rPr>
        <w:t>4.3.2</w:t>
      </w:r>
      <w:r>
        <w:rPr>
          <w:rFonts w:hint="eastAsia" w:ascii="宋体" w:hAnsi="宋体"/>
          <w:sz w:val="24"/>
        </w:rPr>
        <w:t>投标人修改或撤回已递交投标文件的书面通知应按照本章要求签字或盖章。</w:t>
      </w:r>
    </w:p>
    <w:p>
      <w:pPr>
        <w:tabs>
          <w:tab w:val="left" w:pos="1080"/>
        </w:tabs>
        <w:spacing w:line="239" w:lineRule="auto"/>
        <w:ind w:firstLine="360" w:firstLineChars="150"/>
        <w:jc w:val="both"/>
        <w:rPr>
          <w:rFonts w:ascii="宋体" w:hAnsi="宋体"/>
          <w:sz w:val="24"/>
          <w:szCs w:val="24"/>
        </w:rPr>
      </w:pPr>
      <w:r>
        <w:rPr>
          <w:rFonts w:hint="eastAsia" w:ascii="宋体" w:hAnsi="宋体"/>
          <w:sz w:val="24"/>
          <w:szCs w:val="24"/>
        </w:rPr>
        <w:t>4.3.3</w:t>
      </w:r>
      <w:r>
        <w:rPr>
          <w:rFonts w:ascii="宋体" w:hAnsi="宋体"/>
          <w:sz w:val="24"/>
          <w:szCs w:val="24"/>
        </w:rPr>
        <w:t xml:space="preserve">修改的内容为投标文件的组成部分。修改的投标文件应按照本章第 3 </w:t>
      </w:r>
    </w:p>
    <w:p>
      <w:pPr>
        <w:tabs>
          <w:tab w:val="left" w:pos="1080"/>
        </w:tabs>
        <w:spacing w:line="239" w:lineRule="auto"/>
        <w:jc w:val="both"/>
        <w:rPr>
          <w:rFonts w:ascii="宋体" w:hAnsi="宋体"/>
          <w:sz w:val="24"/>
          <w:szCs w:val="24"/>
        </w:rPr>
      </w:pPr>
      <w:r>
        <w:rPr>
          <w:rFonts w:ascii="宋体" w:hAnsi="宋体"/>
          <w:sz w:val="24"/>
          <w:szCs w:val="24"/>
        </w:rPr>
        <w:t>条、</w:t>
      </w:r>
      <w:r>
        <w:rPr>
          <w:rFonts w:hint="eastAsia" w:ascii="宋体" w:hAnsi="宋体"/>
          <w:sz w:val="24"/>
          <w:szCs w:val="24"/>
        </w:rPr>
        <w:t>第</w:t>
      </w:r>
      <w:r>
        <w:rPr>
          <w:rFonts w:ascii="宋体" w:hAnsi="宋体"/>
          <w:sz w:val="24"/>
          <w:szCs w:val="24"/>
        </w:rPr>
        <w:t>4 条的规定进行编制、密封、标记和递交，并标明“修改”字样。</w:t>
      </w:r>
    </w:p>
    <w:p>
      <w:pPr>
        <w:spacing w:line="360" w:lineRule="auto"/>
        <w:rPr>
          <w:rFonts w:ascii="宋体" w:hAnsi="宋体"/>
          <w:b/>
          <w:sz w:val="28"/>
        </w:rPr>
      </w:pPr>
      <w:r>
        <w:rPr>
          <w:rFonts w:ascii="黑体" w:hAnsi="黑体" w:eastAsia="黑体"/>
          <w:b/>
          <w:sz w:val="28"/>
        </w:rPr>
        <w:t xml:space="preserve">5. </w:t>
      </w:r>
      <w:r>
        <w:rPr>
          <w:rFonts w:ascii="宋体" w:hAnsi="宋体"/>
          <w:b/>
          <w:sz w:val="28"/>
        </w:rPr>
        <w:t>开标</w:t>
      </w:r>
    </w:p>
    <w:p>
      <w:pPr>
        <w:tabs>
          <w:tab w:val="left" w:pos="480"/>
        </w:tabs>
        <w:spacing w:line="360" w:lineRule="auto"/>
        <w:jc w:val="both"/>
        <w:rPr>
          <w:rFonts w:ascii="黑体" w:hAnsi="黑体" w:eastAsia="黑体"/>
          <w:sz w:val="24"/>
        </w:rPr>
      </w:pPr>
      <w:r>
        <w:rPr>
          <w:rFonts w:hint="eastAsia" w:ascii="宋体" w:hAnsi="宋体"/>
          <w:sz w:val="24"/>
        </w:rPr>
        <w:t>5.1</w:t>
      </w:r>
      <w:r>
        <w:rPr>
          <w:rFonts w:ascii="宋体" w:hAnsi="宋体"/>
          <w:sz w:val="24"/>
        </w:rPr>
        <w:t>开标时间和地点</w:t>
      </w:r>
    </w:p>
    <w:p>
      <w:pPr>
        <w:spacing w:line="360" w:lineRule="auto"/>
        <w:ind w:firstLine="360" w:firstLineChars="150"/>
        <w:jc w:val="both"/>
        <w:rPr>
          <w:rFonts w:ascii="宋体" w:hAnsi="宋体"/>
          <w:sz w:val="23"/>
        </w:rPr>
      </w:pPr>
      <w:r>
        <w:rPr>
          <w:rFonts w:ascii="宋体" w:hAnsi="宋体"/>
          <w:sz w:val="24"/>
        </w:rPr>
        <w:t>招标人在本章第 4.2.1 项规定的投标截止时间（开标时间）和投标人须知前附表规定的地点对收到的投标文件第一个信封（商务及技术文件）公开开标，并邀请所有投标人的法定代表人或其委托代理人准时参加。</w:t>
      </w:r>
    </w:p>
    <w:p>
      <w:pPr>
        <w:spacing w:line="78" w:lineRule="exact"/>
        <w:rPr>
          <w:rFonts w:eastAsia="Times New Roman"/>
        </w:rPr>
      </w:pPr>
    </w:p>
    <w:p>
      <w:pPr>
        <w:spacing w:line="318" w:lineRule="auto"/>
        <w:ind w:firstLine="480"/>
        <w:rPr>
          <w:rFonts w:ascii="宋体" w:hAnsi="宋体"/>
          <w:sz w:val="24"/>
        </w:rPr>
      </w:pPr>
      <w:r>
        <w:rPr>
          <w:rFonts w:ascii="宋体" w:hAnsi="宋体"/>
          <w:sz w:val="24"/>
        </w:rPr>
        <w:t>招标人在投标人须知前附表规定的时间和地点对投标文件第二个信封（</w:t>
      </w:r>
      <w:r>
        <w:rPr>
          <w:rFonts w:hint="eastAsia" w:ascii="宋体" w:hAnsi="宋体"/>
          <w:sz w:val="24"/>
        </w:rPr>
        <w:t>投标</w:t>
      </w:r>
      <w:r>
        <w:rPr>
          <w:rFonts w:ascii="宋体" w:hAnsi="宋体"/>
          <w:sz w:val="24"/>
        </w:rPr>
        <w:t>报价</w:t>
      </w:r>
      <w:r>
        <w:rPr>
          <w:rFonts w:hint="eastAsia" w:ascii="宋体" w:hAnsi="宋体"/>
          <w:sz w:val="24"/>
        </w:rPr>
        <w:t>和工程量清单</w:t>
      </w:r>
      <w:r>
        <w:rPr>
          <w:rFonts w:ascii="宋体" w:hAnsi="宋体"/>
          <w:sz w:val="24"/>
        </w:rPr>
        <w:t>）公开开标，并邀请所有投标人的法定代表人或其委托代理人准时参加。</w:t>
      </w:r>
    </w:p>
    <w:p>
      <w:pPr>
        <w:spacing w:line="36" w:lineRule="exact"/>
        <w:rPr>
          <w:rFonts w:eastAsia="Times New Roman"/>
        </w:rPr>
      </w:pPr>
    </w:p>
    <w:p>
      <w:pPr>
        <w:spacing w:line="0" w:lineRule="atLeast"/>
        <w:ind w:firstLine="480" w:firstLineChars="200"/>
        <w:rPr>
          <w:rFonts w:ascii="宋体" w:hAnsi="宋体"/>
          <w:sz w:val="24"/>
        </w:rPr>
      </w:pPr>
      <w:r>
        <w:rPr>
          <w:rFonts w:ascii="宋体" w:hAnsi="宋体"/>
          <w:sz w:val="24"/>
        </w:rPr>
        <w:t>投标人若未派法定代表人或委托代理人出席开标活动，视为该投标人默认开标结果。</w:t>
      </w:r>
    </w:p>
    <w:p>
      <w:pPr>
        <w:spacing w:line="258" w:lineRule="exact"/>
        <w:rPr>
          <w:rFonts w:eastAsia="Times New Roman"/>
        </w:rPr>
      </w:pPr>
    </w:p>
    <w:p>
      <w:pPr>
        <w:numPr>
          <w:ilvl w:val="0"/>
          <w:numId w:val="21"/>
        </w:numPr>
        <w:tabs>
          <w:tab w:val="left" w:pos="420"/>
        </w:tabs>
        <w:spacing w:line="0" w:lineRule="atLeast"/>
        <w:ind w:left="420" w:hanging="411"/>
        <w:jc w:val="both"/>
        <w:rPr>
          <w:rFonts w:ascii="黑体" w:hAnsi="黑体" w:eastAsia="黑体"/>
          <w:b/>
          <w:sz w:val="24"/>
        </w:rPr>
      </w:pPr>
      <w:r>
        <w:rPr>
          <w:rFonts w:ascii="宋体" w:hAnsi="宋体"/>
          <w:b/>
          <w:sz w:val="24"/>
        </w:rPr>
        <w:t>开标程序</w:t>
      </w:r>
    </w:p>
    <w:p>
      <w:pPr>
        <w:spacing w:line="204" w:lineRule="exact"/>
        <w:rPr>
          <w:rFonts w:ascii="黑体" w:hAnsi="黑体" w:eastAsia="黑体"/>
          <w:sz w:val="24"/>
        </w:rPr>
      </w:pPr>
    </w:p>
    <w:p>
      <w:pPr>
        <w:numPr>
          <w:ilvl w:val="1"/>
          <w:numId w:val="21"/>
        </w:numPr>
        <w:tabs>
          <w:tab w:val="left" w:pos="1080"/>
        </w:tabs>
        <w:spacing w:line="323" w:lineRule="auto"/>
        <w:ind w:left="360" w:firstLine="129"/>
        <w:rPr>
          <w:rFonts w:eastAsia="Times New Roman"/>
          <w:sz w:val="24"/>
        </w:rPr>
      </w:pPr>
      <w:r>
        <w:rPr>
          <w:rFonts w:ascii="宋体" w:hAnsi="宋体"/>
          <w:sz w:val="24"/>
        </w:rPr>
        <w:t>主持人按下列程序对投标文件第一个信封（商务及技术文件）进行开标：（</w:t>
      </w:r>
      <w:r>
        <w:rPr>
          <w:rFonts w:eastAsia="Times New Roman"/>
          <w:sz w:val="24"/>
        </w:rPr>
        <w:t>1</w:t>
      </w:r>
      <w:r>
        <w:rPr>
          <w:rFonts w:ascii="宋体" w:hAnsi="宋体"/>
          <w:sz w:val="24"/>
        </w:rPr>
        <w:t>）宣布开标纪律；</w:t>
      </w:r>
    </w:p>
    <w:p>
      <w:pPr>
        <w:tabs>
          <w:tab w:val="left" w:pos="1080"/>
        </w:tabs>
        <w:spacing w:line="323" w:lineRule="auto"/>
        <w:ind w:left="360"/>
        <w:rPr>
          <w:rFonts w:eastAsia="Times New Roman"/>
          <w:sz w:val="24"/>
        </w:rPr>
      </w:pPr>
      <w:r>
        <w:rPr>
          <w:rFonts w:ascii="宋体" w:hAnsi="宋体"/>
          <w:sz w:val="24"/>
        </w:rPr>
        <w:t>（</w:t>
      </w:r>
      <w:r>
        <w:rPr>
          <w:rFonts w:eastAsia="Times New Roman"/>
          <w:sz w:val="24"/>
        </w:rPr>
        <w:t>2</w:t>
      </w:r>
      <w:r>
        <w:rPr>
          <w:rFonts w:ascii="宋体" w:hAnsi="宋体"/>
          <w:sz w:val="24"/>
        </w:rPr>
        <w:t>）公布在投标截止时间前递交投标文件的投标人数量；</w:t>
      </w:r>
    </w:p>
    <w:p>
      <w:pPr>
        <w:spacing w:line="8" w:lineRule="exact"/>
        <w:rPr>
          <w:rFonts w:eastAsia="Times New Roman"/>
          <w:sz w:val="24"/>
        </w:rPr>
      </w:pPr>
    </w:p>
    <w:p>
      <w:pPr>
        <w:spacing w:line="0" w:lineRule="atLeast"/>
        <w:ind w:left="360"/>
        <w:jc w:val="both"/>
        <w:rPr>
          <w:rFonts w:ascii="宋体" w:hAnsi="宋体"/>
          <w:sz w:val="24"/>
        </w:rPr>
      </w:pPr>
      <w:r>
        <w:rPr>
          <w:rFonts w:ascii="宋体" w:hAnsi="宋体"/>
          <w:sz w:val="24"/>
        </w:rPr>
        <w:t>（</w:t>
      </w:r>
      <w:r>
        <w:rPr>
          <w:rFonts w:eastAsia="Times New Roman"/>
          <w:sz w:val="24"/>
        </w:rPr>
        <w:t>3</w:t>
      </w:r>
      <w:r>
        <w:rPr>
          <w:rFonts w:ascii="宋体" w:hAnsi="宋体"/>
          <w:sz w:val="24"/>
        </w:rPr>
        <w:t>）宣布开标人、唱标人、记录人等有关人员姓名；</w:t>
      </w:r>
    </w:p>
    <w:p>
      <w:pPr>
        <w:spacing w:line="137" w:lineRule="exact"/>
        <w:rPr>
          <w:rFonts w:eastAsia="Times New Roman"/>
        </w:rPr>
      </w:pPr>
    </w:p>
    <w:p>
      <w:pPr>
        <w:spacing w:line="304" w:lineRule="auto"/>
        <w:ind w:left="360"/>
        <w:rPr>
          <w:rFonts w:ascii="宋体" w:hAnsi="宋体"/>
          <w:sz w:val="24"/>
        </w:rPr>
      </w:pPr>
      <w:r>
        <w:rPr>
          <w:rFonts w:ascii="宋体" w:hAnsi="宋体"/>
          <w:sz w:val="24"/>
        </w:rPr>
        <w:t>（</w:t>
      </w:r>
      <w:r>
        <w:rPr>
          <w:rFonts w:eastAsia="Times New Roman"/>
          <w:sz w:val="24"/>
        </w:rPr>
        <w:t>4</w:t>
      </w:r>
      <w:r>
        <w:rPr>
          <w:rFonts w:ascii="宋体" w:hAnsi="宋体"/>
          <w:sz w:val="24"/>
        </w:rPr>
        <w:t>）按照投标人须知前附表规定由投标人推选的代表检查投标文件的密封情况；（</w:t>
      </w:r>
      <w:r>
        <w:rPr>
          <w:rFonts w:eastAsia="Times New Roman"/>
          <w:sz w:val="24"/>
        </w:rPr>
        <w:t>5</w:t>
      </w:r>
      <w:r>
        <w:rPr>
          <w:rFonts w:ascii="宋体" w:hAnsi="宋体"/>
          <w:sz w:val="24"/>
        </w:rPr>
        <w:t>）按照投标人须知前附表规定的开标顺序当众开标，公布标段名称、投标人名</w:t>
      </w:r>
    </w:p>
    <w:p>
      <w:pPr>
        <w:spacing w:line="32" w:lineRule="exact"/>
        <w:rPr>
          <w:rFonts w:eastAsia="Times New Roman"/>
        </w:rPr>
      </w:pPr>
    </w:p>
    <w:p>
      <w:pPr>
        <w:spacing w:line="0" w:lineRule="atLeast"/>
        <w:rPr>
          <w:rFonts w:ascii="宋体" w:hAnsi="宋体"/>
          <w:sz w:val="24"/>
        </w:rPr>
      </w:pPr>
      <w:r>
        <w:rPr>
          <w:rFonts w:ascii="宋体" w:hAnsi="宋体"/>
          <w:sz w:val="24"/>
        </w:rPr>
        <w:t>称、投标保证金的递交情况、工期及其他内容，并记录在案；</w:t>
      </w:r>
    </w:p>
    <w:p>
      <w:pPr>
        <w:spacing w:line="156" w:lineRule="exact"/>
        <w:rPr>
          <w:rFonts w:eastAsia="Times New Roman"/>
        </w:rPr>
      </w:pPr>
    </w:p>
    <w:p>
      <w:pPr>
        <w:numPr>
          <w:ilvl w:val="0"/>
          <w:numId w:val="22"/>
        </w:numPr>
        <w:spacing w:line="304" w:lineRule="auto"/>
        <w:ind w:left="360"/>
        <w:rPr>
          <w:rFonts w:ascii="宋体" w:hAnsi="宋体"/>
          <w:sz w:val="24"/>
        </w:rPr>
      </w:pPr>
      <w:r>
        <w:rPr>
          <w:rFonts w:ascii="宋体" w:hAnsi="宋体"/>
          <w:sz w:val="24"/>
        </w:rPr>
        <w:t>投标人代表、招标人代表、记录人等有关人员在开标记录上签字确认；</w:t>
      </w:r>
    </w:p>
    <w:p>
      <w:pPr>
        <w:numPr>
          <w:ilvl w:val="0"/>
          <w:numId w:val="22"/>
        </w:numPr>
        <w:spacing w:line="304" w:lineRule="auto"/>
        <w:ind w:left="360"/>
        <w:rPr>
          <w:rFonts w:ascii="宋体" w:hAnsi="宋体"/>
          <w:sz w:val="24"/>
        </w:rPr>
      </w:pPr>
      <w:r>
        <w:rPr>
          <w:rFonts w:ascii="宋体" w:hAnsi="宋体"/>
          <w:sz w:val="24"/>
        </w:rPr>
        <w:t>开标结束。</w:t>
      </w:r>
    </w:p>
    <w:p>
      <w:pPr>
        <w:spacing w:line="69" w:lineRule="exact"/>
        <w:rPr>
          <w:rFonts w:eastAsia="Times New Roman"/>
        </w:rPr>
      </w:pPr>
    </w:p>
    <w:p>
      <w:pPr>
        <w:numPr>
          <w:ilvl w:val="0"/>
          <w:numId w:val="23"/>
        </w:numPr>
        <w:tabs>
          <w:tab w:val="left" w:pos="1080"/>
        </w:tabs>
        <w:spacing w:line="302" w:lineRule="auto"/>
        <w:ind w:firstLine="489"/>
        <w:jc w:val="both"/>
        <w:rPr>
          <w:rFonts w:eastAsia="Times New Roman"/>
          <w:sz w:val="24"/>
        </w:rPr>
      </w:pPr>
      <w:r>
        <w:rPr>
          <w:rFonts w:ascii="宋体" w:hAnsi="宋体"/>
          <w:sz w:val="24"/>
        </w:rPr>
        <w:t>在投标文件第一个信封（商务及技术文件）开标现场，投标文件第二个信封（</w:t>
      </w:r>
      <w:r>
        <w:rPr>
          <w:rFonts w:hint="eastAsia" w:ascii="宋体" w:hAnsi="宋体"/>
          <w:sz w:val="24"/>
        </w:rPr>
        <w:t>投标</w:t>
      </w:r>
      <w:r>
        <w:rPr>
          <w:rFonts w:ascii="宋体" w:hAnsi="宋体"/>
          <w:sz w:val="24"/>
        </w:rPr>
        <w:t>报价</w:t>
      </w:r>
      <w:r>
        <w:rPr>
          <w:rFonts w:hint="eastAsia" w:ascii="宋体" w:hAnsi="宋体"/>
          <w:sz w:val="24"/>
        </w:rPr>
        <w:t>和工程量清单</w:t>
      </w:r>
      <w:r>
        <w:rPr>
          <w:rFonts w:ascii="宋体" w:hAnsi="宋体"/>
          <w:sz w:val="24"/>
        </w:rPr>
        <w:t>）不予开封，</w:t>
      </w:r>
      <w:r>
        <w:rPr>
          <w:rFonts w:hint="eastAsia" w:ascii="宋体" w:hAnsi="宋体"/>
          <w:sz w:val="24"/>
        </w:rPr>
        <w:t>并交给监标人</w:t>
      </w:r>
      <w:r>
        <w:rPr>
          <w:rFonts w:ascii="宋体" w:hAnsi="宋体"/>
          <w:sz w:val="24"/>
        </w:rPr>
        <w:t>密封保存。</w:t>
      </w:r>
    </w:p>
    <w:p>
      <w:pPr>
        <w:spacing w:line="77" w:lineRule="exact"/>
        <w:rPr>
          <w:rFonts w:eastAsia="Times New Roman"/>
          <w:sz w:val="24"/>
        </w:rPr>
      </w:pPr>
    </w:p>
    <w:p>
      <w:pPr>
        <w:numPr>
          <w:ilvl w:val="0"/>
          <w:numId w:val="23"/>
        </w:numPr>
        <w:tabs>
          <w:tab w:val="left" w:pos="1080"/>
        </w:tabs>
        <w:spacing w:line="310" w:lineRule="auto"/>
        <w:ind w:firstLine="489"/>
        <w:jc w:val="both"/>
        <w:rPr>
          <w:rFonts w:eastAsia="Times New Roman"/>
          <w:sz w:val="24"/>
        </w:rPr>
      </w:pPr>
      <w:r>
        <w:rPr>
          <w:rFonts w:ascii="宋体" w:hAnsi="宋体"/>
          <w:sz w:val="24"/>
        </w:rPr>
        <w:t xml:space="preserve">招标人将按照本章第 </w:t>
      </w:r>
      <w:r>
        <w:rPr>
          <w:rFonts w:eastAsia="Times New Roman"/>
          <w:sz w:val="24"/>
        </w:rPr>
        <w:t>5.1</w:t>
      </w:r>
      <w:r>
        <w:rPr>
          <w:rFonts w:ascii="宋体" w:hAnsi="宋体"/>
          <w:sz w:val="24"/>
        </w:rPr>
        <w:t xml:space="preserve"> 款规定的时间和地点对投标文件第二个信封（</w:t>
      </w:r>
      <w:r>
        <w:rPr>
          <w:rFonts w:hint="eastAsia" w:ascii="宋体" w:hAnsi="宋体"/>
          <w:sz w:val="24"/>
        </w:rPr>
        <w:t>投标</w:t>
      </w:r>
      <w:r>
        <w:rPr>
          <w:rFonts w:ascii="宋体" w:hAnsi="宋体"/>
          <w:sz w:val="24"/>
        </w:rPr>
        <w:t>报价</w:t>
      </w:r>
      <w:r>
        <w:rPr>
          <w:rFonts w:hint="eastAsia" w:ascii="宋体" w:hAnsi="宋体"/>
          <w:sz w:val="24"/>
        </w:rPr>
        <w:t>和工程量清单</w:t>
      </w:r>
      <w:r>
        <w:rPr>
          <w:rFonts w:ascii="宋体" w:hAnsi="宋体"/>
          <w:sz w:val="24"/>
        </w:rPr>
        <w:t>）进行开标。主持人按下列程序进行开标：</w:t>
      </w:r>
    </w:p>
    <w:p>
      <w:pPr>
        <w:spacing w:line="42" w:lineRule="exact"/>
        <w:rPr>
          <w:rFonts w:eastAsia="Times New Roman"/>
          <w:sz w:val="24"/>
        </w:rPr>
      </w:pPr>
    </w:p>
    <w:p>
      <w:pPr>
        <w:spacing w:line="0" w:lineRule="atLeast"/>
        <w:ind w:left="360"/>
        <w:jc w:val="both"/>
        <w:rPr>
          <w:rFonts w:ascii="宋体" w:hAnsi="宋体"/>
          <w:sz w:val="24"/>
        </w:rPr>
      </w:pPr>
      <w:r>
        <w:rPr>
          <w:rFonts w:ascii="宋体" w:hAnsi="宋体"/>
          <w:sz w:val="24"/>
        </w:rPr>
        <w:t>（</w:t>
      </w:r>
      <w:r>
        <w:rPr>
          <w:rFonts w:eastAsia="Times New Roman"/>
          <w:sz w:val="24"/>
        </w:rPr>
        <w:t>1</w:t>
      </w:r>
      <w:r>
        <w:rPr>
          <w:rFonts w:ascii="宋体" w:hAnsi="宋体"/>
          <w:sz w:val="24"/>
        </w:rPr>
        <w:t>）宣布开标纪律；</w:t>
      </w:r>
    </w:p>
    <w:p>
      <w:pPr>
        <w:spacing w:line="134" w:lineRule="exact"/>
        <w:rPr>
          <w:rFonts w:eastAsia="Times New Roman"/>
          <w:sz w:val="24"/>
        </w:rPr>
      </w:pPr>
    </w:p>
    <w:p>
      <w:pPr>
        <w:spacing w:line="311" w:lineRule="auto"/>
        <w:ind w:firstLine="360"/>
        <w:jc w:val="both"/>
        <w:rPr>
          <w:rFonts w:ascii="宋体" w:hAnsi="宋体"/>
          <w:sz w:val="24"/>
        </w:rPr>
      </w:pPr>
      <w:r>
        <w:rPr>
          <w:rFonts w:ascii="宋体" w:hAnsi="宋体"/>
          <w:sz w:val="24"/>
        </w:rPr>
        <w:t>（</w:t>
      </w:r>
      <w:r>
        <w:rPr>
          <w:rFonts w:eastAsia="Times New Roman"/>
          <w:sz w:val="24"/>
        </w:rPr>
        <w:t>2</w:t>
      </w:r>
      <w:r>
        <w:rPr>
          <w:rFonts w:ascii="宋体" w:hAnsi="宋体"/>
          <w:sz w:val="24"/>
        </w:rPr>
        <w:t>）当众拆开投标文件第一个信封（商务及技术文件）评审结果的密封袋，宣布通过投标文件第一个信封（商务及技术文件）评审的投标人名单；</w:t>
      </w:r>
    </w:p>
    <w:p>
      <w:pPr>
        <w:spacing w:line="68" w:lineRule="exact"/>
        <w:rPr>
          <w:rFonts w:eastAsia="Times New Roman"/>
          <w:sz w:val="24"/>
        </w:rPr>
      </w:pPr>
    </w:p>
    <w:p>
      <w:pPr>
        <w:spacing w:line="324" w:lineRule="auto"/>
        <w:ind w:left="360"/>
        <w:rPr>
          <w:rFonts w:ascii="宋体" w:hAnsi="宋体"/>
          <w:sz w:val="24"/>
        </w:rPr>
      </w:pPr>
      <w:r>
        <w:rPr>
          <w:rFonts w:ascii="宋体" w:hAnsi="宋体"/>
          <w:sz w:val="24"/>
        </w:rPr>
        <w:t>（</w:t>
      </w:r>
      <w:r>
        <w:rPr>
          <w:rFonts w:eastAsia="Times New Roman"/>
          <w:sz w:val="24"/>
        </w:rPr>
        <w:t>3</w:t>
      </w:r>
      <w:r>
        <w:rPr>
          <w:rFonts w:ascii="宋体" w:hAnsi="宋体"/>
          <w:sz w:val="24"/>
        </w:rPr>
        <w:t>）宣布开标人、唱标人、记录人等有关人员姓名；</w:t>
      </w:r>
    </w:p>
    <w:p>
      <w:pPr>
        <w:spacing w:line="324" w:lineRule="auto"/>
        <w:ind w:left="360"/>
        <w:rPr>
          <w:rFonts w:ascii="宋体" w:hAnsi="宋体"/>
          <w:sz w:val="24"/>
        </w:rPr>
      </w:pPr>
      <w:r>
        <w:rPr>
          <w:rFonts w:ascii="宋体" w:hAnsi="宋体"/>
          <w:sz w:val="24"/>
        </w:rPr>
        <w:t>（</w:t>
      </w:r>
      <w:r>
        <w:rPr>
          <w:rFonts w:eastAsia="Times New Roman"/>
          <w:sz w:val="24"/>
        </w:rPr>
        <w:t>4</w:t>
      </w:r>
      <w:r>
        <w:rPr>
          <w:rFonts w:ascii="宋体" w:hAnsi="宋体"/>
          <w:sz w:val="24"/>
        </w:rPr>
        <w:t>）按照投标人须知前附表规定由投标人推选的代表检查投标文件的密封情况；</w:t>
      </w:r>
    </w:p>
    <w:p>
      <w:pPr>
        <w:spacing w:line="333" w:lineRule="auto"/>
        <w:ind w:firstLine="360"/>
        <w:rPr>
          <w:rFonts w:ascii="宋体" w:hAnsi="宋体"/>
          <w:sz w:val="24"/>
        </w:rPr>
      </w:pPr>
      <w:r>
        <w:rPr>
          <w:rFonts w:ascii="宋体" w:hAnsi="宋体"/>
          <w:sz w:val="24"/>
        </w:rPr>
        <w:t>（5）按照投标人须知前附表规定的开标顺序当众开标，开标人只拆封通过投标文件第一个信封（商务及技术文件）评审的投标文件第二个信封（</w:t>
      </w:r>
      <w:r>
        <w:rPr>
          <w:rFonts w:hint="eastAsia" w:ascii="宋体" w:hAnsi="宋体"/>
          <w:sz w:val="24"/>
        </w:rPr>
        <w:t>投标</w:t>
      </w:r>
      <w:r>
        <w:rPr>
          <w:rFonts w:ascii="宋体" w:hAnsi="宋体"/>
          <w:sz w:val="24"/>
        </w:rPr>
        <w:t>报价</w:t>
      </w:r>
      <w:r>
        <w:rPr>
          <w:rFonts w:hint="eastAsia" w:ascii="宋体" w:hAnsi="宋体"/>
          <w:sz w:val="24"/>
        </w:rPr>
        <w:t>和工程量清单</w:t>
      </w:r>
      <w:r>
        <w:rPr>
          <w:rFonts w:ascii="宋体" w:hAnsi="宋体"/>
          <w:sz w:val="24"/>
        </w:rPr>
        <w:t>），公布标段名称、投标人名称、投标报价</w:t>
      </w:r>
      <w:r>
        <w:rPr>
          <w:rFonts w:ascii="MS PGothic" w:hAnsi="MS PGothic" w:eastAsia="MS PGothic"/>
          <w:sz w:val="24"/>
          <w:vertAlign w:val="superscript"/>
        </w:rPr>
        <w:t>①</w:t>
      </w:r>
      <w:r>
        <w:rPr>
          <w:rFonts w:ascii="宋体" w:hAnsi="宋体"/>
          <w:sz w:val="24"/>
        </w:rPr>
        <w:t>及其他内容，并记录在案；</w:t>
      </w:r>
    </w:p>
    <w:p>
      <w:pPr>
        <w:spacing w:line="326" w:lineRule="exact"/>
        <w:ind w:firstLine="360" w:firstLineChars="150"/>
        <w:rPr>
          <w:rFonts w:ascii="宋体" w:hAnsi="宋体"/>
          <w:sz w:val="24"/>
        </w:rPr>
      </w:pPr>
      <w:r>
        <w:rPr>
          <w:rFonts w:ascii="宋体" w:hAnsi="宋体"/>
          <w:sz w:val="24"/>
        </w:rPr>
        <w:t>（</w:t>
      </w:r>
      <w:r>
        <w:rPr>
          <w:rFonts w:eastAsia="Times New Roman"/>
          <w:sz w:val="24"/>
        </w:rPr>
        <w:t>6</w:t>
      </w:r>
      <w:r>
        <w:rPr>
          <w:rFonts w:ascii="宋体" w:hAnsi="宋体"/>
          <w:sz w:val="24"/>
        </w:rPr>
        <w:t>）计算并宣布评标基准价；</w:t>
      </w:r>
    </w:p>
    <w:p>
      <w:pPr>
        <w:spacing w:line="137" w:lineRule="exact"/>
        <w:rPr>
          <w:rFonts w:eastAsia="Times New Roman"/>
        </w:rPr>
      </w:pPr>
    </w:p>
    <w:p>
      <w:pPr>
        <w:spacing w:line="310" w:lineRule="auto"/>
        <w:ind w:firstLine="360"/>
        <w:rPr>
          <w:rFonts w:ascii="宋体" w:hAnsi="宋体"/>
          <w:sz w:val="24"/>
        </w:rPr>
      </w:pPr>
      <w:r>
        <w:rPr>
          <w:rFonts w:ascii="宋体" w:hAnsi="宋体"/>
          <w:sz w:val="24"/>
        </w:rPr>
        <w:t>（</w:t>
      </w:r>
      <w:r>
        <w:rPr>
          <w:rFonts w:eastAsia="Times New Roman"/>
          <w:sz w:val="24"/>
        </w:rPr>
        <w:t>7</w:t>
      </w:r>
      <w:r>
        <w:rPr>
          <w:rFonts w:ascii="宋体" w:hAnsi="宋体"/>
          <w:sz w:val="24"/>
        </w:rPr>
        <w:t>）将未通过投标文件第一个信封（商务及技术文件）评审的投标文件第二个信封（</w:t>
      </w:r>
      <w:r>
        <w:rPr>
          <w:rFonts w:hint="eastAsia" w:ascii="宋体" w:hAnsi="宋体"/>
          <w:sz w:val="24"/>
        </w:rPr>
        <w:t>投标</w:t>
      </w:r>
      <w:r>
        <w:rPr>
          <w:rFonts w:ascii="宋体" w:hAnsi="宋体"/>
          <w:sz w:val="24"/>
        </w:rPr>
        <w:t>报价</w:t>
      </w:r>
      <w:r>
        <w:rPr>
          <w:rFonts w:hint="eastAsia" w:ascii="宋体" w:hAnsi="宋体"/>
          <w:sz w:val="24"/>
        </w:rPr>
        <w:t>和工程量清单</w:t>
      </w:r>
      <w:r>
        <w:rPr>
          <w:rFonts w:ascii="宋体" w:hAnsi="宋体"/>
          <w:sz w:val="24"/>
        </w:rPr>
        <w:t>）退还给投标人；</w:t>
      </w:r>
    </w:p>
    <w:p>
      <w:pPr>
        <w:spacing w:line="71" w:lineRule="exact"/>
        <w:rPr>
          <w:rFonts w:eastAsia="Times New Roman"/>
        </w:rPr>
      </w:pPr>
    </w:p>
    <w:p>
      <w:pPr>
        <w:spacing w:line="304" w:lineRule="auto"/>
        <w:ind w:left="360"/>
        <w:rPr>
          <w:rFonts w:ascii="宋体" w:hAnsi="宋体"/>
          <w:sz w:val="24"/>
        </w:rPr>
      </w:pPr>
      <w:r>
        <w:rPr>
          <w:rFonts w:ascii="宋体" w:hAnsi="宋体"/>
          <w:sz w:val="24"/>
        </w:rPr>
        <w:t>（</w:t>
      </w:r>
      <w:r>
        <w:rPr>
          <w:rFonts w:eastAsia="Times New Roman"/>
          <w:sz w:val="24"/>
        </w:rPr>
        <w:t>8</w:t>
      </w:r>
      <w:r>
        <w:rPr>
          <w:rFonts w:ascii="宋体" w:hAnsi="宋体"/>
          <w:sz w:val="24"/>
        </w:rPr>
        <w:t>）投标人代表、招标人代表、记录人等有关人员在开标记录上签字确认；</w:t>
      </w:r>
    </w:p>
    <w:p>
      <w:pPr>
        <w:spacing w:line="304" w:lineRule="auto"/>
        <w:ind w:left="360"/>
        <w:rPr>
          <w:rFonts w:ascii="宋体" w:hAnsi="宋体"/>
          <w:sz w:val="24"/>
        </w:rPr>
      </w:pPr>
      <w:r>
        <w:rPr>
          <w:rFonts w:ascii="宋体" w:hAnsi="宋体"/>
          <w:sz w:val="24"/>
        </w:rPr>
        <w:t>（</w:t>
      </w:r>
      <w:r>
        <w:rPr>
          <w:rFonts w:eastAsia="Times New Roman"/>
          <w:sz w:val="24"/>
        </w:rPr>
        <w:t>9</w:t>
      </w:r>
      <w:r>
        <w:rPr>
          <w:rFonts w:ascii="宋体" w:hAnsi="宋体"/>
          <w:sz w:val="24"/>
        </w:rPr>
        <w:t>）开标结束。</w:t>
      </w:r>
    </w:p>
    <w:p>
      <w:pPr>
        <w:spacing w:line="70" w:lineRule="exact"/>
        <w:rPr>
          <w:rFonts w:eastAsia="Times New Roman"/>
        </w:rPr>
      </w:pPr>
    </w:p>
    <w:p>
      <w:pPr>
        <w:spacing w:line="400" w:lineRule="exact"/>
        <w:ind w:firstLine="480" w:firstLineChars="200"/>
        <w:rPr>
          <w:rFonts w:ascii="宋体" w:hAnsi="宋体"/>
          <w:sz w:val="24"/>
          <w:szCs w:val="24"/>
        </w:rPr>
      </w:pPr>
      <w:r>
        <w:rPr>
          <w:rFonts w:hint="eastAsia" w:ascii="宋体" w:hAnsi="宋体"/>
          <w:sz w:val="24"/>
          <w:szCs w:val="24"/>
        </w:rPr>
        <w:t>5.2.4第二个信封（投标报价和工程量清单）开标过程中，若招标人发现投标文件出现以下任一情况，经监标人确认并当场宣布为废标：</w:t>
      </w:r>
    </w:p>
    <w:p>
      <w:pPr>
        <w:spacing w:line="400" w:lineRule="exact"/>
        <w:ind w:firstLine="480" w:firstLineChars="200"/>
        <w:rPr>
          <w:rFonts w:ascii="宋体" w:hAnsi="宋体"/>
          <w:sz w:val="24"/>
          <w:szCs w:val="24"/>
        </w:rPr>
      </w:pPr>
      <w:r>
        <w:rPr>
          <w:rFonts w:hint="eastAsia" w:ascii="宋体" w:hAnsi="宋体"/>
          <w:sz w:val="24"/>
          <w:szCs w:val="24"/>
        </w:rPr>
        <w:t>（1）未在投标函上填写投标总价；</w:t>
      </w:r>
    </w:p>
    <w:p>
      <w:pPr>
        <w:spacing w:line="360" w:lineRule="auto"/>
        <w:ind w:firstLine="360" w:firstLineChars="150"/>
        <w:jc w:val="both"/>
        <w:rPr>
          <w:rFonts w:ascii="宋体" w:hAnsi="宋体"/>
          <w:sz w:val="24"/>
          <w:szCs w:val="22"/>
        </w:rPr>
      </w:pPr>
      <w:r>
        <w:rPr>
          <w:rFonts w:hint="eastAsia" w:ascii="宋体" w:hAnsi="宋体"/>
          <w:sz w:val="24"/>
          <w:szCs w:val="22"/>
        </w:rPr>
        <w:t>（2）投标报价的报价超出招标人公布的招标控制价上限。</w:t>
      </w:r>
    </w:p>
    <w:p>
      <w:pPr>
        <w:spacing w:line="360" w:lineRule="auto"/>
        <w:ind w:firstLine="360" w:firstLineChars="150"/>
        <w:jc w:val="both"/>
        <w:rPr>
          <w:rFonts w:ascii="宋体" w:hAnsi="宋体"/>
          <w:sz w:val="24"/>
          <w:szCs w:val="22"/>
        </w:rPr>
      </w:pPr>
      <w:r>
        <w:rPr>
          <w:rFonts w:hint="eastAsia" w:ascii="宋体" w:hAnsi="宋体"/>
          <w:sz w:val="24"/>
          <w:szCs w:val="22"/>
        </w:rPr>
        <w:t>5.2.5 若招标人宣读的内容与投标文件不符时，投标人有权在开标现场提出异议，经监标人当场核查确认之后，可重新宣读其投标文件。若投标人现场未提出异议，则认为投标人已确认招标人宣读的内容。</w:t>
      </w:r>
      <w:bookmarkStart w:id="24" w:name="page65"/>
      <w:bookmarkEnd w:id="24"/>
    </w:p>
    <w:p>
      <w:pPr>
        <w:spacing w:line="360" w:lineRule="auto"/>
        <w:jc w:val="both"/>
        <w:rPr>
          <w:rFonts w:ascii="宋体" w:hAnsi="宋体"/>
          <w:sz w:val="24"/>
          <w:szCs w:val="22"/>
        </w:rPr>
      </w:pPr>
      <w:r>
        <w:rPr>
          <w:rFonts w:hint="eastAsia" w:ascii="宋体" w:hAnsi="宋体"/>
          <w:sz w:val="24"/>
          <w:szCs w:val="22"/>
        </w:rPr>
        <w:t>5.3</w:t>
      </w:r>
      <w:r>
        <w:rPr>
          <w:rFonts w:ascii="宋体" w:hAnsi="宋体"/>
          <w:sz w:val="24"/>
          <w:szCs w:val="22"/>
        </w:rPr>
        <w:t>开标异议</w:t>
      </w:r>
    </w:p>
    <w:p>
      <w:pPr>
        <w:spacing w:line="360" w:lineRule="auto"/>
        <w:ind w:firstLine="360" w:firstLineChars="150"/>
        <w:jc w:val="both"/>
        <w:rPr>
          <w:rFonts w:ascii="宋体" w:hAnsi="宋体"/>
          <w:sz w:val="24"/>
        </w:rPr>
      </w:pPr>
      <w:r>
        <w:rPr>
          <w:rFonts w:ascii="宋体" w:hAnsi="宋体"/>
          <w:sz w:val="24"/>
          <w:szCs w:val="22"/>
        </w:rPr>
        <w:t>投标人对开标有异议的，应在开标现场提出，招标人当场作出答复，并制作记录，有异议的投标人代表、招标人代表、记录人等有关人员在记录上签字确认。</w:t>
      </w:r>
    </w:p>
    <w:p>
      <w:pPr>
        <w:spacing w:line="360" w:lineRule="auto"/>
        <w:rPr>
          <w:rFonts w:ascii="宋体" w:hAnsi="宋体"/>
          <w:b/>
          <w:sz w:val="28"/>
          <w:szCs w:val="22"/>
        </w:rPr>
      </w:pPr>
      <w:r>
        <w:rPr>
          <w:rFonts w:ascii="宋体" w:hAnsi="宋体"/>
          <w:b/>
          <w:sz w:val="28"/>
          <w:szCs w:val="22"/>
        </w:rPr>
        <w:t>6. 评标</w:t>
      </w:r>
    </w:p>
    <w:p>
      <w:pPr>
        <w:spacing w:line="360" w:lineRule="auto"/>
        <w:jc w:val="both"/>
        <w:rPr>
          <w:rFonts w:ascii="宋体" w:hAnsi="宋体"/>
          <w:b/>
          <w:sz w:val="24"/>
          <w:szCs w:val="22"/>
        </w:rPr>
      </w:pPr>
      <w:r>
        <w:rPr>
          <w:rFonts w:hint="eastAsia" w:ascii="宋体" w:hAnsi="宋体"/>
          <w:b/>
          <w:sz w:val="24"/>
          <w:szCs w:val="22"/>
        </w:rPr>
        <w:t>6.1</w:t>
      </w:r>
      <w:r>
        <w:rPr>
          <w:rFonts w:ascii="宋体" w:hAnsi="宋体"/>
          <w:b/>
          <w:sz w:val="24"/>
          <w:szCs w:val="22"/>
        </w:rPr>
        <w:t>评标委员会</w:t>
      </w:r>
    </w:p>
    <w:p>
      <w:pPr>
        <w:spacing w:line="360" w:lineRule="auto"/>
        <w:ind w:firstLine="240" w:firstLineChars="100"/>
        <w:jc w:val="both"/>
        <w:rPr>
          <w:rFonts w:ascii="宋体" w:hAnsi="宋体"/>
          <w:sz w:val="24"/>
          <w:szCs w:val="22"/>
        </w:rPr>
      </w:pPr>
      <w:r>
        <w:rPr>
          <w:rFonts w:hint="eastAsia" w:ascii="宋体" w:hAnsi="宋体"/>
          <w:sz w:val="24"/>
          <w:szCs w:val="22"/>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240" w:firstLineChars="100"/>
        <w:jc w:val="both"/>
        <w:rPr>
          <w:rFonts w:ascii="宋体" w:hAnsi="宋体"/>
          <w:sz w:val="24"/>
          <w:szCs w:val="22"/>
        </w:rPr>
      </w:pPr>
      <w:r>
        <w:rPr>
          <w:rFonts w:hint="eastAsia" w:ascii="宋体" w:hAnsi="宋体"/>
          <w:sz w:val="24"/>
          <w:szCs w:val="22"/>
        </w:rPr>
        <w:t>6.1.2 评标委员会成员有下列情形之一的，应当回避：</w:t>
      </w:r>
    </w:p>
    <w:p>
      <w:pPr>
        <w:spacing w:line="360" w:lineRule="auto"/>
        <w:jc w:val="both"/>
        <w:rPr>
          <w:rFonts w:ascii="宋体" w:hAnsi="宋体"/>
          <w:sz w:val="24"/>
          <w:szCs w:val="22"/>
        </w:rPr>
      </w:pPr>
      <w:r>
        <w:rPr>
          <w:rFonts w:hint="eastAsia" w:ascii="宋体" w:hAnsi="宋体"/>
          <w:sz w:val="24"/>
          <w:szCs w:val="22"/>
        </w:rPr>
        <w:t>（1）为负责招标项目监督管理的交通运输主管部门的工作人员；</w:t>
      </w:r>
    </w:p>
    <w:p>
      <w:pPr>
        <w:spacing w:line="360" w:lineRule="auto"/>
        <w:jc w:val="both"/>
        <w:rPr>
          <w:rFonts w:ascii="宋体" w:hAnsi="宋体"/>
          <w:sz w:val="24"/>
          <w:szCs w:val="22"/>
        </w:rPr>
      </w:pPr>
      <w:r>
        <w:rPr>
          <w:rFonts w:hint="eastAsia" w:ascii="宋体" w:hAnsi="宋体"/>
          <w:sz w:val="24"/>
          <w:szCs w:val="22"/>
        </w:rPr>
        <w:t>（2）与投标人法定代表人或其委托代理人有近亲属关系；</w:t>
      </w:r>
    </w:p>
    <w:p>
      <w:pPr>
        <w:spacing w:line="360" w:lineRule="auto"/>
        <w:jc w:val="both"/>
        <w:rPr>
          <w:rFonts w:ascii="宋体" w:hAnsi="宋体"/>
          <w:sz w:val="24"/>
          <w:szCs w:val="22"/>
        </w:rPr>
      </w:pPr>
      <w:r>
        <w:rPr>
          <w:rFonts w:hint="eastAsia" w:ascii="宋体" w:hAnsi="宋体"/>
          <w:sz w:val="24"/>
          <w:szCs w:val="22"/>
        </w:rPr>
        <w:t>（3）为投标人的工作人员或退休人员；</w:t>
      </w:r>
    </w:p>
    <w:p>
      <w:pPr>
        <w:spacing w:line="360" w:lineRule="auto"/>
        <w:jc w:val="both"/>
        <w:rPr>
          <w:rFonts w:ascii="宋体" w:hAnsi="宋体"/>
          <w:sz w:val="24"/>
          <w:szCs w:val="22"/>
        </w:rPr>
      </w:pPr>
      <w:r>
        <w:rPr>
          <w:rFonts w:hint="eastAsia" w:ascii="宋体" w:hAnsi="宋体"/>
          <w:sz w:val="24"/>
          <w:szCs w:val="22"/>
        </w:rPr>
        <w:t>（4）与投标人有其他利害关系，可能影响评标活动公正性；</w:t>
      </w:r>
    </w:p>
    <w:p>
      <w:pPr>
        <w:spacing w:line="360" w:lineRule="auto"/>
        <w:jc w:val="both"/>
        <w:rPr>
          <w:rFonts w:ascii="宋体" w:hAnsi="宋体"/>
          <w:sz w:val="24"/>
          <w:szCs w:val="22"/>
        </w:rPr>
      </w:pPr>
      <w:r>
        <w:rPr>
          <w:rFonts w:hint="eastAsia" w:ascii="宋体" w:hAnsi="宋体"/>
          <w:sz w:val="24"/>
          <w:szCs w:val="22"/>
        </w:rPr>
        <w:t>（5）在与招标投标有关的活动中有过违法违规行为、曾受过行政处罚或刑事处罚。</w:t>
      </w:r>
    </w:p>
    <w:p>
      <w:pPr>
        <w:spacing w:line="360" w:lineRule="auto"/>
        <w:ind w:firstLine="240" w:firstLineChars="100"/>
        <w:jc w:val="both"/>
        <w:rPr>
          <w:rFonts w:ascii="宋体" w:hAnsi="宋体"/>
          <w:sz w:val="24"/>
          <w:szCs w:val="24"/>
        </w:rPr>
      </w:pPr>
      <w:r>
        <w:rPr>
          <w:rFonts w:hint="eastAsia" w:ascii="宋体" w:hAnsi="宋体"/>
          <w:sz w:val="24"/>
          <w:szCs w:val="22"/>
        </w:rPr>
        <w:t>6.1.3 评标过程中，评标委员会成员有回避事由、擅离职守或因健康等原因不能 继续评标的，招标人有权更换。被更换的评标委员会成员作出的评审结论无效，由更 换后的评标委员会成员重新进行评审。</w:t>
      </w:r>
    </w:p>
    <w:p>
      <w:pPr>
        <w:numPr>
          <w:ilvl w:val="0"/>
          <w:numId w:val="24"/>
        </w:numPr>
        <w:tabs>
          <w:tab w:val="left" w:pos="480"/>
        </w:tabs>
        <w:spacing w:line="0" w:lineRule="atLeast"/>
        <w:ind w:left="480" w:hanging="471"/>
        <w:jc w:val="both"/>
        <w:rPr>
          <w:rFonts w:ascii="宋体" w:hAnsi="宋体"/>
          <w:b/>
          <w:sz w:val="24"/>
        </w:rPr>
      </w:pPr>
      <w:r>
        <w:rPr>
          <w:rFonts w:ascii="宋体" w:hAnsi="宋体"/>
          <w:b/>
          <w:sz w:val="24"/>
        </w:rPr>
        <w:t>评标原则</w:t>
      </w:r>
    </w:p>
    <w:p>
      <w:pPr>
        <w:spacing w:line="400" w:lineRule="exact"/>
        <w:ind w:firstLine="360" w:firstLineChars="150"/>
        <w:rPr>
          <w:rFonts w:ascii="宋体" w:hAnsi="宋体"/>
          <w:sz w:val="24"/>
          <w:szCs w:val="24"/>
        </w:rPr>
      </w:pPr>
      <w:r>
        <w:rPr>
          <w:rFonts w:hint="eastAsia" w:ascii="宋体" w:hAnsi="宋体"/>
          <w:sz w:val="24"/>
          <w:szCs w:val="24"/>
        </w:rPr>
        <w:t>评标活动遵循公平、公正、科学和择优的原则。</w:t>
      </w:r>
    </w:p>
    <w:p>
      <w:pPr>
        <w:tabs>
          <w:tab w:val="left" w:pos="480"/>
        </w:tabs>
        <w:spacing w:line="0" w:lineRule="atLeast"/>
        <w:jc w:val="both"/>
        <w:rPr>
          <w:rFonts w:ascii="宋体" w:hAnsi="宋体"/>
          <w:b/>
          <w:sz w:val="24"/>
        </w:rPr>
      </w:pPr>
      <w:r>
        <w:rPr>
          <w:rFonts w:hint="eastAsia" w:ascii="宋体" w:hAnsi="宋体"/>
          <w:b/>
          <w:sz w:val="24"/>
        </w:rPr>
        <w:t>6.3</w:t>
      </w:r>
      <w:r>
        <w:rPr>
          <w:rFonts w:ascii="宋体" w:hAnsi="宋体"/>
          <w:b/>
          <w:sz w:val="24"/>
        </w:rPr>
        <w:t>评标</w:t>
      </w:r>
    </w:p>
    <w:p>
      <w:pPr>
        <w:tabs>
          <w:tab w:val="left" w:pos="1082"/>
        </w:tabs>
        <w:spacing w:line="319" w:lineRule="auto"/>
        <w:ind w:firstLine="360" w:firstLineChars="150"/>
        <w:jc w:val="both"/>
        <w:rPr>
          <w:rFonts w:eastAsia="Times New Roman"/>
          <w:sz w:val="24"/>
        </w:rPr>
      </w:pPr>
      <w:r>
        <w:rPr>
          <w:rFonts w:hint="eastAsia" w:ascii="黑体" w:hAnsi="黑体" w:eastAsia="黑体"/>
          <w:sz w:val="24"/>
        </w:rPr>
        <w:t>6.3.1</w:t>
      </w:r>
      <w:r>
        <w:rPr>
          <w:rFonts w:ascii="宋体" w:hAnsi="宋体"/>
          <w:sz w:val="24"/>
        </w:rPr>
        <w:t>评标委员会按照第三章</w:t>
      </w:r>
      <w:r>
        <w:rPr>
          <w:rFonts w:eastAsia="Times New Roman"/>
          <w:sz w:val="24"/>
        </w:rPr>
        <w:t>“</w:t>
      </w:r>
      <w:r>
        <w:rPr>
          <w:rFonts w:ascii="宋体" w:hAnsi="宋体"/>
          <w:sz w:val="24"/>
        </w:rPr>
        <w:t>评标办法</w:t>
      </w:r>
      <w:r>
        <w:rPr>
          <w:rFonts w:eastAsia="Times New Roman"/>
          <w:sz w:val="24"/>
        </w:rPr>
        <w:t>”</w:t>
      </w:r>
      <w:r>
        <w:rPr>
          <w:rFonts w:ascii="宋体" w:hAnsi="宋体"/>
          <w:sz w:val="24"/>
        </w:rPr>
        <w:t>规定的方法、评审因素、标准和程序对投标文件进行评审。第三章</w:t>
      </w:r>
      <w:r>
        <w:rPr>
          <w:rFonts w:eastAsia="Times New Roman"/>
          <w:sz w:val="24"/>
        </w:rPr>
        <w:t>“</w:t>
      </w:r>
      <w:r>
        <w:rPr>
          <w:rFonts w:ascii="宋体" w:hAnsi="宋体"/>
          <w:sz w:val="24"/>
        </w:rPr>
        <w:t>评标办法</w:t>
      </w:r>
      <w:r>
        <w:rPr>
          <w:rFonts w:eastAsia="Times New Roman"/>
          <w:sz w:val="24"/>
        </w:rPr>
        <w:t>”</w:t>
      </w:r>
      <w:r>
        <w:rPr>
          <w:rFonts w:ascii="宋体" w:hAnsi="宋体"/>
          <w:sz w:val="24"/>
        </w:rPr>
        <w:t>没有规定的方法、评审因素和标准，不作为评标依据。</w:t>
      </w:r>
    </w:p>
    <w:p>
      <w:pPr>
        <w:spacing w:line="70" w:lineRule="exact"/>
        <w:rPr>
          <w:rFonts w:eastAsia="Times New Roman"/>
          <w:sz w:val="24"/>
        </w:rPr>
      </w:pPr>
    </w:p>
    <w:p>
      <w:pPr>
        <w:tabs>
          <w:tab w:val="left" w:pos="1080"/>
        </w:tabs>
        <w:spacing w:line="302" w:lineRule="auto"/>
        <w:ind w:left="489"/>
        <w:jc w:val="both"/>
        <w:rPr>
          <w:rFonts w:eastAsia="Times New Roman"/>
          <w:sz w:val="24"/>
        </w:rPr>
      </w:pPr>
      <w:r>
        <w:rPr>
          <w:rFonts w:hint="eastAsia" w:ascii="宋体" w:hAnsi="宋体"/>
          <w:sz w:val="24"/>
        </w:rPr>
        <w:t>6.3.2</w:t>
      </w:r>
      <w:r>
        <w:rPr>
          <w:rFonts w:ascii="宋体" w:hAnsi="宋体"/>
          <w:sz w:val="24"/>
        </w:rPr>
        <w:t>评标完成后，评标委员会应向招标人提交书面评标报告和中标候选人名单。评标委员会推荐中标候选人的人数见投标人须知前附表。</w:t>
      </w:r>
    </w:p>
    <w:p>
      <w:pPr>
        <w:tabs>
          <w:tab w:val="left" w:pos="480"/>
        </w:tabs>
        <w:spacing w:line="0" w:lineRule="atLeast"/>
        <w:jc w:val="both"/>
        <w:rPr>
          <w:rFonts w:ascii="宋体" w:hAnsi="宋体"/>
          <w:b/>
          <w:sz w:val="24"/>
          <w:szCs w:val="22"/>
        </w:rPr>
      </w:pPr>
      <w:r>
        <w:rPr>
          <w:rFonts w:hint="eastAsia" w:ascii="宋体" w:hAnsi="宋体"/>
          <w:b/>
          <w:sz w:val="24"/>
          <w:szCs w:val="22"/>
        </w:rPr>
        <w:t>7. 合同授予</w:t>
      </w:r>
    </w:p>
    <w:p>
      <w:pPr>
        <w:spacing w:line="360" w:lineRule="auto"/>
        <w:ind w:firstLine="240" w:firstLineChars="100"/>
        <w:jc w:val="both"/>
        <w:rPr>
          <w:rFonts w:ascii="宋体" w:hAnsi="宋体"/>
          <w:sz w:val="24"/>
          <w:szCs w:val="22"/>
        </w:rPr>
      </w:pPr>
      <w:r>
        <w:rPr>
          <w:rFonts w:hint="eastAsia" w:ascii="宋体" w:hAnsi="宋体"/>
          <w:sz w:val="24"/>
          <w:szCs w:val="22"/>
        </w:rPr>
        <w:t>7.1 中标候选人公示</w:t>
      </w:r>
    </w:p>
    <w:p>
      <w:pPr>
        <w:spacing w:line="360" w:lineRule="auto"/>
        <w:ind w:firstLine="240" w:firstLineChars="100"/>
        <w:jc w:val="both"/>
        <w:rPr>
          <w:rFonts w:ascii="宋体" w:hAnsi="宋体"/>
          <w:sz w:val="24"/>
          <w:szCs w:val="22"/>
        </w:rPr>
      </w:pPr>
      <w:r>
        <w:rPr>
          <w:rFonts w:hint="eastAsia" w:ascii="宋体" w:hAnsi="宋体"/>
          <w:sz w:val="24"/>
          <w:szCs w:val="22"/>
        </w:rPr>
        <w:t>招标人在收到评标报告之日起 3 日内，按照投标人须知前附表规定的公示媒介和期限公示中标候选人，公示期不得少于 3 日，公示内容包括：</w:t>
      </w:r>
    </w:p>
    <w:p>
      <w:pPr>
        <w:spacing w:line="360" w:lineRule="auto"/>
        <w:ind w:firstLine="240" w:firstLineChars="100"/>
        <w:jc w:val="both"/>
        <w:rPr>
          <w:rFonts w:ascii="宋体" w:hAnsi="宋体"/>
          <w:sz w:val="24"/>
          <w:szCs w:val="22"/>
        </w:rPr>
      </w:pPr>
      <w:r>
        <w:rPr>
          <w:rFonts w:hint="eastAsia" w:ascii="宋体" w:hAnsi="宋体"/>
          <w:sz w:val="24"/>
          <w:szCs w:val="22"/>
        </w:rPr>
        <w:t>（1）中标候选人排序、名称、投标报价，对工程质量要求和工期的响应情况；</w:t>
      </w:r>
    </w:p>
    <w:p>
      <w:pPr>
        <w:pStyle w:val="3"/>
        <w:spacing w:before="39" w:line="292" w:lineRule="auto"/>
        <w:ind w:left="149" w:right="227" w:firstLine="360"/>
        <w:rPr>
          <w:rFonts w:hAnsi="宋体"/>
          <w:sz w:val="24"/>
        </w:rPr>
      </w:pPr>
      <w:r>
        <w:rPr>
          <w:rFonts w:hAnsi="宋体"/>
          <w:sz w:val="24"/>
        </w:rPr>
        <w:t>（2）中标候选人在投标文件中承诺的项目经理和项目总工姓名、个人业绩、相关证书名称和编号；</w:t>
      </w:r>
    </w:p>
    <w:p>
      <w:pPr>
        <w:pStyle w:val="3"/>
        <w:spacing w:before="35"/>
        <w:ind w:left="509"/>
        <w:rPr>
          <w:rFonts w:hAnsi="宋体"/>
          <w:sz w:val="24"/>
        </w:rPr>
      </w:pPr>
      <w:r>
        <w:rPr>
          <w:rFonts w:hAnsi="宋体"/>
          <w:sz w:val="24"/>
        </w:rPr>
        <w:t>（3）中标候选人在投标文件中填报的项目业绩；</w:t>
      </w:r>
    </w:p>
    <w:p>
      <w:pPr>
        <w:pStyle w:val="3"/>
        <w:spacing w:before="72"/>
        <w:ind w:left="509"/>
        <w:rPr>
          <w:rFonts w:hAnsi="宋体"/>
          <w:sz w:val="24"/>
        </w:rPr>
      </w:pPr>
      <w:r>
        <w:rPr>
          <w:rFonts w:hAnsi="宋体"/>
          <w:sz w:val="24"/>
        </w:rPr>
        <w:t>（4）被否决投标的投标人名称、否决依据和原因；</w:t>
      </w:r>
    </w:p>
    <w:p>
      <w:pPr>
        <w:pStyle w:val="3"/>
        <w:spacing w:before="73"/>
        <w:ind w:left="509"/>
        <w:rPr>
          <w:rFonts w:hAnsi="宋体"/>
          <w:sz w:val="24"/>
        </w:rPr>
      </w:pPr>
      <w:r>
        <w:rPr>
          <w:rFonts w:hAnsi="宋体"/>
          <w:sz w:val="24"/>
        </w:rPr>
        <w:t>（5）提出异议的渠道和方式；</w:t>
      </w:r>
    </w:p>
    <w:p>
      <w:pPr>
        <w:pStyle w:val="3"/>
        <w:spacing w:before="70"/>
        <w:ind w:left="509"/>
        <w:rPr>
          <w:rFonts w:hAnsi="宋体"/>
          <w:sz w:val="24"/>
        </w:rPr>
      </w:pPr>
      <w:r>
        <w:rPr>
          <w:rFonts w:hAnsi="宋体"/>
          <w:sz w:val="24"/>
        </w:rPr>
        <w:t>（6）投标人须知前附表规定公示的其他内容。</w:t>
      </w:r>
    </w:p>
    <w:p>
      <w:pPr>
        <w:pStyle w:val="3"/>
        <w:ind w:left="149"/>
        <w:rPr>
          <w:rFonts w:hAnsi="宋体"/>
          <w:sz w:val="24"/>
        </w:rPr>
      </w:pPr>
      <w:bookmarkStart w:id="25" w:name="_bookmark72"/>
      <w:bookmarkEnd w:id="25"/>
      <w:r>
        <w:rPr>
          <w:rFonts w:hAnsi="宋体"/>
          <w:sz w:val="24"/>
        </w:rPr>
        <w:t>7.2 评标结果异议</w:t>
      </w:r>
    </w:p>
    <w:p>
      <w:pPr>
        <w:pStyle w:val="3"/>
        <w:spacing w:line="300" w:lineRule="auto"/>
        <w:ind w:left="149" w:firstLine="479"/>
        <w:rPr>
          <w:rFonts w:hAnsi="宋体"/>
          <w:sz w:val="24"/>
        </w:rPr>
      </w:pPr>
      <w:r>
        <w:rPr>
          <w:rFonts w:hAnsi="宋体"/>
          <w:sz w:val="24"/>
        </w:rPr>
        <w:t>投标人或其他利害关系人对依法必须进行招标的项目的评标结果有异议的，应在 中标候选人公示期间提出。招标人将在收到异议之日起 3 日内作出答复；作出答复前， 将暂停招标投标活动。</w:t>
      </w:r>
    </w:p>
    <w:p>
      <w:pPr>
        <w:pStyle w:val="3"/>
        <w:spacing w:before="181"/>
        <w:ind w:left="149"/>
        <w:rPr>
          <w:rFonts w:hAnsi="宋体"/>
          <w:sz w:val="24"/>
        </w:rPr>
      </w:pPr>
      <w:bookmarkStart w:id="26" w:name="_bookmark73"/>
      <w:bookmarkEnd w:id="26"/>
      <w:r>
        <w:rPr>
          <w:rFonts w:hAnsi="宋体"/>
          <w:sz w:val="24"/>
        </w:rPr>
        <w:t>7.3 中标候选人履约能力审查</w:t>
      </w:r>
    </w:p>
    <w:p>
      <w:pPr>
        <w:pStyle w:val="3"/>
        <w:spacing w:line="300" w:lineRule="auto"/>
        <w:ind w:left="149" w:firstLine="479"/>
        <w:rPr>
          <w:rFonts w:hAnsi="宋体"/>
          <w:sz w:val="24"/>
          <w:szCs w:val="22"/>
        </w:rPr>
      </w:pPr>
      <w:r>
        <w:rPr>
          <w:rFonts w:hAnsi="宋体"/>
          <w:sz w:val="24"/>
          <w:szCs w:val="22"/>
        </w:rPr>
        <w:t>中标候选人的经营、财务状况发生较大变化或存在违法行为，招标人认为可能影响其履约能力的，将在发出中标通知书前提请原评标委员会按照招标文件规定的标准 和方法进行审查确认。</w:t>
      </w:r>
    </w:p>
    <w:p>
      <w:pPr>
        <w:pStyle w:val="3"/>
        <w:spacing w:before="173"/>
        <w:ind w:left="149"/>
        <w:rPr>
          <w:rFonts w:hAnsi="宋体"/>
          <w:sz w:val="24"/>
        </w:rPr>
      </w:pPr>
      <w:bookmarkStart w:id="27" w:name="_bookmark74"/>
      <w:bookmarkEnd w:id="27"/>
      <w:r>
        <w:rPr>
          <w:rFonts w:hAnsi="宋体"/>
          <w:sz w:val="24"/>
        </w:rPr>
        <w:t>7.4 定标</w:t>
      </w:r>
    </w:p>
    <w:p>
      <w:pPr>
        <w:pStyle w:val="3"/>
        <w:spacing w:line="308" w:lineRule="auto"/>
        <w:ind w:left="149" w:right="228" w:firstLine="479"/>
        <w:jc w:val="both"/>
        <w:rPr>
          <w:rFonts w:hAnsi="宋体"/>
          <w:sz w:val="24"/>
        </w:rPr>
      </w:pPr>
      <w:r>
        <w:rPr>
          <w:rFonts w:hAnsi="宋体"/>
          <w:sz w:val="24"/>
        </w:rPr>
        <w:t>按照投标人须知前附表的规定，招标人或招标人授权的评标委员会依法确定中标 人。</w:t>
      </w:r>
    </w:p>
    <w:p>
      <w:pPr>
        <w:pStyle w:val="3"/>
        <w:spacing w:before="173"/>
        <w:ind w:left="149"/>
        <w:rPr>
          <w:rFonts w:hAnsi="宋体"/>
          <w:sz w:val="24"/>
        </w:rPr>
      </w:pPr>
      <w:bookmarkStart w:id="28" w:name="_bookmark75"/>
      <w:bookmarkEnd w:id="28"/>
      <w:r>
        <w:rPr>
          <w:rFonts w:hAnsi="宋体"/>
          <w:sz w:val="24"/>
        </w:rPr>
        <w:t>7.5 中标通知</w:t>
      </w:r>
    </w:p>
    <w:p>
      <w:pPr>
        <w:pStyle w:val="3"/>
        <w:spacing w:line="291" w:lineRule="auto"/>
        <w:ind w:left="149" w:right="226" w:firstLine="479"/>
        <w:jc w:val="both"/>
        <w:rPr>
          <w:rFonts w:hAnsi="宋体"/>
          <w:sz w:val="24"/>
        </w:rPr>
      </w:pPr>
      <w:r>
        <w:rPr>
          <w:rFonts w:hAnsi="宋体"/>
          <w:sz w:val="24"/>
        </w:rPr>
        <w:t>在本章第 3.3 款规定的投标有效期内，招标人以投标人须知前附表规定的形式向 中标人发出中标通知书，同时将中标结果通知未中标的投标人。</w:t>
      </w:r>
    </w:p>
    <w:p>
      <w:pPr>
        <w:pStyle w:val="3"/>
        <w:spacing w:before="190"/>
        <w:ind w:left="149"/>
        <w:rPr>
          <w:rFonts w:hAnsi="宋体"/>
          <w:sz w:val="24"/>
        </w:rPr>
      </w:pPr>
      <w:bookmarkStart w:id="29" w:name="_bookmark76"/>
      <w:bookmarkEnd w:id="29"/>
      <w:r>
        <w:rPr>
          <w:rFonts w:hAnsi="宋体"/>
          <w:sz w:val="24"/>
        </w:rPr>
        <w:t>7.6 中标结果公告</w:t>
      </w:r>
    </w:p>
    <w:p>
      <w:pPr>
        <w:pStyle w:val="3"/>
        <w:spacing w:line="291" w:lineRule="auto"/>
        <w:ind w:left="149" w:right="226" w:firstLine="479"/>
        <w:jc w:val="both"/>
        <w:rPr>
          <w:rFonts w:hAnsi="宋体"/>
          <w:sz w:val="24"/>
          <w:szCs w:val="22"/>
        </w:rPr>
      </w:pPr>
      <w:r>
        <w:rPr>
          <w:rFonts w:hAnsi="宋体"/>
          <w:sz w:val="24"/>
          <w:szCs w:val="22"/>
        </w:rPr>
        <w:t>招标人在确定中标人之日起 3 日内，按照投标人须知前附表规定的公告媒介和期限公告中标结果，公告期不得少于 3 日。公告内容包括中标人名称、中标价。</w:t>
      </w:r>
    </w:p>
    <w:p>
      <w:pPr>
        <w:pStyle w:val="3"/>
        <w:spacing w:line="291" w:lineRule="auto"/>
        <w:ind w:right="226" w:firstLine="120" w:firstLineChars="50"/>
        <w:jc w:val="both"/>
        <w:rPr>
          <w:rFonts w:hAnsi="宋体"/>
          <w:sz w:val="24"/>
          <w:szCs w:val="22"/>
        </w:rPr>
      </w:pPr>
      <w:r>
        <w:rPr>
          <w:rFonts w:hint="eastAsia" w:hAnsi="宋体"/>
          <w:sz w:val="24"/>
          <w:szCs w:val="22"/>
        </w:rPr>
        <w:t>7.7</w:t>
      </w:r>
      <w:r>
        <w:rPr>
          <w:rFonts w:hint="eastAsia" w:hAnsi="宋体"/>
          <w:kern w:val="44"/>
          <w:sz w:val="24"/>
          <w:szCs w:val="24"/>
        </w:rPr>
        <w:t>履约保证金</w:t>
      </w:r>
    </w:p>
    <w:p>
      <w:pPr>
        <w:shd w:val="clear" w:color="auto" w:fill="FFFFFF"/>
        <w:spacing w:line="400" w:lineRule="exact"/>
        <w:ind w:firstLine="240" w:firstLineChars="100"/>
        <w:rPr>
          <w:rFonts w:ascii="宋体" w:hAnsi="宋体"/>
          <w:sz w:val="24"/>
        </w:rPr>
      </w:pPr>
      <w:r>
        <w:rPr>
          <w:rFonts w:hint="eastAsia" w:ascii="宋体" w:hAnsi="宋体"/>
          <w:sz w:val="24"/>
        </w:rPr>
        <w:t>7.7.1履约保证金提交方式</w:t>
      </w:r>
      <w:r>
        <w:rPr>
          <w:rFonts w:ascii="宋体" w:hAnsi="宋体"/>
          <w:sz w:val="24"/>
        </w:rPr>
        <w:t xml:space="preserve"> </w:t>
      </w:r>
    </w:p>
    <w:p>
      <w:pPr>
        <w:shd w:val="clear" w:color="auto" w:fill="FFFFFF"/>
        <w:spacing w:line="400" w:lineRule="exact"/>
        <w:ind w:firstLine="480" w:firstLineChars="200"/>
        <w:rPr>
          <w:rFonts w:ascii="宋体" w:hAnsi="宋体"/>
          <w:sz w:val="24"/>
        </w:rPr>
      </w:pPr>
      <w:r>
        <w:rPr>
          <w:rFonts w:hint="eastAsia" w:ascii="宋体" w:hAnsi="宋体"/>
          <w:sz w:val="24"/>
        </w:rPr>
        <w:t>7.7.1.1、以网银、银行转账支票、银行电汇方式提交。</w:t>
      </w:r>
      <w:r>
        <w:rPr>
          <w:rFonts w:ascii="宋体" w:hAnsi="宋体"/>
          <w:sz w:val="24"/>
        </w:rPr>
        <w:t xml:space="preserve">  </w:t>
      </w:r>
    </w:p>
    <w:p>
      <w:pPr>
        <w:shd w:val="clear" w:color="auto" w:fill="FFFFFF"/>
        <w:spacing w:line="400" w:lineRule="exact"/>
        <w:ind w:firstLine="480" w:firstLineChars="200"/>
        <w:rPr>
          <w:rFonts w:ascii="宋体" w:hAnsi="宋体"/>
          <w:sz w:val="24"/>
        </w:rPr>
      </w:pPr>
      <w:r>
        <w:rPr>
          <w:rFonts w:hint="eastAsia" w:ascii="宋体" w:hAnsi="宋体"/>
          <w:sz w:val="24"/>
        </w:rPr>
        <w:t>7.7.1.2、现金支票和现金不得作为履约保证金提交方式。</w:t>
      </w:r>
      <w:r>
        <w:rPr>
          <w:rFonts w:ascii="宋体" w:hAnsi="宋体"/>
          <w:sz w:val="24"/>
        </w:rPr>
        <w:t xml:space="preserve">  </w:t>
      </w:r>
    </w:p>
    <w:p>
      <w:pPr>
        <w:shd w:val="clear" w:color="auto" w:fill="FFFFFF"/>
        <w:spacing w:line="400" w:lineRule="exact"/>
        <w:ind w:firstLine="480" w:firstLineChars="200"/>
        <w:rPr>
          <w:rFonts w:ascii="宋体" w:hAnsi="宋体"/>
          <w:sz w:val="24"/>
        </w:rPr>
      </w:pPr>
      <w:r>
        <w:rPr>
          <w:rFonts w:hint="eastAsia" w:ascii="宋体" w:hAnsi="宋体"/>
          <w:sz w:val="24"/>
        </w:rPr>
        <w:t>7.7.1.3、中标人必须通过其公司账户按照规定的方式提交，其名称应与中标单位的名称一致。</w:t>
      </w:r>
    </w:p>
    <w:p>
      <w:pPr>
        <w:shd w:val="clear" w:color="auto" w:fill="FFFFFF"/>
        <w:spacing w:line="400" w:lineRule="exact"/>
        <w:ind w:firstLine="240" w:firstLineChars="100"/>
        <w:rPr>
          <w:rFonts w:ascii="宋体" w:hAnsi="宋体"/>
          <w:sz w:val="24"/>
        </w:rPr>
      </w:pPr>
      <w:r>
        <w:rPr>
          <w:rFonts w:hint="eastAsia" w:ascii="宋体" w:hAnsi="宋体"/>
          <w:sz w:val="24"/>
        </w:rPr>
        <w:t>7.2履约保证金提交比例和数额</w:t>
      </w:r>
      <w:r>
        <w:rPr>
          <w:rFonts w:ascii="宋体" w:hAnsi="宋体"/>
          <w:sz w:val="24"/>
        </w:rPr>
        <w:t xml:space="preserve"> </w:t>
      </w:r>
    </w:p>
    <w:p>
      <w:pPr>
        <w:shd w:val="clear" w:color="auto" w:fill="FFFFFF"/>
        <w:spacing w:line="400" w:lineRule="exact"/>
        <w:rPr>
          <w:rFonts w:ascii="宋体" w:hAnsi="宋体"/>
          <w:sz w:val="24"/>
        </w:rPr>
      </w:pPr>
      <w:r>
        <w:rPr>
          <w:rFonts w:hint="eastAsia" w:ascii="宋体" w:hAnsi="宋体"/>
          <w:sz w:val="24"/>
        </w:rPr>
        <w:t>  履约保证金数额不得超过中标合同金额的10%。</w:t>
      </w:r>
    </w:p>
    <w:p>
      <w:pPr>
        <w:shd w:val="clear" w:color="auto" w:fill="FFFFFF"/>
        <w:spacing w:line="400" w:lineRule="exact"/>
        <w:ind w:firstLine="240" w:firstLineChars="100"/>
        <w:rPr>
          <w:rFonts w:ascii="宋体" w:hAnsi="宋体"/>
          <w:sz w:val="24"/>
        </w:rPr>
      </w:pPr>
      <w:r>
        <w:rPr>
          <w:rFonts w:hint="eastAsia" w:ascii="宋体" w:hAnsi="宋体"/>
          <w:sz w:val="24"/>
        </w:rPr>
        <w:t>7.3履约保证金的退还</w:t>
      </w:r>
      <w:r>
        <w:rPr>
          <w:rFonts w:ascii="宋体" w:hAnsi="宋体"/>
          <w:sz w:val="24"/>
        </w:rPr>
        <w:t xml:space="preserve"> </w:t>
      </w:r>
    </w:p>
    <w:p>
      <w:pPr>
        <w:shd w:val="clear" w:color="auto" w:fill="FFFFFF"/>
        <w:spacing w:line="400" w:lineRule="exact"/>
        <w:ind w:firstLine="480" w:firstLineChars="200"/>
        <w:rPr>
          <w:rFonts w:ascii="宋体" w:hAnsi="宋体"/>
          <w:sz w:val="24"/>
        </w:rPr>
      </w:pPr>
      <w:r>
        <w:rPr>
          <w:rFonts w:hint="eastAsia" w:ascii="宋体" w:hAnsi="宋体"/>
          <w:sz w:val="24"/>
        </w:rPr>
        <w:t>7.7.3.1、项目完工后，由招标人出具《履约保证金退还通知单》，中心财务凭《履约保证金退还通知单》在五个工作日内退还履约保证金及银行同期活期存款利息至中标人账户。</w:t>
      </w:r>
      <w:r>
        <w:rPr>
          <w:rFonts w:ascii="宋体" w:hAnsi="宋体"/>
          <w:sz w:val="24"/>
        </w:rPr>
        <w:t xml:space="preserve">  </w:t>
      </w:r>
    </w:p>
    <w:p>
      <w:pPr>
        <w:pStyle w:val="3"/>
        <w:spacing w:line="291" w:lineRule="auto"/>
        <w:ind w:right="226" w:firstLine="120" w:firstLineChars="50"/>
        <w:jc w:val="both"/>
        <w:rPr>
          <w:rFonts w:hAnsi="宋体"/>
          <w:sz w:val="24"/>
          <w:szCs w:val="22"/>
        </w:rPr>
      </w:pPr>
      <w:r>
        <w:rPr>
          <w:rFonts w:hint="eastAsia" w:hAnsi="宋体"/>
          <w:sz w:val="24"/>
        </w:rPr>
        <w:t>7.7.3.2、中标人因发生质疑、投诉、举报或有关部门立案调查的，中心依据相关行政监督部门的意见暂停退还或没收其履约保证金，待行政监督部门对相关情况处置后，按照有关规定办理。</w:t>
      </w:r>
    </w:p>
    <w:p>
      <w:pPr>
        <w:pStyle w:val="3"/>
        <w:spacing w:before="181"/>
        <w:ind w:left="149"/>
        <w:rPr>
          <w:rFonts w:hAnsi="宋体"/>
          <w:sz w:val="24"/>
        </w:rPr>
      </w:pPr>
      <w:bookmarkStart w:id="30" w:name="_bookmark78"/>
      <w:bookmarkEnd w:id="30"/>
      <w:r>
        <w:rPr>
          <w:rFonts w:hAnsi="宋体"/>
          <w:sz w:val="24"/>
        </w:rPr>
        <w:t>7.</w:t>
      </w:r>
      <w:r>
        <w:rPr>
          <w:rFonts w:hint="eastAsia" w:hAnsi="宋体"/>
          <w:sz w:val="24"/>
        </w:rPr>
        <w:t>8</w:t>
      </w:r>
      <w:r>
        <w:rPr>
          <w:rFonts w:hAnsi="宋体"/>
          <w:sz w:val="24"/>
        </w:rPr>
        <w:t xml:space="preserve"> 签订合同</w:t>
      </w:r>
    </w:p>
    <w:p>
      <w:pPr>
        <w:pStyle w:val="3"/>
        <w:spacing w:line="305" w:lineRule="auto"/>
        <w:ind w:left="149" w:right="227" w:firstLine="479"/>
        <w:jc w:val="both"/>
        <w:rPr>
          <w:rFonts w:hAnsi="宋体"/>
          <w:sz w:val="24"/>
        </w:rPr>
      </w:pPr>
      <w:r>
        <w:rPr>
          <w:rFonts w:hAnsi="宋体"/>
          <w:sz w:val="24"/>
        </w:rPr>
        <w:t>7.</w:t>
      </w:r>
      <w:r>
        <w:rPr>
          <w:rFonts w:hint="eastAsia" w:hAnsi="宋体"/>
          <w:sz w:val="24"/>
        </w:rPr>
        <w:t>8</w:t>
      </w:r>
      <w:r>
        <w:rPr>
          <w:rFonts w:hAnsi="宋体"/>
          <w:sz w:val="24"/>
        </w:rPr>
        <w:t>.1 招标人和中标人应在中标通知书发出之日起 30 日内，根据招标文件和中标 人的投标文件订立书面合同。中标人无正当理由拒签合同，在签订合同时向招标人提 出附加条件，或不按照招标文件要求提交履约保证金的，招标人取消其中标资格，其 投标保证金不予退还；给招标人造成的损失超过投标保证金数额的，中标人还应对超 过部分予以赔偿。</w:t>
      </w:r>
    </w:p>
    <w:p>
      <w:pPr>
        <w:pStyle w:val="3"/>
        <w:spacing w:before="25" w:line="291" w:lineRule="auto"/>
        <w:ind w:left="149" w:right="229" w:firstLine="479"/>
        <w:jc w:val="both"/>
        <w:rPr>
          <w:rFonts w:hAnsi="宋体"/>
          <w:sz w:val="24"/>
        </w:rPr>
      </w:pPr>
      <w:r>
        <w:rPr>
          <w:rFonts w:hAnsi="宋体"/>
          <w:sz w:val="24"/>
        </w:rPr>
        <w:t>7.</w:t>
      </w:r>
      <w:r>
        <w:rPr>
          <w:rFonts w:hint="eastAsia" w:hAnsi="宋体"/>
          <w:sz w:val="24"/>
        </w:rPr>
        <w:t>8</w:t>
      </w:r>
      <w:r>
        <w:rPr>
          <w:rFonts w:hAnsi="宋体"/>
          <w:sz w:val="24"/>
        </w:rPr>
        <w:t>.2 发出中标通知书后，招标人无正当理由拒签合同，或在签订合同时向中标 人提出附加条件的，招标人向中标人退还投标保证金；给中标人造成损失的，还应赔偿损失。</w:t>
      </w:r>
    </w:p>
    <w:p>
      <w:pPr>
        <w:pStyle w:val="3"/>
        <w:spacing w:before="88"/>
        <w:ind w:left="629"/>
        <w:rPr>
          <w:rFonts w:hAnsi="宋体"/>
          <w:sz w:val="24"/>
        </w:rPr>
      </w:pPr>
      <w:r>
        <w:rPr>
          <w:rFonts w:hAnsi="宋体"/>
          <w:sz w:val="24"/>
        </w:rPr>
        <w:t>7.</w:t>
      </w:r>
      <w:r>
        <w:rPr>
          <w:rFonts w:hint="eastAsia" w:hAnsi="宋体"/>
          <w:sz w:val="24"/>
        </w:rPr>
        <w:t>8</w:t>
      </w:r>
      <w:r>
        <w:rPr>
          <w:rFonts w:hAnsi="宋体"/>
          <w:sz w:val="24"/>
        </w:rPr>
        <w:t>.3  签约合同价的确定原则如下：</w:t>
      </w:r>
    </w:p>
    <w:p>
      <w:pPr>
        <w:pStyle w:val="3"/>
        <w:spacing w:before="72" w:line="292" w:lineRule="auto"/>
        <w:ind w:left="149" w:right="108" w:firstLine="360"/>
        <w:jc w:val="both"/>
        <w:rPr>
          <w:rFonts w:hAnsi="宋体"/>
          <w:sz w:val="24"/>
        </w:rPr>
      </w:pPr>
      <w:r>
        <w:rPr>
          <w:rFonts w:hAnsi="宋体"/>
          <w:sz w:val="24"/>
        </w:rPr>
        <w:t>（1）按照评标办法规定对投标报价进行修正后，若修正后的最终投标报价小于开 标时的投标函大写金额报价，则签订合同时以修正后的最终投标报价为准；</w:t>
      </w:r>
    </w:p>
    <w:p>
      <w:pPr>
        <w:pStyle w:val="3"/>
        <w:spacing w:before="35" w:line="301" w:lineRule="auto"/>
        <w:ind w:left="149" w:right="108" w:firstLine="360"/>
        <w:jc w:val="both"/>
        <w:rPr>
          <w:rFonts w:hAnsi="宋体"/>
          <w:sz w:val="24"/>
        </w:rPr>
      </w:pPr>
      <w:r>
        <w:rPr>
          <w:rFonts w:hAnsi="宋体"/>
          <w:sz w:val="24"/>
        </w:rPr>
        <w:t>（2）按照评标办法规定对投标报价进行修正后，若修正后的最终投标报价大于开 标时的投标函大写金额报价，则签订合同时以开标时的投标函大写金额报价为准，同 时按比例修正相应子目的单价或合价。</w:t>
      </w:r>
    </w:p>
    <w:p>
      <w:pPr>
        <w:pStyle w:val="3"/>
        <w:spacing w:before="37" w:line="300" w:lineRule="auto"/>
        <w:ind w:left="149" w:right="108" w:firstLine="479"/>
        <w:jc w:val="both"/>
        <w:rPr>
          <w:rFonts w:hAnsi="宋体"/>
          <w:sz w:val="24"/>
        </w:rPr>
      </w:pPr>
      <w:r>
        <w:rPr>
          <w:rFonts w:hAnsi="宋体"/>
          <w:sz w:val="24"/>
        </w:rPr>
        <w:t>7.</w:t>
      </w:r>
      <w:r>
        <w:rPr>
          <w:rFonts w:hint="eastAsia" w:hAnsi="宋体"/>
          <w:sz w:val="24"/>
        </w:rPr>
        <w:t>8</w:t>
      </w:r>
      <w:r>
        <w:rPr>
          <w:rFonts w:hAnsi="宋体"/>
          <w:sz w:val="24"/>
        </w:rPr>
        <w:t>.</w:t>
      </w:r>
      <w:r>
        <w:rPr>
          <w:rFonts w:hint="eastAsia" w:hAnsi="宋体"/>
          <w:sz w:val="24"/>
        </w:rPr>
        <w:t>4</w:t>
      </w:r>
      <w:r>
        <w:rPr>
          <w:rFonts w:hAnsi="宋体"/>
          <w:sz w:val="24"/>
        </w:rPr>
        <w:t xml:space="preserve"> 招标人和中标人在签订合同协议书的同时，须按照本招标文件规定的格式 和要求签订廉政合同及安全生产合同，明确双方在廉政建设和安全生产方面的权利和 义务以及应承担的违约责任。</w:t>
      </w:r>
    </w:p>
    <w:p>
      <w:pPr>
        <w:pStyle w:val="4"/>
        <w:spacing w:before="120" w:beforeLines="50" w:after="0" w:line="400" w:lineRule="exact"/>
        <w:rPr>
          <w:rFonts w:ascii="宋体" w:hAnsi="宋体"/>
          <w:sz w:val="24"/>
          <w:szCs w:val="24"/>
        </w:rPr>
      </w:pPr>
      <w:r>
        <w:rPr>
          <w:rFonts w:hint="eastAsia" w:ascii="宋体" w:hAnsi="宋体"/>
          <w:sz w:val="24"/>
          <w:szCs w:val="24"/>
        </w:rPr>
        <w:t>8. 重新招标和不再招标</w:t>
      </w:r>
    </w:p>
    <w:p>
      <w:pPr>
        <w:pStyle w:val="4"/>
        <w:spacing w:before="120" w:beforeLines="50" w:after="0" w:line="400" w:lineRule="exact"/>
        <w:rPr>
          <w:rFonts w:ascii="宋体" w:hAnsi="宋体"/>
          <w:sz w:val="24"/>
          <w:szCs w:val="24"/>
        </w:rPr>
      </w:pPr>
      <w:r>
        <w:rPr>
          <w:rFonts w:hint="eastAsia" w:ascii="宋体" w:hAnsi="宋体"/>
          <w:sz w:val="24"/>
          <w:szCs w:val="24"/>
        </w:rPr>
        <w:t>8.1 重新招标</w:t>
      </w:r>
    </w:p>
    <w:p>
      <w:pPr>
        <w:spacing w:line="400" w:lineRule="exact"/>
        <w:ind w:firstLine="480" w:firstLineChars="200"/>
        <w:rPr>
          <w:rFonts w:ascii="宋体" w:hAnsi="宋体"/>
          <w:sz w:val="24"/>
          <w:szCs w:val="24"/>
        </w:rPr>
      </w:pPr>
      <w:r>
        <w:rPr>
          <w:rFonts w:hint="eastAsia" w:ascii="宋体" w:hAnsi="宋体"/>
          <w:sz w:val="24"/>
          <w:szCs w:val="24"/>
        </w:rPr>
        <w:t>有下列情形之一的，招标人将重新招标：</w:t>
      </w:r>
    </w:p>
    <w:p>
      <w:pPr>
        <w:spacing w:line="400" w:lineRule="exact"/>
        <w:ind w:firstLine="480" w:firstLineChars="200"/>
        <w:rPr>
          <w:rFonts w:ascii="宋体" w:hAnsi="宋体"/>
          <w:sz w:val="24"/>
          <w:szCs w:val="24"/>
        </w:rPr>
      </w:pPr>
      <w:r>
        <w:rPr>
          <w:rFonts w:hint="eastAsia" w:ascii="宋体" w:hAnsi="宋体"/>
          <w:sz w:val="24"/>
          <w:szCs w:val="24"/>
        </w:rPr>
        <w:t>（1）投标截止时间止，投标人少于3个的；</w:t>
      </w:r>
    </w:p>
    <w:p>
      <w:pPr>
        <w:spacing w:line="400" w:lineRule="exact"/>
        <w:ind w:firstLine="480" w:firstLineChars="200"/>
        <w:rPr>
          <w:rFonts w:ascii="宋体" w:hAnsi="宋体"/>
          <w:sz w:val="24"/>
          <w:szCs w:val="24"/>
        </w:rPr>
      </w:pPr>
      <w:r>
        <w:rPr>
          <w:rFonts w:hint="eastAsia" w:ascii="宋体" w:hAnsi="宋体"/>
          <w:sz w:val="24"/>
          <w:szCs w:val="24"/>
        </w:rPr>
        <w:t>（2）经评标委员会评审后否决所有投标的；</w:t>
      </w:r>
    </w:p>
    <w:p>
      <w:pPr>
        <w:spacing w:line="400" w:lineRule="exact"/>
        <w:ind w:firstLine="480" w:firstLineChars="200"/>
        <w:rPr>
          <w:rFonts w:ascii="宋体" w:hAnsi="宋体"/>
          <w:sz w:val="24"/>
          <w:szCs w:val="24"/>
        </w:rPr>
      </w:pPr>
      <w:r>
        <w:rPr>
          <w:rFonts w:hint="eastAsia" w:ascii="宋体" w:hAnsi="宋体"/>
          <w:sz w:val="24"/>
          <w:szCs w:val="24"/>
        </w:rPr>
        <w:t>（3）中标候选人均未与招标人签订合同的；</w:t>
      </w:r>
    </w:p>
    <w:p>
      <w:pPr>
        <w:spacing w:line="400" w:lineRule="exact"/>
        <w:ind w:firstLine="480" w:firstLineChars="200"/>
        <w:rPr>
          <w:rFonts w:ascii="宋体" w:hAnsi="宋体"/>
          <w:sz w:val="24"/>
          <w:szCs w:val="24"/>
        </w:rPr>
      </w:pPr>
      <w:r>
        <w:rPr>
          <w:rFonts w:hint="eastAsia" w:ascii="宋体" w:hAnsi="宋体"/>
          <w:sz w:val="24"/>
          <w:szCs w:val="24"/>
        </w:rPr>
        <w:t>（4）法律规定的其他情形。</w:t>
      </w:r>
    </w:p>
    <w:p>
      <w:pPr>
        <w:pStyle w:val="4"/>
        <w:spacing w:before="120" w:beforeLines="50" w:after="0" w:line="400" w:lineRule="exact"/>
        <w:rPr>
          <w:rFonts w:ascii="宋体" w:hAnsi="宋体"/>
          <w:sz w:val="24"/>
          <w:szCs w:val="24"/>
        </w:rPr>
      </w:pPr>
      <w:r>
        <w:rPr>
          <w:rFonts w:hint="eastAsia" w:ascii="宋体" w:hAnsi="宋体"/>
          <w:sz w:val="24"/>
          <w:szCs w:val="24"/>
        </w:rPr>
        <w:t>8.2 不再招标</w:t>
      </w:r>
    </w:p>
    <w:p>
      <w:pPr>
        <w:spacing w:line="400" w:lineRule="exact"/>
        <w:ind w:firstLine="480" w:firstLineChars="200"/>
        <w:rPr>
          <w:rFonts w:ascii="宋体" w:hAnsi="宋体"/>
          <w:sz w:val="24"/>
          <w:szCs w:val="24"/>
        </w:rPr>
      </w:pPr>
      <w:r>
        <w:rPr>
          <w:rFonts w:hint="eastAsia" w:ascii="宋体" w:hAnsi="宋体"/>
          <w:sz w:val="24"/>
          <w:szCs w:val="24"/>
        </w:rPr>
        <w:t>重新招标后投标人仍少于3 个或者所有投标被否决的，属于必须审批或核准的工程建设项目，经原审批或核准部门批准后不再进行招标。</w:t>
      </w:r>
    </w:p>
    <w:p>
      <w:pPr>
        <w:pStyle w:val="4"/>
        <w:spacing w:before="120" w:beforeLines="50" w:after="0" w:line="400" w:lineRule="exact"/>
        <w:rPr>
          <w:rFonts w:ascii="宋体" w:hAnsi="宋体"/>
          <w:sz w:val="24"/>
          <w:szCs w:val="24"/>
        </w:rPr>
      </w:pPr>
      <w:r>
        <w:rPr>
          <w:rFonts w:hint="eastAsia" w:ascii="宋体" w:hAnsi="宋体"/>
          <w:sz w:val="24"/>
          <w:szCs w:val="24"/>
        </w:rPr>
        <w:t>9. 纪律和监督</w:t>
      </w:r>
    </w:p>
    <w:p>
      <w:pPr>
        <w:pStyle w:val="4"/>
        <w:spacing w:before="120" w:beforeLines="50" w:after="0" w:line="400" w:lineRule="exact"/>
        <w:rPr>
          <w:rFonts w:ascii="宋体" w:hAnsi="宋体"/>
          <w:sz w:val="24"/>
          <w:szCs w:val="24"/>
        </w:rPr>
      </w:pPr>
      <w:r>
        <w:rPr>
          <w:rFonts w:hint="eastAsia" w:ascii="宋体" w:hAnsi="宋体"/>
          <w:sz w:val="24"/>
          <w:szCs w:val="24"/>
        </w:rPr>
        <w:t>9.1 对招标人的纪律要求</w:t>
      </w:r>
    </w:p>
    <w:p>
      <w:pPr>
        <w:spacing w:line="400" w:lineRule="exact"/>
        <w:ind w:firstLine="480" w:firstLineChars="200"/>
        <w:rPr>
          <w:rFonts w:ascii="宋体" w:hAnsi="宋体"/>
          <w:sz w:val="24"/>
          <w:szCs w:val="24"/>
        </w:rPr>
      </w:pPr>
      <w:r>
        <w:rPr>
          <w:rFonts w:hint="eastAsia" w:ascii="宋体" w:hAnsi="宋体"/>
          <w:sz w:val="24"/>
          <w:szCs w:val="24"/>
        </w:rPr>
        <w:t>招标人不得泄漏招标投标活动中应当保密的情况和资料，不得与投标人串通损害国家利益、社会公共利益或者他人合法权益。</w:t>
      </w:r>
    </w:p>
    <w:p>
      <w:pPr>
        <w:pStyle w:val="4"/>
        <w:spacing w:before="120" w:beforeLines="50" w:after="0" w:line="400" w:lineRule="exact"/>
        <w:rPr>
          <w:rFonts w:ascii="宋体" w:hAnsi="宋体"/>
          <w:sz w:val="24"/>
          <w:szCs w:val="24"/>
        </w:rPr>
      </w:pPr>
      <w:r>
        <w:rPr>
          <w:rFonts w:hint="eastAsia" w:ascii="宋体" w:hAnsi="宋体"/>
          <w:sz w:val="24"/>
          <w:szCs w:val="24"/>
        </w:rPr>
        <w:t>9.2 对投标人的纪律要求</w:t>
      </w:r>
    </w:p>
    <w:p>
      <w:pPr>
        <w:spacing w:line="400" w:lineRule="exact"/>
        <w:ind w:firstLine="480" w:firstLineChars="200"/>
        <w:rPr>
          <w:rFonts w:ascii="宋体" w:hAnsi="宋体"/>
          <w:sz w:val="24"/>
          <w:szCs w:val="24"/>
        </w:rPr>
      </w:pPr>
      <w:r>
        <w:rPr>
          <w:rFonts w:hint="eastAsia" w:ascii="宋体" w:hAnsi="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120" w:beforeLines="50" w:after="0" w:line="400" w:lineRule="exact"/>
        <w:rPr>
          <w:rFonts w:ascii="宋体" w:hAnsi="宋体"/>
          <w:sz w:val="24"/>
          <w:szCs w:val="24"/>
        </w:rPr>
      </w:pPr>
      <w:r>
        <w:rPr>
          <w:rFonts w:hint="eastAsia" w:ascii="宋体" w:hAnsi="宋体"/>
          <w:sz w:val="24"/>
          <w:szCs w:val="24"/>
        </w:rPr>
        <w:t>9.3 对评标委员会成员的纪律要求</w:t>
      </w:r>
    </w:p>
    <w:p>
      <w:pPr>
        <w:spacing w:line="400" w:lineRule="exact"/>
        <w:ind w:firstLine="480" w:firstLineChars="200"/>
        <w:rPr>
          <w:rFonts w:ascii="宋体" w:hAnsi="宋体"/>
          <w:sz w:val="24"/>
          <w:szCs w:val="24"/>
        </w:rPr>
      </w:pPr>
      <w:r>
        <w:rPr>
          <w:rFonts w:hint="eastAsia" w:ascii="宋体" w:hAnsi="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spacing w:before="120" w:beforeLines="50" w:after="0" w:line="400" w:lineRule="exact"/>
        <w:rPr>
          <w:rFonts w:ascii="宋体" w:hAnsi="宋体"/>
          <w:sz w:val="24"/>
          <w:szCs w:val="24"/>
        </w:rPr>
      </w:pPr>
      <w:r>
        <w:rPr>
          <w:rFonts w:hint="eastAsia" w:ascii="宋体" w:hAnsi="宋体"/>
          <w:sz w:val="24"/>
          <w:szCs w:val="24"/>
        </w:rPr>
        <w:t>9.4 对与评标活动有关的工作人员的纪律要求</w:t>
      </w:r>
    </w:p>
    <w:p>
      <w:pPr>
        <w:spacing w:line="400" w:lineRule="exact"/>
        <w:ind w:firstLine="480" w:firstLineChars="200"/>
        <w:rPr>
          <w:rFonts w:ascii="宋体" w:hAnsi="宋体"/>
          <w:sz w:val="24"/>
          <w:szCs w:val="24"/>
        </w:rPr>
      </w:pPr>
      <w:r>
        <w:rPr>
          <w:rFonts w:hint="eastAsia" w:ascii="宋体" w:hAnsi="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spacing w:before="120" w:beforeLines="50" w:after="0" w:line="400" w:lineRule="exact"/>
        <w:rPr>
          <w:rFonts w:ascii="宋体" w:hAnsi="宋体"/>
          <w:sz w:val="24"/>
          <w:szCs w:val="24"/>
        </w:rPr>
      </w:pPr>
      <w:r>
        <w:rPr>
          <w:rFonts w:hint="eastAsia" w:ascii="宋体" w:hAnsi="宋体"/>
          <w:sz w:val="24"/>
          <w:szCs w:val="24"/>
        </w:rPr>
        <w:t>9.5 投诉</w:t>
      </w:r>
    </w:p>
    <w:p>
      <w:pPr>
        <w:spacing w:line="400" w:lineRule="exact"/>
        <w:ind w:firstLine="480" w:firstLineChars="200"/>
        <w:rPr>
          <w:rFonts w:ascii="宋体" w:hAnsi="宋体"/>
          <w:sz w:val="24"/>
          <w:szCs w:val="24"/>
        </w:rPr>
      </w:pPr>
      <w:r>
        <w:rPr>
          <w:rFonts w:hint="eastAsia" w:ascii="宋体" w:hAnsi="宋体"/>
          <w:sz w:val="24"/>
          <w:szCs w:val="24"/>
        </w:rPr>
        <w:t>投标人和其他利害关系人认为本次招标活动违反法律、法规和规章规定的，有权向有关行政监督部门投诉。</w:t>
      </w:r>
    </w:p>
    <w:p>
      <w:pPr>
        <w:pStyle w:val="4"/>
        <w:spacing w:before="120" w:beforeLines="50" w:after="0" w:line="400" w:lineRule="exact"/>
        <w:rPr>
          <w:rFonts w:ascii="宋体" w:hAnsi="宋体"/>
          <w:sz w:val="24"/>
          <w:szCs w:val="24"/>
        </w:rPr>
      </w:pPr>
      <w:bookmarkStart w:id="31" w:name="_Toc528314438"/>
      <w:r>
        <w:rPr>
          <w:rFonts w:hint="eastAsia" w:ascii="宋体" w:hAnsi="宋体"/>
          <w:sz w:val="24"/>
          <w:szCs w:val="24"/>
        </w:rPr>
        <w:t>10.需要补充的其他内容</w:t>
      </w:r>
    </w:p>
    <w:p>
      <w:pPr>
        <w:spacing w:line="400" w:lineRule="exact"/>
        <w:ind w:firstLine="480" w:firstLineChars="200"/>
        <w:rPr>
          <w:rFonts w:ascii="宋体" w:hAnsi="宋体"/>
          <w:sz w:val="24"/>
          <w:szCs w:val="24"/>
        </w:rPr>
      </w:pPr>
      <w:r>
        <w:rPr>
          <w:rFonts w:hint="eastAsia" w:ascii="宋体" w:hAnsi="宋体"/>
          <w:sz w:val="24"/>
          <w:szCs w:val="24"/>
        </w:rPr>
        <w:t>需要补充的其他内容：见投标人须知前附表。</w:t>
      </w:r>
    </w:p>
    <w:bookmarkEnd w:id="31"/>
    <w:p>
      <w:pPr>
        <w:spacing w:line="480" w:lineRule="exact"/>
        <w:rPr>
          <w:rFonts w:ascii="方正小标宋简体" w:hAnsi="黑体"/>
          <w:b/>
          <w:bCs/>
          <w:sz w:val="32"/>
          <w:szCs w:val="32"/>
        </w:rPr>
      </w:pPr>
      <w:r>
        <w:rPr>
          <w:rFonts w:ascii="方正小标宋简体" w:hAnsi="黑体"/>
          <w:b/>
          <w:bCs/>
          <w:sz w:val="32"/>
          <w:szCs w:val="32"/>
        </w:rPr>
        <w:t xml:space="preserve"> </w:t>
      </w:r>
    </w:p>
    <w:p>
      <w:pPr>
        <w:spacing w:line="480" w:lineRule="exact"/>
        <w:rPr>
          <w:rFonts w:hint="eastAsia" w:ascii="黑体" w:hAnsi="宋体" w:eastAsia="黑体"/>
          <w:b/>
          <w:sz w:val="28"/>
        </w:rPr>
      </w:pPr>
      <w:r>
        <w:rPr>
          <w:rFonts w:hint="eastAsia" w:ascii="黑体" w:hAnsi="宋体" w:eastAsia="黑体"/>
          <w:b/>
          <w:sz w:val="28"/>
        </w:rPr>
        <w:br w:type="page"/>
      </w:r>
    </w:p>
    <w:p>
      <w:pPr>
        <w:spacing w:line="480" w:lineRule="exact"/>
        <w:rPr>
          <w:rFonts w:ascii="华文中宋" w:hAnsi="华文中宋" w:eastAsia="华文中宋"/>
          <w:b/>
          <w:bCs/>
          <w:sz w:val="36"/>
          <w:szCs w:val="32"/>
        </w:rPr>
      </w:pPr>
      <w:r>
        <w:rPr>
          <w:rFonts w:hint="eastAsia" w:ascii="黑体" w:hAnsi="宋体" w:eastAsia="黑体"/>
          <w:b/>
          <w:sz w:val="28"/>
        </w:rPr>
        <w:t>附件一：投标保证金</w:t>
      </w:r>
    </w:p>
    <w:p>
      <w:pPr>
        <w:jc w:val="center"/>
        <w:rPr>
          <w:rFonts w:ascii="新宋体" w:hAnsi="新宋体" w:eastAsia="新宋体"/>
          <w:b/>
          <w:color w:val="FF0000"/>
          <w:sz w:val="36"/>
          <w:szCs w:val="36"/>
        </w:rPr>
      </w:pPr>
      <w:r>
        <w:rPr>
          <w:rFonts w:hint="eastAsia" w:ascii="新宋体" w:hAnsi="新宋体" w:eastAsia="新宋体"/>
          <w:b/>
          <w:sz w:val="36"/>
          <w:szCs w:val="36"/>
        </w:rPr>
        <w:t>投标保证金交纳须知</w:t>
      </w:r>
    </w:p>
    <w:tbl>
      <w:tblPr>
        <w:tblStyle w:val="13"/>
        <w:tblW w:w="9540"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3"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bCs/>
                <w:sz w:val="24"/>
                <w:szCs w:val="22"/>
              </w:rPr>
            </w:pPr>
            <w:r>
              <w:rPr>
                <w:rFonts w:hint="eastAsia" w:ascii="仿宋_GB2312" w:hAnsi="宋体" w:eastAsia="仿宋_GB2312" w:cs="宋体"/>
                <w:sz w:val="24"/>
                <w:szCs w:val="22"/>
              </w:rPr>
              <w:t>建安建工公字〔2018〕</w:t>
            </w:r>
            <w:r>
              <w:rPr>
                <w:rFonts w:hint="eastAsia" w:ascii="仿宋_GB2312" w:hAnsi="宋体" w:eastAsia="仿宋_GB2312" w:cs="宋体"/>
                <w:sz w:val="24"/>
                <w:szCs w:val="22"/>
                <w:lang w:val="en-US" w:eastAsia="zh-CN"/>
              </w:rPr>
              <w:t>225</w:t>
            </w:r>
            <w:r>
              <w:rPr>
                <w:rFonts w:hint="eastAsia" w:ascii="仿宋_GB2312" w:hAnsi="宋体" w:eastAsia="仿宋_GB2312" w:cs="宋体"/>
                <w:sz w:val="24"/>
                <w:szCs w:val="22"/>
              </w:rPr>
              <w:t>号</w:t>
            </w:r>
            <w:r>
              <w:rPr>
                <w:rFonts w:hint="eastAsia" w:ascii="仿宋_GB2312" w:hAnsi="宋体" w:eastAsia="仿宋_GB2312" w:cs="宋体"/>
                <w:color w:val="0000FF"/>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bCs/>
                <w:sz w:val="24"/>
                <w:szCs w:val="22"/>
              </w:rPr>
            </w:pPr>
            <w:r>
              <w:rPr>
                <w:rFonts w:hint="eastAsia" w:ascii="仿宋_GB2312" w:hAnsi="宋体" w:eastAsia="仿宋_GB2312" w:cs="宋体"/>
                <w:sz w:val="24"/>
                <w:szCs w:val="22"/>
              </w:rPr>
              <w:t>许昌市建安区2019年财政专项资金扶贫项目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宋体" w:eastAsia="仿宋_GB2312" w:cs="宋体"/>
                <w:sz w:val="24"/>
              </w:rPr>
            </w:pPr>
            <w:r>
              <w:rPr>
                <w:rFonts w:hint="eastAsia" w:ascii="仿宋_GB2312" w:hAnsi="宋体" w:eastAsia="仿宋_GB2312"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70" w:hRule="exact"/>
          <w:jc w:val="center"/>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pStyle w:val="2"/>
              <w:ind w:firstLine="240"/>
              <w:rPr>
                <w:rFonts w:ascii="仿宋_GB2312" w:hAnsi="宋体" w:eastAsia="仿宋_GB2312" w:cs="宋体"/>
                <w:sz w:val="24"/>
                <w:szCs w:val="22"/>
              </w:rPr>
            </w:pPr>
            <w:r>
              <w:rPr>
                <w:rFonts w:hint="eastAsia" w:ascii="仿宋_GB2312" w:hAnsi="宋体" w:eastAsia="仿宋_GB2312" w:cs="宋体"/>
                <w:sz w:val="24"/>
                <w:szCs w:val="22"/>
              </w:rPr>
              <w:t>一标段金额：人民币壹拾玖万元整（190000.00 元）</w:t>
            </w:r>
          </w:p>
          <w:p>
            <w:pPr>
              <w:pStyle w:val="2"/>
              <w:ind w:firstLine="240"/>
              <w:rPr>
                <w:rFonts w:ascii="仿宋_GB2312" w:hAnsi="宋体" w:eastAsia="仿宋_GB2312" w:cs="宋体"/>
                <w:sz w:val="24"/>
                <w:szCs w:val="22"/>
              </w:rPr>
            </w:pPr>
            <w:r>
              <w:rPr>
                <w:rFonts w:hint="eastAsia" w:ascii="仿宋_GB2312" w:hAnsi="宋体" w:eastAsia="仿宋_GB2312" w:cs="宋体"/>
                <w:sz w:val="24"/>
                <w:szCs w:val="22"/>
              </w:rPr>
              <w:t>二标段金额：人民币壹拾贰万元整（120000.00元）</w:t>
            </w:r>
          </w:p>
          <w:p>
            <w:pPr>
              <w:pStyle w:val="2"/>
              <w:ind w:firstLine="240"/>
              <w:rPr>
                <w:rFonts w:ascii="仿宋_GB2312" w:hAnsi="宋体" w:eastAsia="仿宋_GB2312" w:cs="宋体"/>
                <w:sz w:val="24"/>
                <w:szCs w:val="22"/>
              </w:rPr>
            </w:pPr>
            <w:r>
              <w:rPr>
                <w:rFonts w:hint="eastAsia" w:ascii="仿宋_GB2312" w:hAnsi="宋体" w:eastAsia="仿宋_GB2312" w:cs="宋体"/>
                <w:sz w:val="24"/>
                <w:szCs w:val="22"/>
              </w:rPr>
              <w:t>三标段金额：人民币壹拾万元整（100000.00元）</w:t>
            </w:r>
          </w:p>
          <w:p>
            <w:pPr>
              <w:pStyle w:val="2"/>
              <w:ind w:firstLine="240"/>
              <w:rPr>
                <w:rFonts w:ascii="仿宋_GB2312" w:hAnsi="宋体" w:eastAsia="仿宋_GB2312" w:cs="宋体"/>
                <w:sz w:val="24"/>
                <w:szCs w:val="22"/>
              </w:rPr>
            </w:pPr>
            <w:r>
              <w:rPr>
                <w:rFonts w:hint="eastAsia" w:ascii="仿宋_GB2312" w:hAnsi="宋体" w:eastAsia="仿宋_GB2312" w:cs="宋体"/>
                <w:sz w:val="24"/>
                <w:szCs w:val="22"/>
              </w:rPr>
              <w:t>四标段金额：人民币贰万元整（2</w:t>
            </w:r>
            <w:r>
              <w:rPr>
                <w:rFonts w:hint="eastAsia" w:ascii="仿宋_GB2312" w:hAnsi="宋体" w:eastAsia="仿宋_GB2312" w:cs="宋体"/>
                <w:sz w:val="24"/>
                <w:szCs w:val="22"/>
                <w:lang w:val="en-US" w:eastAsia="zh-CN"/>
              </w:rPr>
              <w:t>0</w:t>
            </w:r>
            <w:r>
              <w:rPr>
                <w:rFonts w:hint="eastAsia" w:ascii="仿宋_GB2312" w:hAnsi="宋体" w:eastAsia="仿宋_GB2312" w:cs="宋体"/>
                <w:sz w:val="24"/>
                <w:szCs w:val="22"/>
              </w:rPr>
              <w:t>000.00元）</w:t>
            </w:r>
          </w:p>
          <w:p>
            <w:pPr>
              <w:pStyle w:val="2"/>
              <w:ind w:firstLine="240"/>
              <w:rPr>
                <w:rFonts w:ascii="仿宋_GB2312" w:hAnsi="宋体" w:eastAsia="仿宋_GB2312" w:cs="宋体"/>
                <w:sz w:val="24"/>
                <w:szCs w:val="22"/>
              </w:rPr>
            </w:pPr>
            <w:r>
              <w:rPr>
                <w:rFonts w:hint="eastAsia" w:ascii="仿宋_GB2312" w:hAnsi="宋体" w:eastAsia="仿宋_GB2312" w:cs="宋体"/>
                <w:sz w:val="24"/>
                <w:szCs w:val="22"/>
              </w:rPr>
              <w:t>五标段金额：人民币叁万元整（3</w:t>
            </w:r>
            <w:r>
              <w:rPr>
                <w:rFonts w:hint="eastAsia" w:ascii="仿宋_GB2312" w:hAnsi="宋体" w:eastAsia="仿宋_GB2312" w:cs="宋体"/>
                <w:sz w:val="24"/>
                <w:szCs w:val="22"/>
                <w:lang w:val="en-US" w:eastAsia="zh-CN"/>
              </w:rPr>
              <w:t>0</w:t>
            </w:r>
            <w:r>
              <w:rPr>
                <w:rFonts w:hint="eastAsia" w:ascii="仿宋_GB2312" w:hAnsi="宋体" w:eastAsia="仿宋_GB2312" w:cs="宋体"/>
                <w:sz w:val="24"/>
                <w:szCs w:val="22"/>
              </w:rPr>
              <w:t>000.00 元）</w:t>
            </w:r>
          </w:p>
          <w:p>
            <w:pPr>
              <w:pStyle w:val="2"/>
              <w:ind w:firstLine="240"/>
              <w:rPr>
                <w:rFonts w:ascii="仿宋_GB2312" w:hAnsi="宋体" w:eastAsia="仿宋_GB2312" w:cs="宋体"/>
                <w:sz w:val="24"/>
                <w:szCs w:val="22"/>
              </w:rPr>
            </w:pPr>
          </w:p>
          <w:p>
            <w:pPr>
              <w:pStyle w:val="2"/>
              <w:ind w:firstLine="240"/>
              <w:rPr>
                <w:rFonts w:ascii="仿宋_GB2312" w:hAnsi="宋体" w:eastAsia="仿宋_GB2312" w:cs="宋体"/>
                <w:sz w:val="24"/>
                <w:szCs w:val="22"/>
              </w:rPr>
            </w:pPr>
            <w:r>
              <w:rPr>
                <w:rFonts w:hint="eastAsia" w:ascii="仿宋_GB2312" w:hAnsi="宋体" w:eastAsia="仿宋_GB2312" w:cs="宋体"/>
                <w:sz w:val="24"/>
                <w:szCs w:val="22"/>
              </w:rPr>
              <w:t>一标段金额：人民币  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exac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8"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11"/>
                <w:rFonts w:hint="eastAsia" w:ascii="仿宋_GB2312" w:hAnsi="宋体" w:eastAsia="仿宋_GB2312" w:cs="宋体"/>
                <w:sz w:val="24"/>
              </w:rPr>
              <w:t>http://221.14.6.70:8088/ggzy</w:t>
            </w:r>
            <w:r>
              <w:rPr>
                <w:rStyle w:val="11"/>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hint="eastAsia" w:hAnsi="宋体"/>
          <w:sz w:val="36"/>
          <w:szCs w:val="36"/>
        </w:rPr>
      </w:pPr>
    </w:p>
    <w:p>
      <w:pPr>
        <w:jc w:val="center"/>
        <w:rPr>
          <w:rFonts w:hAnsi="宋体"/>
          <w:sz w:val="36"/>
          <w:szCs w:val="36"/>
        </w:rPr>
      </w:pPr>
      <w:r>
        <w:rPr>
          <w:rFonts w:hint="eastAsia" w:hAnsi="宋体"/>
          <w:sz w:val="36"/>
          <w:szCs w:val="36"/>
        </w:rPr>
        <w:t>投</w:t>
      </w:r>
      <w:r>
        <w:rPr>
          <w:rFonts w:hint="eastAsia" w:hAnsi="宋体" w:cs="宋体"/>
          <w:sz w:val="36"/>
          <w:szCs w:val="36"/>
        </w:rPr>
        <w:t>标</w:t>
      </w:r>
      <w:r>
        <w:rPr>
          <w:rFonts w:hint="eastAsia" w:hAnsi="宋体"/>
          <w:sz w:val="36"/>
          <w:szCs w:val="36"/>
        </w:rPr>
        <w:t>保</w:t>
      </w:r>
      <w:r>
        <w:rPr>
          <w:rFonts w:hint="eastAsia" w:hAnsi="宋体" w:cs="宋体"/>
          <w:sz w:val="36"/>
          <w:szCs w:val="36"/>
        </w:rPr>
        <w:t>证</w:t>
      </w:r>
      <w:r>
        <w:rPr>
          <w:rFonts w:hint="eastAsia" w:hAnsi="宋体"/>
          <w:sz w:val="36"/>
          <w:szCs w:val="36"/>
        </w:rPr>
        <w:t>金退</w:t>
      </w:r>
      <w:r>
        <w:rPr>
          <w:rFonts w:hint="eastAsia" w:hAnsi="宋体" w:cs="宋体"/>
          <w:sz w:val="36"/>
          <w:szCs w:val="36"/>
        </w:rPr>
        <w:t>还</w:t>
      </w:r>
      <w:r>
        <w:rPr>
          <w:rFonts w:hint="eastAsia" w:hAnsi="宋体"/>
          <w:sz w:val="36"/>
          <w:szCs w:val="36"/>
        </w:rPr>
        <w:t>申</w:t>
      </w:r>
      <w:r>
        <w:rPr>
          <w:rFonts w:hint="eastAsia" w:hAnsi="宋体" w:cs="宋体"/>
          <w:sz w:val="36"/>
          <w:szCs w:val="36"/>
        </w:rPr>
        <w:t>请</w:t>
      </w:r>
    </w:p>
    <w:tbl>
      <w:tblPr>
        <w:tblStyle w:val="13"/>
        <w:tblW w:w="9828"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r>
              <w:rPr>
                <w:rFonts w:hint="eastAsia" w:ascii="仿宋_GB2312" w:hAnsi="宋体" w:eastAsia="仿宋_GB2312" w:cs="宋体"/>
                <w:bCs/>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r>
              <w:rPr>
                <w:rFonts w:hint="eastAsia" w:ascii="仿宋_GB2312" w:hAnsi="宋体" w:eastAsia="仿宋_GB2312" w:cs="宋体"/>
                <w:bCs/>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宋体" w:eastAsia="仿宋_GB2312" w:cs="宋体"/>
                <w:bCs/>
                <w:sz w:val="24"/>
              </w:rPr>
            </w:pPr>
            <w:r>
              <w:rPr>
                <w:rFonts w:hint="eastAsia" w:ascii="仿宋_GB2312" w:hAnsi="宋体" w:eastAsia="仿宋_GB2312" w:cs="宋体"/>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r>
              <w:rPr>
                <w:rFonts w:hint="eastAsia" w:ascii="仿宋_GB2312" w:hAnsi="宋体" w:eastAsia="仿宋_GB2312" w:cs="宋体"/>
                <w:bCs/>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bCs/>
                <w:sz w:val="24"/>
              </w:rPr>
            </w:pPr>
            <w:r>
              <w:rPr>
                <w:rFonts w:hint="eastAsia" w:ascii="仿宋_GB2312" w:hAnsi="宋体" w:eastAsia="仿宋_GB2312" w:cs="宋体"/>
                <w:bCs/>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Cs/>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Cs/>
                <w:sz w:val="24"/>
              </w:rPr>
            </w:pPr>
            <w:r>
              <w:rPr>
                <w:rFonts w:hint="eastAsia" w:ascii="仿宋_GB2312" w:hAnsi="宋体" w:eastAsia="仿宋_GB2312" w:cs="宋体"/>
                <w:bCs/>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bCs/>
                <w:sz w:val="24"/>
              </w:rPr>
            </w:pPr>
            <w:r>
              <w:rPr>
                <w:rFonts w:hint="eastAsia" w:ascii="仿宋_GB2312" w:hAnsi="宋体" w:eastAsia="仿宋_GB2312" w:cs="宋体"/>
                <w:bCs/>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Cs/>
                <w:sz w:val="24"/>
              </w:rPr>
            </w:pPr>
            <w:r>
              <w:rPr>
                <w:rFonts w:hint="eastAsia" w:ascii="仿宋_GB2312" w:hAnsi="宋体" w:eastAsia="仿宋_GB2312" w:cs="宋体"/>
                <w:bCs/>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r>
              <w:rPr>
                <w:rFonts w:hint="eastAsia" w:ascii="仿宋_GB2312" w:hAnsi="宋体" w:eastAsia="仿宋_GB2312" w:cs="宋体"/>
                <w:bCs/>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17" w:hRule="atLeast"/>
          <w:jc w:val="center"/>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宋体" w:eastAsia="仿宋_GB2312" w:cs="宋体"/>
                <w:bCs/>
                <w:sz w:val="24"/>
              </w:rPr>
            </w:pPr>
          </w:p>
          <w:p>
            <w:pPr>
              <w:ind w:right="480" w:firstLine="5880" w:firstLineChars="2450"/>
              <w:rPr>
                <w:rFonts w:ascii="仿宋_GB2312" w:hAnsi="宋体" w:eastAsia="仿宋_GB2312" w:cs="宋体"/>
                <w:bCs/>
                <w:sz w:val="24"/>
              </w:rPr>
            </w:pPr>
          </w:p>
          <w:p>
            <w:pPr>
              <w:ind w:right="480" w:firstLine="5880" w:firstLineChars="2450"/>
              <w:rPr>
                <w:rFonts w:ascii="仿宋_GB2312" w:hAnsi="宋体" w:eastAsia="仿宋_GB2312" w:cs="宋体"/>
                <w:bCs/>
                <w:sz w:val="24"/>
              </w:rPr>
            </w:pPr>
          </w:p>
          <w:p>
            <w:pPr>
              <w:ind w:right="480" w:firstLine="5880" w:firstLineChars="2450"/>
              <w:rPr>
                <w:rFonts w:ascii="仿宋_GB2312" w:hAnsi="宋体" w:eastAsia="仿宋_GB2312" w:cs="宋体"/>
                <w:bCs/>
                <w:sz w:val="24"/>
              </w:rPr>
            </w:pPr>
            <w:r>
              <w:rPr>
                <w:rFonts w:hint="eastAsia" w:ascii="仿宋_GB2312" w:hAnsi="宋体" w:eastAsia="仿宋_GB2312" w:cs="宋体"/>
                <w:bCs/>
                <w:sz w:val="24"/>
              </w:rPr>
              <w:t>年   月   日</w:t>
            </w:r>
          </w:p>
        </w:tc>
      </w:tr>
    </w:tbl>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pacing w:line="307" w:lineRule="exact"/>
        <w:ind w:left="100"/>
        <w:rPr>
          <w:rFonts w:ascii="宋体" w:hAnsi="宋体"/>
          <w:sz w:val="24"/>
        </w:rPr>
      </w:pPr>
    </w:p>
    <w:p>
      <w:pPr>
        <w:spacing w:line="270" w:lineRule="exact"/>
        <w:rPr>
          <w:rFonts w:eastAsia="Times New Roman"/>
        </w:rPr>
      </w:pPr>
      <w:bookmarkStart w:id="32" w:name="page72"/>
      <w:bookmarkEnd w:id="32"/>
      <w:r>
        <w:rPr>
          <w:rFonts w:eastAsia="Times New Roman"/>
        </w:rPr>
        <w:br w:type="page"/>
      </w:r>
    </w:p>
    <w:p>
      <w:pPr>
        <w:pStyle w:val="2"/>
        <w:ind w:left="0" w:leftChars="0" w:firstLine="0" w:firstLineChars="0"/>
        <w:rPr>
          <w:rFonts w:ascii="宋体" w:hAnsi="宋体"/>
          <w:sz w:val="24"/>
        </w:rPr>
      </w:pPr>
      <w:r>
        <w:rPr>
          <w:rFonts w:hint="eastAsia" w:ascii="宋体" w:hAnsi="宋体"/>
          <w:sz w:val="24"/>
        </w:rPr>
        <w:t>附件一</w:t>
      </w:r>
      <w:r>
        <w:rPr>
          <w:rFonts w:ascii="宋体" w:hAnsi="宋体"/>
          <w:sz w:val="24"/>
        </w:rPr>
        <w:t xml:space="preserve"> 问题澄清通知</w:t>
      </w:r>
    </w:p>
    <w:p>
      <w:pPr>
        <w:spacing w:line="200" w:lineRule="exact"/>
        <w:rPr>
          <w:rFonts w:eastAsia="Times New Roman"/>
        </w:rPr>
      </w:pPr>
    </w:p>
    <w:p>
      <w:pPr>
        <w:spacing w:line="351" w:lineRule="exact"/>
        <w:rPr>
          <w:rFonts w:eastAsia="Times New Roman"/>
        </w:rPr>
      </w:pPr>
    </w:p>
    <w:p>
      <w:pPr>
        <w:spacing w:line="0" w:lineRule="atLeast"/>
        <w:ind w:left="3500"/>
        <w:rPr>
          <w:rFonts w:ascii="宋体" w:hAnsi="宋体"/>
          <w:sz w:val="28"/>
        </w:rPr>
      </w:pPr>
      <w:r>
        <w:rPr>
          <w:rFonts w:ascii="宋体" w:hAnsi="宋体"/>
          <w:sz w:val="28"/>
        </w:rPr>
        <w:t>问题澄清通知</w:t>
      </w:r>
    </w:p>
    <w:p>
      <w:pPr>
        <w:spacing w:line="190" w:lineRule="exact"/>
        <w:rPr>
          <w:rFonts w:eastAsia="Times New Roman"/>
        </w:rPr>
      </w:pPr>
    </w:p>
    <w:p>
      <w:pPr>
        <w:tabs>
          <w:tab w:val="left" w:pos="5680"/>
        </w:tabs>
        <w:spacing w:line="239" w:lineRule="auto"/>
        <w:ind w:left="2760"/>
        <w:rPr>
          <w:rFonts w:ascii="宋体" w:hAnsi="宋体"/>
          <w:sz w:val="24"/>
          <w:szCs w:val="24"/>
        </w:rPr>
      </w:pPr>
      <w:r>
        <w:rPr>
          <w:rFonts w:ascii="宋体" w:hAnsi="宋体"/>
          <w:sz w:val="24"/>
          <w:szCs w:val="24"/>
        </w:rPr>
        <w:t>（编号：</w:t>
      </w:r>
      <w:r>
        <w:rPr>
          <w:rFonts w:ascii="宋体" w:hAnsi="宋体"/>
          <w:sz w:val="24"/>
          <w:szCs w:val="24"/>
        </w:rPr>
        <w:tab/>
      </w:r>
      <w:r>
        <w:rPr>
          <w:rFonts w:ascii="宋体" w:hAnsi="宋体"/>
          <w:sz w:val="24"/>
          <w:szCs w:val="24"/>
        </w:rPr>
        <w:t>）</w:t>
      </w:r>
    </w:p>
    <w:p>
      <w:pPr>
        <w:spacing w:line="20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78720" behindDoc="1" locked="0" layoutInCell="0" allowOverlap="1">
                <wp:simplePos x="0" y="0"/>
                <wp:positionH relativeFrom="column">
                  <wp:posOffset>2291715</wp:posOffset>
                </wp:positionH>
                <wp:positionV relativeFrom="paragraph">
                  <wp:posOffset>6985</wp:posOffset>
                </wp:positionV>
                <wp:extent cx="133096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1330960" cy="0"/>
                        </a:xfrm>
                        <a:prstGeom prst="line">
                          <a:avLst/>
                        </a:prstGeom>
                        <a:ln w="9143"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80.45pt;margin-top:0.55pt;height:0pt;width:104.8pt;z-index:-251637760;mso-width-relative:page;mso-height-relative:page;" filled="f" stroked="t" coordsize="21600,21600" o:allowincell="f" o:gfxdata="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K8fkXVAAAABwEAAA8AAAAAAAAAAQAgAAAAIgAA&#10;AGRycy9kb3ducmV2LnhtbFBLAQIUABQAAAAIAIdO4kCrg6g40gEAAIwDAAAOAAAAAAAAAAEAIAAA&#10;ACQBAABkcnMvZTJvRG9jLnhtbFBLBQYAAAAABgAGAFkBAABoBQAAAAA=&#10;">
                <v:fill on="f" focussize="0,0"/>
                <v:stroke weight="0.71992125984252pt" color="#000000" joinstyle="round"/>
                <v:imagedata o:title=""/>
                <o:lock v:ext="edit" aspectratio="f"/>
              </v:line>
            </w:pict>
          </mc:Fallback>
        </mc:AlternateContent>
      </w:r>
    </w:p>
    <w:p>
      <w:pPr>
        <w:spacing w:line="200" w:lineRule="exact"/>
        <w:rPr>
          <w:rFonts w:ascii="宋体" w:hAnsi="宋体"/>
          <w:sz w:val="24"/>
          <w:szCs w:val="24"/>
        </w:rPr>
      </w:pPr>
    </w:p>
    <w:p>
      <w:pPr>
        <w:spacing w:line="212" w:lineRule="exact"/>
        <w:rPr>
          <w:rFonts w:ascii="宋体" w:hAnsi="宋体"/>
          <w:sz w:val="24"/>
          <w:szCs w:val="24"/>
        </w:rPr>
      </w:pPr>
    </w:p>
    <w:p>
      <w:pPr>
        <w:spacing w:line="0" w:lineRule="atLeast"/>
        <w:ind w:left="1800"/>
        <w:rPr>
          <w:rFonts w:ascii="宋体" w:hAnsi="宋体"/>
          <w:sz w:val="24"/>
          <w:szCs w:val="24"/>
        </w:rPr>
      </w:pPr>
      <w:r>
        <w:rPr>
          <w:rFonts w:ascii="宋体" w:hAnsi="宋体"/>
          <w:sz w:val="24"/>
          <w:szCs w:val="24"/>
        </w:rPr>
        <w:t>（投标人名称）：</w:t>
      </w:r>
    </w:p>
    <w:p>
      <w:pPr>
        <w:spacing w:line="20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79744" behindDoc="1" locked="0" layoutInCell="0" allowOverlap="1">
                <wp:simplePos x="0" y="0"/>
                <wp:positionH relativeFrom="column">
                  <wp:posOffset>2540</wp:posOffset>
                </wp:positionH>
                <wp:positionV relativeFrom="paragraph">
                  <wp:posOffset>0</wp:posOffset>
                </wp:positionV>
                <wp:extent cx="11430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1143000" cy="0"/>
                        </a:xfrm>
                        <a:prstGeom prst="line">
                          <a:avLst/>
                        </a:prstGeom>
                        <a:ln w="7619"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2pt;margin-top:0pt;height:0pt;width:90pt;z-index:-251636736;mso-width-relative:page;mso-height-relative:page;" filled="f" stroked="t" coordsize="21600,21600" o:allowincell="f" o:gfxdata="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cMC3e0AAAAAIBAAAPAAAAAAAAAAEAIAAAACIAAABkcnMv&#10;ZG93bnJldi54bWxQSwECFAAUAAAACACHTuJAoo69EtIBAACMAwAADgAAAAAAAAABACAAAAAfAQAA&#10;ZHJzL2Uyb0RvYy54bWxQSwUGAAAAAAYABgBZAQAAYwUAAAAA&#10;">
                <v:fill on="f" focussize="0,0"/>
                <v:stroke weight="0.59992125984252pt" color="#000000" joinstyle="round"/>
                <v:imagedata o:title=""/>
                <o:lock v:ext="edit" aspectratio="f"/>
              </v:line>
            </w:pict>
          </mc:Fallback>
        </mc:AlternateContent>
      </w:r>
    </w:p>
    <w:p>
      <w:pPr>
        <w:spacing w:line="200" w:lineRule="exact"/>
        <w:rPr>
          <w:rFonts w:ascii="宋体" w:hAnsi="宋体"/>
          <w:sz w:val="24"/>
          <w:szCs w:val="24"/>
        </w:rPr>
      </w:pPr>
    </w:p>
    <w:p>
      <w:pPr>
        <w:spacing w:line="205" w:lineRule="exact"/>
        <w:rPr>
          <w:rFonts w:ascii="宋体" w:hAnsi="宋体"/>
          <w:sz w:val="24"/>
          <w:szCs w:val="24"/>
        </w:rPr>
      </w:pPr>
    </w:p>
    <w:p>
      <w:pPr>
        <w:tabs>
          <w:tab w:val="left" w:pos="5040"/>
        </w:tabs>
        <w:spacing w:line="0" w:lineRule="atLeast"/>
        <w:ind w:left="2660"/>
        <w:rPr>
          <w:rFonts w:ascii="宋体" w:hAnsi="宋体"/>
          <w:sz w:val="24"/>
          <w:szCs w:val="24"/>
        </w:rPr>
      </w:pPr>
      <w:r>
        <w:rPr>
          <w:rFonts w:ascii="宋体" w:hAnsi="宋体"/>
          <w:sz w:val="24"/>
          <w:szCs w:val="24"/>
        </w:rPr>
        <w:t>（项目名称）</w:t>
      </w:r>
      <w:r>
        <w:rPr>
          <w:rFonts w:ascii="宋体" w:hAnsi="宋体"/>
          <w:sz w:val="24"/>
          <w:szCs w:val="24"/>
        </w:rPr>
        <w:tab/>
      </w:r>
      <w:r>
        <w:rPr>
          <w:rFonts w:ascii="宋体" w:hAnsi="宋体"/>
          <w:sz w:val="24"/>
          <w:szCs w:val="24"/>
        </w:rPr>
        <w:t>标段施工招标的评标委员会，对你</w:t>
      </w:r>
    </w:p>
    <w:p>
      <w:pPr>
        <w:spacing w:line="179"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80768" behindDoc="1" locked="0" layoutInCell="0" allowOverlap="1">
                <wp:simplePos x="0" y="0"/>
                <wp:positionH relativeFrom="column">
                  <wp:posOffset>461010</wp:posOffset>
                </wp:positionH>
                <wp:positionV relativeFrom="paragraph">
                  <wp:posOffset>0</wp:posOffset>
                </wp:positionV>
                <wp:extent cx="114935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1149350" cy="0"/>
                        </a:xfrm>
                        <a:prstGeom prst="line">
                          <a:avLst/>
                        </a:prstGeom>
                        <a:ln w="7619"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3pt;margin-top:0pt;height:0pt;width:90.5pt;z-index:-251635712;mso-width-relative:page;mso-height-relative:page;" filled="f" stroked="t" coordsize="21600,21600" o:allowincell="f" o:gfxdata="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ihbXNMAAAAEAQAADwAAAAAAAAABACAAAAAiAAAA&#10;ZHJzL2Rvd25yZXYueG1sUEsBAhQAFAAAAAgAh07iQIqiiobTAQAAjAMAAA4AAAAAAAAAAQAgAAAA&#10;IgEAAGRycy9lMm9Eb2MueG1sUEsFBgAAAAAGAAYAWQEAAGcFAAAAAA==&#10;">
                <v:fill on="f" focussize="0,0"/>
                <v:stroke weight="0.59992125984252pt" color="#000000" joinstyle="round"/>
                <v:imagedata o:title=""/>
                <o:lock v:ext="edit" aspectratio="f"/>
              </v:line>
            </w:pict>
          </mc:Fallback>
        </mc:AlternateContent>
      </w:r>
      <w:r>
        <w:rPr>
          <w:rFonts w:ascii="宋体" w:hAnsi="宋体"/>
          <w:sz w:val="24"/>
          <w:szCs w:val="24"/>
        </w:rPr>
        <mc:AlternateContent>
          <mc:Choice Requires="wps">
            <w:drawing>
              <wp:anchor distT="0" distB="0" distL="114300" distR="114300" simplePos="0" relativeHeight="251681792" behindDoc="1" locked="0" layoutInCell="0" allowOverlap="1">
                <wp:simplePos x="0" y="0"/>
                <wp:positionH relativeFrom="column">
                  <wp:posOffset>2604135</wp:posOffset>
                </wp:positionH>
                <wp:positionV relativeFrom="paragraph">
                  <wp:posOffset>0</wp:posOffset>
                </wp:positionV>
                <wp:extent cx="61341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13410" cy="0"/>
                        </a:xfrm>
                        <a:prstGeom prst="line">
                          <a:avLst/>
                        </a:prstGeom>
                        <a:ln w="7619"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05.05pt;margin-top:0pt;height:0pt;width:48.3pt;z-index:-251634688;mso-width-relative:page;mso-height-relative:page;" filled="f" stroked="t" coordsize="21600,21600" o:allowincell="f" o:gfxdata="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OtTf9QAAAAFAQAADwAAAAAAAAABACAAAAAiAAAA&#10;ZHJzL2Rvd25yZXYueG1sUEsBAhQAFAAAAAgAh07iQL8/riHSAQAAiwMAAA4AAAAAAAAAAQAgAAAA&#10;IwEAAGRycy9lMm9Eb2MueG1sUEsFBgAAAAAGAAYAWQEAAGcFAAAAAA==&#10;">
                <v:fill on="f" focussize="0,0"/>
                <v:stroke weight="0.59992125984252pt" color="#000000" joinstyle="round"/>
                <v:imagedata o:title=""/>
                <o:lock v:ext="edit" aspectratio="f"/>
              </v:line>
            </w:pict>
          </mc:Fallback>
        </mc:AlternateContent>
      </w:r>
    </w:p>
    <w:p>
      <w:pPr>
        <w:spacing w:line="0" w:lineRule="atLeast"/>
        <w:rPr>
          <w:rFonts w:ascii="宋体" w:hAnsi="宋体"/>
          <w:sz w:val="24"/>
          <w:szCs w:val="24"/>
        </w:rPr>
      </w:pPr>
      <w:r>
        <w:rPr>
          <w:rFonts w:ascii="宋体" w:hAnsi="宋体"/>
          <w:sz w:val="24"/>
          <w:szCs w:val="24"/>
        </w:rPr>
        <w:t>方的投标文件进行了仔细的审查，现需你方对下列问题以书面形式予以澄清或说明：</w:t>
      </w:r>
    </w:p>
    <w:p>
      <w:pPr>
        <w:spacing w:line="200" w:lineRule="exact"/>
        <w:rPr>
          <w:rFonts w:ascii="宋体" w:hAnsi="宋体"/>
          <w:sz w:val="24"/>
          <w:szCs w:val="24"/>
        </w:rPr>
      </w:pPr>
    </w:p>
    <w:p>
      <w:pPr>
        <w:spacing w:line="200" w:lineRule="exact"/>
        <w:rPr>
          <w:rFonts w:ascii="宋体" w:hAnsi="宋体"/>
          <w:sz w:val="24"/>
          <w:szCs w:val="24"/>
        </w:rPr>
      </w:pPr>
    </w:p>
    <w:p>
      <w:pPr>
        <w:spacing w:line="220" w:lineRule="exact"/>
        <w:rPr>
          <w:rFonts w:ascii="宋体" w:hAnsi="宋体"/>
          <w:sz w:val="24"/>
          <w:szCs w:val="24"/>
        </w:rPr>
      </w:pPr>
    </w:p>
    <w:p>
      <w:pPr>
        <w:spacing w:line="0" w:lineRule="atLeast"/>
        <w:ind w:left="480"/>
        <w:rPr>
          <w:rFonts w:ascii="宋体" w:hAnsi="宋体"/>
          <w:sz w:val="24"/>
          <w:szCs w:val="24"/>
        </w:rPr>
      </w:pPr>
      <w:r>
        <w:rPr>
          <w:rFonts w:ascii="宋体" w:hAnsi="宋体"/>
          <w:sz w:val="24"/>
          <w:szCs w:val="24"/>
        </w:rPr>
        <w:t>1.</w:t>
      </w:r>
    </w:p>
    <w:p>
      <w:pPr>
        <w:spacing w:line="166" w:lineRule="exact"/>
        <w:rPr>
          <w:rFonts w:ascii="宋体" w:hAnsi="宋体"/>
          <w:sz w:val="24"/>
          <w:szCs w:val="24"/>
        </w:rPr>
      </w:pPr>
    </w:p>
    <w:p>
      <w:pPr>
        <w:spacing w:line="239" w:lineRule="auto"/>
        <w:ind w:left="480"/>
        <w:rPr>
          <w:rFonts w:ascii="宋体" w:hAnsi="宋体"/>
          <w:sz w:val="24"/>
          <w:szCs w:val="24"/>
        </w:rPr>
      </w:pPr>
      <w:r>
        <w:rPr>
          <w:rFonts w:ascii="宋体" w:hAnsi="宋体"/>
          <w:sz w:val="24"/>
          <w:szCs w:val="24"/>
        </w:rPr>
        <w:t>2.</w:t>
      </w:r>
    </w:p>
    <w:p>
      <w:pPr>
        <w:spacing w:line="164" w:lineRule="exact"/>
        <w:rPr>
          <w:rFonts w:ascii="宋体" w:hAnsi="宋体"/>
          <w:sz w:val="24"/>
          <w:szCs w:val="24"/>
        </w:rPr>
      </w:pPr>
    </w:p>
    <w:p>
      <w:pPr>
        <w:spacing w:line="0" w:lineRule="atLeast"/>
        <w:ind w:firstLine="566" w:firstLineChars="236"/>
        <w:rPr>
          <w:rFonts w:ascii="宋体" w:hAnsi="宋体"/>
          <w:sz w:val="24"/>
          <w:szCs w:val="24"/>
        </w:rPr>
      </w:pPr>
      <w:r>
        <w:rPr>
          <w:rFonts w:ascii="宋体" w:hAnsi="宋体"/>
          <w:sz w:val="24"/>
          <w:szCs w:val="24"/>
        </w:rPr>
        <w:t>请将上述问题的澄清或说明于</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r>
        <w:rPr>
          <w:rFonts w:hint="eastAsia" w:ascii="宋体" w:hAnsi="宋体"/>
          <w:sz w:val="24"/>
          <w:szCs w:val="24"/>
          <w:u w:val="single"/>
        </w:rPr>
        <w:t xml:space="preserve">  </w:t>
      </w:r>
      <w:r>
        <w:rPr>
          <w:rFonts w:ascii="宋体" w:hAnsi="宋体"/>
          <w:sz w:val="24"/>
          <w:szCs w:val="24"/>
        </w:rPr>
        <w:t>时</w:t>
      </w:r>
      <w:r>
        <w:rPr>
          <w:rFonts w:ascii="宋体" w:hAnsi="宋体"/>
          <w:sz w:val="24"/>
          <w:szCs w:val="24"/>
          <w:u w:val="single"/>
        </w:rPr>
        <w:t xml:space="preserve">  </w:t>
      </w:r>
      <w:r>
        <w:rPr>
          <w:rFonts w:ascii="宋体" w:hAnsi="宋体"/>
          <w:sz w:val="24"/>
          <w:szCs w:val="24"/>
        </w:rPr>
        <w:t>分前递交至（详细地址）或传</w:t>
      </w:r>
      <w:r>
        <w:rPr>
          <w:rFonts w:hint="eastAsia" w:ascii="宋体" w:hAnsi="宋体"/>
          <w:sz w:val="24"/>
          <w:szCs w:val="24"/>
        </w:rPr>
        <w:t>真</w:t>
      </w:r>
      <w:r>
        <w:rPr>
          <w:rFonts w:ascii="宋体" w:hAnsi="宋体"/>
          <w:sz w:val="24"/>
          <w:szCs w:val="24"/>
        </w:rPr>
        <w:t>至</w:t>
      </w:r>
      <w:r>
        <w:rPr>
          <w:rFonts w:hint="eastAsia" w:ascii="宋体" w:hAnsi="宋体"/>
          <w:sz w:val="24"/>
          <w:szCs w:val="24"/>
          <w:u w:val="single"/>
        </w:rPr>
        <w:t xml:space="preserve">      </w:t>
      </w:r>
      <w:r>
        <w:rPr>
          <w:rFonts w:hint="eastAsia" w:ascii="宋体" w:hAnsi="宋体"/>
          <w:sz w:val="24"/>
          <w:szCs w:val="24"/>
        </w:rPr>
        <w:t>（传真号码）。</w:t>
      </w:r>
      <w:r>
        <w:rPr>
          <w:rFonts w:ascii="宋体" w:hAnsi="宋体"/>
          <w:sz w:val="24"/>
          <w:szCs w:val="24"/>
        </w:rPr>
        <w:t>采用传真方式的，</w:t>
      </w:r>
      <w:r>
        <w:rPr>
          <w:rFonts w:hint="eastAsia" w:ascii="宋体" w:hAnsi="宋体"/>
          <w:sz w:val="24"/>
          <w:szCs w:val="24"/>
        </w:rPr>
        <w:t>应在</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日</w:t>
      </w:r>
      <w:r>
        <w:rPr>
          <w:rFonts w:hint="eastAsia" w:ascii="宋体" w:hAnsi="宋体"/>
          <w:sz w:val="24"/>
          <w:szCs w:val="24"/>
          <w:u w:val="single"/>
        </w:rPr>
        <w:t xml:space="preserve">  </w:t>
      </w:r>
      <w:r>
        <w:rPr>
          <w:rFonts w:ascii="宋体" w:hAnsi="宋体"/>
          <w:sz w:val="24"/>
          <w:szCs w:val="24"/>
        </w:rPr>
        <w:t>时</w:t>
      </w:r>
      <w:r>
        <w:rPr>
          <w:rFonts w:hint="eastAsia" w:ascii="宋体" w:hAnsi="宋体"/>
          <w:sz w:val="24"/>
          <w:szCs w:val="24"/>
          <w:u w:val="single"/>
        </w:rPr>
        <w:t xml:space="preserve">  </w:t>
      </w:r>
      <w:r>
        <w:rPr>
          <w:rFonts w:ascii="宋体" w:hAnsi="宋体"/>
          <w:sz w:val="24"/>
          <w:szCs w:val="24"/>
        </w:rPr>
        <w:t>分前将原件递交至（详细地址）。</w:t>
      </w:r>
    </w:p>
    <w:p>
      <w:pPr>
        <w:spacing w:line="0" w:lineRule="atLeast"/>
        <w:rPr>
          <w:rFonts w:ascii="宋体" w:hAnsi="宋体"/>
          <w:sz w:val="24"/>
          <w:szCs w:val="24"/>
        </w:rPr>
      </w:pPr>
    </w:p>
    <w:p>
      <w:pPr>
        <w:spacing w:line="200" w:lineRule="exact"/>
        <w:rPr>
          <w:rFonts w:ascii="宋体" w:hAnsi="宋体"/>
          <w:sz w:val="24"/>
          <w:szCs w:val="24"/>
        </w:rPr>
      </w:pPr>
    </w:p>
    <w:p>
      <w:pPr>
        <w:spacing w:line="200" w:lineRule="exact"/>
        <w:rPr>
          <w:rFonts w:ascii="宋体" w:hAnsi="宋体"/>
          <w:sz w:val="24"/>
          <w:szCs w:val="24"/>
        </w:rPr>
      </w:pPr>
    </w:p>
    <w:p>
      <w:pPr>
        <w:spacing w:line="246" w:lineRule="exact"/>
        <w:rPr>
          <w:rFonts w:ascii="宋体" w:hAnsi="宋体"/>
          <w:sz w:val="24"/>
          <w:szCs w:val="24"/>
        </w:rPr>
      </w:pPr>
    </w:p>
    <w:p>
      <w:pPr>
        <w:tabs>
          <w:tab w:val="left" w:pos="6500"/>
        </w:tabs>
        <w:spacing w:line="0" w:lineRule="atLeast"/>
        <w:ind w:left="1000"/>
        <w:rPr>
          <w:rFonts w:ascii="宋体" w:hAnsi="宋体"/>
          <w:sz w:val="24"/>
          <w:szCs w:val="24"/>
        </w:rPr>
      </w:pPr>
      <w:r>
        <w:rPr>
          <w:rFonts w:hint="eastAsia" w:ascii="宋体" w:hAnsi="宋体"/>
          <w:sz w:val="24"/>
          <w:szCs w:val="24"/>
        </w:rPr>
        <w:t xml:space="preserve"> </w:t>
      </w:r>
      <w:r>
        <w:rPr>
          <w:rFonts w:ascii="宋体" w:hAnsi="宋体"/>
          <w:sz w:val="24"/>
          <w:szCs w:val="24"/>
        </w:rPr>
        <w:t>标委员会授权的招标人或招标代理机构：</w:t>
      </w:r>
      <w:r>
        <w:rPr>
          <w:rFonts w:ascii="宋体" w:hAnsi="宋体"/>
          <w:sz w:val="24"/>
          <w:szCs w:val="24"/>
        </w:rPr>
        <w:tab/>
      </w:r>
      <w:r>
        <w:rPr>
          <w:rFonts w:ascii="宋体" w:hAnsi="宋体"/>
          <w:sz w:val="24"/>
          <w:szCs w:val="24"/>
        </w:rPr>
        <w:t>（签字或盖单位章）</w:t>
      </w:r>
    </w:p>
    <w:p>
      <w:pPr>
        <w:spacing w:line="20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82816" behindDoc="1" locked="0" layoutInCell="0" allowOverlap="1">
                <wp:simplePos x="0" y="0"/>
                <wp:positionH relativeFrom="column">
                  <wp:posOffset>3531235</wp:posOffset>
                </wp:positionH>
                <wp:positionV relativeFrom="paragraph">
                  <wp:posOffset>0</wp:posOffset>
                </wp:positionV>
                <wp:extent cx="60960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60960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8.05pt;margin-top:0pt;height:0pt;width:48pt;z-index:-251633664;mso-width-relative:page;mso-height-relative:page;" filled="f" stroked="t" coordsize="21600,21600" o:allowincell="f" o:gfxdata="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tmqLR0gAAAAUBAAAPAAAAAAAAAAEAIAAAACIAAABkcnMv&#10;ZG93bnJldi54bWxQSwECFAAUAAAACACHTuJAWC8XXNABAACLAwAADgAAAAAAAAABACAAAAAhAQAA&#10;ZHJzL2Uyb0RvYy54bWxQSwUGAAAAAAYABgBZAQAAYwUAAAAA&#10;">
                <v:fill on="f" focussize="0,0"/>
                <v:stroke weight="0.6pt" color="#000000" joinstyle="round"/>
                <v:imagedata o:title=""/>
                <o:lock v:ext="edit" aspectratio="f"/>
              </v:line>
            </w:pict>
          </mc:Fallback>
        </mc:AlternateContent>
      </w:r>
    </w:p>
    <w:p>
      <w:pPr>
        <w:spacing w:line="200" w:lineRule="exact"/>
        <w:rPr>
          <w:rFonts w:ascii="宋体" w:hAnsi="宋体"/>
          <w:sz w:val="24"/>
          <w:szCs w:val="24"/>
        </w:rPr>
      </w:pPr>
    </w:p>
    <w:p>
      <w:pPr>
        <w:spacing w:line="205" w:lineRule="exact"/>
        <w:rPr>
          <w:rFonts w:ascii="宋体" w:hAnsi="宋体"/>
          <w:sz w:val="24"/>
          <w:szCs w:val="24"/>
        </w:rPr>
      </w:pPr>
    </w:p>
    <w:p>
      <w:pPr>
        <w:tabs>
          <w:tab w:val="left" w:pos="6660"/>
          <w:tab w:val="left" w:pos="7380"/>
        </w:tabs>
        <w:spacing w:line="0" w:lineRule="atLeast"/>
        <w:ind w:left="5960"/>
        <w:rPr>
          <w:rFonts w:ascii="宋体" w:hAnsi="宋体"/>
          <w:sz w:val="24"/>
          <w:szCs w:val="24"/>
        </w:rPr>
      </w:pPr>
      <w:r>
        <w:rPr>
          <w:rFonts w:ascii="宋体" w:hAnsi="宋体"/>
          <w:sz w:val="24"/>
          <w:szCs w:val="24"/>
        </w:rPr>
        <w:t>年</w:t>
      </w:r>
      <w:r>
        <w:rPr>
          <w:rFonts w:ascii="宋体" w:hAnsi="宋体"/>
          <w:sz w:val="24"/>
          <w:szCs w:val="24"/>
        </w:rPr>
        <w:tab/>
      </w:r>
      <w:r>
        <w:rPr>
          <w:rFonts w:ascii="宋体" w:hAnsi="宋体"/>
          <w:sz w:val="24"/>
          <w:szCs w:val="24"/>
        </w:rPr>
        <w:t>月</w:t>
      </w:r>
      <w:r>
        <w:rPr>
          <w:rFonts w:ascii="宋体" w:hAnsi="宋体"/>
          <w:sz w:val="24"/>
          <w:szCs w:val="24"/>
        </w:rPr>
        <w:tab/>
      </w:r>
      <w:r>
        <w:rPr>
          <w:rFonts w:ascii="宋体" w:hAnsi="宋体"/>
          <w:sz w:val="24"/>
          <w:szCs w:val="24"/>
        </w:rPr>
        <w:t>日</w:t>
      </w:r>
    </w:p>
    <w:p>
      <w:pPr>
        <w:spacing w:line="239" w:lineRule="auto"/>
        <w:rPr>
          <w:rFonts w:ascii="宋体" w:hAnsi="宋体"/>
          <w:sz w:val="21"/>
        </w:rPr>
      </w:pPr>
      <w:bookmarkStart w:id="33" w:name="page73"/>
      <w:bookmarkEnd w:id="33"/>
      <w:r>
        <w:rPr>
          <w:rFonts w:ascii="宋体" w:hAnsi="宋体"/>
          <w:sz w:val="21"/>
        </w:rPr>
        <w:br w:type="page"/>
      </w:r>
    </w:p>
    <w:p>
      <w:pPr>
        <w:pStyle w:val="2"/>
      </w:pPr>
    </w:p>
    <w:p>
      <w:pPr>
        <w:spacing w:line="0" w:lineRule="atLeast"/>
        <w:rPr>
          <w:rFonts w:ascii="宋体" w:hAnsi="宋体"/>
          <w:sz w:val="24"/>
        </w:rPr>
      </w:pPr>
      <w:r>
        <w:rPr>
          <w:rFonts w:hint="eastAsia" w:ascii="宋体" w:hAnsi="宋体"/>
          <w:sz w:val="24"/>
        </w:rPr>
        <w:t>附件二</w:t>
      </w:r>
      <w:r>
        <w:rPr>
          <w:rFonts w:ascii="宋体" w:hAnsi="宋体"/>
          <w:sz w:val="24"/>
        </w:rPr>
        <w:t xml:space="preserve"> 问题的澄清</w:t>
      </w:r>
    </w:p>
    <w:p>
      <w:pPr>
        <w:spacing w:line="109" w:lineRule="exact"/>
        <w:rPr>
          <w:rFonts w:eastAsia="Times New Roman"/>
        </w:rPr>
      </w:pPr>
    </w:p>
    <w:p>
      <w:pPr>
        <w:spacing w:line="0" w:lineRule="atLeast"/>
        <w:ind w:left="3640"/>
        <w:rPr>
          <w:rFonts w:ascii="宋体" w:hAnsi="宋体"/>
          <w:sz w:val="28"/>
        </w:rPr>
      </w:pPr>
      <w:r>
        <w:rPr>
          <w:rFonts w:ascii="宋体" w:hAnsi="宋体"/>
          <w:sz w:val="28"/>
        </w:rPr>
        <w:t>问题的澄清</w:t>
      </w:r>
    </w:p>
    <w:p>
      <w:pPr>
        <w:spacing w:line="192" w:lineRule="exact"/>
        <w:rPr>
          <w:rFonts w:eastAsia="Times New Roman"/>
        </w:rPr>
      </w:pPr>
    </w:p>
    <w:p>
      <w:pPr>
        <w:tabs>
          <w:tab w:val="left" w:pos="5400"/>
        </w:tabs>
        <w:spacing w:line="239" w:lineRule="auto"/>
        <w:ind w:left="3040"/>
        <w:rPr>
          <w:rFonts w:ascii="宋体" w:hAnsi="宋体"/>
          <w:sz w:val="21"/>
        </w:rPr>
      </w:pPr>
      <w:r>
        <w:rPr>
          <w:rFonts w:ascii="宋体" w:hAnsi="宋体"/>
          <w:sz w:val="21"/>
        </w:rPr>
        <w:t>（编号：</w:t>
      </w:r>
      <w:r>
        <w:rPr>
          <w:rFonts w:eastAsia="Times New Roman"/>
        </w:rPr>
        <w:tab/>
      </w:r>
      <w:r>
        <w:rPr>
          <w:rFonts w:ascii="宋体" w:hAnsi="宋体"/>
          <w:sz w:val="21"/>
        </w:rPr>
        <w:t>）</w:t>
      </w:r>
    </w:p>
    <w:p>
      <w:pPr>
        <w:spacing w:line="200" w:lineRule="exact"/>
        <w:rPr>
          <w:rFonts w:eastAsia="Times New Roman"/>
        </w:rPr>
      </w:pPr>
      <w:r>
        <w:rPr>
          <w:rFonts w:ascii="宋体" w:hAnsi="宋体"/>
          <w:sz w:val="21"/>
        </w:rPr>
        <mc:AlternateContent>
          <mc:Choice Requires="wps">
            <w:drawing>
              <wp:anchor distT="0" distB="0" distL="114300" distR="114300" simplePos="0" relativeHeight="251686912" behindDoc="1" locked="0" layoutInCell="0" allowOverlap="1">
                <wp:simplePos x="0" y="0"/>
                <wp:positionH relativeFrom="column">
                  <wp:posOffset>2468880</wp:posOffset>
                </wp:positionH>
                <wp:positionV relativeFrom="paragraph">
                  <wp:posOffset>6985</wp:posOffset>
                </wp:positionV>
                <wp:extent cx="977265" cy="0"/>
                <wp:effectExtent l="0" t="0" r="0" b="0"/>
                <wp:wrapNone/>
                <wp:docPr id="47" name="直接连接符 47"/>
                <wp:cNvGraphicFramePr/>
                <a:graphic xmlns:a="http://schemas.openxmlformats.org/drawingml/2006/main">
                  <a:graphicData uri="http://schemas.microsoft.com/office/word/2010/wordprocessingShape">
                    <wps:wsp>
                      <wps:cNvCnPr/>
                      <wps:spPr>
                        <a:xfrm>
                          <a:off x="0" y="0"/>
                          <a:ext cx="97726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94.4pt;margin-top:0.55pt;height:0pt;width:76.95pt;z-index:-251629568;mso-width-relative:page;mso-height-relative:page;" filled="f" stroked="t" coordsize="21600,21600" o:allowincell="f" o:gfxdata="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ujOrn0wAAAAcBAAAPAAAAAAAAAAEAIAAAACIAAABk&#10;cnMvZG93bnJldi54bWxQSwECFAAUAAAACACHTuJA0S8q29IBAACLAwAADgAAAAAAAAABACAAAAAi&#10;AQAAZHJzL2Uyb0RvYy54bWxQSwUGAAAAAAYABgBZAQAAZgUAAAAA&#10;">
                <v:fill on="f" focussize="0,0"/>
                <v:stroke weight="0.72pt" color="#000000" joinstyle="round"/>
                <v:imagedata o:title=""/>
                <o:lock v:ext="edit" aspectratio="f"/>
              </v:line>
            </w:pict>
          </mc:Fallback>
        </mc:AlternateContent>
      </w:r>
    </w:p>
    <w:p>
      <w:pPr>
        <w:spacing w:line="200" w:lineRule="exact"/>
        <w:rPr>
          <w:rFonts w:eastAsia="Times New Roman"/>
        </w:rPr>
      </w:pPr>
    </w:p>
    <w:p>
      <w:pPr>
        <w:spacing w:line="210" w:lineRule="exact"/>
        <w:rPr>
          <w:rFonts w:eastAsia="Times New Roman"/>
        </w:rPr>
      </w:pPr>
    </w:p>
    <w:p>
      <w:pPr>
        <w:tabs>
          <w:tab w:val="left" w:pos="4660"/>
        </w:tabs>
        <w:spacing w:line="0" w:lineRule="atLeast"/>
        <w:ind w:left="2160"/>
        <w:rPr>
          <w:rFonts w:ascii="宋体" w:hAnsi="宋体"/>
          <w:sz w:val="24"/>
        </w:rPr>
      </w:pPr>
      <w:r>
        <w:rPr>
          <w:rFonts w:ascii="宋体" w:hAnsi="宋体"/>
          <w:sz w:val="24"/>
        </w:rPr>
        <w:t>（项目名称）</w:t>
      </w:r>
      <w:r>
        <w:rPr>
          <w:rFonts w:eastAsia="Times New Roman"/>
        </w:rPr>
        <w:tab/>
      </w:r>
      <w:r>
        <w:rPr>
          <w:rFonts w:ascii="宋体" w:hAnsi="宋体"/>
          <w:sz w:val="24"/>
        </w:rPr>
        <w:t>标段施工招标评标委员会：</w:t>
      </w:r>
    </w:p>
    <w:p>
      <w:pPr>
        <w:spacing w:line="200" w:lineRule="exact"/>
        <w:rPr>
          <w:rFonts w:eastAsia="Times New Roman"/>
        </w:rPr>
      </w:pPr>
      <w:r>
        <w:rPr>
          <w:rFonts w:ascii="宋体" w:hAnsi="宋体"/>
          <w:sz w:val="24"/>
        </w:rPr>
        <mc:AlternateContent>
          <mc:Choice Requires="wps">
            <w:drawing>
              <wp:anchor distT="0" distB="0" distL="114300" distR="114300" simplePos="0" relativeHeight="251687936" behindDoc="1" locked="0" layoutInCell="0" allowOverlap="1">
                <wp:simplePos x="0" y="0"/>
                <wp:positionH relativeFrom="column">
                  <wp:posOffset>2540</wp:posOffset>
                </wp:positionH>
                <wp:positionV relativeFrom="paragraph">
                  <wp:posOffset>0</wp:posOffset>
                </wp:positionV>
                <wp:extent cx="1524000" cy="0"/>
                <wp:effectExtent l="0" t="0" r="0" b="0"/>
                <wp:wrapNone/>
                <wp:docPr id="40" name="直接连接符 40"/>
                <wp:cNvGraphicFramePr/>
                <a:graphic xmlns:a="http://schemas.openxmlformats.org/drawingml/2006/main">
                  <a:graphicData uri="http://schemas.microsoft.com/office/word/2010/wordprocessingShape">
                    <wps:wsp>
                      <wps:cNvCnPr/>
                      <wps:spPr>
                        <a:xfrm>
                          <a:off x="0" y="0"/>
                          <a:ext cx="152400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2pt;margin-top:0pt;height:0pt;width:120pt;z-index:-251628544;mso-width-relative:page;mso-height-relative:page;" filled="f" stroked="t" coordsize="21600,21600" o:allowincell="f" o:gfxdata="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jaRty0AAAAAIBAAAPAAAAAAAAAAEAIAAAACIAAABkcnMv&#10;ZG93bnJldi54bWxQSwECFAAUAAAACACHTuJAQMvjL9IBAACMAwAADgAAAAAAAAABACAAAAAfAQAA&#10;ZHJzL2Uyb0RvYy54bWxQSwUGAAAAAAYABgBZAQAAYwUAAAAA&#10;">
                <v:fill on="f" focussize="0,0"/>
                <v:stroke weight="0.6pt"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88960" behindDoc="1" locked="0" layoutInCell="0" allowOverlap="1">
                <wp:simplePos x="0" y="0"/>
                <wp:positionH relativeFrom="column">
                  <wp:posOffset>2289175</wp:posOffset>
                </wp:positionH>
                <wp:positionV relativeFrom="paragraph">
                  <wp:posOffset>0</wp:posOffset>
                </wp:positionV>
                <wp:extent cx="685800" cy="0"/>
                <wp:effectExtent l="0" t="0" r="0" b="0"/>
                <wp:wrapNone/>
                <wp:docPr id="41" name="直接连接符 41"/>
                <wp:cNvGraphicFramePr/>
                <a:graphic xmlns:a="http://schemas.openxmlformats.org/drawingml/2006/main">
                  <a:graphicData uri="http://schemas.microsoft.com/office/word/2010/wordprocessingShape">
                    <wps:wsp>
                      <wps:cNvCnPr/>
                      <wps:spPr>
                        <a:xfrm>
                          <a:off x="0" y="0"/>
                          <a:ext cx="68580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80.25pt;margin-top:0pt;height:0pt;width:54pt;z-index:-251627520;mso-width-relative:page;mso-height-relative:page;" filled="f" stroked="t" coordsize="21600,21600" o:allowincell="f" o:gfxdata="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vDCZtIAAAAFAQAADwAAAAAAAAABACAAAAAiAAAAZHJz&#10;L2Rvd25yZXYueG1sUEsBAhQAFAAAAAgAh07iQFKGbxLRAQAAiwMAAA4AAAAAAAAAAQAgAAAAIQEA&#10;AGRycy9lMm9Eb2MueG1sUEsFBgAAAAAGAAYAWQEAAGQFAAAAAA==&#10;">
                <v:fill on="f" focussize="0,0"/>
                <v:stroke weight="0.6pt" color="#000000" joinstyle="round"/>
                <v:imagedata o:title=""/>
                <o:lock v:ext="edit" aspectratio="f"/>
              </v:line>
            </w:pict>
          </mc:Fallback>
        </mc:AlternateConten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7" w:lineRule="exact"/>
        <w:rPr>
          <w:rFonts w:eastAsia="Times New Roman"/>
        </w:rPr>
      </w:pPr>
    </w:p>
    <w:p>
      <w:pPr>
        <w:tabs>
          <w:tab w:val="left" w:pos="3820"/>
        </w:tabs>
        <w:spacing w:line="0" w:lineRule="atLeast"/>
        <w:ind w:left="480"/>
        <w:rPr>
          <w:rFonts w:ascii="宋体" w:hAnsi="宋体"/>
          <w:sz w:val="24"/>
        </w:rPr>
      </w:pPr>
      <w:r>
        <w:rPr>
          <w:rFonts w:ascii="宋体" w:hAnsi="宋体"/>
          <w:sz w:val="24"/>
        </w:rPr>
        <w:t>问题澄清通知（编号：</w:t>
      </w:r>
      <w:r>
        <w:rPr>
          <w:rFonts w:eastAsia="Times New Roman"/>
        </w:rPr>
        <w:tab/>
      </w:r>
      <w:r>
        <w:rPr>
          <w:rFonts w:ascii="宋体" w:hAnsi="宋体"/>
          <w:sz w:val="24"/>
        </w:rPr>
        <w:t>）已收悉，现澄清、说明如下：</w:t>
      </w:r>
    </w:p>
    <w:p>
      <w:pPr>
        <w:spacing w:line="184" w:lineRule="exact"/>
        <w:rPr>
          <w:rFonts w:eastAsia="Times New Roman"/>
        </w:rPr>
      </w:pPr>
      <w:r>
        <w:rPr>
          <w:rFonts w:ascii="宋体" w:hAnsi="宋体"/>
          <w:sz w:val="24"/>
        </w:rPr>
        <mc:AlternateContent>
          <mc:Choice Requires="wps">
            <w:drawing>
              <wp:anchor distT="0" distB="0" distL="114300" distR="114300" simplePos="0" relativeHeight="251689984" behindDoc="1" locked="0" layoutInCell="0" allowOverlap="1">
                <wp:simplePos x="0" y="0"/>
                <wp:positionH relativeFrom="column">
                  <wp:posOffset>1831975</wp:posOffset>
                </wp:positionH>
                <wp:positionV relativeFrom="paragraph">
                  <wp:posOffset>0</wp:posOffset>
                </wp:positionV>
                <wp:extent cx="609600" cy="0"/>
                <wp:effectExtent l="0" t="0" r="0" b="0"/>
                <wp:wrapNone/>
                <wp:docPr id="42" name="直接连接符 42"/>
                <wp:cNvGraphicFramePr/>
                <a:graphic xmlns:a="http://schemas.openxmlformats.org/drawingml/2006/main">
                  <a:graphicData uri="http://schemas.microsoft.com/office/word/2010/wordprocessingShape">
                    <wps:wsp>
                      <wps:cNvCnPr/>
                      <wps:spPr>
                        <a:xfrm>
                          <a:off x="0" y="0"/>
                          <a:ext cx="609600" cy="0"/>
                        </a:xfrm>
                        <a:prstGeom prst="line">
                          <a:avLst/>
                        </a:prstGeom>
                        <a:ln w="7619"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44.25pt;margin-top:0pt;height:0pt;width:48pt;z-index:-251626496;mso-width-relative:page;mso-height-relative:page;" filled="f" stroked="t" coordsize="21600,21600" o:allowincell="f" o:gfxdata="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DAQMh1AAAAAUBAAAPAAAAAAAAAAEAIAAAACIAAABk&#10;cnMvZG93bnJldi54bWxQSwECFAAUAAAACACHTuJAryEdK9EBAACLAwAADgAAAAAAAAABACAAAAAj&#10;AQAAZHJzL2Uyb0RvYy54bWxQSwUGAAAAAAYABgBZAQAAZgUAAAAA&#10;">
                <v:fill on="f" focussize="0,0"/>
                <v:stroke weight="0.59992125984252pt" color="#000000" joinstyle="round"/>
                <v:imagedata o:title=""/>
                <o:lock v:ext="edit" aspectratio="f"/>
              </v:line>
            </w:pict>
          </mc:Fallback>
        </mc:AlternateContent>
      </w:r>
    </w:p>
    <w:p>
      <w:pPr>
        <w:spacing w:line="0" w:lineRule="atLeast"/>
        <w:ind w:left="840"/>
        <w:rPr>
          <w:rFonts w:eastAsia="Times New Roman"/>
          <w:sz w:val="24"/>
        </w:rPr>
      </w:pPr>
      <w:r>
        <w:rPr>
          <w:rFonts w:eastAsia="Times New Roman"/>
          <w:sz w:val="24"/>
        </w:rPr>
        <w:t>1.</w:t>
      </w:r>
    </w:p>
    <w:p>
      <w:pPr>
        <w:spacing w:line="163" w:lineRule="exact"/>
        <w:rPr>
          <w:rFonts w:eastAsia="Times New Roman"/>
        </w:rPr>
      </w:pPr>
    </w:p>
    <w:p>
      <w:pPr>
        <w:spacing w:line="0" w:lineRule="atLeast"/>
        <w:ind w:left="840"/>
        <w:rPr>
          <w:rFonts w:eastAsia="Times New Roman"/>
          <w:sz w:val="24"/>
        </w:rPr>
      </w:pPr>
      <w:r>
        <w:rPr>
          <w:rFonts w:eastAsia="Times New Roman"/>
          <w:sz w:val="24"/>
        </w:rPr>
        <w:t>2.</w:t>
      </w:r>
    </w:p>
    <w:p>
      <w:pPr>
        <w:spacing w:line="200" w:lineRule="exact"/>
        <w:rPr>
          <w:rFonts w:eastAsia="Times New Roman"/>
        </w:rPr>
      </w:pPr>
    </w:p>
    <w:p>
      <w:pPr>
        <w:spacing w:line="200" w:lineRule="exact"/>
        <w:rPr>
          <w:rFonts w:eastAsia="Times New Roman"/>
        </w:rPr>
      </w:pPr>
    </w:p>
    <w:p>
      <w:pPr>
        <w:spacing w:line="205" w:lineRule="exact"/>
        <w:rPr>
          <w:rFonts w:eastAsia="Times New Roman"/>
        </w:rPr>
      </w:pPr>
    </w:p>
    <w:p>
      <w:pPr>
        <w:spacing w:line="239" w:lineRule="auto"/>
        <w:ind w:left="720"/>
        <w:rPr>
          <w:rFonts w:eastAsia="Times New Roman"/>
          <w:sz w:val="24"/>
        </w:rPr>
      </w:pPr>
      <w:r>
        <w:rPr>
          <w:rFonts w:eastAsia="Times New Roman"/>
          <w:sz w:val="24"/>
        </w:rPr>
        <w:t>.....</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69" w:lineRule="exact"/>
        <w:rPr>
          <w:rFonts w:eastAsia="Times New Roman"/>
        </w:rPr>
      </w:pPr>
    </w:p>
    <w:p>
      <w:pPr>
        <w:spacing w:line="0" w:lineRule="atLeast"/>
        <w:ind w:left="480"/>
        <w:rPr>
          <w:rFonts w:ascii="宋体" w:hAnsi="宋体"/>
          <w:sz w:val="24"/>
        </w:rPr>
      </w:pPr>
      <w:r>
        <w:rPr>
          <w:rFonts w:ascii="宋体" w:hAnsi="宋体"/>
          <w:sz w:val="24"/>
        </w:rPr>
        <w:t>上述问题澄清或说明，不改变我方投标文件的实质性内容，构成我方投标文件</w:t>
      </w:r>
    </w:p>
    <w:p>
      <w:pPr>
        <w:spacing w:line="165" w:lineRule="exact"/>
        <w:rPr>
          <w:rFonts w:eastAsia="Times New Roman"/>
        </w:rPr>
      </w:pPr>
    </w:p>
    <w:p>
      <w:pPr>
        <w:spacing w:line="0" w:lineRule="atLeast"/>
        <w:rPr>
          <w:rFonts w:ascii="宋体" w:hAnsi="宋体"/>
          <w:sz w:val="24"/>
        </w:rPr>
      </w:pPr>
      <w:r>
        <w:rPr>
          <w:rFonts w:ascii="宋体" w:hAnsi="宋体"/>
          <w:sz w:val="24"/>
        </w:rPr>
        <w:t>的组成部分。</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9" w:lineRule="exact"/>
        <w:rPr>
          <w:rFonts w:eastAsia="Times New Roman"/>
        </w:rPr>
      </w:pPr>
    </w:p>
    <w:p>
      <w:pPr>
        <w:tabs>
          <w:tab w:val="left" w:pos="7120"/>
        </w:tabs>
        <w:spacing w:line="274" w:lineRule="exact"/>
        <w:ind w:left="3600"/>
        <w:rPr>
          <w:rFonts w:ascii="MS PGothic" w:hAnsi="MS PGothic" w:eastAsia="MS PGothic"/>
          <w:sz w:val="24"/>
          <w:vertAlign w:val="superscript"/>
        </w:rPr>
      </w:pPr>
      <w:r>
        <w:rPr>
          <w:rFonts w:ascii="宋体" w:hAnsi="宋体"/>
          <w:sz w:val="24"/>
        </w:rPr>
        <w:t>投标人：</w:t>
      </w:r>
      <w:r>
        <w:rPr>
          <w:rFonts w:eastAsia="Times New Roman"/>
        </w:rPr>
        <w:tab/>
      </w:r>
      <w:r>
        <w:rPr>
          <w:rFonts w:ascii="宋体" w:hAnsi="宋体"/>
          <w:sz w:val="24"/>
        </w:rPr>
        <w:t>（盖单位章）</w:t>
      </w:r>
      <w:r>
        <w:rPr>
          <w:rFonts w:ascii="MS PGothic" w:hAnsi="MS PGothic" w:eastAsia="MS PGothic"/>
          <w:sz w:val="24"/>
          <w:vertAlign w:val="superscript"/>
        </w:rPr>
        <w:t>①</w:t>
      </w:r>
    </w:p>
    <w:p>
      <w:pPr>
        <w:spacing w:line="165" w:lineRule="exact"/>
        <w:rPr>
          <w:rFonts w:eastAsia="Times New Roman"/>
        </w:rPr>
      </w:pPr>
      <w:r>
        <w:rPr>
          <w:rFonts w:ascii="MS PGothic" w:hAnsi="MS PGothic" w:eastAsia="MS PGothic"/>
          <w:sz w:val="24"/>
          <w:vertAlign w:val="superscript"/>
        </w:rPr>
        <mc:AlternateContent>
          <mc:Choice Requires="wps">
            <w:drawing>
              <wp:anchor distT="0" distB="0" distL="114300" distR="114300" simplePos="0" relativeHeight="251691008" behindDoc="1" locked="0" layoutInCell="0" allowOverlap="1">
                <wp:simplePos x="0" y="0"/>
                <wp:positionH relativeFrom="column">
                  <wp:posOffset>2880360</wp:posOffset>
                </wp:positionH>
                <wp:positionV relativeFrom="paragraph">
                  <wp:posOffset>-1270</wp:posOffset>
                </wp:positionV>
                <wp:extent cx="1676400" cy="0"/>
                <wp:effectExtent l="0" t="0" r="0" b="0"/>
                <wp:wrapNone/>
                <wp:docPr id="44" name="直接连接符 44"/>
                <wp:cNvGraphicFramePr/>
                <a:graphic xmlns:a="http://schemas.openxmlformats.org/drawingml/2006/main">
                  <a:graphicData uri="http://schemas.microsoft.com/office/word/2010/wordprocessingShape">
                    <wps:wsp>
                      <wps:cNvCnPr/>
                      <wps:spPr>
                        <a:xfrm>
                          <a:off x="0" y="0"/>
                          <a:ext cx="167640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26.8pt;margin-top:-0.1pt;height:0pt;width:132pt;z-index:-251625472;mso-width-relative:page;mso-height-relative:page;" filled="f" stroked="t" coordsize="21600,21600" o:allowincell="f" o:gfxdata="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&#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UU+F0wAAAAcBAAAPAAAAAAAAAAEAIAAAACIAAABk&#10;cnMvZG93bnJldi54bWxQSwECFAAUAAAACACHTuJAG/+8e9IBAACMAwAADgAAAAAAAAABACAAAAAi&#10;AQAAZHJzL2Uyb0RvYy54bWxQSwUGAAAAAAYABgBZAQAAZgUAAAAA&#10;">
                <v:fill on="f" focussize="0,0"/>
                <v:stroke weight="0.6pt" color="#000000" joinstyle="round"/>
                <v:imagedata o:title=""/>
                <o:lock v:ext="edit" aspectratio="f"/>
              </v:line>
            </w:pict>
          </mc:Fallback>
        </mc:AlternateContent>
      </w:r>
    </w:p>
    <w:p>
      <w:pPr>
        <w:tabs>
          <w:tab w:val="left" w:pos="7820"/>
        </w:tabs>
        <w:spacing w:line="0" w:lineRule="atLeast"/>
        <w:ind w:left="3600"/>
        <w:rPr>
          <w:rFonts w:ascii="宋体" w:hAnsi="宋体"/>
          <w:sz w:val="24"/>
        </w:rPr>
      </w:pPr>
      <w:r>
        <w:rPr>
          <w:rFonts w:ascii="宋体" w:hAnsi="宋体"/>
          <w:sz w:val="24"/>
        </w:rPr>
        <w:t>法定代表人或其委托代理人：</w:t>
      </w:r>
      <w:r>
        <w:rPr>
          <w:rFonts w:eastAsia="Times New Roman"/>
        </w:rPr>
        <w:tab/>
      </w:r>
      <w:r>
        <w:rPr>
          <w:rFonts w:ascii="宋体" w:hAnsi="宋体"/>
          <w:sz w:val="24"/>
        </w:rPr>
        <w:t>（签字）</w:t>
      </w:r>
    </w:p>
    <w:p>
      <w:pPr>
        <w:spacing w:line="200" w:lineRule="exact"/>
        <w:rPr>
          <w:rFonts w:eastAsia="Times New Roman"/>
        </w:rPr>
      </w:pPr>
      <w:r>
        <w:rPr>
          <w:rFonts w:ascii="宋体" w:hAnsi="宋体"/>
          <w:sz w:val="24"/>
        </w:rPr>
        <mc:AlternateContent>
          <mc:Choice Requires="wps">
            <w:drawing>
              <wp:anchor distT="0" distB="0" distL="114300" distR="114300" simplePos="0" relativeHeight="251692032" behindDoc="1" locked="0" layoutInCell="0" allowOverlap="1">
                <wp:simplePos x="0" y="0"/>
                <wp:positionH relativeFrom="column">
                  <wp:posOffset>4243070</wp:posOffset>
                </wp:positionH>
                <wp:positionV relativeFrom="paragraph">
                  <wp:posOffset>0</wp:posOffset>
                </wp:positionV>
                <wp:extent cx="762000" cy="0"/>
                <wp:effectExtent l="0" t="0" r="0" b="0"/>
                <wp:wrapNone/>
                <wp:docPr id="45" name="直接连接符 45"/>
                <wp:cNvGraphicFramePr/>
                <a:graphic xmlns:a="http://schemas.openxmlformats.org/drawingml/2006/main">
                  <a:graphicData uri="http://schemas.microsoft.com/office/word/2010/wordprocessingShape">
                    <wps:wsp>
                      <wps:cNvCnPr/>
                      <wps:spPr>
                        <a:xfrm>
                          <a:off x="0" y="0"/>
                          <a:ext cx="76200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34.1pt;margin-top:0pt;height:0pt;width:60pt;z-index:-251624448;mso-width-relative:page;mso-height-relative:page;" filled="f" stroked="t" coordsize="21600,21600" o:allowincell="f" o:gfxdata="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BxP+D0QAAAAUBAAAPAAAAAAAAAAEAIAAAACIAAABkcnMvZG93&#10;bnJldi54bWxQSwECFAAUAAAACACHTuJAxmD5vM4BAACLAwAADgAAAAAAAAABACAAAAAgAQAAZHJz&#10;L2Uyb0RvYy54bWxQSwUGAAAAAAYABgBZAQAAYAUAAAAA&#10;">
                <v:fill on="f" focussize="0,0"/>
                <v:stroke weight="0.6pt" color="#000000" joinstyle="round"/>
                <v:imagedata o:title=""/>
                <o:lock v:ext="edit" aspectratio="f"/>
              </v:line>
            </w:pict>
          </mc:Fallback>
        </mc:AlternateContent>
      </w:r>
    </w:p>
    <w:p>
      <w:pPr>
        <w:spacing w:line="200" w:lineRule="exact"/>
        <w:rPr>
          <w:rFonts w:eastAsia="Times New Roman"/>
        </w:rPr>
      </w:pPr>
    </w:p>
    <w:p>
      <w:pPr>
        <w:spacing w:line="205" w:lineRule="exact"/>
        <w:rPr>
          <w:rFonts w:eastAsia="Times New Roman"/>
        </w:rPr>
      </w:pPr>
    </w:p>
    <w:p>
      <w:pPr>
        <w:tabs>
          <w:tab w:val="left" w:pos="6580"/>
          <w:tab w:val="left" w:pos="7300"/>
        </w:tabs>
        <w:spacing w:line="0" w:lineRule="atLeast"/>
        <w:ind w:left="5880"/>
        <w:rPr>
          <w:rFonts w:ascii="宋体" w:hAnsi="宋体"/>
          <w:sz w:val="24"/>
        </w:rPr>
      </w:pPr>
      <w:r>
        <w:rPr>
          <w:rFonts w:ascii="宋体" w:hAnsi="宋体"/>
          <w:sz w:val="24"/>
        </w:rPr>
        <w:t>年</w:t>
      </w:r>
      <w:r>
        <w:rPr>
          <w:rFonts w:eastAsia="Times New Roman"/>
        </w:rPr>
        <w:tab/>
      </w:r>
      <w:r>
        <w:rPr>
          <w:rFonts w:ascii="宋体" w:hAnsi="宋体"/>
          <w:sz w:val="24"/>
        </w:rPr>
        <w:t>月</w:t>
      </w:r>
      <w:r>
        <w:rPr>
          <w:rFonts w:eastAsia="Times New Roman"/>
        </w:rPr>
        <w:tab/>
      </w:r>
      <w:r>
        <w:rPr>
          <w:rFonts w:ascii="宋体" w:hAnsi="宋体"/>
          <w:sz w:val="24"/>
        </w:rPr>
        <w:t>日</w:t>
      </w:r>
    </w:p>
    <w:p>
      <w:pPr>
        <w:spacing w:line="200" w:lineRule="exact"/>
        <w:rPr>
          <w:rFonts w:eastAsia="Times New Roman"/>
        </w:rPr>
      </w:pPr>
      <w:r>
        <w:rPr>
          <w:rFonts w:ascii="宋体" w:hAnsi="宋体"/>
          <w:sz w:val="24"/>
        </w:rPr>
        <mc:AlternateContent>
          <mc:Choice Requires="wps">
            <w:drawing>
              <wp:anchor distT="0" distB="0" distL="114300" distR="114300" simplePos="0" relativeHeight="251693056" behindDoc="1" locked="0" layoutInCell="0" allowOverlap="1">
                <wp:simplePos x="0" y="0"/>
                <wp:positionH relativeFrom="column">
                  <wp:posOffset>3127375</wp:posOffset>
                </wp:positionH>
                <wp:positionV relativeFrom="paragraph">
                  <wp:posOffset>0</wp:posOffset>
                </wp:positionV>
                <wp:extent cx="609600"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609600" cy="0"/>
                        </a:xfrm>
                        <a:prstGeom prst="line">
                          <a:avLst/>
                        </a:prstGeom>
                        <a:ln w="7619"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46.25pt;margin-top:0pt;height:0pt;width:48pt;z-index:-251623424;mso-width-relative:page;mso-height-relative:page;" filled="f" stroked="t" coordsize="21600,21600" o:allowincell="f" o:gfxdata="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bsEldQAAAAFAQAADwAAAAAAAAABACAAAAAiAAAA&#10;ZHJzL2Rvd25yZXYueG1sUEsBAhQAFAAAAAgAh07iQB265CfSAQAAiwMAAA4AAAAAAAAAAQAgAAAA&#10;IwEAAGRycy9lMm9Eb2MueG1sUEsFBgAAAAAGAAYAWQEAAGcFAAAAAA==&#10;">
                <v:fill on="f" focussize="0,0"/>
                <v:stroke weight="0.59992125984252pt"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94080" behindDoc="1" locked="0" layoutInCell="0" allowOverlap="1">
                <wp:simplePos x="0" y="0"/>
                <wp:positionH relativeFrom="column">
                  <wp:posOffset>3889375</wp:posOffset>
                </wp:positionH>
                <wp:positionV relativeFrom="paragraph">
                  <wp:posOffset>0</wp:posOffset>
                </wp:positionV>
                <wp:extent cx="304800" cy="0"/>
                <wp:effectExtent l="0" t="0" r="0" b="0"/>
                <wp:wrapNone/>
                <wp:docPr id="43" name="直接连接符 43"/>
                <wp:cNvGraphicFramePr/>
                <a:graphic xmlns:a="http://schemas.openxmlformats.org/drawingml/2006/main">
                  <a:graphicData uri="http://schemas.microsoft.com/office/word/2010/wordprocessingShape">
                    <wps:wsp>
                      <wps:cNvCnPr/>
                      <wps:spPr>
                        <a:xfrm>
                          <a:off x="0" y="0"/>
                          <a:ext cx="304800" cy="0"/>
                        </a:xfrm>
                        <a:prstGeom prst="line">
                          <a:avLst/>
                        </a:prstGeom>
                        <a:ln w="7619"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06.25pt;margin-top:0pt;height:0pt;width:24pt;z-index:-251622400;mso-width-relative:page;mso-height-relative:page;" filled="f" stroked="t" coordsize="21600,21600" o:allowincell="f" o:gfxdata="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sOUO9MAAAAFAQAADwAAAAAAAAABACAAAAAiAAAA&#10;ZHJzL2Rvd25yZXYueG1sUEsBAhQAFAAAAAgAh07iQC9I08PTAQAAiwMAAA4AAAAAAAAAAQAgAAAA&#10;IgEAAGRycy9lMm9Eb2MueG1sUEsFBgAAAAAGAAYAWQEAAGcFAAAAAA==&#10;">
                <v:fill on="f" focussize="0,0"/>
                <v:stroke weight="0.59992125984252pt"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95104" behindDoc="1" locked="0" layoutInCell="0" allowOverlap="1">
                <wp:simplePos x="0" y="0"/>
                <wp:positionH relativeFrom="column">
                  <wp:posOffset>4346575</wp:posOffset>
                </wp:positionH>
                <wp:positionV relativeFrom="paragraph">
                  <wp:posOffset>0</wp:posOffset>
                </wp:positionV>
                <wp:extent cx="304800" cy="0"/>
                <wp:effectExtent l="0" t="0" r="0" b="0"/>
                <wp:wrapNone/>
                <wp:docPr id="46" name="直接连接符 46"/>
                <wp:cNvGraphicFramePr/>
                <a:graphic xmlns:a="http://schemas.openxmlformats.org/drawingml/2006/main">
                  <a:graphicData uri="http://schemas.microsoft.com/office/word/2010/wordprocessingShape">
                    <wps:wsp>
                      <wps:cNvCnPr/>
                      <wps:spPr>
                        <a:xfrm>
                          <a:off x="0" y="0"/>
                          <a:ext cx="304800" cy="0"/>
                        </a:xfrm>
                        <a:prstGeom prst="line">
                          <a:avLst/>
                        </a:prstGeom>
                        <a:ln w="7619"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2.25pt;margin-top:0pt;height:0pt;width:24pt;z-index:-251621376;mso-width-relative:page;mso-height-relative:page;" filled="f" stroked="t" coordsize="21600,21600" o:allowincell="f" o:gfxdata="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NzmldQAAAAFAQAADwAAAAAAAAABACAAAAAiAAAA&#10;ZHJzL2Rvd25yZXYueG1sUEsBAhQAFAAAAAgAh07iQPSNMsnSAQAAiwMAAA4AAAAAAAAAAQAgAAAA&#10;IwEAAGRycy9lMm9Eb2MueG1sUEsFBgAAAAAGAAYAWQEAAGcFAAAAAA==&#10;">
                <v:fill on="f" focussize="0,0"/>
                <v:stroke weight="0.59992125984252pt" color="#000000" joinstyle="round"/>
                <v:imagedata o:title=""/>
                <o:lock v:ext="edit" aspectratio="f"/>
              </v:line>
            </w:pict>
          </mc:Fallback>
        </mc:AlternateConten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5" w:lineRule="exact"/>
        <w:rPr>
          <w:rFonts w:ascii="宋体" w:hAnsi="宋体"/>
          <w:sz w:val="18"/>
        </w:rPr>
      </w:pPr>
    </w:p>
    <w:p>
      <w:pPr>
        <w:spacing w:line="239" w:lineRule="auto"/>
        <w:rPr>
          <w:sz w:val="18"/>
        </w:rPr>
        <w:sectPr>
          <w:headerReference r:id="rId8" w:type="default"/>
          <w:footerReference r:id="rId9" w:type="default"/>
          <w:pgSz w:w="11906" w:h="16838"/>
          <w:pgMar w:top="1440" w:right="1440" w:bottom="1440" w:left="1440" w:header="567" w:footer="567" w:gutter="0"/>
          <w:cols w:space="720" w:num="1"/>
          <w:docGrid w:linePitch="360" w:charSpace="0"/>
        </w:sectPr>
      </w:pPr>
    </w:p>
    <w:p>
      <w:pPr>
        <w:spacing w:line="239" w:lineRule="auto"/>
        <w:rPr>
          <w:rFonts w:eastAsia="Times New Roman"/>
        </w:rPr>
      </w:pPr>
      <w:bookmarkStart w:id="34" w:name="page74"/>
      <w:bookmarkEnd w:id="34"/>
    </w:p>
    <w:p>
      <w:pPr>
        <w:spacing w:line="200" w:lineRule="exact"/>
      </w:pPr>
      <w:bookmarkStart w:id="35" w:name="page78"/>
      <w:bookmarkEnd w:id="35"/>
      <w:bookmarkStart w:id="36" w:name="page77"/>
      <w:bookmarkEnd w:id="36"/>
      <w:bookmarkStart w:id="37" w:name="page121"/>
      <w:bookmarkEnd w:id="37"/>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482"/>
        <w:jc w:val="center"/>
        <w:rPr>
          <w:b/>
          <w:sz w:val="48"/>
        </w:rPr>
      </w:pPr>
      <w:r>
        <w:rPr>
          <w:rFonts w:hint="eastAsia"/>
          <w:b/>
          <w:sz w:val="48"/>
        </w:rPr>
        <w:t>第三章   评标办法</w:t>
      </w: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widowControl w:val="0"/>
        <w:jc w:val="both"/>
        <w:outlineLvl w:val="0"/>
        <w:rPr>
          <w:rFonts w:ascii="黑体" w:hAnsi="黑体" w:eastAsia="黑体"/>
          <w:sz w:val="44"/>
          <w:szCs w:val="44"/>
        </w:rPr>
      </w:pPr>
    </w:p>
    <w:p>
      <w:pPr>
        <w:widowControl w:val="0"/>
        <w:jc w:val="center"/>
        <w:outlineLvl w:val="0"/>
        <w:rPr>
          <w:rFonts w:ascii="黑体" w:hAnsi="黑体" w:eastAsia="黑体"/>
          <w:sz w:val="44"/>
          <w:szCs w:val="44"/>
        </w:rPr>
      </w:pPr>
      <w:r>
        <w:rPr>
          <w:rFonts w:hint="eastAsia" w:ascii="黑体" w:hAnsi="黑体" w:eastAsia="黑体"/>
          <w:sz w:val="44"/>
          <w:szCs w:val="44"/>
        </w:rPr>
        <w:br w:type="page"/>
      </w:r>
    </w:p>
    <w:p>
      <w:pPr>
        <w:widowControl w:val="0"/>
        <w:jc w:val="center"/>
        <w:outlineLvl w:val="0"/>
        <w:rPr>
          <w:rFonts w:ascii="黑体" w:eastAsia="黑体"/>
          <w:sz w:val="44"/>
          <w:szCs w:val="44"/>
        </w:rPr>
      </w:pPr>
      <w:r>
        <w:rPr>
          <w:rFonts w:hint="eastAsia" w:ascii="黑体" w:hAnsi="黑体" w:eastAsia="黑体"/>
          <w:sz w:val="44"/>
          <w:szCs w:val="44"/>
        </w:rPr>
        <w:t>第三章评标办法</w:t>
      </w:r>
    </w:p>
    <w:p>
      <w:pPr>
        <w:jc w:val="center"/>
        <w:outlineLvl w:val="0"/>
        <w:rPr>
          <w:rFonts w:ascii="宋体" w:hAnsi="宋体"/>
          <w:sz w:val="32"/>
          <w:szCs w:val="32"/>
        </w:rPr>
      </w:pPr>
      <w:r>
        <w:rPr>
          <w:rFonts w:hint="eastAsia" w:ascii="宋体" w:hAnsi="宋体"/>
          <w:sz w:val="32"/>
          <w:szCs w:val="32"/>
        </w:rPr>
        <w:t>评标办法(技术评分最低标价法)</w:t>
      </w:r>
    </w:p>
    <w:p>
      <w:pPr>
        <w:rPr>
          <w:rFonts w:ascii="新宋体" w:hAnsi="新宋体" w:eastAsia="新宋体"/>
          <w:sz w:val="24"/>
          <w:szCs w:val="24"/>
        </w:rPr>
      </w:pPr>
      <w:r>
        <w:rPr>
          <w:rFonts w:hint="eastAsia" w:ascii="新宋体" w:hAnsi="新宋体" w:eastAsia="新宋体"/>
          <w:sz w:val="24"/>
          <w:szCs w:val="24"/>
        </w:rPr>
        <w:t xml:space="preserve">    </w:t>
      </w:r>
    </w:p>
    <w:p>
      <w:pPr>
        <w:rPr>
          <w:rFonts w:ascii="宋体" w:hAnsi="宋体"/>
          <w:sz w:val="30"/>
          <w:szCs w:val="30"/>
        </w:rPr>
      </w:pPr>
      <w:r>
        <w:rPr>
          <w:rFonts w:hint="eastAsia" w:ascii="新宋体" w:hAnsi="新宋体" w:eastAsia="新宋体"/>
          <w:sz w:val="24"/>
          <w:szCs w:val="24"/>
        </w:rPr>
        <w:t>评标依据：《公路工程建设项目招标投标管理办法》（交通运输部2015第24号令）。评标应遵循公正、公平、择优的原则严格按照招标文件进行。</w:t>
      </w:r>
    </w:p>
    <w:p>
      <w:pPr>
        <w:jc w:val="center"/>
        <w:rPr>
          <w:rFonts w:ascii="宋体" w:hAnsi="宋体"/>
          <w:sz w:val="24"/>
          <w:szCs w:val="24"/>
        </w:rPr>
      </w:pPr>
      <w:r>
        <w:rPr>
          <w:rFonts w:hint="eastAsia" w:ascii="宋体" w:hAnsi="宋体"/>
          <w:sz w:val="24"/>
          <w:szCs w:val="24"/>
        </w:rPr>
        <w:t xml:space="preserve"> </w:t>
      </w:r>
    </w:p>
    <w:p>
      <w:pPr>
        <w:jc w:val="center"/>
        <w:rPr>
          <w:rFonts w:ascii="宋体" w:hAnsi="宋体"/>
          <w:sz w:val="24"/>
          <w:szCs w:val="24"/>
        </w:rPr>
      </w:pPr>
      <w:r>
        <w:rPr>
          <w:rFonts w:hint="eastAsia" w:ascii="宋体" w:hAnsi="宋体"/>
          <w:sz w:val="24"/>
          <w:szCs w:val="24"/>
        </w:rPr>
        <w:t>评标办法前附表</w:t>
      </w:r>
    </w:p>
    <w:tbl>
      <w:tblPr>
        <w:tblStyle w:val="13"/>
        <w:tblW w:w="9813" w:type="dxa"/>
        <w:jc w:val="center"/>
        <w:tblInd w:w="-5" w:type="dxa"/>
        <w:tblLayout w:type="fixed"/>
        <w:tblCellMar>
          <w:top w:w="0" w:type="dxa"/>
          <w:left w:w="0" w:type="dxa"/>
          <w:bottom w:w="0" w:type="dxa"/>
          <w:right w:w="0" w:type="dxa"/>
        </w:tblCellMar>
      </w:tblPr>
      <w:tblGrid>
        <w:gridCol w:w="1219"/>
        <w:gridCol w:w="1214"/>
        <w:gridCol w:w="7380"/>
      </w:tblGrid>
      <w:tr>
        <w:tblPrEx>
          <w:tblLayout w:type="fixed"/>
          <w:tblCellMar>
            <w:top w:w="0" w:type="dxa"/>
            <w:left w:w="0" w:type="dxa"/>
            <w:bottom w:w="0" w:type="dxa"/>
            <w:right w:w="0" w:type="dxa"/>
          </w:tblCellMar>
        </w:tblPrEx>
        <w:trPr>
          <w:trHeight w:val="304" w:hRule="atLeast"/>
          <w:jc w:val="center"/>
        </w:trPr>
        <w:tc>
          <w:tcPr>
            <w:tcW w:w="1219" w:type="dxa"/>
            <w:tcBorders>
              <w:top w:val="single" w:color="000000" w:sz="4" w:space="0"/>
              <w:left w:val="single" w:color="000000" w:sz="4" w:space="0"/>
              <w:bottom w:val="single" w:color="000000" w:sz="4" w:space="0"/>
              <w:right w:val="single" w:color="auto" w:sz="4" w:space="0"/>
            </w:tcBorders>
            <w:vAlign w:val="center"/>
          </w:tcPr>
          <w:p>
            <w:pPr>
              <w:widowControl w:val="0"/>
              <w:jc w:val="center"/>
              <w:rPr>
                <w:rFonts w:ascii="宋体" w:hAnsi="宋体"/>
                <w:b/>
                <w:bCs/>
                <w:kern w:val="2"/>
                <w:sz w:val="21"/>
                <w:szCs w:val="21"/>
              </w:rPr>
            </w:pPr>
            <w:r>
              <w:rPr>
                <w:rFonts w:hint="eastAsia" w:ascii="宋体" w:hAnsi="宋体"/>
                <w:b/>
                <w:bCs/>
              </w:rPr>
              <w:t>条款号</w:t>
            </w:r>
          </w:p>
        </w:tc>
        <w:tc>
          <w:tcPr>
            <w:tcW w:w="1214" w:type="dxa"/>
            <w:tcBorders>
              <w:top w:val="single" w:color="000000" w:sz="4" w:space="0"/>
              <w:left w:val="nil"/>
              <w:bottom w:val="single" w:color="000000" w:sz="4" w:space="0"/>
              <w:right w:val="single" w:color="000000" w:sz="4" w:space="0"/>
            </w:tcBorders>
            <w:vAlign w:val="center"/>
          </w:tcPr>
          <w:p>
            <w:pPr>
              <w:widowControl w:val="0"/>
              <w:jc w:val="center"/>
              <w:rPr>
                <w:rFonts w:ascii="宋体" w:hAnsi="宋体"/>
                <w:b/>
                <w:bCs/>
                <w:kern w:val="2"/>
                <w:sz w:val="21"/>
                <w:szCs w:val="21"/>
              </w:rPr>
            </w:pPr>
            <w:r>
              <w:rPr>
                <w:rFonts w:hint="eastAsia" w:ascii="宋体" w:hAnsi="宋体"/>
                <w:b/>
                <w:bCs/>
              </w:rPr>
              <w:t>条款内容</w:t>
            </w:r>
          </w:p>
        </w:tc>
        <w:tc>
          <w:tcPr>
            <w:tcW w:w="7380" w:type="dxa"/>
            <w:tcBorders>
              <w:top w:val="single" w:color="000000" w:sz="4" w:space="0"/>
              <w:left w:val="nil"/>
              <w:bottom w:val="single" w:color="000000" w:sz="4" w:space="0"/>
              <w:right w:val="single" w:color="000000" w:sz="4" w:space="0"/>
            </w:tcBorders>
            <w:vAlign w:val="center"/>
          </w:tcPr>
          <w:p>
            <w:pPr>
              <w:widowControl w:val="0"/>
              <w:jc w:val="center"/>
              <w:rPr>
                <w:rFonts w:ascii="宋体" w:hAnsi="宋体"/>
                <w:b/>
                <w:bCs/>
                <w:kern w:val="2"/>
                <w:sz w:val="21"/>
                <w:szCs w:val="21"/>
              </w:rPr>
            </w:pPr>
            <w:r>
              <w:rPr>
                <w:rFonts w:hint="eastAsia" w:ascii="宋体" w:hAnsi="宋体"/>
                <w:b/>
                <w:bCs/>
              </w:rPr>
              <w:t>评审因素与标准</w:t>
            </w:r>
          </w:p>
        </w:tc>
      </w:tr>
      <w:tr>
        <w:tblPrEx>
          <w:tblLayout w:type="fixed"/>
          <w:tblCellMar>
            <w:top w:w="0" w:type="dxa"/>
            <w:left w:w="0" w:type="dxa"/>
            <w:bottom w:w="0" w:type="dxa"/>
            <w:right w:w="0" w:type="dxa"/>
          </w:tblCellMar>
        </w:tblPrEx>
        <w:trPr>
          <w:trHeight w:val="304" w:hRule="atLeast"/>
          <w:jc w:val="center"/>
        </w:trPr>
        <w:tc>
          <w:tcPr>
            <w:tcW w:w="1219" w:type="dxa"/>
            <w:tcBorders>
              <w:top w:val="single" w:color="000000" w:sz="4" w:space="0"/>
              <w:left w:val="single" w:color="000000" w:sz="4" w:space="0"/>
              <w:bottom w:val="single" w:color="000000" w:sz="4" w:space="0"/>
              <w:right w:val="single" w:color="auto" w:sz="4" w:space="0"/>
            </w:tcBorders>
            <w:vAlign w:val="center"/>
          </w:tcPr>
          <w:p>
            <w:pPr>
              <w:spacing w:line="400" w:lineRule="exact"/>
              <w:ind w:firstLine="420" w:firstLineChars="200"/>
              <w:rPr>
                <w:rFonts w:ascii="宋体" w:hAnsi="宋体"/>
                <w:sz w:val="21"/>
                <w:szCs w:val="22"/>
              </w:rPr>
            </w:pPr>
            <w:r>
              <w:rPr>
                <w:rFonts w:hint="eastAsia" w:ascii="宋体" w:hAnsi="宋体"/>
                <w:sz w:val="21"/>
                <w:szCs w:val="22"/>
              </w:rPr>
              <w:t>1</w:t>
            </w:r>
          </w:p>
        </w:tc>
        <w:tc>
          <w:tcPr>
            <w:tcW w:w="1214"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rPr>
            </w:pPr>
            <w:r>
              <w:rPr>
                <w:rFonts w:hint="eastAsia" w:ascii="宋体" w:hAnsi="宋体"/>
              </w:rPr>
              <w:t>评标方法</w:t>
            </w:r>
          </w:p>
        </w:tc>
        <w:tc>
          <w:tcPr>
            <w:tcW w:w="7380" w:type="dxa"/>
            <w:tcBorders>
              <w:top w:val="single" w:color="000000" w:sz="4" w:space="0"/>
              <w:left w:val="nil"/>
              <w:bottom w:val="single" w:color="000000" w:sz="4" w:space="0"/>
              <w:right w:val="single" w:color="000000" w:sz="4" w:space="0"/>
            </w:tcBorders>
            <w:vAlign w:val="center"/>
          </w:tcPr>
          <w:p>
            <w:pPr>
              <w:spacing w:line="400" w:lineRule="exact"/>
            </w:pPr>
            <w:r>
              <w:rPr>
                <w:rFonts w:hint="eastAsia"/>
              </w:rPr>
              <w:t xml:space="preserve">评标价相等时，评标委员会依次按照以下优先顺序推荐中标候选人或确定中标人： </w:t>
            </w:r>
          </w:p>
          <w:p>
            <w:pPr>
              <w:spacing w:line="400" w:lineRule="exact"/>
            </w:pPr>
            <w:r>
              <w:rPr>
                <w:rFonts w:hint="eastAsia"/>
              </w:rPr>
              <w:t xml:space="preserve">（1）投标报价低的投标人优先； </w:t>
            </w:r>
          </w:p>
          <w:p>
            <w:pPr>
              <w:spacing w:line="400" w:lineRule="exact"/>
            </w:pPr>
            <w:r>
              <w:rPr>
                <w:rFonts w:hint="eastAsia"/>
              </w:rPr>
              <w:t>（2）被招标项目所在地省级交通运输主管部门评为较高信用等级的投标人优先；</w:t>
            </w:r>
          </w:p>
          <w:p>
            <w:pPr>
              <w:spacing w:line="400" w:lineRule="exact"/>
            </w:pPr>
            <w:r>
              <w:rPr>
                <w:rFonts w:hint="eastAsia"/>
              </w:rPr>
              <w:t>（3）商务和技术得分较高的投标人优先。</w:t>
            </w:r>
          </w:p>
        </w:tc>
      </w:tr>
      <w:tr>
        <w:tblPrEx>
          <w:tblLayout w:type="fixed"/>
          <w:tblCellMar>
            <w:top w:w="0" w:type="dxa"/>
            <w:left w:w="0" w:type="dxa"/>
            <w:bottom w:w="0" w:type="dxa"/>
            <w:right w:w="0" w:type="dxa"/>
          </w:tblCellMar>
        </w:tblPrEx>
        <w:trPr>
          <w:trHeight w:val="4988"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rPr>
            </w:pPr>
            <w:r>
              <w:rPr>
                <w:rFonts w:hint="eastAsia" w:ascii="宋体" w:hAnsi="宋体"/>
              </w:rPr>
              <w:t>2.1.1</w:t>
            </w:r>
          </w:p>
          <w:p>
            <w:pPr>
              <w:widowControl w:val="0"/>
              <w:jc w:val="center"/>
              <w:rPr>
                <w:rFonts w:ascii="宋体" w:hAnsi="宋体"/>
                <w:kern w:val="2"/>
                <w:sz w:val="21"/>
                <w:szCs w:val="21"/>
              </w:rPr>
            </w:pPr>
            <w:r>
              <w:rPr>
                <w:rFonts w:hint="eastAsia" w:ascii="宋体" w:hAnsi="宋体"/>
              </w:rPr>
              <w:t>2.1.3</w:t>
            </w:r>
          </w:p>
        </w:tc>
        <w:tc>
          <w:tcPr>
            <w:tcW w:w="1214" w:type="dxa"/>
            <w:tcBorders>
              <w:top w:val="single" w:color="auto" w:sz="4" w:space="0"/>
              <w:left w:val="nil"/>
              <w:bottom w:val="single" w:color="auto" w:sz="4" w:space="0"/>
              <w:right w:val="single" w:color="000000" w:sz="4" w:space="0"/>
            </w:tcBorders>
            <w:vAlign w:val="center"/>
          </w:tcPr>
          <w:p>
            <w:pPr>
              <w:jc w:val="center"/>
              <w:rPr>
                <w:rFonts w:ascii="宋体" w:hAnsi="宋体"/>
              </w:rPr>
            </w:pPr>
            <w:r>
              <w:rPr>
                <w:rFonts w:hint="eastAsia" w:ascii="宋体" w:hAnsi="宋体"/>
              </w:rPr>
              <w:t>形式评审与</w:t>
            </w:r>
          </w:p>
          <w:p>
            <w:pPr>
              <w:jc w:val="center"/>
              <w:rPr>
                <w:rFonts w:ascii="宋体" w:hAnsi="宋体"/>
              </w:rPr>
            </w:pPr>
            <w:r>
              <w:rPr>
                <w:rFonts w:hint="eastAsia" w:ascii="宋体" w:hAnsi="宋体"/>
              </w:rPr>
              <w:t>响应性评审</w:t>
            </w:r>
          </w:p>
          <w:p>
            <w:pPr>
              <w:widowControl w:val="0"/>
              <w:jc w:val="center"/>
              <w:rPr>
                <w:rFonts w:ascii="宋体" w:hAnsi="宋体"/>
                <w:kern w:val="2"/>
                <w:sz w:val="21"/>
                <w:szCs w:val="21"/>
              </w:rPr>
            </w:pPr>
            <w:r>
              <w:rPr>
                <w:rFonts w:hint="eastAsia" w:ascii="宋体" w:hAnsi="宋体"/>
              </w:rPr>
              <w:t>标准</w:t>
            </w:r>
          </w:p>
        </w:tc>
        <w:tc>
          <w:tcPr>
            <w:tcW w:w="7380" w:type="dxa"/>
            <w:tcBorders>
              <w:top w:val="single" w:color="auto" w:sz="4" w:space="0"/>
              <w:left w:val="nil"/>
              <w:bottom w:val="single" w:color="auto" w:sz="4" w:space="0"/>
              <w:right w:val="single" w:color="000000" w:sz="4" w:space="0"/>
            </w:tcBorders>
            <w:vAlign w:val="center"/>
          </w:tcPr>
          <w:p>
            <w:pPr>
              <w:spacing w:line="400" w:lineRule="exact"/>
              <w:rPr>
                <w:rFonts w:ascii="宋体" w:hAnsi="宋体"/>
                <w:b/>
                <w:bCs/>
              </w:rPr>
            </w:pPr>
            <w:r>
              <w:rPr>
                <w:rFonts w:hint="eastAsia" w:ascii="宋体" w:hAnsi="宋体"/>
                <w:b/>
                <w:bCs/>
              </w:rPr>
              <w:t>第一个信封（商务及技术文件）评审标准：</w:t>
            </w:r>
          </w:p>
          <w:p>
            <w:pPr>
              <w:spacing w:line="400" w:lineRule="exact"/>
              <w:ind w:firstLine="400" w:firstLineChars="200"/>
              <w:rPr>
                <w:rFonts w:ascii="宋体" w:hAnsi="宋体"/>
              </w:rPr>
            </w:pPr>
            <w:r>
              <w:rPr>
                <w:rFonts w:hint="eastAsia" w:ascii="宋体" w:hAnsi="宋体"/>
              </w:rPr>
              <w:t>(1)投标文件按照招标文件规定的格式、内容填写，字迹清晰可辨：</w:t>
            </w:r>
          </w:p>
          <w:p>
            <w:pPr>
              <w:spacing w:line="400" w:lineRule="exact"/>
              <w:ind w:firstLine="400" w:firstLineChars="200"/>
              <w:rPr>
                <w:rFonts w:ascii="宋体" w:hAnsi="宋体"/>
              </w:rPr>
            </w:pPr>
            <w:r>
              <w:rPr>
                <w:rFonts w:hint="eastAsia" w:ascii="宋体" w:hAnsi="宋体"/>
              </w:rPr>
              <w:t>a.投标函按招标文件规定填报了工期、工程质量目标；</w:t>
            </w:r>
          </w:p>
          <w:p>
            <w:pPr>
              <w:spacing w:line="400" w:lineRule="exact"/>
              <w:ind w:firstLine="400" w:firstLineChars="200"/>
              <w:rPr>
                <w:rFonts w:ascii="宋体" w:hAnsi="宋体"/>
              </w:rPr>
            </w:pPr>
            <w:r>
              <w:rPr>
                <w:rFonts w:hint="eastAsia" w:ascii="宋体" w:hAnsi="宋体"/>
              </w:rPr>
              <w:t>b.投标函附录的所有数据均符合招标文件规定；</w:t>
            </w:r>
          </w:p>
          <w:p>
            <w:pPr>
              <w:spacing w:line="400" w:lineRule="exact"/>
              <w:ind w:firstLine="400" w:firstLineChars="200"/>
              <w:rPr>
                <w:rFonts w:ascii="宋体" w:hAnsi="宋体"/>
              </w:rPr>
            </w:pPr>
            <w:r>
              <w:rPr>
                <w:rFonts w:hint="eastAsia" w:ascii="宋体" w:hAnsi="宋体"/>
              </w:rPr>
              <w:t>c.按照招标文件规定的格式、内容编制了施工组织设计及项目管理</w:t>
            </w:r>
          </w:p>
          <w:p>
            <w:pPr>
              <w:spacing w:line="400" w:lineRule="exact"/>
              <w:ind w:firstLine="400" w:firstLineChars="200"/>
              <w:rPr>
                <w:rFonts w:ascii="宋体" w:hAnsi="宋体"/>
              </w:rPr>
            </w:pPr>
            <w:r>
              <w:rPr>
                <w:rFonts w:hint="eastAsia" w:ascii="宋体" w:hAnsi="宋体"/>
              </w:rPr>
              <w:t>机构相关图表；</w:t>
            </w:r>
          </w:p>
          <w:p>
            <w:pPr>
              <w:spacing w:line="400" w:lineRule="exact"/>
              <w:ind w:firstLine="400" w:firstLineChars="200"/>
              <w:rPr>
                <w:rFonts w:ascii="宋体" w:hAnsi="宋体"/>
              </w:rPr>
            </w:pPr>
            <w:r>
              <w:rPr>
                <w:rFonts w:hint="eastAsia" w:ascii="宋体" w:hAnsi="宋体"/>
              </w:rPr>
              <w:t>d.投标文件组成齐全完整，内容均按规定填写。</w:t>
            </w:r>
          </w:p>
          <w:p>
            <w:pPr>
              <w:spacing w:line="400" w:lineRule="exact"/>
              <w:ind w:firstLine="400" w:firstLineChars="200"/>
              <w:rPr>
                <w:rFonts w:ascii="宋体" w:hAnsi="宋体"/>
              </w:rPr>
            </w:pPr>
            <w:r>
              <w:rPr>
                <w:rFonts w:hint="eastAsia" w:ascii="宋体" w:hAnsi="宋体"/>
              </w:rPr>
              <w:t>(2) 投标文件上法定代表人或其授权代理人的签字、投标人的单位章盖章齐全，符合招标文件规定。</w:t>
            </w:r>
          </w:p>
          <w:p>
            <w:pPr>
              <w:spacing w:line="400" w:lineRule="exact"/>
              <w:ind w:firstLine="400" w:firstLineChars="200"/>
              <w:rPr>
                <w:rFonts w:ascii="宋体" w:hAnsi="宋体"/>
              </w:rPr>
            </w:pPr>
            <w:r>
              <w:rPr>
                <w:rFonts w:hint="eastAsia" w:ascii="宋体" w:hAnsi="宋体"/>
              </w:rPr>
              <w:t>(3) 投标人按照招标文件的规定提供了投标保证金</w:t>
            </w:r>
          </w:p>
          <w:p>
            <w:pPr>
              <w:spacing w:line="400" w:lineRule="exact"/>
              <w:ind w:firstLine="400" w:firstLineChars="200"/>
              <w:rPr>
                <w:rFonts w:ascii="宋体" w:hAnsi="宋体"/>
              </w:rPr>
            </w:pPr>
            <w:r>
              <w:rPr>
                <w:rFonts w:hint="eastAsia" w:ascii="宋体" w:hAnsi="宋体"/>
              </w:rPr>
              <w:t>(4)投标人法定代表人授权委托代理人签署投标文件的，须提交授权委托书，且授权人和被授权人均在授权委托书上签名，未使用印章、 签名章或其他电子制版签名代替。</w:t>
            </w:r>
          </w:p>
          <w:p>
            <w:pPr>
              <w:spacing w:line="400" w:lineRule="exact"/>
              <w:ind w:firstLine="400" w:firstLineChars="200"/>
              <w:rPr>
                <w:rFonts w:ascii="宋体" w:hAnsi="宋体"/>
              </w:rPr>
            </w:pPr>
            <w:r>
              <w:rPr>
                <w:rFonts w:hint="eastAsia" w:ascii="宋体" w:hAnsi="宋体"/>
              </w:rPr>
              <w:t>（5）投标人法定代表人亲自签署投标文件的，提供了法定代表人身份证明，且法定代表人在法定代表人身份证明上签名，未使用印章、 签名章或其他电子制版签名代替。</w:t>
            </w:r>
          </w:p>
          <w:p>
            <w:pPr>
              <w:spacing w:line="400" w:lineRule="exact"/>
              <w:ind w:firstLine="400" w:firstLineChars="200"/>
              <w:rPr>
                <w:rFonts w:ascii="宋体" w:hAnsi="宋体"/>
              </w:rPr>
            </w:pPr>
            <w:r>
              <w:rPr>
                <w:rFonts w:hint="eastAsia" w:ascii="宋体" w:hAnsi="宋体"/>
              </w:rPr>
              <w:t>(6)投标文件中未出现有关投标报价的内容。</w:t>
            </w:r>
          </w:p>
          <w:p>
            <w:pPr>
              <w:spacing w:line="400" w:lineRule="exact"/>
              <w:ind w:firstLine="400" w:firstLineChars="200"/>
              <w:rPr>
                <w:rFonts w:ascii="宋体" w:hAnsi="宋体"/>
              </w:rPr>
            </w:pPr>
            <w:r>
              <w:rPr>
                <w:rFonts w:hint="eastAsia" w:ascii="宋体" w:hAnsi="宋体"/>
              </w:rPr>
              <w:t>(7)投标文件载明的招标项目完成期限未超过招标文件规定的时限。</w:t>
            </w:r>
          </w:p>
          <w:p>
            <w:pPr>
              <w:spacing w:line="400" w:lineRule="exact"/>
              <w:ind w:firstLine="400" w:firstLineChars="200"/>
              <w:rPr>
                <w:rFonts w:ascii="宋体" w:hAnsi="宋体"/>
              </w:rPr>
            </w:pPr>
            <w:r>
              <w:rPr>
                <w:rFonts w:hint="eastAsia" w:ascii="宋体" w:hAnsi="宋体"/>
              </w:rPr>
              <w:t>(8)投标文件对招标文件的实质性要求和条件作出响应。</w:t>
            </w:r>
          </w:p>
          <w:p>
            <w:pPr>
              <w:spacing w:line="400" w:lineRule="exact"/>
              <w:ind w:firstLine="400" w:firstLineChars="200"/>
              <w:rPr>
                <w:rFonts w:ascii="宋体" w:hAnsi="宋体"/>
              </w:rPr>
            </w:pPr>
            <w:r>
              <w:rPr>
                <w:rFonts w:hint="eastAsia" w:ascii="宋体" w:hAnsi="宋体"/>
              </w:rPr>
              <w:t>(9)权利义务符合招标文件规定：</w:t>
            </w:r>
          </w:p>
          <w:p>
            <w:pPr>
              <w:spacing w:line="400" w:lineRule="exact"/>
              <w:ind w:firstLine="400" w:firstLineChars="200"/>
              <w:rPr>
                <w:rFonts w:ascii="宋体" w:hAnsi="宋体"/>
              </w:rPr>
            </w:pPr>
            <w:r>
              <w:rPr>
                <w:rFonts w:hint="eastAsia" w:ascii="宋体" w:hAnsi="宋体"/>
              </w:rPr>
              <w:t>a.投标人应接受招标文件规定的风险划分原则，未提出新的风险划分办法；</w:t>
            </w:r>
          </w:p>
          <w:p>
            <w:pPr>
              <w:spacing w:line="400" w:lineRule="exact"/>
              <w:ind w:firstLine="400" w:firstLineChars="200"/>
              <w:rPr>
                <w:rFonts w:ascii="宋体" w:hAnsi="宋体"/>
              </w:rPr>
            </w:pPr>
            <w:r>
              <w:rPr>
                <w:rFonts w:hint="eastAsia" w:ascii="宋体" w:hAnsi="宋体"/>
              </w:rPr>
              <w:t>b.投标人未增加发包人的责任范围，或减少投标人义务；</w:t>
            </w:r>
          </w:p>
          <w:p>
            <w:pPr>
              <w:spacing w:line="400" w:lineRule="exact"/>
              <w:ind w:firstLine="400" w:firstLineChars="200"/>
              <w:rPr>
                <w:rFonts w:ascii="宋体" w:hAnsi="宋体"/>
              </w:rPr>
            </w:pPr>
            <w:r>
              <w:rPr>
                <w:rFonts w:hint="eastAsia" w:ascii="宋体" w:hAnsi="宋体"/>
              </w:rPr>
              <w:t>c.投标人未提出不同的工程验收、计量、支付办法；</w:t>
            </w:r>
          </w:p>
          <w:p>
            <w:pPr>
              <w:spacing w:line="400" w:lineRule="exact"/>
              <w:ind w:firstLine="400" w:firstLineChars="200"/>
              <w:rPr>
                <w:rFonts w:ascii="宋体" w:hAnsi="宋体"/>
              </w:rPr>
            </w:pPr>
            <w:r>
              <w:rPr>
                <w:rFonts w:hint="eastAsia" w:ascii="宋体" w:hAnsi="宋体"/>
              </w:rPr>
              <w:t>d.投标人对合同纠纷、事故处理办法未提出异议；</w:t>
            </w:r>
          </w:p>
          <w:p>
            <w:pPr>
              <w:spacing w:line="400" w:lineRule="exact"/>
              <w:ind w:firstLine="400" w:firstLineChars="200"/>
              <w:rPr>
                <w:rFonts w:ascii="宋体" w:hAnsi="宋体"/>
              </w:rPr>
            </w:pPr>
            <w:r>
              <w:rPr>
                <w:rFonts w:hint="eastAsia" w:ascii="宋体" w:hAnsi="宋体"/>
              </w:rPr>
              <w:t>e.投标人在投标活动中无欺诈行为；</w:t>
            </w:r>
          </w:p>
          <w:p>
            <w:pPr>
              <w:spacing w:line="400" w:lineRule="exact"/>
              <w:ind w:firstLine="400" w:firstLineChars="200"/>
              <w:rPr>
                <w:rFonts w:ascii="宋体" w:hAnsi="宋体"/>
              </w:rPr>
            </w:pPr>
            <w:r>
              <w:rPr>
                <w:rFonts w:hint="eastAsia" w:ascii="宋体" w:hAnsi="宋体"/>
              </w:rPr>
              <w:t>f.投标人未对合同条款有重要保留。</w:t>
            </w:r>
          </w:p>
          <w:p>
            <w:pPr>
              <w:spacing w:line="400" w:lineRule="exact"/>
              <w:ind w:firstLine="400" w:firstLineChars="200"/>
              <w:rPr>
                <w:rFonts w:ascii="宋体" w:hAnsi="宋体"/>
              </w:rPr>
            </w:pPr>
            <w:r>
              <w:rPr>
                <w:rFonts w:hint="eastAsia" w:ascii="宋体" w:hAnsi="宋体"/>
              </w:rPr>
              <w:t>(10)投标文件正、副本份数符合招标文件第二章“投标人须知”第3.7.4 项规定。</w:t>
            </w:r>
          </w:p>
          <w:p>
            <w:pPr>
              <w:spacing w:line="400" w:lineRule="exact"/>
              <w:rPr>
                <w:rFonts w:ascii="宋体" w:hAnsi="宋体"/>
                <w:b/>
                <w:bCs/>
              </w:rPr>
            </w:pPr>
            <w:r>
              <w:rPr>
                <w:rFonts w:hint="eastAsia" w:ascii="宋体" w:hAnsi="宋体"/>
                <w:b/>
                <w:bCs/>
              </w:rPr>
              <w:t>第二个信封（报价文件）评审标准：</w:t>
            </w:r>
          </w:p>
          <w:p>
            <w:pPr>
              <w:spacing w:line="400" w:lineRule="exact"/>
              <w:ind w:firstLine="400" w:firstLineChars="200"/>
              <w:rPr>
                <w:rFonts w:ascii="宋体" w:hAnsi="宋体"/>
              </w:rPr>
            </w:pPr>
            <w:r>
              <w:rPr>
                <w:rFonts w:hint="eastAsia" w:ascii="宋体" w:hAnsi="宋体"/>
              </w:rPr>
              <w:t>(1)投标文件按照招标文件规定的格式、内容填写，字迹清晰可辨，内容齐全完整：</w:t>
            </w:r>
          </w:p>
          <w:p>
            <w:pPr>
              <w:spacing w:line="400" w:lineRule="exact"/>
              <w:ind w:firstLine="400" w:firstLineChars="200"/>
              <w:rPr>
                <w:rFonts w:ascii="宋体" w:hAnsi="宋体"/>
              </w:rPr>
            </w:pPr>
            <w:r>
              <w:rPr>
                <w:rFonts w:hint="eastAsia" w:ascii="宋体" w:hAnsi="宋体"/>
              </w:rPr>
              <w:t>a.投标函按招标文件规定填报了投标价（包括大写金额和小写金额），且投标价未超过招标文件设定的最高投标限价（如有）；</w:t>
            </w:r>
          </w:p>
          <w:p>
            <w:pPr>
              <w:spacing w:line="400" w:lineRule="exact"/>
              <w:ind w:firstLine="400" w:firstLineChars="200"/>
              <w:rPr>
                <w:rFonts w:ascii="宋体" w:hAnsi="宋体"/>
              </w:rPr>
            </w:pPr>
            <w:r>
              <w:rPr>
                <w:rFonts w:hint="eastAsia" w:ascii="宋体" w:hAnsi="宋体"/>
              </w:rPr>
              <w:t>b.已标价工程量清单说明文字与招标文件规定一致，未进行修改和删减。</w:t>
            </w:r>
          </w:p>
          <w:p>
            <w:pPr>
              <w:spacing w:line="400" w:lineRule="exact"/>
              <w:ind w:firstLine="400" w:firstLineChars="200"/>
              <w:rPr>
                <w:rFonts w:ascii="宋体" w:hAnsi="宋体"/>
              </w:rPr>
            </w:pPr>
            <w:r>
              <w:rPr>
                <w:rFonts w:hint="eastAsia" w:ascii="宋体" w:hAnsi="宋体"/>
              </w:rPr>
              <w:t>(2)投标文件上法定代表人或其授权代理人的签字、投标人的单位章盖章齐全，符合招标文件规定。</w:t>
            </w:r>
          </w:p>
          <w:p>
            <w:pPr>
              <w:spacing w:line="400" w:lineRule="exact"/>
              <w:ind w:firstLine="400" w:firstLineChars="200"/>
              <w:rPr>
                <w:rFonts w:ascii="宋体" w:hAnsi="宋体"/>
              </w:rPr>
            </w:pPr>
            <w:r>
              <w:rPr>
                <w:rFonts w:hint="eastAsia" w:ascii="宋体" w:hAnsi="宋体"/>
              </w:rPr>
              <w:t>(3)同一投标人未提交两个以上不同的投标报价，但招标文件要求提交备选投标的除外。</w:t>
            </w:r>
          </w:p>
          <w:p>
            <w:pPr>
              <w:spacing w:line="400" w:lineRule="exact"/>
              <w:ind w:firstLine="400" w:firstLineChars="200"/>
              <w:rPr>
                <w:rFonts w:ascii="宋体" w:hAnsi="宋体"/>
              </w:rPr>
            </w:pPr>
            <w:r>
              <w:rPr>
                <w:rFonts w:hint="eastAsia" w:ascii="宋体" w:hAnsi="宋体"/>
              </w:rPr>
              <w:t>(4)投标人若填写工程量固化清单，填写完毕的工程量固化清单未对工程量固化清单电子文件中的数据、格式和运算定义进行修改。</w:t>
            </w:r>
          </w:p>
          <w:p>
            <w:pPr>
              <w:spacing w:line="400" w:lineRule="exact"/>
              <w:ind w:firstLine="400" w:firstLineChars="200"/>
              <w:rPr>
                <w:rFonts w:ascii="宋体" w:hAnsi="宋体"/>
                <w:b/>
                <w:bCs/>
                <w:kern w:val="2"/>
                <w:sz w:val="21"/>
                <w:szCs w:val="21"/>
              </w:rPr>
            </w:pPr>
            <w:r>
              <w:rPr>
                <w:rFonts w:hint="eastAsia" w:ascii="宋体" w:hAnsi="宋体"/>
              </w:rPr>
              <w:t>(5)投标文件正、副本份数符合招标文件第二章“投标人须知”第3.7.4 项规定。</w:t>
            </w:r>
          </w:p>
        </w:tc>
      </w:tr>
      <w:tr>
        <w:tblPrEx>
          <w:tblLayout w:type="fixed"/>
          <w:tblCellMar>
            <w:top w:w="0" w:type="dxa"/>
            <w:left w:w="0" w:type="dxa"/>
            <w:bottom w:w="0" w:type="dxa"/>
            <w:right w:w="0" w:type="dxa"/>
          </w:tblCellMar>
        </w:tblPrEx>
        <w:trPr>
          <w:trHeight w:val="3678" w:hRule="atLeast"/>
          <w:jc w:val="center"/>
        </w:trPr>
        <w:tc>
          <w:tcPr>
            <w:tcW w:w="1219" w:type="dxa"/>
            <w:tcBorders>
              <w:top w:val="single" w:color="000000" w:sz="4" w:space="0"/>
              <w:left w:val="single" w:color="000000" w:sz="4" w:space="0"/>
              <w:bottom w:val="single" w:color="auto" w:sz="4" w:space="0"/>
              <w:right w:val="single" w:color="auto" w:sz="4" w:space="0"/>
            </w:tcBorders>
            <w:vAlign w:val="center"/>
          </w:tcPr>
          <w:p>
            <w:pPr>
              <w:widowControl w:val="0"/>
              <w:jc w:val="center"/>
              <w:rPr>
                <w:rFonts w:ascii="宋体" w:hAnsi="宋体"/>
                <w:kern w:val="2"/>
                <w:sz w:val="21"/>
                <w:szCs w:val="21"/>
              </w:rPr>
            </w:pPr>
            <w:r>
              <w:rPr>
                <w:rFonts w:hint="eastAsia" w:ascii="宋体" w:hAnsi="宋体"/>
              </w:rPr>
              <w:t>2.1.2</w:t>
            </w:r>
          </w:p>
        </w:tc>
        <w:tc>
          <w:tcPr>
            <w:tcW w:w="1214" w:type="dxa"/>
            <w:tcBorders>
              <w:top w:val="single" w:color="000000" w:sz="4" w:space="0"/>
              <w:left w:val="nil"/>
              <w:bottom w:val="single" w:color="auto" w:sz="4" w:space="0"/>
              <w:right w:val="single" w:color="000000" w:sz="4" w:space="0"/>
            </w:tcBorders>
            <w:vAlign w:val="center"/>
          </w:tcPr>
          <w:p>
            <w:pPr>
              <w:widowControl w:val="0"/>
              <w:jc w:val="center"/>
              <w:rPr>
                <w:rFonts w:ascii="宋体" w:hAnsi="宋体"/>
                <w:kern w:val="2"/>
                <w:sz w:val="21"/>
                <w:szCs w:val="21"/>
              </w:rPr>
            </w:pPr>
            <w:r>
              <w:rPr>
                <w:rFonts w:hint="eastAsia" w:ascii="宋体" w:hAnsi="宋体"/>
              </w:rPr>
              <w:t>资格评审标准</w:t>
            </w:r>
          </w:p>
        </w:tc>
        <w:tc>
          <w:tcPr>
            <w:tcW w:w="7380" w:type="dxa"/>
            <w:tcBorders>
              <w:top w:val="single" w:color="000000" w:sz="4" w:space="0"/>
              <w:left w:val="nil"/>
              <w:bottom w:val="single" w:color="auto" w:sz="4" w:space="0"/>
              <w:right w:val="single" w:color="000000" w:sz="4" w:space="0"/>
            </w:tcBorders>
            <w:vAlign w:val="center"/>
          </w:tcPr>
          <w:p>
            <w:pPr>
              <w:spacing w:line="400" w:lineRule="exact"/>
              <w:ind w:firstLine="400" w:firstLineChars="200"/>
              <w:rPr>
                <w:rFonts w:ascii="宋体" w:hAnsi="宋体"/>
              </w:rPr>
            </w:pPr>
            <w:r>
              <w:rPr>
                <w:rFonts w:hint="eastAsia" w:ascii="宋体" w:hAnsi="宋体"/>
              </w:rPr>
              <w:t>(1)投标人具备有效的营业执照、资质证书和安全生产许可证和基本账户开户许可证；</w:t>
            </w:r>
          </w:p>
          <w:p>
            <w:pPr>
              <w:spacing w:line="400" w:lineRule="exact"/>
              <w:ind w:firstLine="400" w:firstLineChars="200"/>
              <w:rPr>
                <w:rFonts w:ascii="宋体" w:hAnsi="宋体"/>
              </w:rPr>
            </w:pPr>
            <w:r>
              <w:rPr>
                <w:rFonts w:hint="eastAsia" w:ascii="宋体" w:hAnsi="宋体"/>
              </w:rPr>
              <w:t>(2)投标人的资质等级符合招标文件规定；</w:t>
            </w:r>
          </w:p>
          <w:p>
            <w:pPr>
              <w:spacing w:line="400" w:lineRule="exact"/>
              <w:ind w:firstLine="400" w:firstLineChars="200"/>
              <w:rPr>
                <w:rFonts w:ascii="宋体" w:hAnsi="宋体"/>
              </w:rPr>
            </w:pPr>
            <w:r>
              <w:rPr>
                <w:rFonts w:hint="eastAsia" w:ascii="宋体" w:hAnsi="宋体"/>
              </w:rPr>
              <w:t>(3)投标人的财务状况符合招标文件规定；</w:t>
            </w:r>
          </w:p>
          <w:p>
            <w:pPr>
              <w:spacing w:line="400" w:lineRule="exact"/>
              <w:ind w:firstLine="400" w:firstLineChars="200"/>
              <w:rPr>
                <w:rFonts w:ascii="宋体" w:hAnsi="宋体"/>
              </w:rPr>
            </w:pPr>
            <w:r>
              <w:rPr>
                <w:rFonts w:hint="eastAsia" w:ascii="宋体" w:hAnsi="宋体"/>
              </w:rPr>
              <w:t>(4)投标人的类似项目业绩符合招标文件规定；</w:t>
            </w:r>
          </w:p>
          <w:p>
            <w:pPr>
              <w:spacing w:line="400" w:lineRule="exact"/>
              <w:ind w:firstLine="400" w:firstLineChars="200"/>
              <w:rPr>
                <w:rFonts w:ascii="宋体" w:hAnsi="宋体"/>
              </w:rPr>
            </w:pPr>
            <w:r>
              <w:rPr>
                <w:rFonts w:hint="eastAsia" w:ascii="宋体" w:hAnsi="宋体"/>
              </w:rPr>
              <w:t>(5)投标人的信誉符合招标文件规定；</w:t>
            </w:r>
          </w:p>
          <w:p>
            <w:pPr>
              <w:spacing w:line="400" w:lineRule="exact"/>
              <w:ind w:firstLine="400" w:firstLineChars="200"/>
              <w:rPr>
                <w:rFonts w:ascii="宋体" w:hAnsi="宋体"/>
              </w:rPr>
            </w:pPr>
            <w:r>
              <w:rPr>
                <w:rFonts w:hint="eastAsia" w:ascii="宋体" w:hAnsi="宋体"/>
              </w:rPr>
              <w:t>(6)投标人的项目经理资格符合招标文件规定；</w:t>
            </w:r>
          </w:p>
          <w:p>
            <w:pPr>
              <w:spacing w:line="400" w:lineRule="exact"/>
              <w:ind w:firstLine="400" w:firstLineChars="200"/>
              <w:rPr>
                <w:rFonts w:ascii="宋体" w:hAnsi="宋体"/>
              </w:rPr>
            </w:pPr>
            <w:r>
              <w:rPr>
                <w:rFonts w:hint="eastAsia" w:ascii="宋体" w:hAnsi="宋体"/>
              </w:rPr>
              <w:t>(7)投标人的其他要求符合招标文件规定；</w:t>
            </w:r>
          </w:p>
          <w:p>
            <w:pPr>
              <w:widowControl w:val="0"/>
              <w:spacing w:line="400" w:lineRule="exact"/>
              <w:ind w:firstLine="400" w:firstLineChars="200"/>
              <w:jc w:val="both"/>
              <w:rPr>
                <w:rFonts w:ascii="宋体" w:hAnsi="宋体"/>
                <w:kern w:val="2"/>
                <w:sz w:val="21"/>
                <w:szCs w:val="21"/>
              </w:rPr>
            </w:pPr>
            <w:r>
              <w:rPr>
                <w:rFonts w:hint="eastAsia" w:ascii="宋体" w:hAnsi="宋体"/>
              </w:rPr>
              <w:t>(8)投标人不存在第二章“投标人须知”第1.4.3项规定的任何一种情形；</w:t>
            </w:r>
          </w:p>
        </w:tc>
      </w:tr>
      <w:tr>
        <w:tblPrEx>
          <w:tblLayout w:type="fixed"/>
          <w:tblCellMar>
            <w:top w:w="0" w:type="dxa"/>
            <w:left w:w="0" w:type="dxa"/>
            <w:bottom w:w="0" w:type="dxa"/>
            <w:right w:w="0" w:type="dxa"/>
          </w:tblCellMar>
        </w:tblPrEx>
        <w:trPr>
          <w:trHeight w:val="1878"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widowControl w:val="0"/>
              <w:jc w:val="center"/>
              <w:rPr>
                <w:rFonts w:ascii="宋体" w:hAnsi="宋体"/>
                <w:kern w:val="2"/>
                <w:sz w:val="21"/>
                <w:szCs w:val="21"/>
              </w:rPr>
            </w:pPr>
            <w:r>
              <w:rPr>
                <w:rFonts w:hint="eastAsia" w:ascii="宋体" w:hAnsi="宋体"/>
              </w:rPr>
              <w:t>2.2.1</w:t>
            </w:r>
          </w:p>
        </w:tc>
        <w:tc>
          <w:tcPr>
            <w:tcW w:w="1214" w:type="dxa"/>
            <w:tcBorders>
              <w:top w:val="single" w:color="auto" w:sz="4" w:space="0"/>
              <w:left w:val="nil"/>
              <w:bottom w:val="single" w:color="auto" w:sz="4" w:space="0"/>
              <w:right w:val="single" w:color="000000" w:sz="4" w:space="0"/>
            </w:tcBorders>
            <w:vAlign w:val="center"/>
          </w:tcPr>
          <w:p>
            <w:pPr>
              <w:jc w:val="center"/>
              <w:rPr>
                <w:rFonts w:ascii="宋体" w:hAnsi="宋体"/>
              </w:rPr>
            </w:pPr>
            <w:r>
              <w:rPr>
                <w:rFonts w:hint="eastAsia" w:ascii="宋体" w:hAnsi="宋体"/>
              </w:rPr>
              <w:t>第一个信封</w:t>
            </w:r>
          </w:p>
          <w:p>
            <w:pPr>
              <w:widowControl w:val="0"/>
              <w:jc w:val="center"/>
              <w:rPr>
                <w:rFonts w:ascii="宋体" w:hAnsi="宋体"/>
                <w:kern w:val="2"/>
                <w:sz w:val="21"/>
                <w:szCs w:val="21"/>
              </w:rPr>
            </w:pPr>
            <w:r>
              <w:rPr>
                <w:rFonts w:hint="eastAsia" w:ascii="宋体" w:hAnsi="宋体"/>
              </w:rPr>
              <w:t>评分分值构成(总分100分)</w:t>
            </w:r>
          </w:p>
        </w:tc>
        <w:tc>
          <w:tcPr>
            <w:tcW w:w="7380" w:type="dxa"/>
            <w:tcBorders>
              <w:top w:val="single" w:color="auto" w:sz="4" w:space="0"/>
              <w:left w:val="nil"/>
              <w:bottom w:val="single" w:color="auto" w:sz="4" w:space="0"/>
              <w:right w:val="single" w:color="000000" w:sz="4" w:space="0"/>
            </w:tcBorders>
            <w:vAlign w:val="center"/>
          </w:tcPr>
          <w:p>
            <w:pPr>
              <w:spacing w:line="400" w:lineRule="exact"/>
              <w:ind w:firstLine="400" w:firstLineChars="200"/>
              <w:rPr>
                <w:rFonts w:ascii="宋体" w:hAnsi="宋体"/>
              </w:rPr>
            </w:pPr>
            <w:r>
              <w:rPr>
                <w:rFonts w:hint="eastAsia" w:ascii="宋体" w:hAnsi="宋体"/>
              </w:rPr>
              <w:t>施工组织设计40分</w:t>
            </w:r>
          </w:p>
          <w:p>
            <w:pPr>
              <w:spacing w:line="400" w:lineRule="exact"/>
              <w:ind w:firstLine="400" w:firstLineChars="200"/>
              <w:rPr>
                <w:rFonts w:ascii="宋体" w:hAnsi="宋体"/>
              </w:rPr>
            </w:pPr>
            <w:r>
              <w:rPr>
                <w:rFonts w:hint="eastAsia" w:ascii="宋体" w:hAnsi="宋体"/>
              </w:rPr>
              <w:t>项目管理机构25分</w:t>
            </w:r>
          </w:p>
          <w:p>
            <w:pPr>
              <w:spacing w:line="400" w:lineRule="exact"/>
              <w:ind w:firstLine="400" w:firstLineChars="200"/>
              <w:rPr>
                <w:rFonts w:ascii="宋体" w:hAnsi="宋体"/>
              </w:rPr>
            </w:pPr>
            <w:r>
              <w:rPr>
                <w:rFonts w:hint="eastAsia" w:ascii="宋体" w:hAnsi="宋体"/>
              </w:rPr>
              <w:t>技术能力20分</w:t>
            </w:r>
          </w:p>
          <w:p>
            <w:pPr>
              <w:widowControl w:val="0"/>
              <w:spacing w:line="400" w:lineRule="exact"/>
              <w:ind w:firstLine="400" w:firstLineChars="200"/>
              <w:rPr>
                <w:rFonts w:ascii="宋体" w:hAnsi="宋体"/>
                <w:kern w:val="2"/>
                <w:sz w:val="21"/>
                <w:szCs w:val="21"/>
              </w:rPr>
            </w:pPr>
            <w:r>
              <w:rPr>
                <w:rFonts w:hint="eastAsia" w:ascii="宋体" w:hAnsi="宋体"/>
              </w:rPr>
              <w:t>履约信誉15分</w:t>
            </w:r>
          </w:p>
        </w:tc>
      </w:tr>
      <w:tr>
        <w:tblPrEx>
          <w:tblLayout w:type="fixed"/>
          <w:tblCellMar>
            <w:top w:w="0" w:type="dxa"/>
            <w:left w:w="0" w:type="dxa"/>
            <w:bottom w:w="0" w:type="dxa"/>
            <w:right w:w="0" w:type="dxa"/>
          </w:tblCellMar>
        </w:tblPrEx>
        <w:trPr>
          <w:trHeight w:val="497" w:hRule="atLeast"/>
          <w:jc w:val="center"/>
        </w:trPr>
        <w:tc>
          <w:tcPr>
            <w:tcW w:w="1219" w:type="dxa"/>
            <w:tcBorders>
              <w:top w:val="single" w:color="000000" w:sz="4" w:space="0"/>
              <w:left w:val="single" w:color="000000" w:sz="4" w:space="0"/>
              <w:bottom w:val="single" w:color="000000" w:sz="4" w:space="0"/>
              <w:right w:val="single" w:color="auto" w:sz="4" w:space="0"/>
            </w:tcBorders>
            <w:vAlign w:val="center"/>
          </w:tcPr>
          <w:p>
            <w:pPr>
              <w:widowControl w:val="0"/>
              <w:jc w:val="center"/>
              <w:rPr>
                <w:rFonts w:ascii="宋体" w:hAnsi="宋体"/>
                <w:b/>
                <w:bCs/>
                <w:kern w:val="2"/>
                <w:sz w:val="21"/>
                <w:szCs w:val="21"/>
              </w:rPr>
            </w:pPr>
            <w:r>
              <w:rPr>
                <w:rFonts w:hint="eastAsia" w:ascii="宋体" w:hAnsi="宋体"/>
                <w:b/>
                <w:bCs/>
              </w:rPr>
              <w:t>条款号</w:t>
            </w:r>
          </w:p>
        </w:tc>
        <w:tc>
          <w:tcPr>
            <w:tcW w:w="1214" w:type="dxa"/>
            <w:tcBorders>
              <w:top w:val="single" w:color="000000" w:sz="4" w:space="0"/>
              <w:left w:val="nil"/>
              <w:bottom w:val="single" w:color="000000" w:sz="4" w:space="0"/>
              <w:right w:val="single" w:color="000000" w:sz="4" w:space="0"/>
            </w:tcBorders>
            <w:vAlign w:val="center"/>
          </w:tcPr>
          <w:p>
            <w:pPr>
              <w:widowControl w:val="0"/>
              <w:jc w:val="center"/>
              <w:rPr>
                <w:rFonts w:ascii="宋体" w:hAnsi="宋体"/>
                <w:b/>
                <w:bCs/>
                <w:kern w:val="2"/>
                <w:sz w:val="21"/>
                <w:szCs w:val="21"/>
              </w:rPr>
            </w:pPr>
            <w:r>
              <w:rPr>
                <w:rFonts w:hint="eastAsia" w:ascii="宋体" w:hAnsi="宋体"/>
                <w:b/>
                <w:bCs/>
              </w:rPr>
              <w:t>条款内容</w:t>
            </w:r>
          </w:p>
        </w:tc>
        <w:tc>
          <w:tcPr>
            <w:tcW w:w="7380" w:type="dxa"/>
            <w:tcBorders>
              <w:top w:val="single" w:color="000000" w:sz="4" w:space="0"/>
              <w:left w:val="nil"/>
              <w:bottom w:val="single" w:color="000000" w:sz="4" w:space="0"/>
              <w:right w:val="single" w:color="000000" w:sz="4" w:space="0"/>
            </w:tcBorders>
            <w:vAlign w:val="center"/>
          </w:tcPr>
          <w:p>
            <w:pPr>
              <w:widowControl w:val="0"/>
              <w:jc w:val="center"/>
              <w:rPr>
                <w:rFonts w:ascii="宋体" w:hAnsi="宋体"/>
                <w:b/>
                <w:bCs/>
                <w:kern w:val="2"/>
                <w:sz w:val="21"/>
                <w:szCs w:val="21"/>
              </w:rPr>
            </w:pPr>
            <w:r>
              <w:rPr>
                <w:rFonts w:hint="eastAsia" w:ascii="宋体" w:hAnsi="宋体"/>
                <w:b/>
                <w:bCs/>
              </w:rPr>
              <w:t>评审因素与标准</w:t>
            </w:r>
          </w:p>
        </w:tc>
      </w:tr>
      <w:tr>
        <w:tblPrEx>
          <w:tblLayout w:type="fixed"/>
          <w:tblCellMar>
            <w:top w:w="0" w:type="dxa"/>
            <w:left w:w="0" w:type="dxa"/>
            <w:bottom w:w="0" w:type="dxa"/>
            <w:right w:w="0" w:type="dxa"/>
          </w:tblCellMar>
        </w:tblPrEx>
        <w:trPr>
          <w:trHeight w:val="2851"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widowControl w:val="0"/>
              <w:jc w:val="center"/>
              <w:rPr>
                <w:rFonts w:ascii="宋体" w:hAnsi="宋体"/>
                <w:kern w:val="2"/>
                <w:sz w:val="21"/>
                <w:szCs w:val="21"/>
              </w:rPr>
            </w:pPr>
            <w:r>
              <w:rPr>
                <w:rFonts w:hint="eastAsia" w:ascii="宋体" w:hAnsi="宋体"/>
              </w:rPr>
              <w:t>2.2.（1）</w:t>
            </w:r>
          </w:p>
        </w:tc>
        <w:tc>
          <w:tcPr>
            <w:tcW w:w="1214" w:type="dxa"/>
            <w:tcBorders>
              <w:top w:val="single" w:color="auto" w:sz="4" w:space="0"/>
              <w:left w:val="nil"/>
              <w:bottom w:val="single" w:color="auto" w:sz="4" w:space="0"/>
              <w:right w:val="single" w:color="auto" w:sz="4" w:space="0"/>
            </w:tcBorders>
            <w:vAlign w:val="center"/>
          </w:tcPr>
          <w:p>
            <w:pPr>
              <w:widowControl w:val="0"/>
              <w:jc w:val="center"/>
              <w:rPr>
                <w:rFonts w:ascii="宋体" w:hAnsi="宋体"/>
                <w:kern w:val="2"/>
                <w:sz w:val="21"/>
                <w:szCs w:val="21"/>
              </w:rPr>
            </w:pPr>
            <w:r>
              <w:rPr>
                <w:rFonts w:hint="eastAsia" w:ascii="宋体" w:hAnsi="宋体"/>
              </w:rPr>
              <w:t>施工组织设计（0-40分）</w:t>
            </w:r>
          </w:p>
        </w:tc>
        <w:tc>
          <w:tcPr>
            <w:tcW w:w="7380" w:type="dxa"/>
            <w:tcBorders>
              <w:top w:val="single" w:color="auto" w:sz="4" w:space="0"/>
              <w:left w:val="nil"/>
              <w:bottom w:val="single" w:color="auto" w:sz="4" w:space="0"/>
              <w:right w:val="single" w:color="000000" w:sz="4" w:space="0"/>
            </w:tcBorders>
            <w:vAlign w:val="center"/>
          </w:tcPr>
          <w:p>
            <w:pPr>
              <w:spacing w:line="400" w:lineRule="exact"/>
              <w:ind w:firstLine="400" w:firstLineChars="200"/>
              <w:rPr>
                <w:rFonts w:ascii="宋体" w:hAnsi="宋体"/>
              </w:rPr>
            </w:pPr>
            <w:r>
              <w:rPr>
                <w:rFonts w:hint="eastAsia" w:ascii="宋体" w:hAnsi="宋体"/>
              </w:rPr>
              <w:t>1、投标人应按以下要点编制施工组织设计（文字宜精炼、内容具有针对性，总体控制在30000字以内）；</w:t>
            </w:r>
          </w:p>
          <w:p>
            <w:pPr>
              <w:spacing w:line="400" w:lineRule="exact"/>
              <w:ind w:firstLine="400" w:firstLineChars="200"/>
              <w:rPr>
                <w:rFonts w:ascii="宋体" w:hAnsi="宋体"/>
              </w:rPr>
            </w:pPr>
            <w:r>
              <w:rPr>
                <w:rFonts w:hint="eastAsia" w:ascii="宋体" w:hAnsi="宋体"/>
              </w:rPr>
              <w:t>（1）总体施工组织布置及规划                   0-2分</w:t>
            </w:r>
          </w:p>
          <w:p>
            <w:pPr>
              <w:spacing w:line="400" w:lineRule="exact"/>
              <w:ind w:firstLine="400" w:firstLineChars="200"/>
              <w:rPr>
                <w:rFonts w:ascii="宋体" w:hAnsi="宋体"/>
              </w:rPr>
            </w:pPr>
            <w:r>
              <w:rPr>
                <w:rFonts w:hint="eastAsia" w:ascii="宋体" w:hAnsi="宋体"/>
              </w:rPr>
              <w:t>（2）主要工程项目的施工方案、方法与技术措施（尤其对重点、关键和难点工程的施工方案、方法及其措施）                      0-4分</w:t>
            </w:r>
          </w:p>
          <w:p>
            <w:pPr>
              <w:spacing w:line="400" w:lineRule="exact"/>
              <w:ind w:firstLine="400" w:firstLineChars="200"/>
              <w:rPr>
                <w:rFonts w:ascii="宋体" w:hAnsi="宋体"/>
              </w:rPr>
            </w:pPr>
            <w:r>
              <w:rPr>
                <w:rFonts w:hint="eastAsia" w:ascii="宋体" w:hAnsi="宋体"/>
              </w:rPr>
              <w:t>（3）工期的保证体系及保证措施                 0-3分</w:t>
            </w:r>
          </w:p>
          <w:p>
            <w:pPr>
              <w:spacing w:line="400" w:lineRule="exact"/>
              <w:ind w:firstLine="400" w:firstLineChars="200"/>
              <w:rPr>
                <w:rFonts w:ascii="宋体" w:hAnsi="宋体"/>
              </w:rPr>
            </w:pPr>
            <w:r>
              <w:rPr>
                <w:rFonts w:hint="eastAsia" w:ascii="宋体" w:hAnsi="宋体"/>
              </w:rPr>
              <w:t>（4）工程质量管理体系及保证措施               0-3分</w:t>
            </w:r>
          </w:p>
          <w:p>
            <w:pPr>
              <w:spacing w:line="400" w:lineRule="exact"/>
              <w:ind w:firstLine="400" w:firstLineChars="200"/>
              <w:rPr>
                <w:rFonts w:ascii="宋体" w:hAnsi="宋体"/>
              </w:rPr>
            </w:pPr>
            <w:r>
              <w:rPr>
                <w:rFonts w:hint="eastAsia" w:ascii="宋体" w:hAnsi="宋体"/>
              </w:rPr>
              <w:t>（5）安全生产管理体系及保证措施               0-3分</w:t>
            </w:r>
          </w:p>
          <w:p>
            <w:pPr>
              <w:spacing w:line="400" w:lineRule="exact"/>
              <w:ind w:firstLine="400" w:firstLineChars="200"/>
              <w:rPr>
                <w:rFonts w:ascii="宋体" w:hAnsi="宋体"/>
                <w:b/>
                <w:bCs/>
              </w:rPr>
            </w:pPr>
            <w:r>
              <w:rPr>
                <w:rFonts w:hint="eastAsia" w:ascii="宋体" w:hAnsi="宋体"/>
              </w:rPr>
              <w:t>（6）环境保护、水土保持保证体系及保证措施</w:t>
            </w:r>
            <w:r>
              <w:rPr>
                <w:rFonts w:hint="eastAsia" w:ascii="宋体" w:hAnsi="宋体"/>
                <w:b/>
                <w:bCs/>
              </w:rPr>
              <w:t xml:space="preserve">（含扬尘治理措施）                                                                  </w:t>
            </w:r>
          </w:p>
          <w:p>
            <w:pPr>
              <w:spacing w:line="400" w:lineRule="exact"/>
              <w:ind w:firstLine="402" w:firstLineChars="200"/>
              <w:rPr>
                <w:rFonts w:ascii="宋体" w:hAnsi="宋体"/>
              </w:rPr>
            </w:pPr>
            <w:r>
              <w:rPr>
                <w:rFonts w:hint="eastAsia" w:ascii="宋体" w:hAnsi="宋体"/>
                <w:b/>
                <w:bCs/>
              </w:rPr>
              <w:t xml:space="preserve">                                              </w:t>
            </w:r>
            <w:r>
              <w:rPr>
                <w:rFonts w:hint="eastAsia" w:ascii="宋体" w:hAnsi="宋体"/>
              </w:rPr>
              <w:t>0-3分</w:t>
            </w:r>
          </w:p>
          <w:p>
            <w:pPr>
              <w:spacing w:line="400" w:lineRule="exact"/>
              <w:ind w:firstLine="400" w:firstLineChars="200"/>
              <w:rPr>
                <w:rFonts w:ascii="宋体" w:hAnsi="宋体"/>
              </w:rPr>
            </w:pPr>
            <w:r>
              <w:rPr>
                <w:rFonts w:hint="eastAsia" w:ascii="宋体" w:hAnsi="宋体"/>
              </w:rPr>
              <w:t>（7）文明施工、文物保护保证体系及保证措施     0-2分</w:t>
            </w:r>
          </w:p>
          <w:p>
            <w:pPr>
              <w:spacing w:line="400" w:lineRule="exact"/>
              <w:ind w:firstLine="400" w:firstLineChars="200"/>
              <w:rPr>
                <w:rFonts w:ascii="宋体" w:hAnsi="宋体"/>
              </w:rPr>
            </w:pPr>
            <w:r>
              <w:rPr>
                <w:rFonts w:hint="eastAsia" w:ascii="宋体" w:hAnsi="宋体"/>
              </w:rPr>
              <w:t>（8）项目风险预测与防范，事故应急预案         0-2分</w:t>
            </w:r>
          </w:p>
          <w:p>
            <w:pPr>
              <w:spacing w:line="400" w:lineRule="exact"/>
              <w:ind w:firstLine="400" w:firstLineChars="200"/>
              <w:rPr>
                <w:rFonts w:ascii="宋体" w:hAnsi="宋体"/>
              </w:rPr>
            </w:pPr>
            <w:r>
              <w:rPr>
                <w:rFonts w:hint="eastAsia" w:ascii="宋体" w:hAnsi="宋体"/>
              </w:rPr>
              <w:t>2、施工组织设计除采用文字表述外可附下列图表，图表及格式要求附后。</w:t>
            </w:r>
          </w:p>
          <w:p>
            <w:pPr>
              <w:spacing w:line="400" w:lineRule="exact"/>
              <w:ind w:firstLine="400" w:firstLineChars="200"/>
              <w:rPr>
                <w:rFonts w:ascii="宋体" w:hAnsi="宋体"/>
              </w:rPr>
            </w:pPr>
            <w:r>
              <w:rPr>
                <w:rFonts w:hint="eastAsia" w:ascii="宋体" w:hAnsi="宋体"/>
              </w:rPr>
              <w:t xml:space="preserve">   附表一  施工总体计划表                     0-2分</w:t>
            </w:r>
          </w:p>
          <w:p>
            <w:pPr>
              <w:spacing w:line="400" w:lineRule="exact"/>
              <w:ind w:firstLine="400" w:firstLineChars="200"/>
              <w:rPr>
                <w:rFonts w:ascii="宋体" w:hAnsi="宋体"/>
              </w:rPr>
            </w:pPr>
            <w:r>
              <w:rPr>
                <w:rFonts w:hint="eastAsia" w:ascii="宋体" w:hAnsi="宋体"/>
              </w:rPr>
              <w:t xml:space="preserve">   附表二  分项工程进度率计划（斜率图）       0-2分 </w:t>
            </w:r>
          </w:p>
          <w:p>
            <w:pPr>
              <w:spacing w:line="400" w:lineRule="exact"/>
              <w:ind w:firstLine="400" w:firstLineChars="200"/>
              <w:rPr>
                <w:rFonts w:ascii="宋体" w:hAnsi="宋体"/>
              </w:rPr>
            </w:pPr>
            <w:r>
              <w:rPr>
                <w:rFonts w:hint="eastAsia" w:ascii="宋体" w:hAnsi="宋体"/>
              </w:rPr>
              <w:t xml:space="preserve">   附表三  工程管理曲线                       0-2分</w:t>
            </w:r>
          </w:p>
          <w:p>
            <w:pPr>
              <w:spacing w:line="400" w:lineRule="exact"/>
              <w:ind w:firstLine="400" w:firstLineChars="200"/>
              <w:rPr>
                <w:rFonts w:ascii="宋体" w:hAnsi="宋体"/>
              </w:rPr>
            </w:pPr>
            <w:r>
              <w:rPr>
                <w:rFonts w:hint="eastAsia" w:ascii="宋体" w:hAnsi="宋体"/>
              </w:rPr>
              <w:t xml:space="preserve">   附表四  分项工程生产率和施工周期表         0-2分</w:t>
            </w:r>
          </w:p>
          <w:p>
            <w:pPr>
              <w:spacing w:line="400" w:lineRule="exact"/>
              <w:ind w:firstLine="400" w:firstLineChars="200"/>
              <w:rPr>
                <w:rFonts w:ascii="宋体" w:hAnsi="宋体"/>
              </w:rPr>
            </w:pPr>
            <w:r>
              <w:rPr>
                <w:rFonts w:hint="eastAsia" w:ascii="宋体" w:hAnsi="宋体"/>
              </w:rPr>
              <w:t xml:space="preserve">   附表五  施工总平面图                       0-2分</w:t>
            </w:r>
          </w:p>
          <w:p>
            <w:pPr>
              <w:spacing w:line="400" w:lineRule="exact"/>
              <w:ind w:firstLine="400" w:firstLineChars="200"/>
              <w:rPr>
                <w:rFonts w:ascii="宋体" w:hAnsi="宋体"/>
              </w:rPr>
            </w:pPr>
            <w:r>
              <w:rPr>
                <w:rFonts w:hint="eastAsia" w:ascii="宋体" w:hAnsi="宋体"/>
              </w:rPr>
              <w:t xml:space="preserve">   附表六  劳动力计划表                       0-2分</w:t>
            </w:r>
          </w:p>
          <w:p>
            <w:pPr>
              <w:spacing w:line="400" w:lineRule="exact"/>
              <w:ind w:firstLine="700" w:firstLineChars="350"/>
              <w:rPr>
                <w:rFonts w:ascii="宋体" w:hAnsi="宋体"/>
              </w:rPr>
            </w:pPr>
            <w:r>
              <w:rPr>
                <w:rFonts w:hint="eastAsia" w:ascii="宋体" w:hAnsi="宋体"/>
              </w:rPr>
              <w:t>附表七  临时用地计划表                     0-2分</w:t>
            </w:r>
          </w:p>
          <w:p>
            <w:pPr>
              <w:spacing w:line="400" w:lineRule="exact"/>
              <w:ind w:firstLine="700" w:firstLineChars="350"/>
              <w:rPr>
                <w:rFonts w:ascii="宋体" w:hAnsi="宋体"/>
              </w:rPr>
            </w:pPr>
            <w:r>
              <w:rPr>
                <w:rFonts w:hint="eastAsia" w:ascii="宋体" w:hAnsi="宋体"/>
              </w:rPr>
              <w:t>附表八  外供电力需求计划表                 0-2分</w:t>
            </w:r>
          </w:p>
          <w:p>
            <w:pPr>
              <w:widowControl w:val="0"/>
              <w:spacing w:line="400" w:lineRule="exact"/>
              <w:ind w:firstLine="400" w:firstLineChars="200"/>
              <w:jc w:val="both"/>
              <w:rPr>
                <w:rFonts w:ascii="宋体" w:hAnsi="宋体"/>
                <w:kern w:val="2"/>
                <w:sz w:val="21"/>
                <w:szCs w:val="21"/>
              </w:rPr>
            </w:pPr>
            <w:r>
              <w:rPr>
                <w:rFonts w:hint="eastAsia" w:ascii="宋体" w:hAnsi="宋体"/>
              </w:rPr>
              <w:t xml:space="preserve">   附表九  合同用款估算表                     0-2分</w:t>
            </w:r>
          </w:p>
        </w:tc>
      </w:tr>
      <w:tr>
        <w:tblPrEx>
          <w:tblLayout w:type="fixed"/>
          <w:tblCellMar>
            <w:top w:w="0" w:type="dxa"/>
            <w:left w:w="0" w:type="dxa"/>
            <w:bottom w:w="0" w:type="dxa"/>
            <w:right w:w="0" w:type="dxa"/>
          </w:tblCellMar>
        </w:tblPrEx>
        <w:trPr>
          <w:trHeight w:val="633" w:hRule="atLeast"/>
          <w:jc w:val="center"/>
        </w:trPr>
        <w:tc>
          <w:tcPr>
            <w:tcW w:w="1219" w:type="dxa"/>
            <w:tcBorders>
              <w:top w:val="single" w:color="auto" w:sz="4" w:space="0"/>
              <w:left w:val="single" w:color="000000" w:sz="4" w:space="0"/>
              <w:bottom w:val="single" w:color="000000" w:sz="4" w:space="0"/>
              <w:right w:val="single" w:color="000000" w:sz="4" w:space="0"/>
            </w:tcBorders>
            <w:vAlign w:val="center"/>
          </w:tcPr>
          <w:p>
            <w:pPr>
              <w:widowControl w:val="0"/>
              <w:jc w:val="center"/>
              <w:rPr>
                <w:rFonts w:ascii="宋体" w:hAnsi="宋体"/>
                <w:kern w:val="2"/>
                <w:sz w:val="21"/>
                <w:szCs w:val="21"/>
              </w:rPr>
            </w:pPr>
            <w:r>
              <w:rPr>
                <w:rFonts w:hint="eastAsia" w:ascii="宋体" w:hAnsi="宋体"/>
              </w:rPr>
              <w:t>2.2.2（2）</w:t>
            </w:r>
          </w:p>
        </w:tc>
        <w:tc>
          <w:tcPr>
            <w:tcW w:w="1214" w:type="dxa"/>
            <w:tcBorders>
              <w:top w:val="single" w:color="auto" w:sz="4" w:space="0"/>
              <w:left w:val="nil"/>
              <w:bottom w:val="single" w:color="000000" w:sz="4" w:space="0"/>
              <w:right w:val="single" w:color="auto" w:sz="4" w:space="0"/>
            </w:tcBorders>
            <w:vAlign w:val="center"/>
          </w:tcPr>
          <w:p>
            <w:pPr>
              <w:widowControl w:val="0"/>
              <w:jc w:val="center"/>
              <w:rPr>
                <w:rFonts w:ascii="宋体" w:hAnsi="宋体"/>
                <w:kern w:val="2"/>
                <w:sz w:val="21"/>
                <w:szCs w:val="21"/>
              </w:rPr>
            </w:pPr>
            <w:r>
              <w:rPr>
                <w:rFonts w:hint="eastAsia" w:ascii="宋体" w:hAnsi="宋体"/>
              </w:rPr>
              <w:t>项目管理机构（0-25分）</w:t>
            </w:r>
          </w:p>
        </w:tc>
        <w:tc>
          <w:tcPr>
            <w:tcW w:w="7380" w:type="dxa"/>
            <w:tcBorders>
              <w:top w:val="single" w:color="auto" w:sz="4" w:space="0"/>
              <w:left w:val="nil"/>
              <w:bottom w:val="single" w:color="000000" w:sz="4" w:space="0"/>
              <w:right w:val="single" w:color="000000" w:sz="4" w:space="0"/>
            </w:tcBorders>
            <w:vAlign w:val="center"/>
          </w:tcPr>
          <w:p>
            <w:pPr>
              <w:spacing w:line="400" w:lineRule="exact"/>
              <w:ind w:firstLine="400" w:firstLineChars="200"/>
              <w:rPr>
                <w:rFonts w:ascii="宋体" w:hAnsi="宋体"/>
              </w:rPr>
            </w:pPr>
            <w:r>
              <w:rPr>
                <w:rFonts w:hint="eastAsia" w:ascii="宋体" w:hAnsi="宋体"/>
              </w:rPr>
              <w:t>1、 主要进场管理人员配备齐全者得15分,每缺一个扣3分；</w:t>
            </w:r>
          </w:p>
          <w:p>
            <w:pPr>
              <w:widowControl w:val="0"/>
              <w:spacing w:line="400" w:lineRule="exact"/>
              <w:ind w:firstLine="400" w:firstLineChars="200"/>
              <w:jc w:val="both"/>
              <w:rPr>
                <w:rFonts w:ascii="宋体" w:hAnsi="宋体"/>
                <w:kern w:val="2"/>
                <w:sz w:val="21"/>
                <w:szCs w:val="21"/>
              </w:rPr>
            </w:pPr>
            <w:r>
              <w:rPr>
                <w:rFonts w:hint="eastAsia" w:ascii="宋体" w:hAnsi="宋体"/>
              </w:rPr>
              <w:t>2、 项目总工具有中级及以上技术职称者得10分。</w:t>
            </w:r>
          </w:p>
        </w:tc>
      </w:tr>
      <w:tr>
        <w:tblPrEx>
          <w:tblLayout w:type="fixed"/>
          <w:tblCellMar>
            <w:top w:w="0" w:type="dxa"/>
            <w:left w:w="0" w:type="dxa"/>
            <w:bottom w:w="0" w:type="dxa"/>
            <w:right w:w="0" w:type="dxa"/>
          </w:tblCellMar>
        </w:tblPrEx>
        <w:trPr>
          <w:trHeight w:val="667"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widowControl w:val="0"/>
              <w:jc w:val="center"/>
              <w:rPr>
                <w:rFonts w:ascii="宋体" w:hAnsi="宋体"/>
                <w:kern w:val="2"/>
                <w:sz w:val="21"/>
                <w:szCs w:val="21"/>
              </w:rPr>
            </w:pPr>
            <w:r>
              <w:rPr>
                <w:rFonts w:hint="eastAsia" w:ascii="宋体" w:hAnsi="宋体"/>
              </w:rPr>
              <w:t>2.2.2（3）</w:t>
            </w:r>
          </w:p>
        </w:tc>
        <w:tc>
          <w:tcPr>
            <w:tcW w:w="121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技术能力</w:t>
            </w:r>
          </w:p>
          <w:p>
            <w:pPr>
              <w:widowControl w:val="0"/>
              <w:jc w:val="center"/>
              <w:rPr>
                <w:rFonts w:ascii="宋体" w:hAnsi="宋体"/>
                <w:kern w:val="2"/>
                <w:sz w:val="21"/>
                <w:szCs w:val="21"/>
              </w:rPr>
            </w:pPr>
            <w:r>
              <w:rPr>
                <w:rFonts w:hint="eastAsia" w:ascii="宋体" w:hAnsi="宋体"/>
              </w:rPr>
              <w:t>（0-20分）</w:t>
            </w:r>
          </w:p>
        </w:tc>
        <w:tc>
          <w:tcPr>
            <w:tcW w:w="7380" w:type="dxa"/>
            <w:tcBorders>
              <w:top w:val="single" w:color="auto" w:sz="4" w:space="0"/>
              <w:left w:val="nil"/>
              <w:bottom w:val="single" w:color="auto" w:sz="4" w:space="0"/>
              <w:right w:val="single" w:color="000000" w:sz="4" w:space="0"/>
            </w:tcBorders>
            <w:vAlign w:val="center"/>
          </w:tcPr>
          <w:p>
            <w:pPr>
              <w:spacing w:line="400" w:lineRule="exact"/>
              <w:rPr>
                <w:rFonts w:ascii="宋体" w:hAnsi="宋体"/>
              </w:rPr>
            </w:pPr>
            <w:r>
              <w:rPr>
                <w:rFonts w:hint="eastAsia" w:ascii="宋体" w:hAnsi="宋体"/>
              </w:rPr>
              <w:t>1、企业业绩（10分）</w:t>
            </w:r>
          </w:p>
          <w:p>
            <w:pPr>
              <w:spacing w:line="400" w:lineRule="exact"/>
              <w:rPr>
                <w:rFonts w:ascii="宋体" w:hAnsi="宋体"/>
              </w:rPr>
            </w:pPr>
            <w:r>
              <w:rPr>
                <w:rFonts w:hint="eastAsia" w:ascii="宋体" w:hAnsi="宋体"/>
              </w:rPr>
              <w:t xml:space="preserve">    近年来企业承建过类似项目每项得5分，本项最高10分（须提供合同、中标通知书、竣工验收证明材料和中标公示网页版）；</w:t>
            </w:r>
          </w:p>
          <w:p>
            <w:pPr>
              <w:spacing w:line="400" w:lineRule="exact"/>
              <w:rPr>
                <w:rFonts w:ascii="宋体" w:hAnsi="宋体"/>
              </w:rPr>
            </w:pPr>
            <w:r>
              <w:rPr>
                <w:rFonts w:hint="eastAsia" w:ascii="宋体" w:hAnsi="宋体"/>
              </w:rPr>
              <w:t>2、项目经理业绩（10分）</w:t>
            </w:r>
          </w:p>
          <w:p>
            <w:pPr>
              <w:widowControl w:val="0"/>
              <w:spacing w:line="400" w:lineRule="exact"/>
              <w:ind w:firstLine="400" w:firstLineChars="200"/>
              <w:jc w:val="both"/>
              <w:rPr>
                <w:rFonts w:ascii="宋体" w:hAnsi="宋体"/>
                <w:b/>
                <w:bCs/>
                <w:kern w:val="2"/>
                <w:sz w:val="21"/>
                <w:szCs w:val="21"/>
              </w:rPr>
            </w:pPr>
            <w:r>
              <w:rPr>
                <w:rFonts w:hint="eastAsia" w:ascii="宋体" w:hAnsi="宋体"/>
              </w:rPr>
              <w:t>近年来拟派建造师承建过类似项目每项得5分，本项最高10分（须提供合同、中标通知书、竣工验收证明材料和中标公示网页版，若上述资料不显示项目经理姓名，还须同时提供相关证明文件）</w:t>
            </w:r>
            <w:r>
              <w:rPr>
                <w:rFonts w:hint="eastAsia" w:ascii="宋体" w:hAnsi="宋体"/>
                <w:b/>
                <w:bCs/>
              </w:rPr>
              <w:t>企业业绩和项目经理业绩不重复计分；</w:t>
            </w:r>
          </w:p>
        </w:tc>
      </w:tr>
      <w:tr>
        <w:tblPrEx>
          <w:tblLayout w:type="fixed"/>
          <w:tblCellMar>
            <w:top w:w="0" w:type="dxa"/>
            <w:left w:w="0" w:type="dxa"/>
            <w:bottom w:w="0" w:type="dxa"/>
            <w:right w:w="0" w:type="dxa"/>
          </w:tblCellMar>
        </w:tblPrEx>
        <w:trPr>
          <w:trHeight w:val="3665"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widowControl w:val="0"/>
              <w:jc w:val="center"/>
              <w:rPr>
                <w:rFonts w:ascii="宋体" w:hAnsi="宋体"/>
                <w:kern w:val="2"/>
                <w:sz w:val="21"/>
                <w:szCs w:val="21"/>
              </w:rPr>
            </w:pPr>
            <w:r>
              <w:rPr>
                <w:rFonts w:hint="eastAsia" w:ascii="宋体" w:hAnsi="宋体"/>
              </w:rPr>
              <w:t>2.2.2（4）</w:t>
            </w:r>
          </w:p>
        </w:tc>
        <w:tc>
          <w:tcPr>
            <w:tcW w:w="1214" w:type="dxa"/>
            <w:tcBorders>
              <w:top w:val="single" w:color="auto" w:sz="4" w:space="0"/>
              <w:left w:val="nil"/>
              <w:bottom w:val="single" w:color="auto" w:sz="4" w:space="0"/>
              <w:right w:val="single" w:color="auto" w:sz="4" w:space="0"/>
            </w:tcBorders>
            <w:vAlign w:val="center"/>
          </w:tcPr>
          <w:p>
            <w:pPr>
              <w:widowControl w:val="0"/>
              <w:jc w:val="center"/>
              <w:rPr>
                <w:rFonts w:ascii="宋体" w:hAnsi="宋体"/>
                <w:kern w:val="2"/>
                <w:sz w:val="21"/>
                <w:szCs w:val="21"/>
              </w:rPr>
            </w:pPr>
            <w:r>
              <w:rPr>
                <w:rFonts w:hint="eastAsia" w:ascii="宋体" w:hAnsi="宋体"/>
              </w:rPr>
              <w:t>履约信誉（0-15分）</w:t>
            </w:r>
          </w:p>
        </w:tc>
        <w:tc>
          <w:tcPr>
            <w:tcW w:w="7380" w:type="dxa"/>
            <w:tcBorders>
              <w:top w:val="single" w:color="auto" w:sz="4" w:space="0"/>
              <w:left w:val="nil"/>
              <w:bottom w:val="single" w:color="auto" w:sz="4" w:space="0"/>
              <w:right w:val="single" w:color="000000" w:sz="4" w:space="0"/>
            </w:tcBorders>
            <w:vAlign w:val="center"/>
          </w:tcPr>
          <w:p>
            <w:pPr>
              <w:widowControl w:val="0"/>
              <w:spacing w:line="400" w:lineRule="exact"/>
              <w:ind w:firstLine="420" w:firstLineChars="200"/>
              <w:jc w:val="both"/>
              <w:rPr>
                <w:rFonts w:ascii="宋体" w:hAnsi="宋体"/>
                <w:kern w:val="2"/>
                <w:sz w:val="21"/>
                <w:szCs w:val="21"/>
              </w:rPr>
            </w:pPr>
            <w:r>
              <w:rPr>
                <w:rFonts w:hint="eastAsia" w:ascii="宋体" w:hAnsi="宋体"/>
                <w:kern w:val="2"/>
                <w:sz w:val="21"/>
                <w:szCs w:val="21"/>
              </w:rPr>
              <w:t>1、企业信用（</w:t>
            </w:r>
            <w:r>
              <w:rPr>
                <w:rFonts w:hint="eastAsia" w:ascii="宋体" w:hAnsi="宋体"/>
                <w:kern w:val="2"/>
                <w:sz w:val="21"/>
                <w:szCs w:val="21"/>
                <w:lang w:val="en-US" w:eastAsia="zh-CN"/>
              </w:rPr>
              <w:t>5</w:t>
            </w:r>
            <w:r>
              <w:rPr>
                <w:rFonts w:hint="eastAsia" w:ascii="宋体" w:hAnsi="宋体"/>
                <w:kern w:val="2"/>
                <w:sz w:val="21"/>
                <w:szCs w:val="21"/>
              </w:rPr>
              <w:t>分）</w:t>
            </w:r>
          </w:p>
          <w:p>
            <w:pPr>
              <w:widowControl w:val="0"/>
              <w:spacing w:line="400" w:lineRule="exact"/>
              <w:ind w:firstLine="420" w:firstLineChars="200"/>
              <w:jc w:val="both"/>
              <w:rPr>
                <w:rFonts w:ascii="宋体" w:hAnsi="宋体"/>
                <w:kern w:val="2"/>
                <w:sz w:val="21"/>
                <w:szCs w:val="21"/>
              </w:rPr>
            </w:pPr>
            <w:r>
              <w:rPr>
                <w:rFonts w:hint="eastAsia" w:ascii="宋体" w:hAnsi="宋体"/>
                <w:kern w:val="2"/>
                <w:sz w:val="21"/>
                <w:szCs w:val="21"/>
              </w:rPr>
              <w:t>投标人须提供工商企业信用信息公示报告（国家企业信用信息公示系统http//www.gsxt.got.cn，内容包含基础信息、行政许可信息、行政处罚信息、列入经营异常名录信息等）以网上截图为准。企业所在地税务主管部门出具的纳税情况证明等信用情况。无不良信息者每项得2</w:t>
            </w:r>
            <w:r>
              <w:rPr>
                <w:rFonts w:hint="eastAsia" w:ascii="宋体" w:hAnsi="宋体"/>
                <w:kern w:val="2"/>
                <w:sz w:val="21"/>
                <w:szCs w:val="21"/>
                <w:lang w:val="en-US" w:eastAsia="zh-CN"/>
              </w:rPr>
              <w:t>.5</w:t>
            </w:r>
            <w:r>
              <w:rPr>
                <w:rFonts w:hint="eastAsia" w:ascii="宋体" w:hAnsi="宋体"/>
                <w:kern w:val="2"/>
                <w:sz w:val="21"/>
                <w:szCs w:val="21"/>
              </w:rPr>
              <w:t>分，最多得</w:t>
            </w:r>
            <w:r>
              <w:rPr>
                <w:rFonts w:hint="eastAsia" w:ascii="宋体" w:hAnsi="宋体"/>
                <w:kern w:val="2"/>
                <w:sz w:val="21"/>
                <w:szCs w:val="21"/>
                <w:lang w:val="en-US" w:eastAsia="zh-CN"/>
              </w:rPr>
              <w:t>5</w:t>
            </w:r>
            <w:r>
              <w:rPr>
                <w:rFonts w:hint="eastAsia" w:ascii="宋体" w:hAnsi="宋体"/>
                <w:kern w:val="2"/>
                <w:sz w:val="21"/>
                <w:szCs w:val="21"/>
              </w:rPr>
              <w:t>分，未提供或有不良信息者不得分。</w:t>
            </w:r>
          </w:p>
          <w:p>
            <w:pPr>
              <w:widowControl w:val="0"/>
              <w:spacing w:line="400" w:lineRule="exact"/>
              <w:ind w:firstLine="420" w:firstLineChars="200"/>
              <w:jc w:val="both"/>
              <w:rPr>
                <w:rFonts w:ascii="宋体" w:hAnsi="宋体"/>
                <w:kern w:val="2"/>
                <w:sz w:val="21"/>
                <w:szCs w:val="21"/>
              </w:rPr>
            </w:pPr>
            <w:r>
              <w:rPr>
                <w:rFonts w:hint="eastAsia" w:ascii="宋体" w:hAnsi="宋体"/>
                <w:kern w:val="2"/>
                <w:sz w:val="21"/>
                <w:szCs w:val="21"/>
              </w:rPr>
              <w:t>2、服务承诺（含扬尘治理等内容）（1</w:t>
            </w:r>
            <w:r>
              <w:rPr>
                <w:rFonts w:hint="eastAsia" w:ascii="宋体" w:hAnsi="宋体"/>
                <w:kern w:val="2"/>
                <w:sz w:val="21"/>
                <w:szCs w:val="21"/>
                <w:lang w:val="en-US" w:eastAsia="zh-CN"/>
              </w:rPr>
              <w:t>0</w:t>
            </w:r>
            <w:r>
              <w:rPr>
                <w:rFonts w:hint="eastAsia" w:ascii="宋体" w:hAnsi="宋体"/>
                <w:kern w:val="2"/>
                <w:sz w:val="21"/>
                <w:szCs w:val="21"/>
              </w:rPr>
              <w:t>分）</w:t>
            </w:r>
          </w:p>
          <w:p>
            <w:pPr>
              <w:widowControl w:val="0"/>
              <w:spacing w:line="400" w:lineRule="exact"/>
              <w:ind w:firstLine="420" w:firstLineChars="200"/>
              <w:jc w:val="both"/>
              <w:rPr>
                <w:rFonts w:ascii="宋体" w:hAnsi="宋体"/>
                <w:kern w:val="2"/>
                <w:sz w:val="21"/>
                <w:szCs w:val="21"/>
              </w:rPr>
            </w:pPr>
            <w:r>
              <w:rPr>
                <w:rFonts w:hint="eastAsia" w:ascii="宋体" w:hAnsi="宋体"/>
                <w:kern w:val="2"/>
                <w:sz w:val="21"/>
                <w:szCs w:val="21"/>
              </w:rPr>
              <w:t>投标人针对招标项目的特点和要求，结合自身条件和潜力做出优惠和服务承诺。由评委根据投标文件表述的具体内容酌情打分。</w:t>
            </w:r>
          </w:p>
        </w:tc>
      </w:tr>
      <w:tr>
        <w:tblPrEx>
          <w:tblLayout w:type="fixed"/>
          <w:tblCellMar>
            <w:top w:w="0" w:type="dxa"/>
            <w:left w:w="0" w:type="dxa"/>
            <w:bottom w:w="0" w:type="dxa"/>
            <w:right w:w="0" w:type="dxa"/>
          </w:tblCellMar>
        </w:tblPrEx>
        <w:trPr>
          <w:trHeight w:val="667"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widowControl w:val="0"/>
              <w:jc w:val="center"/>
              <w:rPr>
                <w:rFonts w:ascii="宋体" w:hAnsi="宋体"/>
              </w:rPr>
            </w:pPr>
            <w:r>
              <w:rPr>
                <w:rFonts w:hint="eastAsia" w:ascii="宋体" w:hAnsi="宋体"/>
              </w:rPr>
              <w:t>2.2.3</w:t>
            </w:r>
          </w:p>
        </w:tc>
        <w:tc>
          <w:tcPr>
            <w:tcW w:w="1214" w:type="dxa"/>
            <w:tcBorders>
              <w:top w:val="single" w:color="auto" w:sz="4" w:space="0"/>
              <w:left w:val="nil"/>
              <w:bottom w:val="single" w:color="auto" w:sz="4" w:space="0"/>
              <w:right w:val="single" w:color="auto" w:sz="4" w:space="0"/>
            </w:tcBorders>
            <w:vAlign w:val="center"/>
          </w:tcPr>
          <w:p>
            <w:pPr>
              <w:widowControl w:val="0"/>
              <w:jc w:val="center"/>
              <w:rPr>
                <w:rFonts w:ascii="宋体" w:hAnsi="宋体"/>
              </w:rPr>
            </w:pPr>
            <w:r>
              <w:rPr>
                <w:rFonts w:hint="eastAsia" w:ascii="宋体" w:hAnsi="宋体"/>
              </w:rPr>
              <w:t>第二个信封详细详审标准</w:t>
            </w:r>
          </w:p>
        </w:tc>
        <w:tc>
          <w:tcPr>
            <w:tcW w:w="7380" w:type="dxa"/>
            <w:tcBorders>
              <w:top w:val="single" w:color="auto" w:sz="4" w:space="0"/>
              <w:left w:val="nil"/>
              <w:bottom w:val="single" w:color="auto" w:sz="4" w:space="0"/>
              <w:right w:val="single" w:color="000000" w:sz="4" w:space="0"/>
            </w:tcBorders>
            <w:vAlign w:val="center"/>
          </w:tcPr>
          <w:p>
            <w:pPr>
              <w:widowControl w:val="0"/>
              <w:spacing w:line="400" w:lineRule="exact"/>
              <w:jc w:val="both"/>
              <w:rPr>
                <w:rFonts w:ascii="宋体" w:hAnsi="宋体"/>
              </w:rPr>
            </w:pPr>
            <w:r>
              <w:rPr>
                <w:rFonts w:hint="eastAsia" w:ascii="宋体" w:hAnsi="宋体"/>
              </w:rPr>
              <w:t>评标价计算公式：评标价=修正后的投标报价-暂估价-暂列金额（不含计日工总额）</w:t>
            </w:r>
          </w:p>
        </w:tc>
      </w:tr>
      <w:tr>
        <w:tblPrEx>
          <w:tblLayout w:type="fixed"/>
          <w:tblCellMar>
            <w:top w:w="0" w:type="dxa"/>
            <w:left w:w="0" w:type="dxa"/>
            <w:bottom w:w="0" w:type="dxa"/>
            <w:right w:w="0" w:type="dxa"/>
          </w:tblCellMar>
        </w:tblPrEx>
        <w:trPr>
          <w:trHeight w:val="667"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widowControl w:val="0"/>
              <w:jc w:val="center"/>
              <w:rPr>
                <w:rFonts w:ascii="宋体" w:hAnsi="宋体"/>
              </w:rPr>
            </w:pPr>
            <w:r>
              <w:rPr>
                <w:rFonts w:hint="eastAsia" w:ascii="宋体" w:hAnsi="宋体"/>
              </w:rPr>
              <w:t>2.2.4</w:t>
            </w:r>
          </w:p>
        </w:tc>
        <w:tc>
          <w:tcPr>
            <w:tcW w:w="1214" w:type="dxa"/>
            <w:tcBorders>
              <w:top w:val="single" w:color="auto" w:sz="4" w:space="0"/>
              <w:left w:val="nil"/>
              <w:bottom w:val="single" w:color="auto" w:sz="4" w:space="0"/>
              <w:right w:val="single" w:color="auto" w:sz="4" w:space="0"/>
            </w:tcBorders>
            <w:vAlign w:val="center"/>
          </w:tcPr>
          <w:p>
            <w:pPr>
              <w:widowControl w:val="0"/>
              <w:jc w:val="center"/>
              <w:rPr>
                <w:rFonts w:ascii="宋体" w:hAnsi="宋体"/>
              </w:rPr>
            </w:pPr>
            <w:r>
              <w:rPr>
                <w:rFonts w:hint="eastAsia" w:ascii="宋体" w:hAnsi="宋体"/>
              </w:rPr>
              <w:t>通过第一个信封详细评审的投标人的数量</w:t>
            </w:r>
          </w:p>
        </w:tc>
        <w:tc>
          <w:tcPr>
            <w:tcW w:w="7380" w:type="dxa"/>
            <w:tcBorders>
              <w:top w:val="single" w:color="auto" w:sz="4" w:space="0"/>
              <w:left w:val="nil"/>
              <w:bottom w:val="single" w:color="auto" w:sz="4" w:space="0"/>
              <w:right w:val="single" w:color="000000" w:sz="4" w:space="0"/>
            </w:tcBorders>
            <w:vAlign w:val="center"/>
          </w:tcPr>
          <w:p>
            <w:pPr>
              <w:widowControl w:val="0"/>
              <w:spacing w:line="400" w:lineRule="exact"/>
              <w:ind w:firstLine="400" w:firstLineChars="200"/>
              <w:jc w:val="both"/>
              <w:rPr>
                <w:rFonts w:ascii="宋体" w:hAnsi="宋体"/>
              </w:rPr>
            </w:pPr>
            <w:r>
              <w:rPr>
                <w:rFonts w:hint="eastAsia" w:ascii="宋体" w:hAnsi="宋体"/>
              </w:rPr>
              <w:t>按照投标人的商务和技术得分由高到低排序，选择前3名通过详细评审。</w:t>
            </w:r>
          </w:p>
        </w:tc>
      </w:tr>
      <w:tr>
        <w:tblPrEx>
          <w:tblLayout w:type="fixed"/>
          <w:tblCellMar>
            <w:top w:w="0" w:type="dxa"/>
            <w:left w:w="0" w:type="dxa"/>
            <w:bottom w:w="0" w:type="dxa"/>
            <w:right w:w="0" w:type="dxa"/>
          </w:tblCellMar>
        </w:tblPrEx>
        <w:trPr>
          <w:trHeight w:val="381" w:hRule="atLeast"/>
          <w:jc w:val="center"/>
        </w:trPr>
        <w:tc>
          <w:tcPr>
            <w:tcW w:w="9813" w:type="dxa"/>
            <w:gridSpan w:val="3"/>
            <w:tcBorders>
              <w:top w:val="single" w:color="auto" w:sz="4" w:space="0"/>
              <w:left w:val="single" w:color="000000" w:sz="4" w:space="0"/>
              <w:bottom w:val="single" w:color="auto" w:sz="4" w:space="0"/>
              <w:right w:val="single" w:color="000000" w:sz="4" w:space="0"/>
            </w:tcBorders>
            <w:vAlign w:val="center"/>
          </w:tcPr>
          <w:p>
            <w:pPr>
              <w:rPr>
                <w:rFonts w:ascii="宋体" w:hAnsi="宋体"/>
                <w:kern w:val="2"/>
                <w:sz w:val="21"/>
                <w:szCs w:val="21"/>
              </w:rPr>
            </w:pPr>
            <w:r>
              <w:rPr>
                <w:rFonts w:hint="eastAsia" w:ascii="宋体" w:hAnsi="宋体"/>
              </w:rPr>
              <w:t>需要补充的其他内容：</w:t>
            </w:r>
          </w:p>
        </w:tc>
      </w:tr>
      <w:tr>
        <w:tblPrEx>
          <w:tblLayout w:type="fixed"/>
          <w:tblCellMar>
            <w:top w:w="0" w:type="dxa"/>
            <w:left w:w="0" w:type="dxa"/>
            <w:bottom w:w="0" w:type="dxa"/>
            <w:right w:w="0" w:type="dxa"/>
          </w:tblCellMar>
        </w:tblPrEx>
        <w:trPr>
          <w:trHeight w:val="667" w:hRule="atLeast"/>
          <w:jc w:val="center"/>
        </w:trPr>
        <w:tc>
          <w:tcPr>
            <w:tcW w:w="9813" w:type="dxa"/>
            <w:gridSpan w:val="3"/>
            <w:tcBorders>
              <w:top w:val="single" w:color="auto" w:sz="4" w:space="0"/>
              <w:left w:val="single" w:color="000000" w:sz="4" w:space="0"/>
              <w:bottom w:val="single" w:color="000000" w:sz="4" w:space="0"/>
              <w:right w:val="single" w:color="000000" w:sz="4" w:space="0"/>
            </w:tcBorders>
            <w:vAlign w:val="center"/>
          </w:tcPr>
          <w:p>
            <w:pPr>
              <w:spacing w:line="340" w:lineRule="exact"/>
              <w:ind w:firstLine="400" w:firstLineChars="200"/>
              <w:rPr>
                <w:rFonts w:ascii="宋体" w:hAnsi="宋体"/>
              </w:rPr>
            </w:pPr>
            <w:r>
              <w:rPr>
                <w:rFonts w:hint="eastAsia" w:ascii="宋体" w:hAnsi="宋体"/>
              </w:rPr>
              <w:t>评标程序如下：</w:t>
            </w:r>
          </w:p>
          <w:p>
            <w:pPr>
              <w:spacing w:line="340" w:lineRule="exact"/>
              <w:rPr>
                <w:rFonts w:ascii="宋体" w:hAnsi="宋体"/>
              </w:rPr>
            </w:pPr>
            <w:r>
              <w:rPr>
                <w:rFonts w:hint="eastAsia" w:ascii="宋体" w:hAnsi="宋体"/>
              </w:rPr>
              <w:t>1、招标人按照第二章“投标人须知”第5.2.1-5.2.3项的规定对投标文件第一信封（商务及技术文件）进行开标。</w:t>
            </w:r>
          </w:p>
          <w:p>
            <w:pPr>
              <w:spacing w:line="340" w:lineRule="exact"/>
              <w:rPr>
                <w:rFonts w:ascii="宋体" w:hAnsi="宋体"/>
              </w:rPr>
            </w:pPr>
            <w:r>
              <w:rPr>
                <w:rFonts w:hint="eastAsia" w:ascii="宋体" w:hAnsi="宋体"/>
              </w:rPr>
              <w:t>2、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int="eastAsia" w:ascii="宋体" w:hAnsi="宋体"/>
                <w:b/>
                <w:bCs/>
              </w:rPr>
              <w:t>各项打分保留小数点后两位，小数点后第三位“四舍五入”。</w:t>
            </w:r>
          </w:p>
          <w:p>
            <w:pPr>
              <w:spacing w:line="340" w:lineRule="exact"/>
              <w:rPr>
                <w:rFonts w:ascii="宋体" w:hAnsi="宋体"/>
              </w:rPr>
            </w:pPr>
            <w:r>
              <w:rPr>
                <w:rFonts w:hint="eastAsia" w:ascii="宋体" w:hAnsi="宋体"/>
              </w:rPr>
              <w:t>3、招标人按照第二章“投标人须知”第5.2.4-5.2.5项的规定对投标文件第一信封（商务及技术文件）评审得分前</w:t>
            </w:r>
            <w:r>
              <w:rPr>
                <w:rFonts w:hint="eastAsia" w:ascii="宋体" w:hAnsi="宋体"/>
                <w:u w:val="single"/>
              </w:rPr>
              <w:t xml:space="preserve"> 3 </w:t>
            </w:r>
            <w:r>
              <w:rPr>
                <w:rFonts w:hint="eastAsia" w:ascii="宋体" w:hAnsi="宋体"/>
              </w:rPr>
              <w:t>名的投标文件第二个信封（投标文件）进行开启。</w:t>
            </w:r>
          </w:p>
          <w:p>
            <w:pPr>
              <w:spacing w:line="340" w:lineRule="exact"/>
              <w:rPr>
                <w:rFonts w:ascii="宋体" w:hAnsi="宋体"/>
              </w:rPr>
            </w:pPr>
            <w:r>
              <w:rPr>
                <w:rFonts w:hint="eastAsia" w:ascii="宋体" w:hAnsi="宋体"/>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pPr>
              <w:widowControl w:val="0"/>
              <w:spacing w:line="340" w:lineRule="exact"/>
              <w:jc w:val="both"/>
              <w:rPr>
                <w:rFonts w:ascii="宋体" w:hAnsi="宋体"/>
                <w:kern w:val="2"/>
                <w:sz w:val="21"/>
                <w:szCs w:val="21"/>
              </w:rPr>
            </w:pPr>
            <w:r>
              <w:rPr>
                <w:rFonts w:hint="eastAsia" w:ascii="宋体" w:hAnsi="宋体"/>
                <w:b/>
                <w:bCs/>
              </w:rPr>
              <w:t>5、本评分标准中所要求提供的各种证明材料，投标文件中须提供复印件，否则不得分。</w:t>
            </w:r>
          </w:p>
        </w:tc>
      </w:tr>
    </w:tbl>
    <w:p>
      <w:pPr>
        <w:spacing w:line="351" w:lineRule="auto"/>
        <w:rPr>
          <w:rFonts w:ascii="宋体" w:hAnsi="宋体"/>
          <w:b/>
          <w:bCs/>
          <w:sz w:val="28"/>
          <w:szCs w:val="28"/>
        </w:rPr>
      </w:pPr>
    </w:p>
    <w:p>
      <w:pPr>
        <w:spacing w:line="351" w:lineRule="auto"/>
        <w:ind w:left="660" w:hanging="659"/>
        <w:rPr>
          <w:rFonts w:ascii="宋体" w:hAnsi="宋体"/>
          <w:sz w:val="24"/>
        </w:rPr>
      </w:pPr>
      <w:r>
        <w:rPr>
          <w:rFonts w:ascii="宋体" w:hAnsi="宋体"/>
          <w:b/>
          <w:bCs/>
          <w:sz w:val="28"/>
          <w:szCs w:val="28"/>
        </w:rPr>
        <w:t>1. 评标方法</w:t>
      </w:r>
    </w:p>
    <w:p>
      <w:pPr>
        <w:spacing w:line="500" w:lineRule="exact"/>
        <w:ind w:firstLine="480" w:firstLineChars="200"/>
        <w:rPr>
          <w:rFonts w:ascii="宋体" w:hAnsi="宋体"/>
          <w:sz w:val="24"/>
          <w:szCs w:val="24"/>
        </w:rPr>
      </w:pPr>
      <w:r>
        <w:rPr>
          <w:rFonts w:hint="eastAsia" w:ascii="宋体" w:hAnsi="宋体"/>
          <w:sz w:val="24"/>
          <w:szCs w:val="24"/>
        </w:rPr>
        <w:t>本次评标采用技术评分最低标价法。评标委员会对满足招标文件实质性要求的 投标文件的施工组织设计、项目管理机构、技术能力、履约信誉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 先次序推荐中标候选人或确定中标人。</w:t>
      </w:r>
    </w:p>
    <w:p>
      <w:pPr>
        <w:spacing w:line="351" w:lineRule="auto"/>
        <w:ind w:left="660" w:hanging="659"/>
        <w:rPr>
          <w:rFonts w:ascii="宋体" w:hAnsi="宋体"/>
          <w:b/>
          <w:bCs/>
          <w:sz w:val="28"/>
          <w:szCs w:val="28"/>
        </w:rPr>
      </w:pPr>
      <w:bookmarkStart w:id="38" w:name="_bookmark111"/>
      <w:bookmarkEnd w:id="38"/>
      <w:r>
        <w:rPr>
          <w:rFonts w:ascii="宋体" w:hAnsi="宋体"/>
          <w:b/>
          <w:bCs/>
          <w:sz w:val="28"/>
          <w:szCs w:val="28"/>
        </w:rPr>
        <w:t>2. 评审标准</w:t>
      </w:r>
    </w:p>
    <w:p>
      <w:pPr>
        <w:spacing w:line="500" w:lineRule="exact"/>
        <w:ind w:firstLine="480" w:firstLineChars="200"/>
        <w:rPr>
          <w:rFonts w:ascii="宋体" w:hAnsi="宋体"/>
          <w:sz w:val="24"/>
          <w:szCs w:val="24"/>
        </w:rPr>
      </w:pPr>
      <w:bookmarkStart w:id="39" w:name="_bookmark112"/>
      <w:bookmarkEnd w:id="39"/>
      <w:r>
        <w:rPr>
          <w:rFonts w:hint="eastAsia" w:ascii="宋体" w:hAnsi="宋体"/>
          <w:sz w:val="24"/>
          <w:szCs w:val="24"/>
        </w:rPr>
        <w:t>2.1初步详审标准：</w:t>
      </w:r>
    </w:p>
    <w:p>
      <w:pPr>
        <w:spacing w:line="500" w:lineRule="exact"/>
        <w:ind w:firstLine="480" w:firstLineChars="200"/>
        <w:rPr>
          <w:rFonts w:ascii="宋体" w:hAnsi="宋体"/>
          <w:sz w:val="24"/>
          <w:szCs w:val="24"/>
        </w:rPr>
      </w:pPr>
      <w:r>
        <w:rPr>
          <w:rFonts w:hint="eastAsia" w:ascii="宋体" w:hAnsi="宋体"/>
          <w:sz w:val="24"/>
          <w:szCs w:val="24"/>
        </w:rPr>
        <w:t>2.1.1形式评审标准：见评标办法前附表。</w:t>
      </w:r>
    </w:p>
    <w:p>
      <w:pPr>
        <w:spacing w:line="500" w:lineRule="exact"/>
        <w:ind w:firstLine="480" w:firstLineChars="200"/>
        <w:rPr>
          <w:rFonts w:ascii="宋体" w:hAnsi="宋体"/>
          <w:sz w:val="24"/>
          <w:szCs w:val="24"/>
        </w:rPr>
      </w:pPr>
      <w:r>
        <w:rPr>
          <w:rFonts w:hint="eastAsia" w:ascii="宋体" w:hAnsi="宋体"/>
          <w:sz w:val="24"/>
          <w:szCs w:val="24"/>
        </w:rPr>
        <w:t>2.1.2资格评审标准：见评标办法前附表。</w:t>
      </w:r>
    </w:p>
    <w:p>
      <w:pPr>
        <w:spacing w:line="500" w:lineRule="exact"/>
        <w:ind w:firstLine="480" w:firstLineChars="200"/>
        <w:rPr>
          <w:rFonts w:ascii="宋体" w:hAnsi="宋体"/>
          <w:sz w:val="24"/>
          <w:szCs w:val="24"/>
        </w:rPr>
      </w:pPr>
      <w:r>
        <w:rPr>
          <w:rFonts w:hint="eastAsia" w:ascii="宋体" w:hAnsi="宋体"/>
          <w:sz w:val="24"/>
          <w:szCs w:val="24"/>
        </w:rPr>
        <w:t>2.1.3响应性评审标准：见评标办法前附表。</w:t>
      </w:r>
    </w:p>
    <w:p>
      <w:pPr>
        <w:spacing w:line="500" w:lineRule="exact"/>
        <w:ind w:firstLine="480" w:firstLineChars="200"/>
        <w:rPr>
          <w:rFonts w:ascii="宋体" w:hAnsi="宋体"/>
          <w:sz w:val="24"/>
          <w:szCs w:val="24"/>
        </w:rPr>
      </w:pPr>
      <w:r>
        <w:rPr>
          <w:rFonts w:hint="eastAsia" w:ascii="宋体" w:hAnsi="宋体"/>
          <w:sz w:val="24"/>
          <w:szCs w:val="24"/>
        </w:rPr>
        <w:t>2.2 分值构成与评分标准</w:t>
      </w:r>
    </w:p>
    <w:p>
      <w:pPr>
        <w:spacing w:line="351" w:lineRule="auto"/>
        <w:ind w:firstLine="480" w:firstLineChars="200"/>
        <w:rPr>
          <w:rFonts w:ascii="宋体" w:hAnsi="宋体"/>
          <w:sz w:val="24"/>
        </w:rPr>
      </w:pPr>
      <w:r>
        <w:rPr>
          <w:rFonts w:hint="eastAsia" w:ascii="宋体" w:hAnsi="宋体"/>
          <w:sz w:val="24"/>
        </w:rPr>
        <w:t>2.2.</w:t>
      </w:r>
      <w:r>
        <w:rPr>
          <w:rFonts w:ascii="宋体" w:hAnsi="宋体"/>
          <w:sz w:val="24"/>
        </w:rPr>
        <w:t>1  第一个信封评分分值构成</w:t>
      </w:r>
    </w:p>
    <w:p>
      <w:pPr>
        <w:spacing w:line="351" w:lineRule="auto"/>
        <w:ind w:left="677" w:leftChars="185" w:hanging="307" w:hangingChars="128"/>
        <w:rPr>
          <w:rFonts w:ascii="宋体" w:hAnsi="宋体"/>
          <w:sz w:val="24"/>
        </w:rPr>
      </w:pPr>
      <w:r>
        <w:rPr>
          <w:rFonts w:ascii="宋体" w:hAnsi="宋体"/>
          <w:sz w:val="24"/>
        </w:rPr>
        <w:t>（1）施工组织设计：见评标办法前附表；</w:t>
      </w:r>
    </w:p>
    <w:p>
      <w:pPr>
        <w:spacing w:line="351" w:lineRule="auto"/>
        <w:ind w:left="677" w:leftChars="185" w:hanging="307" w:hangingChars="128"/>
        <w:rPr>
          <w:rFonts w:ascii="宋体" w:hAnsi="宋体"/>
          <w:sz w:val="24"/>
        </w:rPr>
      </w:pPr>
      <w:r>
        <w:rPr>
          <w:rFonts w:ascii="宋体" w:hAnsi="宋体"/>
          <w:sz w:val="24"/>
        </w:rPr>
        <w:t>（2）</w:t>
      </w:r>
      <w:r>
        <w:rPr>
          <w:rFonts w:hint="eastAsia" w:ascii="宋体" w:hAnsi="宋体"/>
          <w:sz w:val="24"/>
        </w:rPr>
        <w:t>项目管理机构</w:t>
      </w:r>
      <w:r>
        <w:rPr>
          <w:rFonts w:ascii="宋体" w:hAnsi="宋体"/>
          <w:sz w:val="24"/>
        </w:rPr>
        <w:t>：见评标办法前附表；</w:t>
      </w:r>
    </w:p>
    <w:p>
      <w:pPr>
        <w:spacing w:line="351" w:lineRule="auto"/>
        <w:ind w:left="677" w:leftChars="185" w:hanging="307" w:hangingChars="128"/>
      </w:pPr>
      <w:r>
        <w:rPr>
          <w:rFonts w:ascii="宋体" w:hAnsi="宋体"/>
          <w:sz w:val="24"/>
        </w:rPr>
        <w:t>（3）</w:t>
      </w:r>
      <w:r>
        <w:rPr>
          <w:rFonts w:hint="eastAsia" w:ascii="宋体" w:hAnsi="宋体"/>
          <w:sz w:val="24"/>
        </w:rPr>
        <w:t>技术能力</w:t>
      </w:r>
      <w:r>
        <w:rPr>
          <w:rFonts w:ascii="宋体" w:hAnsi="宋体"/>
          <w:sz w:val="24"/>
        </w:rPr>
        <w:t>：见评标办法前附表</w:t>
      </w:r>
      <w:r>
        <w:rPr>
          <w:rFonts w:hint="eastAsia" w:ascii="宋体" w:hAnsi="宋体"/>
          <w:sz w:val="24"/>
        </w:rPr>
        <w:t>；</w:t>
      </w:r>
    </w:p>
    <w:p>
      <w:pPr>
        <w:spacing w:line="351" w:lineRule="auto"/>
        <w:ind w:left="677" w:leftChars="185" w:hanging="307" w:hangingChars="128"/>
      </w:pPr>
      <w:r>
        <w:rPr>
          <w:rFonts w:ascii="宋体" w:hAnsi="宋体"/>
          <w:sz w:val="24"/>
        </w:rPr>
        <w:t>（</w:t>
      </w:r>
      <w:r>
        <w:rPr>
          <w:rFonts w:hint="eastAsia" w:ascii="宋体" w:hAnsi="宋体"/>
          <w:sz w:val="24"/>
        </w:rPr>
        <w:t>4</w:t>
      </w:r>
      <w:r>
        <w:rPr>
          <w:rFonts w:ascii="宋体" w:hAnsi="宋体"/>
          <w:sz w:val="24"/>
        </w:rPr>
        <w:t>）</w:t>
      </w:r>
      <w:r>
        <w:rPr>
          <w:rFonts w:hint="eastAsia" w:ascii="宋体" w:hAnsi="宋体"/>
          <w:sz w:val="24"/>
        </w:rPr>
        <w:t>履约信誉</w:t>
      </w:r>
      <w:r>
        <w:rPr>
          <w:rFonts w:ascii="宋体" w:hAnsi="宋体"/>
          <w:sz w:val="24"/>
        </w:rPr>
        <w:t>：见评标办法前附表。</w:t>
      </w:r>
    </w:p>
    <w:p>
      <w:pPr>
        <w:spacing w:line="351" w:lineRule="auto"/>
        <w:ind w:left="677" w:leftChars="185" w:hanging="307" w:hangingChars="128"/>
        <w:rPr>
          <w:rFonts w:ascii="宋体" w:hAnsi="宋体"/>
          <w:sz w:val="24"/>
        </w:rPr>
      </w:pPr>
      <w:r>
        <w:rPr>
          <w:rFonts w:ascii="宋体" w:hAnsi="宋体"/>
          <w:sz w:val="24"/>
        </w:rPr>
        <w:t>2.2.2  第一个信封评分评分标准</w:t>
      </w:r>
    </w:p>
    <w:p>
      <w:pPr>
        <w:spacing w:line="351" w:lineRule="auto"/>
        <w:ind w:left="677" w:leftChars="185" w:hanging="307" w:hangingChars="128"/>
        <w:rPr>
          <w:rFonts w:ascii="宋体" w:hAnsi="宋体"/>
          <w:sz w:val="24"/>
        </w:rPr>
      </w:pPr>
      <w:r>
        <w:rPr>
          <w:rFonts w:ascii="宋体" w:hAnsi="宋体"/>
          <w:sz w:val="24"/>
        </w:rPr>
        <w:t>（1）施工组织设计评分标准：见评标办法前附表；</w:t>
      </w:r>
    </w:p>
    <w:p>
      <w:pPr>
        <w:spacing w:line="351" w:lineRule="auto"/>
        <w:ind w:left="677" w:leftChars="185" w:hanging="307" w:hangingChars="128"/>
        <w:rPr>
          <w:rFonts w:ascii="宋体" w:hAnsi="宋体"/>
          <w:sz w:val="24"/>
        </w:rPr>
      </w:pPr>
      <w:r>
        <w:rPr>
          <w:rFonts w:ascii="宋体" w:hAnsi="宋体"/>
          <w:sz w:val="24"/>
        </w:rPr>
        <w:t>（2）</w:t>
      </w:r>
      <w:r>
        <w:rPr>
          <w:rFonts w:hint="eastAsia" w:ascii="宋体" w:hAnsi="宋体"/>
          <w:sz w:val="24"/>
        </w:rPr>
        <w:t>项目管理机构</w:t>
      </w:r>
      <w:r>
        <w:rPr>
          <w:rFonts w:ascii="宋体" w:hAnsi="宋体"/>
          <w:sz w:val="24"/>
        </w:rPr>
        <w:t>评分标准：见评标办法前附表；</w:t>
      </w:r>
    </w:p>
    <w:p>
      <w:pPr>
        <w:spacing w:line="351" w:lineRule="auto"/>
        <w:ind w:left="677" w:leftChars="185" w:hanging="307" w:hangingChars="128"/>
      </w:pPr>
      <w:r>
        <w:rPr>
          <w:rFonts w:ascii="宋体" w:hAnsi="宋体"/>
          <w:sz w:val="24"/>
        </w:rPr>
        <w:t>（3）</w:t>
      </w:r>
      <w:r>
        <w:rPr>
          <w:rFonts w:hint="eastAsia" w:ascii="宋体" w:hAnsi="宋体"/>
          <w:sz w:val="24"/>
        </w:rPr>
        <w:t>技术能力</w:t>
      </w:r>
      <w:r>
        <w:rPr>
          <w:rFonts w:ascii="宋体" w:hAnsi="宋体"/>
          <w:sz w:val="24"/>
        </w:rPr>
        <w:t>：见评标办法前附表</w:t>
      </w:r>
      <w:r>
        <w:rPr>
          <w:rFonts w:hint="eastAsia" w:ascii="宋体" w:hAnsi="宋体"/>
          <w:sz w:val="24"/>
        </w:rPr>
        <w:t>；</w:t>
      </w:r>
    </w:p>
    <w:p>
      <w:pPr>
        <w:spacing w:line="351" w:lineRule="auto"/>
        <w:ind w:left="677" w:leftChars="185" w:hanging="307" w:hangingChars="128"/>
      </w:pPr>
      <w:r>
        <w:rPr>
          <w:rFonts w:ascii="宋体" w:hAnsi="宋体"/>
          <w:sz w:val="24"/>
        </w:rPr>
        <w:t>（</w:t>
      </w:r>
      <w:r>
        <w:rPr>
          <w:rFonts w:hint="eastAsia" w:ascii="宋体" w:hAnsi="宋体"/>
          <w:sz w:val="24"/>
        </w:rPr>
        <w:t>4</w:t>
      </w:r>
      <w:r>
        <w:rPr>
          <w:rFonts w:ascii="宋体" w:hAnsi="宋体"/>
          <w:sz w:val="24"/>
        </w:rPr>
        <w:t>）</w:t>
      </w:r>
      <w:r>
        <w:rPr>
          <w:rFonts w:hint="eastAsia" w:ascii="宋体" w:hAnsi="宋体"/>
          <w:sz w:val="24"/>
        </w:rPr>
        <w:t>履约信誉</w:t>
      </w:r>
      <w:r>
        <w:rPr>
          <w:rFonts w:ascii="宋体" w:hAnsi="宋体"/>
          <w:sz w:val="24"/>
        </w:rPr>
        <w:t>：见评标办法前附表。</w:t>
      </w:r>
    </w:p>
    <w:p>
      <w:pPr>
        <w:spacing w:line="351" w:lineRule="auto"/>
        <w:ind w:left="677" w:leftChars="185" w:hanging="307" w:hangingChars="128"/>
        <w:rPr>
          <w:rFonts w:ascii="宋体" w:hAnsi="宋体"/>
          <w:sz w:val="24"/>
        </w:rPr>
      </w:pPr>
      <w:r>
        <w:rPr>
          <w:rFonts w:ascii="宋体" w:hAnsi="宋体"/>
          <w:sz w:val="24"/>
        </w:rPr>
        <w:t>2.2.3  第二个信封详细评审标准：见评标办法前附表。</w:t>
      </w:r>
    </w:p>
    <w:p>
      <w:pPr>
        <w:spacing w:line="351" w:lineRule="auto"/>
        <w:ind w:left="660" w:hanging="659"/>
        <w:rPr>
          <w:rFonts w:ascii="宋体" w:hAnsi="宋体"/>
          <w:b/>
          <w:bCs/>
          <w:sz w:val="24"/>
        </w:rPr>
      </w:pPr>
      <w:bookmarkStart w:id="40" w:name="_bookmark114"/>
      <w:bookmarkEnd w:id="40"/>
      <w:r>
        <w:rPr>
          <w:rFonts w:ascii="宋体" w:hAnsi="宋体"/>
          <w:b/>
          <w:bCs/>
          <w:sz w:val="24"/>
        </w:rPr>
        <w:t>3. 评标程序</w:t>
      </w:r>
    </w:p>
    <w:p>
      <w:pPr>
        <w:spacing w:line="351" w:lineRule="auto"/>
        <w:ind w:left="660" w:hanging="659"/>
        <w:rPr>
          <w:rFonts w:ascii="宋体" w:hAnsi="宋体"/>
          <w:sz w:val="24"/>
        </w:rPr>
      </w:pPr>
      <w:bookmarkStart w:id="41" w:name="_bookmark115"/>
      <w:bookmarkEnd w:id="41"/>
      <w:r>
        <w:rPr>
          <w:rFonts w:ascii="宋体" w:hAnsi="宋体"/>
          <w:sz w:val="24"/>
        </w:rPr>
        <w:t>3.1 第一个信封初步评审</w:t>
      </w:r>
    </w:p>
    <w:p>
      <w:pPr>
        <w:spacing w:line="351" w:lineRule="auto"/>
        <w:ind w:left="660" w:hanging="659"/>
        <w:rPr>
          <w:rFonts w:ascii="宋体" w:hAnsi="宋体"/>
          <w:sz w:val="24"/>
          <w:szCs w:val="24"/>
        </w:rPr>
      </w:pPr>
      <w:r>
        <w:rPr>
          <w:rFonts w:ascii="宋体" w:hAnsi="宋体"/>
          <w:sz w:val="24"/>
        </w:rPr>
        <w:t>3.1.1</w:t>
      </w:r>
      <w:r>
        <w:rPr>
          <w:rFonts w:hint="eastAsia" w:ascii="宋体" w:hAnsi="宋体"/>
          <w:sz w:val="24"/>
          <w:szCs w:val="24"/>
        </w:rPr>
        <w:t xml:space="preserve"> 评标委员会可以要求投标人提交第二章“投标人须知”第 3.5.1 项至第</w:t>
      </w:r>
    </w:p>
    <w:p>
      <w:pPr>
        <w:spacing w:line="351" w:lineRule="auto"/>
        <w:ind w:left="660" w:hanging="659"/>
        <w:rPr>
          <w:rFonts w:ascii="宋体" w:hAnsi="宋体"/>
          <w:sz w:val="24"/>
          <w:szCs w:val="24"/>
        </w:rPr>
      </w:pPr>
      <w:r>
        <w:rPr>
          <w:rFonts w:hint="eastAsia" w:ascii="宋体" w:hAnsi="宋体"/>
          <w:sz w:val="24"/>
          <w:szCs w:val="24"/>
        </w:rPr>
        <w:t>3.5.6项规定的有关证明和证件的复印件，以便核验。评标委员会依据本章第 2.1</w:t>
      </w:r>
    </w:p>
    <w:p>
      <w:pPr>
        <w:spacing w:line="351" w:lineRule="auto"/>
        <w:ind w:left="660" w:hanging="659"/>
        <w:jc w:val="both"/>
        <w:rPr>
          <w:rFonts w:ascii="宋体" w:hAnsi="宋体"/>
          <w:sz w:val="24"/>
          <w:szCs w:val="24"/>
        </w:rPr>
      </w:pPr>
      <w:r>
        <w:rPr>
          <w:rFonts w:hint="eastAsia" w:ascii="宋体" w:hAnsi="宋体"/>
          <w:sz w:val="24"/>
          <w:szCs w:val="24"/>
        </w:rPr>
        <w:t>款规定的标准对投标文件第一个信封（商务及技术文件）进行初步评审。有一项</w:t>
      </w:r>
    </w:p>
    <w:p>
      <w:pPr>
        <w:spacing w:line="351" w:lineRule="auto"/>
        <w:ind w:left="660" w:hanging="659"/>
        <w:jc w:val="both"/>
        <w:rPr>
          <w:rFonts w:ascii="宋体" w:hAnsi="宋体"/>
          <w:sz w:val="24"/>
          <w:szCs w:val="24"/>
        </w:rPr>
      </w:pPr>
      <w:r>
        <w:rPr>
          <w:rFonts w:hint="eastAsia" w:ascii="宋体" w:hAnsi="宋体"/>
          <w:sz w:val="24"/>
          <w:szCs w:val="24"/>
        </w:rPr>
        <w:t>不符合评审标准的，评标委员会应否决其投标。</w:t>
      </w:r>
    </w:p>
    <w:p>
      <w:pPr>
        <w:spacing w:line="351" w:lineRule="auto"/>
        <w:ind w:left="660" w:hanging="659"/>
        <w:rPr>
          <w:rFonts w:ascii="宋体" w:hAnsi="宋体"/>
          <w:sz w:val="24"/>
        </w:rPr>
      </w:pPr>
      <w:bookmarkStart w:id="42" w:name="_bookmark116"/>
      <w:bookmarkEnd w:id="42"/>
      <w:r>
        <w:rPr>
          <w:rFonts w:ascii="宋体" w:hAnsi="宋体"/>
          <w:sz w:val="24"/>
        </w:rPr>
        <w:t>3.2 第一个信封详细评审</w:t>
      </w:r>
    </w:p>
    <w:p>
      <w:pPr>
        <w:spacing w:line="351" w:lineRule="auto"/>
        <w:ind w:left="660" w:hanging="659"/>
        <w:rPr>
          <w:rFonts w:ascii="宋体" w:hAnsi="宋体"/>
          <w:sz w:val="24"/>
        </w:rPr>
      </w:pPr>
      <w:r>
        <w:rPr>
          <w:rFonts w:ascii="宋体" w:hAnsi="宋体"/>
          <w:sz w:val="24"/>
        </w:rPr>
        <w:t>3.2.1 评标委员会按本章第 2.2 款规定的量化因素和分值进行打分，并计算出各 投标人的商务和技术得分。</w:t>
      </w:r>
    </w:p>
    <w:p>
      <w:pPr>
        <w:spacing w:line="351" w:lineRule="auto"/>
        <w:ind w:left="660" w:hanging="659"/>
        <w:rPr>
          <w:rFonts w:ascii="宋体" w:hAnsi="宋体"/>
          <w:sz w:val="24"/>
        </w:rPr>
      </w:pPr>
      <w:r>
        <w:rPr>
          <w:rFonts w:ascii="宋体" w:hAnsi="宋体"/>
          <w:sz w:val="24"/>
        </w:rPr>
        <w:t>（1）按本章第 2.2.2 项（1）目规定的评审因素和分值对施工组织设计部分计算 出得分 A；</w:t>
      </w:r>
    </w:p>
    <w:p>
      <w:pPr>
        <w:spacing w:line="351" w:lineRule="auto"/>
        <w:ind w:left="660" w:hanging="659"/>
        <w:rPr>
          <w:rFonts w:ascii="宋体" w:hAnsi="宋体"/>
          <w:sz w:val="24"/>
        </w:rPr>
      </w:pPr>
      <w:r>
        <w:rPr>
          <w:rFonts w:ascii="宋体" w:hAnsi="宋体"/>
          <w:sz w:val="24"/>
        </w:rPr>
        <w:t>（2）按本章第 2.2.2 项（2）目规定的评审因素和分值对</w:t>
      </w:r>
      <w:r>
        <w:rPr>
          <w:rFonts w:hint="eastAsia" w:ascii="宋体" w:hAnsi="宋体"/>
          <w:sz w:val="24"/>
        </w:rPr>
        <w:t>项目管理机构</w:t>
      </w:r>
      <w:r>
        <w:rPr>
          <w:rFonts w:ascii="宋体" w:hAnsi="宋体"/>
          <w:sz w:val="24"/>
        </w:rPr>
        <w:t>部分计算出得 分 B；</w:t>
      </w:r>
    </w:p>
    <w:p>
      <w:pPr>
        <w:spacing w:line="351" w:lineRule="auto"/>
        <w:ind w:left="660" w:hanging="659"/>
        <w:rPr>
          <w:rFonts w:ascii="宋体" w:hAnsi="宋体"/>
          <w:sz w:val="24"/>
        </w:rPr>
      </w:pPr>
      <w:r>
        <w:rPr>
          <w:rFonts w:ascii="宋体" w:hAnsi="宋体"/>
          <w:sz w:val="24"/>
        </w:rPr>
        <w:t>（3）按本章第 2.2.2 项（3）目规定的评审因素和分值对</w:t>
      </w:r>
      <w:r>
        <w:rPr>
          <w:rFonts w:hint="eastAsia" w:ascii="宋体" w:hAnsi="宋体"/>
          <w:sz w:val="24"/>
        </w:rPr>
        <w:t>技术能力</w:t>
      </w:r>
      <w:r>
        <w:rPr>
          <w:rFonts w:ascii="宋体" w:hAnsi="宋体"/>
          <w:sz w:val="24"/>
        </w:rPr>
        <w:t xml:space="preserve">部分计算出得分 C。 </w:t>
      </w:r>
    </w:p>
    <w:p>
      <w:pPr>
        <w:spacing w:line="351" w:lineRule="auto"/>
        <w:ind w:left="660" w:hanging="659"/>
        <w:rPr>
          <w:rFonts w:ascii="宋体" w:hAnsi="宋体"/>
          <w:sz w:val="24"/>
        </w:rPr>
      </w:pPr>
      <w:r>
        <w:rPr>
          <w:rFonts w:ascii="宋体" w:hAnsi="宋体"/>
          <w:sz w:val="24"/>
        </w:rPr>
        <w:t>（</w:t>
      </w:r>
      <w:r>
        <w:rPr>
          <w:rFonts w:hint="eastAsia" w:ascii="宋体" w:hAnsi="宋体"/>
          <w:sz w:val="24"/>
        </w:rPr>
        <w:t>4</w:t>
      </w:r>
      <w:r>
        <w:rPr>
          <w:rFonts w:ascii="宋体" w:hAnsi="宋体"/>
          <w:sz w:val="24"/>
        </w:rPr>
        <w:t>）按本章第 2.2.2 项（</w:t>
      </w:r>
      <w:r>
        <w:rPr>
          <w:rFonts w:hint="eastAsia" w:ascii="宋体" w:hAnsi="宋体"/>
          <w:sz w:val="24"/>
        </w:rPr>
        <w:t>4</w:t>
      </w:r>
      <w:r>
        <w:rPr>
          <w:rFonts w:ascii="宋体" w:hAnsi="宋体"/>
          <w:sz w:val="24"/>
        </w:rPr>
        <w:t>）目规定的评审因素和分值对</w:t>
      </w:r>
      <w:r>
        <w:rPr>
          <w:rFonts w:hint="eastAsia" w:ascii="宋体" w:hAnsi="宋体"/>
          <w:sz w:val="24"/>
        </w:rPr>
        <w:t>履约信誉</w:t>
      </w:r>
      <w:r>
        <w:rPr>
          <w:rFonts w:ascii="宋体" w:hAnsi="宋体"/>
          <w:sz w:val="24"/>
        </w:rPr>
        <w:t xml:space="preserve">部分计算出得分 </w:t>
      </w:r>
      <w:r>
        <w:rPr>
          <w:rFonts w:hint="eastAsia" w:ascii="宋体" w:hAnsi="宋体"/>
          <w:sz w:val="24"/>
        </w:rPr>
        <w:t>D</w:t>
      </w:r>
      <w:r>
        <w:rPr>
          <w:rFonts w:ascii="宋体" w:hAnsi="宋体"/>
          <w:sz w:val="24"/>
        </w:rPr>
        <w:t>。</w:t>
      </w:r>
    </w:p>
    <w:p>
      <w:pPr>
        <w:spacing w:line="351" w:lineRule="auto"/>
        <w:ind w:left="660" w:hanging="659"/>
        <w:rPr>
          <w:rFonts w:ascii="宋体" w:hAnsi="宋体"/>
          <w:sz w:val="24"/>
        </w:rPr>
      </w:pPr>
      <w:r>
        <w:rPr>
          <w:rFonts w:ascii="宋体" w:hAnsi="宋体"/>
          <w:sz w:val="24"/>
        </w:rPr>
        <w:t>3.2.2  投标人的商务和技术得分分值计算保留小数点后两位，小数点后第三位</w:t>
      </w:r>
    </w:p>
    <w:p>
      <w:pPr>
        <w:spacing w:line="351" w:lineRule="auto"/>
        <w:ind w:left="660" w:hanging="659"/>
        <w:rPr>
          <w:rFonts w:ascii="宋体" w:hAnsi="宋体"/>
          <w:sz w:val="24"/>
        </w:rPr>
      </w:pPr>
      <w:r>
        <w:rPr>
          <w:rFonts w:ascii="宋体" w:hAnsi="宋体"/>
          <w:sz w:val="24"/>
        </w:rPr>
        <w:t>“四舍五入”。</w:t>
      </w:r>
    </w:p>
    <w:p>
      <w:pPr>
        <w:spacing w:line="351" w:lineRule="auto"/>
        <w:ind w:left="660" w:hanging="659"/>
        <w:rPr>
          <w:rFonts w:ascii="宋体" w:hAnsi="宋体"/>
          <w:sz w:val="24"/>
        </w:rPr>
      </w:pPr>
      <w:r>
        <w:rPr>
          <w:rFonts w:ascii="宋体" w:hAnsi="宋体"/>
          <w:sz w:val="24"/>
        </w:rPr>
        <w:t>3.2.3  投标人的商务和技术得分=A+B+C</w:t>
      </w:r>
      <w:r>
        <w:rPr>
          <w:rFonts w:hint="eastAsia" w:ascii="宋体" w:hAnsi="宋体"/>
          <w:sz w:val="24"/>
        </w:rPr>
        <w:t>+D</w:t>
      </w:r>
      <w:r>
        <w:rPr>
          <w:rFonts w:ascii="宋体" w:hAnsi="宋体"/>
          <w:sz w:val="24"/>
        </w:rPr>
        <w:t>。</w:t>
      </w:r>
    </w:p>
    <w:p>
      <w:pPr>
        <w:spacing w:line="351" w:lineRule="auto"/>
        <w:ind w:left="660" w:hanging="659"/>
        <w:rPr>
          <w:rFonts w:ascii="宋体" w:hAnsi="宋体"/>
          <w:sz w:val="24"/>
          <w:szCs w:val="24"/>
        </w:rPr>
      </w:pPr>
      <w:r>
        <w:rPr>
          <w:rFonts w:hint="eastAsia" w:ascii="宋体" w:hAnsi="宋体"/>
          <w:sz w:val="24"/>
          <w:szCs w:val="24"/>
        </w:rPr>
        <w:t>3.2.4 评标委员会按照投标人的商务和技术得分由高到低排序，排名在评标办法</w:t>
      </w:r>
    </w:p>
    <w:p>
      <w:pPr>
        <w:spacing w:line="351" w:lineRule="auto"/>
        <w:ind w:left="660" w:hanging="659"/>
        <w:rPr>
          <w:rFonts w:ascii="宋体" w:hAnsi="宋体"/>
          <w:sz w:val="24"/>
          <w:szCs w:val="24"/>
        </w:rPr>
      </w:pPr>
      <w:r>
        <w:rPr>
          <w:rFonts w:hint="eastAsia" w:ascii="宋体" w:hAnsi="宋体"/>
          <w:sz w:val="24"/>
          <w:szCs w:val="24"/>
        </w:rPr>
        <w:t>前附表规定数量以内的投标人，其投标文件第一个信封（商务及技术文件）通过</w:t>
      </w:r>
    </w:p>
    <w:p>
      <w:pPr>
        <w:spacing w:line="351" w:lineRule="auto"/>
        <w:ind w:left="660" w:hanging="659"/>
        <w:rPr>
          <w:rFonts w:ascii="宋体" w:hAnsi="宋体"/>
          <w:sz w:val="24"/>
          <w:szCs w:val="24"/>
        </w:rPr>
      </w:pPr>
      <w:r>
        <w:rPr>
          <w:rFonts w:hint="eastAsia" w:ascii="宋体" w:hAnsi="宋体"/>
          <w:sz w:val="24"/>
          <w:szCs w:val="24"/>
        </w:rPr>
        <w:t>详细评审。</w:t>
      </w:r>
    </w:p>
    <w:p>
      <w:pPr>
        <w:spacing w:line="351" w:lineRule="auto"/>
        <w:ind w:leftChars="-29" w:hanging="57" w:hangingChars="24"/>
        <w:rPr>
          <w:rFonts w:ascii="宋体" w:hAnsi="宋体"/>
          <w:sz w:val="24"/>
          <w:szCs w:val="24"/>
        </w:rPr>
      </w:pPr>
      <w:r>
        <w:rPr>
          <w:rFonts w:ascii="宋体" w:hAnsi="宋体"/>
          <w:sz w:val="24"/>
        </w:rPr>
        <w:t xml:space="preserve">3.2.5 </w:t>
      </w:r>
      <w:r>
        <w:rPr>
          <w:rFonts w:hint="eastAsia" w:ascii="宋体" w:hAnsi="宋体"/>
          <w:sz w:val="24"/>
          <w:szCs w:val="24"/>
        </w:rPr>
        <w:t>通过投标文件第一个信封（商务及技术文件）初步评审的投标人等于或少于 3个的，均通过投标文件第一个信封（商务及技术文件）详细评审，不再对投标人的商务和技术文件进行评分。</w:t>
      </w:r>
    </w:p>
    <w:p>
      <w:pPr>
        <w:spacing w:line="351" w:lineRule="auto"/>
        <w:ind w:left="660" w:hanging="659"/>
        <w:rPr>
          <w:rFonts w:ascii="宋体" w:hAnsi="宋体"/>
          <w:sz w:val="24"/>
        </w:rPr>
      </w:pPr>
      <w:bookmarkStart w:id="43" w:name="_bookmark117"/>
      <w:bookmarkEnd w:id="43"/>
      <w:r>
        <w:rPr>
          <w:rFonts w:ascii="宋体" w:hAnsi="宋体"/>
          <w:sz w:val="24"/>
        </w:rPr>
        <w:t>3.3 第二个信封开标</w:t>
      </w:r>
    </w:p>
    <w:p>
      <w:pPr>
        <w:spacing w:line="351" w:lineRule="auto"/>
        <w:ind w:firstLine="240" w:firstLineChars="100"/>
        <w:rPr>
          <w:rFonts w:ascii="宋体" w:hAnsi="宋体"/>
          <w:sz w:val="24"/>
        </w:rPr>
      </w:pPr>
      <w:r>
        <w:rPr>
          <w:rFonts w:ascii="宋体" w:hAnsi="宋体"/>
          <w:sz w:val="24"/>
        </w:rPr>
        <w:t>第一个信封（商务及技术文件）评审结束后，招标人将按照第二章“投标人须知” 第 5.1 款规定的时间和地点对通过投标文件第一个信封（商务及技术文件）评审的 投标文件第二个信封（报价文件）进行开标。</w:t>
      </w:r>
    </w:p>
    <w:p>
      <w:pPr>
        <w:spacing w:line="351" w:lineRule="auto"/>
        <w:ind w:left="660" w:hanging="659"/>
        <w:rPr>
          <w:rFonts w:ascii="宋体" w:hAnsi="宋体"/>
          <w:sz w:val="24"/>
        </w:rPr>
      </w:pPr>
      <w:bookmarkStart w:id="44" w:name="_bookmark118"/>
      <w:bookmarkEnd w:id="44"/>
      <w:r>
        <w:rPr>
          <w:rFonts w:ascii="宋体" w:hAnsi="宋体"/>
          <w:sz w:val="24"/>
        </w:rPr>
        <w:t>3.4 第二个信封初步评审</w:t>
      </w:r>
    </w:p>
    <w:p>
      <w:pPr>
        <w:spacing w:line="351" w:lineRule="auto"/>
        <w:ind w:left="660" w:hanging="659"/>
        <w:rPr>
          <w:rFonts w:ascii="宋体" w:hAnsi="宋体"/>
          <w:sz w:val="24"/>
        </w:rPr>
      </w:pPr>
      <w:r>
        <w:rPr>
          <w:rFonts w:ascii="宋体" w:hAnsi="宋体"/>
          <w:sz w:val="24"/>
        </w:rPr>
        <w:t>3.4.1 评标委员会依据本章第 2.1.1 项、第 2.1.3 项规定的评审标准对投标</w:t>
      </w:r>
    </w:p>
    <w:p>
      <w:pPr>
        <w:spacing w:line="351" w:lineRule="auto"/>
        <w:ind w:left="660" w:hanging="659"/>
        <w:rPr>
          <w:rFonts w:ascii="宋体" w:hAnsi="宋体"/>
          <w:sz w:val="24"/>
        </w:rPr>
      </w:pPr>
      <w:r>
        <w:rPr>
          <w:rFonts w:hint="eastAsia" w:ascii="宋体" w:hAnsi="宋体"/>
          <w:sz w:val="24"/>
        </w:rPr>
        <w:t>文</w:t>
      </w:r>
      <w:r>
        <w:rPr>
          <w:rFonts w:ascii="宋体" w:hAnsi="宋体"/>
          <w:sz w:val="24"/>
        </w:rPr>
        <w:t>件第 二个信封（报价文件）进行初步评审。有一项不符合评审标准的，评标</w:t>
      </w:r>
    </w:p>
    <w:p>
      <w:pPr>
        <w:spacing w:line="351" w:lineRule="auto"/>
        <w:ind w:left="660" w:hanging="659"/>
        <w:rPr>
          <w:rFonts w:ascii="宋体" w:hAnsi="宋体"/>
          <w:sz w:val="24"/>
        </w:rPr>
      </w:pPr>
      <w:r>
        <w:rPr>
          <w:rFonts w:hint="eastAsia" w:ascii="宋体" w:hAnsi="宋体"/>
          <w:sz w:val="24"/>
        </w:rPr>
        <w:t>委</w:t>
      </w:r>
      <w:r>
        <w:rPr>
          <w:rFonts w:ascii="宋体" w:hAnsi="宋体"/>
          <w:sz w:val="24"/>
        </w:rPr>
        <w:t>员会应否 决其投标。</w:t>
      </w:r>
    </w:p>
    <w:p>
      <w:pPr>
        <w:spacing w:line="351" w:lineRule="auto"/>
        <w:rPr>
          <w:rFonts w:ascii="宋体" w:hAnsi="宋体"/>
          <w:sz w:val="24"/>
        </w:rPr>
      </w:pPr>
      <w:r>
        <w:rPr>
          <w:rFonts w:ascii="宋体" w:hAnsi="宋体"/>
          <w:sz w:val="24"/>
        </w:rPr>
        <w:t>3.4.2投标报价有算术错误的，评标委员会按以下原则对投标报价进行修正， 修正的价格经投标人书面确认后具有约束力。投标人不接受修正价格的，评标委员 会应否决其投标。</w:t>
      </w:r>
    </w:p>
    <w:p>
      <w:pPr>
        <w:spacing w:line="351" w:lineRule="auto"/>
        <w:ind w:left="660" w:hanging="659"/>
        <w:rPr>
          <w:rFonts w:ascii="宋体" w:hAnsi="宋体"/>
          <w:sz w:val="24"/>
        </w:rPr>
      </w:pPr>
      <w:r>
        <w:rPr>
          <w:rFonts w:ascii="宋体" w:hAnsi="宋体"/>
          <w:sz w:val="24"/>
        </w:rPr>
        <w:t>（1）投标文件中的大写金额与小写金额不一致的，以大写金额为准；</w:t>
      </w:r>
    </w:p>
    <w:p>
      <w:pPr>
        <w:spacing w:line="351" w:lineRule="auto"/>
        <w:ind w:left="660" w:hanging="659"/>
        <w:rPr>
          <w:rFonts w:ascii="宋体" w:hAnsi="宋体"/>
          <w:sz w:val="24"/>
        </w:rPr>
      </w:pPr>
      <w:r>
        <w:rPr>
          <w:rFonts w:ascii="宋体" w:hAnsi="宋体"/>
          <w:sz w:val="24"/>
        </w:rPr>
        <w:t>（2）总价金额与依据单价计算出的结果不一致的，以单价金额为准修正总价， 但单价金额小数点有明显错误的除外;</w:t>
      </w:r>
    </w:p>
    <w:p>
      <w:pPr>
        <w:spacing w:line="351" w:lineRule="auto"/>
        <w:ind w:left="660" w:hanging="659"/>
        <w:rPr>
          <w:rFonts w:ascii="宋体" w:hAnsi="宋体"/>
          <w:sz w:val="24"/>
        </w:rPr>
      </w:pPr>
      <w:r>
        <w:rPr>
          <w:rFonts w:ascii="宋体" w:hAnsi="宋体"/>
          <w:sz w:val="24"/>
        </w:rPr>
        <w:t>（3）当单价与数量相乘不等于合价时，以单价计算为准，如果单价有明显的小 数点位置差错，应以标出的合价为准，同时对单价予以修正；</w:t>
      </w:r>
    </w:p>
    <w:p>
      <w:pPr>
        <w:spacing w:line="351" w:lineRule="auto"/>
        <w:ind w:left="660" w:hanging="659"/>
        <w:rPr>
          <w:rFonts w:ascii="宋体" w:hAnsi="宋体"/>
          <w:sz w:val="24"/>
        </w:rPr>
      </w:pPr>
      <w:r>
        <w:rPr>
          <w:rFonts w:ascii="宋体" w:hAnsi="宋体"/>
          <w:sz w:val="24"/>
        </w:rPr>
        <w:t>（4）当各子目的合价累计不等于总价时，应以各子目合价累计数为准，修正总 价。</w:t>
      </w:r>
    </w:p>
    <w:p>
      <w:pPr>
        <w:spacing w:line="351" w:lineRule="auto"/>
        <w:ind w:left="660" w:hanging="659"/>
        <w:rPr>
          <w:rFonts w:ascii="宋体" w:hAnsi="宋体"/>
          <w:sz w:val="24"/>
        </w:rPr>
      </w:pPr>
      <w:r>
        <w:rPr>
          <w:rFonts w:ascii="宋体" w:hAnsi="宋体"/>
          <w:sz w:val="24"/>
        </w:rPr>
        <w:t xml:space="preserve">3.4.3 工程量清单中的投标报价有其他错误的，评标委员会按以下原则对投标报 </w:t>
      </w:r>
    </w:p>
    <w:p>
      <w:pPr>
        <w:spacing w:line="351" w:lineRule="auto"/>
        <w:ind w:left="660" w:hanging="659"/>
        <w:rPr>
          <w:rFonts w:ascii="宋体" w:hAnsi="宋体"/>
          <w:sz w:val="24"/>
        </w:rPr>
      </w:pPr>
      <w:r>
        <w:rPr>
          <w:rFonts w:ascii="宋体" w:hAnsi="宋体"/>
          <w:sz w:val="24"/>
        </w:rPr>
        <w:t>价进行修正，修正的价格经投标人书面确认后具有约束力。投标人不接受修正价</w:t>
      </w:r>
    </w:p>
    <w:p>
      <w:pPr>
        <w:spacing w:line="351" w:lineRule="auto"/>
        <w:ind w:left="660" w:hanging="659"/>
        <w:rPr>
          <w:rFonts w:ascii="宋体" w:hAnsi="宋体"/>
          <w:sz w:val="24"/>
        </w:rPr>
      </w:pPr>
      <w:r>
        <w:rPr>
          <w:rFonts w:ascii="宋体" w:hAnsi="宋体"/>
          <w:sz w:val="24"/>
        </w:rPr>
        <w:t>格 的，评标委员会应否决其投标。</w:t>
      </w:r>
    </w:p>
    <w:p>
      <w:pPr>
        <w:spacing w:line="351" w:lineRule="auto"/>
        <w:ind w:left="660" w:hanging="659"/>
        <w:rPr>
          <w:rFonts w:ascii="宋体" w:hAnsi="宋体"/>
          <w:sz w:val="24"/>
        </w:rPr>
      </w:pPr>
      <w:r>
        <w:rPr>
          <w:rFonts w:ascii="宋体" w:hAnsi="宋体"/>
          <w:sz w:val="24"/>
        </w:rPr>
        <w:t xml:space="preserve">（1）在招标人给定的工程量清单中漏报了某个工程子目的单价、合价或总额价， </w:t>
      </w:r>
    </w:p>
    <w:p>
      <w:pPr>
        <w:spacing w:line="351" w:lineRule="auto"/>
        <w:ind w:left="660" w:hanging="659"/>
        <w:rPr>
          <w:rFonts w:ascii="宋体" w:hAnsi="宋体"/>
          <w:sz w:val="24"/>
        </w:rPr>
      </w:pPr>
      <w:r>
        <w:rPr>
          <w:rFonts w:ascii="宋体" w:hAnsi="宋体"/>
          <w:sz w:val="24"/>
        </w:rPr>
        <w:t>或所报单价、合价或总额价减少了报价范围，则漏报的工程子目单价、合价和总</w:t>
      </w:r>
    </w:p>
    <w:p>
      <w:pPr>
        <w:spacing w:line="351" w:lineRule="auto"/>
        <w:ind w:left="660" w:hanging="659"/>
        <w:rPr>
          <w:rFonts w:ascii="宋体" w:hAnsi="宋体"/>
          <w:sz w:val="24"/>
        </w:rPr>
      </w:pPr>
      <w:r>
        <w:rPr>
          <w:rFonts w:ascii="宋体" w:hAnsi="宋体"/>
          <w:sz w:val="24"/>
        </w:rPr>
        <w:t>额 价或单价、合价和总额价中减少的报价内容视为已含入其他工程子目的单价、</w:t>
      </w:r>
    </w:p>
    <w:p>
      <w:pPr>
        <w:spacing w:line="351" w:lineRule="auto"/>
        <w:ind w:left="660" w:hanging="659"/>
        <w:rPr>
          <w:rFonts w:ascii="宋体" w:hAnsi="宋体"/>
          <w:sz w:val="24"/>
        </w:rPr>
      </w:pPr>
      <w:r>
        <w:rPr>
          <w:rFonts w:ascii="宋体" w:hAnsi="宋体"/>
          <w:sz w:val="24"/>
        </w:rPr>
        <w:t>合价 和总额价之中。</w:t>
      </w:r>
    </w:p>
    <w:p>
      <w:pPr>
        <w:spacing w:line="351" w:lineRule="auto"/>
        <w:ind w:left="660" w:hanging="659"/>
        <w:rPr>
          <w:rFonts w:ascii="宋体" w:hAnsi="宋体"/>
          <w:sz w:val="24"/>
        </w:rPr>
      </w:pPr>
      <w:r>
        <w:rPr>
          <w:rFonts w:ascii="宋体" w:hAnsi="宋体"/>
          <w:sz w:val="24"/>
        </w:rPr>
        <w:t xml:space="preserve">（2）在招标人给定的工程量清单中多报了某个工程子目的单价、合价或总额价， </w:t>
      </w:r>
    </w:p>
    <w:p>
      <w:pPr>
        <w:spacing w:line="351" w:lineRule="auto"/>
        <w:ind w:left="660" w:hanging="659"/>
        <w:rPr>
          <w:rFonts w:ascii="宋体" w:hAnsi="宋体"/>
          <w:sz w:val="24"/>
        </w:rPr>
      </w:pPr>
      <w:r>
        <w:rPr>
          <w:rFonts w:ascii="宋体" w:hAnsi="宋体"/>
          <w:sz w:val="24"/>
        </w:rPr>
        <w:t>或所报单价、合价或总额价增加了报价范围，则从投标报价中扣除多报的工程子</w:t>
      </w:r>
    </w:p>
    <w:p>
      <w:pPr>
        <w:spacing w:line="351" w:lineRule="auto"/>
        <w:ind w:left="660" w:hanging="659"/>
        <w:rPr>
          <w:rFonts w:ascii="宋体" w:hAnsi="宋体"/>
          <w:sz w:val="24"/>
        </w:rPr>
      </w:pPr>
      <w:r>
        <w:rPr>
          <w:rFonts w:ascii="宋体" w:hAnsi="宋体"/>
          <w:sz w:val="24"/>
        </w:rPr>
        <w:t>目 报价或工程子目报价中增加了报价范围的部分报价。</w:t>
      </w:r>
    </w:p>
    <w:p>
      <w:pPr>
        <w:spacing w:line="351" w:lineRule="auto"/>
        <w:ind w:left="660" w:hanging="659"/>
        <w:rPr>
          <w:rFonts w:ascii="宋体" w:hAnsi="宋体"/>
          <w:sz w:val="24"/>
        </w:rPr>
      </w:pPr>
      <w:r>
        <w:rPr>
          <w:rFonts w:ascii="宋体" w:hAnsi="宋体"/>
          <w:sz w:val="24"/>
        </w:rPr>
        <w:t xml:space="preserve">（3）当单价与数量的乘积与合价（金额）虽然一致，但投标人修改了该子目的 </w:t>
      </w:r>
    </w:p>
    <w:p>
      <w:pPr>
        <w:spacing w:line="351" w:lineRule="auto"/>
        <w:ind w:left="660" w:hanging="659"/>
        <w:rPr>
          <w:rFonts w:ascii="宋体" w:hAnsi="宋体"/>
          <w:sz w:val="24"/>
        </w:rPr>
      </w:pPr>
      <w:r>
        <w:rPr>
          <w:rFonts w:ascii="宋体" w:hAnsi="宋体"/>
          <w:sz w:val="24"/>
        </w:rPr>
        <w:t>工程数量，则其合价按招标人给定的工程数量乘以投标人所报单价予以修正。</w:t>
      </w:r>
    </w:p>
    <w:p>
      <w:pPr>
        <w:spacing w:line="351" w:lineRule="auto"/>
        <w:ind w:left="660" w:hanging="659"/>
        <w:rPr>
          <w:rFonts w:ascii="宋体" w:hAnsi="宋体"/>
          <w:sz w:val="24"/>
        </w:rPr>
      </w:pPr>
      <w:r>
        <w:rPr>
          <w:rFonts w:ascii="宋体" w:hAnsi="宋体"/>
          <w:sz w:val="24"/>
        </w:rPr>
        <w:t xml:space="preserve">3.4.4  修正后的最终投标报价若超过最高投标限价（如有），评标委员会应否决 </w:t>
      </w:r>
    </w:p>
    <w:p>
      <w:pPr>
        <w:spacing w:line="351" w:lineRule="auto"/>
        <w:ind w:left="660" w:hanging="659"/>
        <w:rPr>
          <w:rFonts w:ascii="宋体" w:hAnsi="宋体"/>
          <w:sz w:val="24"/>
        </w:rPr>
      </w:pPr>
      <w:r>
        <w:rPr>
          <w:rFonts w:ascii="宋体" w:hAnsi="宋体"/>
          <w:sz w:val="24"/>
        </w:rPr>
        <w:t>其投标。</w:t>
      </w:r>
    </w:p>
    <w:p>
      <w:pPr>
        <w:spacing w:line="351" w:lineRule="auto"/>
        <w:ind w:left="660" w:hanging="659"/>
        <w:rPr>
          <w:rFonts w:ascii="宋体" w:hAnsi="宋体"/>
          <w:sz w:val="24"/>
        </w:rPr>
      </w:pPr>
      <w:bookmarkStart w:id="45" w:name="_bookmark119"/>
      <w:bookmarkEnd w:id="45"/>
      <w:r>
        <w:rPr>
          <w:rFonts w:ascii="宋体" w:hAnsi="宋体"/>
          <w:sz w:val="24"/>
        </w:rPr>
        <w:t>3.5 第二个信封详细评审</w:t>
      </w:r>
    </w:p>
    <w:p>
      <w:pPr>
        <w:spacing w:line="351" w:lineRule="auto"/>
        <w:ind w:left="660" w:hanging="659"/>
        <w:rPr>
          <w:rFonts w:ascii="宋体" w:hAnsi="宋体"/>
          <w:sz w:val="24"/>
        </w:rPr>
      </w:pPr>
      <w:r>
        <w:rPr>
          <w:rFonts w:ascii="宋体" w:hAnsi="宋体"/>
          <w:sz w:val="24"/>
        </w:rPr>
        <w:t>3.5.1  评标委员会按本章第 2.2</w:t>
      </w:r>
      <w:r>
        <w:rPr>
          <w:rFonts w:hint="eastAsia" w:ascii="宋体" w:hAnsi="宋体"/>
          <w:sz w:val="24"/>
        </w:rPr>
        <w:t>.2</w:t>
      </w:r>
      <w:r>
        <w:rPr>
          <w:rFonts w:ascii="宋体" w:hAnsi="宋体"/>
          <w:sz w:val="24"/>
        </w:rPr>
        <w:t>款规定的量化因素和标准进行价格折算，计算</w:t>
      </w:r>
    </w:p>
    <w:p>
      <w:pPr>
        <w:spacing w:line="351" w:lineRule="auto"/>
        <w:ind w:left="660" w:hanging="659"/>
        <w:rPr>
          <w:rFonts w:ascii="宋体" w:hAnsi="宋体"/>
          <w:sz w:val="24"/>
        </w:rPr>
      </w:pPr>
      <w:r>
        <w:rPr>
          <w:rFonts w:ascii="宋体" w:hAnsi="宋体"/>
          <w:sz w:val="24"/>
        </w:rPr>
        <w:t>出 评标价，并编制价格比较一览表。</w:t>
      </w:r>
    </w:p>
    <w:p>
      <w:pPr>
        <w:spacing w:line="351" w:lineRule="auto"/>
        <w:ind w:left="660" w:hanging="659"/>
        <w:rPr>
          <w:rFonts w:ascii="宋体" w:hAnsi="宋体"/>
          <w:sz w:val="24"/>
        </w:rPr>
      </w:pPr>
      <w:r>
        <w:rPr>
          <w:rFonts w:ascii="宋体" w:hAnsi="宋体"/>
          <w:sz w:val="24"/>
        </w:rPr>
        <w:t>3.5.2  评标委员会发现投标人的报价明显低于其他投标报价，使得其投标报价可</w:t>
      </w:r>
    </w:p>
    <w:p>
      <w:pPr>
        <w:spacing w:line="351" w:lineRule="auto"/>
        <w:rPr>
          <w:rFonts w:ascii="宋体" w:hAnsi="宋体"/>
          <w:sz w:val="24"/>
        </w:rPr>
      </w:pPr>
      <w:r>
        <w:rPr>
          <w:rFonts w:ascii="宋体" w:hAnsi="宋体"/>
          <w:sz w:val="24"/>
        </w:rPr>
        <w:t>能低于其个别成本的，应要求该投标人作出书面说明并提供相应的证明材料。投标 人不能合理说明或不能提供相应证明材料的，由评标委员会认定该投标人以低于成 本报价竞标，并否决其投标。</w:t>
      </w:r>
    </w:p>
    <w:p>
      <w:pPr>
        <w:spacing w:line="351" w:lineRule="auto"/>
        <w:ind w:left="660" w:hanging="659"/>
        <w:rPr>
          <w:rFonts w:ascii="宋体" w:hAnsi="宋体"/>
          <w:sz w:val="24"/>
        </w:rPr>
      </w:pPr>
      <w:bookmarkStart w:id="46" w:name="_bookmark120"/>
      <w:bookmarkEnd w:id="46"/>
      <w:r>
        <w:rPr>
          <w:rFonts w:ascii="宋体" w:hAnsi="宋体"/>
          <w:sz w:val="24"/>
        </w:rPr>
        <w:t>3.6 投标文件相关信息的核查</w:t>
      </w:r>
    </w:p>
    <w:p>
      <w:pPr>
        <w:spacing w:line="351" w:lineRule="auto"/>
        <w:ind w:left="660" w:hanging="659"/>
        <w:rPr>
          <w:rFonts w:ascii="宋体" w:hAnsi="宋体"/>
          <w:sz w:val="24"/>
        </w:rPr>
      </w:pPr>
      <w:r>
        <w:rPr>
          <w:rFonts w:ascii="宋体" w:hAnsi="宋体"/>
          <w:sz w:val="24"/>
        </w:rPr>
        <w:t>3.6.</w:t>
      </w:r>
      <w:r>
        <w:rPr>
          <w:rFonts w:hint="eastAsia" w:ascii="宋体" w:hAnsi="宋体"/>
          <w:sz w:val="24"/>
        </w:rPr>
        <w:t>1</w:t>
      </w:r>
      <w:r>
        <w:rPr>
          <w:rFonts w:ascii="宋体" w:hAnsi="宋体"/>
          <w:sz w:val="24"/>
        </w:rPr>
        <w:t xml:space="preserve">评标委员会应对在评标过程中发现的投标人与投标人之间、投标人与招标 </w:t>
      </w:r>
    </w:p>
    <w:p>
      <w:pPr>
        <w:spacing w:line="351" w:lineRule="auto"/>
        <w:ind w:left="660" w:hanging="659"/>
        <w:rPr>
          <w:rFonts w:ascii="宋体" w:hAnsi="宋体"/>
          <w:sz w:val="24"/>
        </w:rPr>
      </w:pPr>
      <w:r>
        <w:rPr>
          <w:rFonts w:ascii="宋体" w:hAnsi="宋体"/>
          <w:sz w:val="24"/>
        </w:rPr>
        <w:t>人之间存在的串通投标的情形进行评审和认定。投标人存在串通投标、弄虚作</w:t>
      </w:r>
    </w:p>
    <w:p>
      <w:pPr>
        <w:spacing w:line="351" w:lineRule="auto"/>
        <w:ind w:left="660" w:hanging="659"/>
        <w:rPr>
          <w:rFonts w:ascii="宋体" w:hAnsi="宋体"/>
          <w:sz w:val="24"/>
        </w:rPr>
      </w:pPr>
      <w:r>
        <w:rPr>
          <w:rFonts w:ascii="宋体" w:hAnsi="宋体"/>
          <w:sz w:val="24"/>
        </w:rPr>
        <w:t>假、 行贿等违法行为的，评标委员会应否决其投标。</w:t>
      </w:r>
    </w:p>
    <w:p>
      <w:pPr>
        <w:numPr>
          <w:ilvl w:val="0"/>
          <w:numId w:val="25"/>
        </w:numPr>
        <w:spacing w:line="351" w:lineRule="auto"/>
        <w:ind w:left="660" w:hanging="659"/>
        <w:rPr>
          <w:rFonts w:ascii="宋体" w:hAnsi="宋体"/>
          <w:sz w:val="24"/>
        </w:rPr>
      </w:pPr>
      <w:r>
        <w:rPr>
          <w:rFonts w:ascii="宋体" w:hAnsi="宋体"/>
          <w:sz w:val="24"/>
        </w:rPr>
        <w:t>有下列情形之一的，属于投标人相互串通投标：</w:t>
      </w:r>
    </w:p>
    <w:p>
      <w:pPr>
        <w:spacing w:line="351" w:lineRule="auto"/>
        <w:ind w:left="1" w:firstLine="240" w:firstLineChars="100"/>
        <w:rPr>
          <w:rFonts w:ascii="宋体" w:hAnsi="宋体"/>
          <w:sz w:val="24"/>
        </w:rPr>
      </w:pPr>
      <w:r>
        <w:rPr>
          <w:rFonts w:ascii="宋体" w:hAnsi="宋体"/>
          <w:sz w:val="24"/>
        </w:rPr>
        <w:t xml:space="preserve"> a.投标人之间协商投标报价等投标文件的实质性内容； </w:t>
      </w:r>
    </w:p>
    <w:p>
      <w:pPr>
        <w:spacing w:line="351" w:lineRule="auto"/>
        <w:ind w:left="677" w:leftChars="185" w:hanging="307" w:hangingChars="128"/>
        <w:rPr>
          <w:rFonts w:ascii="宋体" w:hAnsi="宋体"/>
          <w:sz w:val="24"/>
        </w:rPr>
      </w:pPr>
      <w:r>
        <w:rPr>
          <w:rFonts w:ascii="宋体" w:hAnsi="宋体"/>
          <w:sz w:val="24"/>
        </w:rPr>
        <w:t>b.投标人之间约定中标人；</w:t>
      </w:r>
    </w:p>
    <w:p>
      <w:pPr>
        <w:spacing w:line="351" w:lineRule="auto"/>
        <w:ind w:left="660" w:hanging="659"/>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c.投标人之间约定部分投标人放弃投标或中标；</w:t>
      </w:r>
    </w:p>
    <w:p>
      <w:pPr>
        <w:spacing w:line="351" w:lineRule="auto"/>
        <w:ind w:left="677" w:leftChars="185" w:hanging="307" w:hangingChars="128"/>
        <w:rPr>
          <w:rFonts w:ascii="宋体" w:hAnsi="宋体"/>
          <w:sz w:val="24"/>
        </w:rPr>
      </w:pPr>
      <w:r>
        <w:rPr>
          <w:rFonts w:ascii="宋体" w:hAnsi="宋体"/>
          <w:sz w:val="24"/>
        </w:rPr>
        <w:t>d.属于同一集团、协会、商会等组织成员的投标人按照该组织要求协同投标</w:t>
      </w:r>
    </w:p>
    <w:p>
      <w:pPr>
        <w:spacing w:line="351" w:lineRule="auto"/>
        <w:ind w:left="677" w:leftChars="185" w:hanging="307" w:hangingChars="128"/>
        <w:rPr>
          <w:rFonts w:ascii="宋体" w:hAnsi="宋体"/>
          <w:sz w:val="24"/>
        </w:rPr>
      </w:pPr>
      <w:r>
        <w:rPr>
          <w:rFonts w:ascii="宋体" w:hAnsi="宋体"/>
          <w:sz w:val="24"/>
        </w:rPr>
        <w:t>e.投标人之间为谋取中标或排斥特定投标人而采取的其他联合行动。</w:t>
      </w:r>
    </w:p>
    <w:p>
      <w:pPr>
        <w:numPr>
          <w:ilvl w:val="0"/>
          <w:numId w:val="25"/>
        </w:numPr>
        <w:spacing w:line="351" w:lineRule="auto"/>
        <w:ind w:left="660" w:hanging="659"/>
        <w:rPr>
          <w:rFonts w:ascii="宋体" w:hAnsi="宋体"/>
          <w:sz w:val="24"/>
        </w:rPr>
      </w:pPr>
      <w:r>
        <w:rPr>
          <w:rFonts w:ascii="宋体" w:hAnsi="宋体"/>
          <w:sz w:val="24"/>
        </w:rPr>
        <w:t>有下列情形之一的，视为投标人相互串通投标：</w:t>
      </w:r>
    </w:p>
    <w:p>
      <w:pPr>
        <w:spacing w:line="351" w:lineRule="auto"/>
        <w:ind w:left="1" w:firstLine="240" w:firstLineChars="100"/>
        <w:rPr>
          <w:rFonts w:ascii="宋体" w:hAnsi="宋体"/>
          <w:sz w:val="24"/>
        </w:rPr>
      </w:pPr>
      <w:r>
        <w:rPr>
          <w:rFonts w:ascii="宋体" w:hAnsi="宋体"/>
          <w:sz w:val="24"/>
        </w:rPr>
        <w:t xml:space="preserve"> a.不同投标人的投标文件由同一单位或个人编制；</w:t>
      </w:r>
    </w:p>
    <w:p>
      <w:pPr>
        <w:spacing w:line="351" w:lineRule="auto"/>
        <w:ind w:left="1" w:firstLine="240" w:firstLineChars="100"/>
        <w:rPr>
          <w:rFonts w:ascii="宋体" w:hAnsi="宋体"/>
          <w:sz w:val="24"/>
        </w:rPr>
      </w:pPr>
      <w:r>
        <w:rPr>
          <w:rFonts w:ascii="宋体" w:hAnsi="宋体"/>
          <w:sz w:val="24"/>
        </w:rPr>
        <w:t xml:space="preserve"> b.不同投标人委托同一单位或个人办理投标事宜；</w:t>
      </w:r>
    </w:p>
    <w:p>
      <w:pPr>
        <w:spacing w:line="351" w:lineRule="auto"/>
        <w:ind w:left="1" w:firstLine="240" w:firstLineChars="100"/>
        <w:rPr>
          <w:rFonts w:ascii="宋体" w:hAnsi="宋体"/>
          <w:sz w:val="24"/>
        </w:rPr>
      </w:pPr>
      <w:r>
        <w:rPr>
          <w:rFonts w:ascii="宋体" w:hAnsi="宋体"/>
          <w:sz w:val="24"/>
        </w:rPr>
        <w:t xml:space="preserve"> c.不同投标人的投标文件载明的项目管理成员为同一人；</w:t>
      </w:r>
    </w:p>
    <w:p>
      <w:pPr>
        <w:spacing w:line="351" w:lineRule="auto"/>
        <w:ind w:left="1" w:firstLine="240" w:firstLineChars="100"/>
        <w:rPr>
          <w:rFonts w:ascii="宋体" w:hAnsi="宋体"/>
          <w:sz w:val="24"/>
        </w:rPr>
      </w:pPr>
      <w:r>
        <w:rPr>
          <w:rFonts w:ascii="宋体" w:hAnsi="宋体"/>
          <w:sz w:val="24"/>
        </w:rPr>
        <w:t xml:space="preserve"> d.不同投标人的投标文件异常一致或投标报价呈规律性差异；</w:t>
      </w:r>
    </w:p>
    <w:p>
      <w:pPr>
        <w:spacing w:line="351" w:lineRule="auto"/>
        <w:ind w:left="1" w:firstLine="240" w:firstLineChars="100"/>
        <w:rPr>
          <w:rFonts w:ascii="宋体" w:hAnsi="宋体"/>
          <w:sz w:val="24"/>
        </w:rPr>
      </w:pPr>
      <w:r>
        <w:rPr>
          <w:rFonts w:ascii="宋体" w:hAnsi="宋体"/>
          <w:sz w:val="24"/>
        </w:rPr>
        <w:t xml:space="preserve"> e.不同投标人的投标文件相互混装；</w:t>
      </w:r>
    </w:p>
    <w:p>
      <w:pPr>
        <w:spacing w:line="351" w:lineRule="auto"/>
        <w:ind w:left="1" w:firstLine="240" w:firstLineChars="100"/>
        <w:rPr>
          <w:rFonts w:ascii="宋体" w:hAnsi="宋体"/>
          <w:sz w:val="24"/>
        </w:rPr>
      </w:pPr>
      <w:r>
        <w:rPr>
          <w:rFonts w:ascii="宋体" w:hAnsi="宋体"/>
          <w:sz w:val="24"/>
        </w:rPr>
        <w:t xml:space="preserve"> f.不同投标人的投标保证金从同一单位或个人的账户转出。</w:t>
      </w:r>
    </w:p>
    <w:p>
      <w:pPr>
        <w:spacing w:line="351" w:lineRule="auto"/>
        <w:ind w:left="660" w:hanging="659"/>
        <w:rPr>
          <w:rFonts w:ascii="宋体" w:hAnsi="宋体"/>
          <w:sz w:val="24"/>
        </w:rPr>
      </w:pPr>
      <w:r>
        <w:rPr>
          <w:rFonts w:ascii="宋体" w:hAnsi="宋体"/>
          <w:sz w:val="24"/>
        </w:rPr>
        <w:t xml:space="preserve">（3）有下列情形之一的，属于招标人与投标人串通投标： </w:t>
      </w:r>
    </w:p>
    <w:p>
      <w:pPr>
        <w:spacing w:line="351" w:lineRule="auto"/>
        <w:ind w:left="679" w:leftChars="65" w:hanging="549" w:hangingChars="229"/>
        <w:rPr>
          <w:rFonts w:ascii="宋体" w:hAnsi="宋体"/>
          <w:sz w:val="24"/>
        </w:rPr>
      </w:pPr>
      <w:r>
        <w:rPr>
          <w:rFonts w:ascii="宋体" w:hAnsi="宋体"/>
          <w:sz w:val="24"/>
        </w:rPr>
        <w:t>a.招标人在开标前开启投标文件并将有关信息泄露给其他投标人;</w:t>
      </w:r>
    </w:p>
    <w:p>
      <w:pPr>
        <w:spacing w:line="351" w:lineRule="auto"/>
        <w:ind w:left="660" w:hanging="659"/>
        <w:rPr>
          <w:rFonts w:ascii="宋体" w:hAnsi="宋体"/>
          <w:sz w:val="24"/>
        </w:rPr>
      </w:pPr>
      <w:r>
        <w:rPr>
          <w:rFonts w:ascii="宋体" w:hAnsi="宋体"/>
          <w:sz w:val="24"/>
        </w:rPr>
        <w:t xml:space="preserve"> b.招标人直接或间接向投标人泄露标底、评标委员会成员等信息；</w:t>
      </w:r>
    </w:p>
    <w:p>
      <w:pPr>
        <w:spacing w:line="351" w:lineRule="auto"/>
        <w:ind w:left="660" w:hanging="659"/>
        <w:rPr>
          <w:rFonts w:ascii="宋体" w:hAnsi="宋体"/>
          <w:sz w:val="24"/>
        </w:rPr>
      </w:pPr>
      <w:r>
        <w:rPr>
          <w:rFonts w:ascii="宋体" w:hAnsi="宋体"/>
          <w:sz w:val="24"/>
        </w:rPr>
        <w:t xml:space="preserve"> c.招标人明示或暗示投标人压低或抬高投标报价；</w:t>
      </w:r>
    </w:p>
    <w:p>
      <w:pPr>
        <w:spacing w:line="351" w:lineRule="auto"/>
        <w:ind w:left="660" w:hanging="659"/>
        <w:rPr>
          <w:rFonts w:ascii="宋体" w:hAnsi="宋体"/>
          <w:sz w:val="24"/>
        </w:rPr>
      </w:pPr>
      <w:r>
        <w:rPr>
          <w:rFonts w:ascii="宋体" w:hAnsi="宋体"/>
          <w:sz w:val="24"/>
        </w:rPr>
        <w:t xml:space="preserve"> d.招标人授意投标人撤换、修改投标文件；</w:t>
      </w:r>
    </w:p>
    <w:p>
      <w:pPr>
        <w:spacing w:line="351" w:lineRule="auto"/>
        <w:ind w:left="660" w:hanging="659"/>
        <w:rPr>
          <w:rFonts w:ascii="宋体" w:hAnsi="宋体"/>
          <w:sz w:val="24"/>
        </w:rPr>
      </w:pPr>
      <w:r>
        <w:rPr>
          <w:rFonts w:ascii="宋体" w:hAnsi="宋体"/>
          <w:sz w:val="24"/>
        </w:rPr>
        <w:t xml:space="preserve"> e.招标人明示或暗示投标人为特定投标人中标提供方便；</w:t>
      </w:r>
    </w:p>
    <w:p>
      <w:pPr>
        <w:spacing w:line="351" w:lineRule="auto"/>
        <w:ind w:left="660" w:hanging="659"/>
        <w:rPr>
          <w:rFonts w:ascii="宋体" w:hAnsi="宋体"/>
          <w:sz w:val="24"/>
        </w:rPr>
      </w:pPr>
      <w:r>
        <w:rPr>
          <w:rFonts w:ascii="宋体" w:hAnsi="宋体"/>
          <w:sz w:val="24"/>
        </w:rPr>
        <w:t xml:space="preserve"> f.招标人与投标人为谋求特定投标人中标而采取的其他串通行为。</w:t>
      </w:r>
    </w:p>
    <w:p>
      <w:pPr>
        <w:spacing w:line="351" w:lineRule="auto"/>
        <w:ind w:left="660" w:hanging="659"/>
        <w:rPr>
          <w:rFonts w:ascii="宋体" w:hAnsi="宋体"/>
          <w:sz w:val="24"/>
        </w:rPr>
      </w:pPr>
      <w:r>
        <w:rPr>
          <w:rFonts w:ascii="宋体" w:hAnsi="宋体"/>
          <w:sz w:val="24"/>
        </w:rPr>
        <w:t>（4）投标人有下列情形之一的，属于弄虚作假的行为：</w:t>
      </w:r>
    </w:p>
    <w:p>
      <w:pPr>
        <w:numPr>
          <w:ilvl w:val="0"/>
          <w:numId w:val="26"/>
        </w:numPr>
        <w:spacing w:line="351" w:lineRule="auto"/>
        <w:rPr>
          <w:rFonts w:ascii="宋体" w:hAnsi="宋体"/>
          <w:sz w:val="24"/>
        </w:rPr>
      </w:pPr>
      <w:r>
        <w:rPr>
          <w:rFonts w:ascii="宋体" w:hAnsi="宋体"/>
          <w:sz w:val="24"/>
        </w:rPr>
        <w:t>使用通过受让或租借等方式获取的资格、资质证书投标</w:t>
      </w:r>
    </w:p>
    <w:p>
      <w:pPr>
        <w:numPr>
          <w:ilvl w:val="0"/>
          <w:numId w:val="26"/>
        </w:numPr>
        <w:spacing w:line="351" w:lineRule="auto"/>
        <w:rPr>
          <w:rFonts w:ascii="宋体" w:hAnsi="宋体"/>
          <w:sz w:val="24"/>
        </w:rPr>
      </w:pPr>
      <w:r>
        <w:rPr>
          <w:rFonts w:ascii="宋体" w:hAnsi="宋体"/>
          <w:sz w:val="24"/>
        </w:rPr>
        <w:t xml:space="preserve">使用伪造、变造的许可证件； </w:t>
      </w:r>
    </w:p>
    <w:p>
      <w:pPr>
        <w:spacing w:line="351" w:lineRule="auto"/>
        <w:rPr>
          <w:rFonts w:ascii="宋体" w:hAnsi="宋体"/>
          <w:sz w:val="24"/>
        </w:rPr>
      </w:pPr>
      <w:r>
        <w:rPr>
          <w:rFonts w:ascii="宋体" w:hAnsi="宋体"/>
          <w:sz w:val="24"/>
        </w:rPr>
        <w:t>c.提供虚假的财务状况或业绩；</w:t>
      </w:r>
    </w:p>
    <w:p>
      <w:pPr>
        <w:spacing w:line="351" w:lineRule="auto"/>
        <w:ind w:left="660" w:hanging="659"/>
        <w:rPr>
          <w:rFonts w:ascii="宋体" w:hAnsi="宋体"/>
          <w:sz w:val="24"/>
        </w:rPr>
      </w:pPr>
      <w:r>
        <w:rPr>
          <w:rFonts w:ascii="宋体" w:hAnsi="宋体"/>
          <w:sz w:val="24"/>
        </w:rPr>
        <w:t>d.提供虚假的项目负责人或主要技术人员简历、劳动关系证明；</w:t>
      </w:r>
    </w:p>
    <w:p>
      <w:pPr>
        <w:spacing w:line="351" w:lineRule="auto"/>
        <w:ind w:left="660" w:hanging="659"/>
        <w:rPr>
          <w:rFonts w:ascii="宋体" w:hAnsi="宋体"/>
          <w:sz w:val="24"/>
        </w:rPr>
      </w:pPr>
      <w:r>
        <w:rPr>
          <w:rFonts w:ascii="宋体" w:hAnsi="宋体"/>
          <w:sz w:val="24"/>
        </w:rPr>
        <w:t>e.提供虚假的信况；</w:t>
      </w:r>
    </w:p>
    <w:p>
      <w:pPr>
        <w:spacing w:line="351" w:lineRule="auto"/>
        <w:ind w:left="660" w:hanging="659"/>
        <w:rPr>
          <w:rFonts w:ascii="宋体" w:hAnsi="宋体"/>
          <w:sz w:val="24"/>
        </w:rPr>
      </w:pPr>
      <w:r>
        <w:rPr>
          <w:rFonts w:ascii="宋体" w:hAnsi="宋体"/>
          <w:sz w:val="24"/>
        </w:rPr>
        <w:t>f.其他弄虚作假的行为。</w:t>
      </w:r>
    </w:p>
    <w:p>
      <w:pPr>
        <w:spacing w:line="351" w:lineRule="auto"/>
        <w:ind w:left="660" w:hanging="659"/>
        <w:rPr>
          <w:rFonts w:ascii="宋体" w:hAnsi="宋体"/>
          <w:sz w:val="24"/>
        </w:rPr>
      </w:pPr>
      <w:bookmarkStart w:id="47" w:name="_bookmark121"/>
      <w:bookmarkEnd w:id="47"/>
      <w:r>
        <w:rPr>
          <w:rFonts w:ascii="宋体" w:hAnsi="宋体"/>
          <w:sz w:val="24"/>
        </w:rPr>
        <w:t>3.7 投标文件的澄清和说明</w:t>
      </w:r>
    </w:p>
    <w:p>
      <w:pPr>
        <w:spacing w:line="351" w:lineRule="auto"/>
        <w:ind w:left="660" w:hanging="659"/>
        <w:rPr>
          <w:rFonts w:ascii="宋体" w:hAnsi="宋体"/>
          <w:sz w:val="24"/>
        </w:rPr>
      </w:pPr>
      <w:r>
        <w:rPr>
          <w:rFonts w:ascii="宋体" w:hAnsi="宋体"/>
          <w:sz w:val="24"/>
        </w:rPr>
        <w:t xml:space="preserve">3.7.1 在评标过程中，评标委员会可以书面形式要求投标人对投标文件中含义不 </w:t>
      </w:r>
    </w:p>
    <w:p>
      <w:pPr>
        <w:spacing w:line="351" w:lineRule="auto"/>
        <w:ind w:left="660" w:hanging="659"/>
        <w:rPr>
          <w:rFonts w:ascii="宋体" w:hAnsi="宋体"/>
          <w:sz w:val="24"/>
        </w:rPr>
      </w:pPr>
      <w:r>
        <w:rPr>
          <w:rFonts w:ascii="宋体" w:hAnsi="宋体"/>
          <w:sz w:val="24"/>
        </w:rPr>
        <w:t>明确的内容、明显文字或计算错误进行书面澄清或说明。评标委员会不接受投标</w:t>
      </w:r>
    </w:p>
    <w:p>
      <w:pPr>
        <w:spacing w:line="351" w:lineRule="auto"/>
        <w:ind w:left="660" w:hanging="659"/>
        <w:rPr>
          <w:rFonts w:ascii="宋体" w:hAnsi="宋体"/>
          <w:sz w:val="24"/>
        </w:rPr>
      </w:pPr>
      <w:r>
        <w:rPr>
          <w:rFonts w:ascii="宋体" w:hAnsi="宋体"/>
          <w:sz w:val="24"/>
        </w:rPr>
        <w:t>人 主动提出的澄清、说明。投标人不按评标委员会要求澄清或说明的，评标委员</w:t>
      </w:r>
    </w:p>
    <w:p>
      <w:pPr>
        <w:spacing w:line="351" w:lineRule="auto"/>
        <w:ind w:left="660" w:hanging="659"/>
        <w:rPr>
          <w:rFonts w:ascii="宋体" w:hAnsi="宋体"/>
          <w:sz w:val="24"/>
        </w:rPr>
      </w:pPr>
      <w:r>
        <w:rPr>
          <w:rFonts w:ascii="宋体" w:hAnsi="宋体"/>
          <w:sz w:val="24"/>
        </w:rPr>
        <w:t>会应 否决其投标。</w:t>
      </w:r>
    </w:p>
    <w:p>
      <w:pPr>
        <w:spacing w:line="351" w:lineRule="auto"/>
        <w:ind w:left="660" w:hanging="659"/>
        <w:rPr>
          <w:rFonts w:ascii="宋体" w:hAnsi="宋体"/>
          <w:sz w:val="24"/>
        </w:rPr>
      </w:pPr>
      <w:r>
        <w:rPr>
          <w:rFonts w:ascii="宋体" w:hAnsi="宋体"/>
          <w:sz w:val="24"/>
        </w:rPr>
        <w:t xml:space="preserve">3.7.2  澄清和说明不得超出投标文件的范围或改变投标文件的实质性内容（算术 </w:t>
      </w:r>
    </w:p>
    <w:p>
      <w:pPr>
        <w:spacing w:line="351" w:lineRule="auto"/>
        <w:ind w:left="660" w:hanging="659"/>
        <w:rPr>
          <w:rFonts w:ascii="宋体" w:hAnsi="宋体"/>
          <w:sz w:val="24"/>
        </w:rPr>
      </w:pPr>
      <w:r>
        <w:rPr>
          <w:rFonts w:ascii="宋体" w:hAnsi="宋体"/>
          <w:sz w:val="24"/>
        </w:rPr>
        <w:t>性错误的修正除外）。投标人的书面澄清、说明属于投标文件的组成部分。</w:t>
      </w:r>
    </w:p>
    <w:p>
      <w:pPr>
        <w:spacing w:line="351" w:lineRule="auto"/>
        <w:ind w:left="660" w:hanging="659"/>
        <w:rPr>
          <w:rFonts w:ascii="宋体" w:hAnsi="宋体"/>
          <w:sz w:val="24"/>
        </w:rPr>
      </w:pPr>
      <w:r>
        <w:rPr>
          <w:rFonts w:ascii="宋体" w:hAnsi="宋体"/>
          <w:sz w:val="24"/>
        </w:rPr>
        <w:t>3.7.3  评标委员会不得暗示或诱导投标人作出澄清、说明，对投标人提交的澄</w:t>
      </w:r>
    </w:p>
    <w:p>
      <w:pPr>
        <w:spacing w:line="351" w:lineRule="auto"/>
        <w:ind w:left="660" w:hanging="659"/>
        <w:rPr>
          <w:rFonts w:ascii="宋体" w:hAnsi="宋体"/>
          <w:sz w:val="24"/>
        </w:rPr>
      </w:pPr>
      <w:r>
        <w:rPr>
          <w:rFonts w:ascii="宋体" w:hAnsi="宋体"/>
          <w:sz w:val="24"/>
        </w:rPr>
        <w:t>清、 说明有疑问的，可以要求投标人进一步澄清或说明，直至满足评标委员会的</w:t>
      </w:r>
    </w:p>
    <w:p>
      <w:pPr>
        <w:spacing w:line="351" w:lineRule="auto"/>
        <w:ind w:left="660" w:hanging="659"/>
        <w:rPr>
          <w:rFonts w:ascii="宋体" w:hAnsi="宋体"/>
          <w:sz w:val="24"/>
        </w:rPr>
      </w:pPr>
      <w:r>
        <w:rPr>
          <w:rFonts w:ascii="宋体" w:hAnsi="宋体"/>
          <w:sz w:val="24"/>
        </w:rPr>
        <w:t>要求。</w:t>
      </w:r>
    </w:p>
    <w:p>
      <w:pPr>
        <w:spacing w:line="351" w:lineRule="auto"/>
        <w:ind w:left="660" w:hanging="659"/>
        <w:rPr>
          <w:rFonts w:ascii="宋体" w:hAnsi="宋体"/>
          <w:sz w:val="24"/>
        </w:rPr>
      </w:pPr>
      <w:r>
        <w:rPr>
          <w:rFonts w:ascii="宋体" w:hAnsi="宋体"/>
          <w:sz w:val="24"/>
        </w:rPr>
        <w:t xml:space="preserve">3.7.4  凡超出招标文件规定的或给发包人带来未曾要求的利益的变化、偏差或其 </w:t>
      </w:r>
    </w:p>
    <w:p>
      <w:pPr>
        <w:spacing w:line="351" w:lineRule="auto"/>
        <w:ind w:left="660" w:hanging="659"/>
        <w:rPr>
          <w:rFonts w:ascii="宋体" w:hAnsi="宋体"/>
          <w:sz w:val="24"/>
        </w:rPr>
      </w:pPr>
      <w:r>
        <w:rPr>
          <w:rFonts w:ascii="宋体" w:hAnsi="宋体"/>
          <w:sz w:val="24"/>
        </w:rPr>
        <w:t>他因素在评标时不予考虑。</w:t>
      </w:r>
    </w:p>
    <w:p>
      <w:pPr>
        <w:spacing w:line="351" w:lineRule="auto"/>
        <w:ind w:left="660" w:hanging="659"/>
        <w:rPr>
          <w:rFonts w:ascii="宋体" w:hAnsi="宋体"/>
          <w:sz w:val="24"/>
        </w:rPr>
      </w:pPr>
      <w:bookmarkStart w:id="48" w:name="_bookmark122"/>
      <w:bookmarkEnd w:id="48"/>
      <w:r>
        <w:rPr>
          <w:rFonts w:ascii="宋体" w:hAnsi="宋体"/>
          <w:sz w:val="24"/>
        </w:rPr>
        <w:t>3.8 不得否决投标的情形</w:t>
      </w:r>
    </w:p>
    <w:p>
      <w:pPr>
        <w:spacing w:line="351" w:lineRule="auto"/>
        <w:ind w:left="660" w:hanging="659"/>
        <w:rPr>
          <w:rFonts w:ascii="宋体" w:hAnsi="宋体"/>
          <w:sz w:val="24"/>
        </w:rPr>
      </w:pPr>
      <w:r>
        <w:rPr>
          <w:rFonts w:ascii="宋体" w:hAnsi="宋体"/>
          <w:sz w:val="24"/>
        </w:rPr>
        <w:t>投标文件存在第二章“投标人须知”第 1.12.3 项所列情形的，均视为细微偏</w:t>
      </w:r>
    </w:p>
    <w:p>
      <w:pPr>
        <w:spacing w:line="351" w:lineRule="auto"/>
        <w:ind w:left="660" w:hanging="659"/>
        <w:rPr>
          <w:rFonts w:ascii="宋体" w:hAnsi="宋体"/>
          <w:sz w:val="24"/>
        </w:rPr>
      </w:pPr>
      <w:r>
        <w:rPr>
          <w:rFonts w:ascii="宋体" w:hAnsi="宋体"/>
          <w:sz w:val="24"/>
        </w:rPr>
        <w:t xml:space="preserve">差，评标委员会不得否决投标人的投标，应按照第二章“投标人须知”第 1.12.4 </w:t>
      </w:r>
    </w:p>
    <w:p>
      <w:pPr>
        <w:spacing w:line="351" w:lineRule="auto"/>
        <w:ind w:left="660" w:hanging="659"/>
        <w:rPr>
          <w:rFonts w:ascii="宋体" w:hAnsi="宋体"/>
          <w:sz w:val="24"/>
        </w:rPr>
      </w:pPr>
      <w:r>
        <w:rPr>
          <w:rFonts w:ascii="宋体" w:hAnsi="宋体"/>
          <w:sz w:val="24"/>
        </w:rPr>
        <w:t>项规定 的原则处理。</w:t>
      </w:r>
    </w:p>
    <w:p>
      <w:pPr>
        <w:spacing w:line="351" w:lineRule="auto"/>
        <w:ind w:left="660" w:hanging="659"/>
        <w:rPr>
          <w:rFonts w:ascii="宋体" w:hAnsi="宋体"/>
          <w:sz w:val="24"/>
        </w:rPr>
      </w:pPr>
      <w:bookmarkStart w:id="49" w:name="_bookmark123"/>
      <w:bookmarkEnd w:id="49"/>
      <w:r>
        <w:rPr>
          <w:rFonts w:ascii="宋体" w:hAnsi="宋体"/>
          <w:sz w:val="24"/>
        </w:rPr>
        <w:t>3.9 评标结果</w:t>
      </w:r>
      <w:r>
        <w:rPr>
          <w:rFonts w:hint="eastAsia" w:ascii="宋体" w:hAnsi="宋体"/>
          <w:sz w:val="24"/>
        </w:rPr>
        <w:t xml:space="preserve">  </w:t>
      </w:r>
    </w:p>
    <w:p>
      <w:pPr>
        <w:spacing w:line="351" w:lineRule="auto"/>
        <w:ind w:left="660" w:hanging="659"/>
        <w:rPr>
          <w:rFonts w:ascii="宋体" w:hAnsi="宋体"/>
          <w:sz w:val="24"/>
        </w:rPr>
      </w:pPr>
      <w:r>
        <w:rPr>
          <w:rFonts w:ascii="宋体" w:hAnsi="宋体"/>
          <w:sz w:val="24"/>
        </w:rPr>
        <w:t>3.9.1 除第二章“投标人须知”前附表授权直接确定中标人外，评标委员会按照</w:t>
      </w:r>
    </w:p>
    <w:p>
      <w:pPr>
        <w:spacing w:line="351" w:lineRule="auto"/>
        <w:ind w:left="660" w:hanging="659"/>
        <w:rPr>
          <w:rFonts w:ascii="宋体" w:hAnsi="宋体"/>
          <w:sz w:val="24"/>
        </w:rPr>
      </w:pPr>
      <w:r>
        <w:rPr>
          <w:rFonts w:ascii="宋体" w:hAnsi="宋体"/>
          <w:sz w:val="24"/>
        </w:rPr>
        <w:t>评 标价由低到高的顺序推荐中标候选人，并标明排序。</w:t>
      </w:r>
    </w:p>
    <w:p>
      <w:pPr>
        <w:spacing w:line="351" w:lineRule="auto"/>
        <w:ind w:left="660" w:hanging="659"/>
        <w:rPr>
          <w:rFonts w:ascii="宋体" w:hAnsi="宋体"/>
          <w:sz w:val="24"/>
        </w:rPr>
      </w:pPr>
      <w:r>
        <w:rPr>
          <w:rFonts w:ascii="宋体" w:hAnsi="宋体"/>
          <w:sz w:val="24"/>
        </w:rPr>
        <w:t>3.9.2  评标委员会完成评标后，应向招标人提交书面评标报告。</w:t>
      </w:r>
    </w:p>
    <w:p>
      <w:pPr>
        <w:spacing w:line="500" w:lineRule="exact"/>
        <w:rPr>
          <w:rFonts w:ascii="宋体" w:hAnsi="宋体"/>
          <w:b/>
          <w:bCs/>
          <w:sz w:val="24"/>
          <w:szCs w:val="24"/>
        </w:rPr>
      </w:pPr>
      <w:r>
        <w:rPr>
          <w:rFonts w:hint="eastAsia" w:ascii="宋体" w:hAnsi="宋体"/>
          <w:b/>
          <w:bCs/>
          <w:sz w:val="24"/>
          <w:szCs w:val="24"/>
        </w:rPr>
        <w:t>需要注意的问题：</w:t>
      </w:r>
    </w:p>
    <w:p>
      <w:pPr>
        <w:spacing w:line="500" w:lineRule="exact"/>
        <w:ind w:firstLine="482" w:firstLineChars="200"/>
        <w:rPr>
          <w:rFonts w:ascii="宋体" w:hAnsi="宋体"/>
          <w:b/>
          <w:bCs/>
          <w:sz w:val="24"/>
          <w:szCs w:val="24"/>
        </w:rPr>
      </w:pPr>
      <w:r>
        <w:rPr>
          <w:rFonts w:hint="eastAsia" w:ascii="宋体" w:hAnsi="宋体"/>
          <w:b/>
          <w:bCs/>
          <w:sz w:val="24"/>
          <w:szCs w:val="24"/>
        </w:rPr>
        <w:t>投标文件第一个信封(商务及技术文件)不得出现有关投标报价的内容，否则评标委员会将对投标文件第一个信封(商务及技术文件)作废标处理。</w:t>
      </w:r>
    </w:p>
    <w:p>
      <w:pPr>
        <w:adjustRightInd w:val="0"/>
        <w:snapToGrid w:val="0"/>
        <w:spacing w:line="360" w:lineRule="auto"/>
        <w:ind w:firstLine="480" w:firstLineChars="200"/>
        <w:jc w:val="center"/>
        <w:rPr>
          <w:rFonts w:ascii="宋体" w:hAnsi="宋体"/>
          <w:sz w:val="24"/>
          <w:szCs w:val="24"/>
        </w:rPr>
      </w:pPr>
      <w:r>
        <w:rPr>
          <w:rFonts w:hint="eastAsia" w:ascii="宋体" w:hAnsi="宋体"/>
          <w:sz w:val="24"/>
          <w:szCs w:val="24"/>
        </w:rPr>
        <w:t xml:space="preserve"> </w:t>
      </w:r>
    </w:p>
    <w:p>
      <w:pPr>
        <w:rPr>
          <w:sz w:val="24"/>
          <w:szCs w:val="24"/>
        </w:rPr>
      </w:pPr>
      <w:r>
        <w:rPr>
          <w:sz w:val="24"/>
          <w:szCs w:val="24"/>
        </w:rPr>
        <w:t xml:space="preserve"> </w:t>
      </w:r>
    </w:p>
    <w:p>
      <w:pPr>
        <w:spacing w:line="520" w:lineRule="exact"/>
        <w:rPr>
          <w:b/>
          <w:bCs/>
          <w:sz w:val="44"/>
          <w:szCs w:val="44"/>
        </w:rPr>
      </w:pPr>
      <w:r>
        <w:rPr>
          <w:b/>
          <w:bCs/>
          <w:sz w:val="44"/>
          <w:szCs w:val="44"/>
        </w:rPr>
        <w:t xml:space="preserve"> </w:t>
      </w:r>
    </w:p>
    <w:p>
      <w:pPr>
        <w:spacing w:line="520" w:lineRule="exact"/>
        <w:rPr>
          <w:b/>
          <w:bCs/>
          <w:sz w:val="44"/>
          <w:szCs w:val="44"/>
        </w:rPr>
      </w:pPr>
      <w:r>
        <w:rPr>
          <w:b/>
          <w:bCs/>
          <w:sz w:val="44"/>
          <w:szCs w:val="44"/>
        </w:rPr>
        <w:t xml:space="preserve"> </w:t>
      </w:r>
    </w:p>
    <w:p>
      <w:pPr>
        <w:adjustRightInd w:val="0"/>
        <w:snapToGrid w:val="0"/>
        <w:spacing w:line="360" w:lineRule="auto"/>
        <w:jc w:val="center"/>
        <w:outlineLvl w:val="0"/>
        <w:rPr>
          <w:rFonts w:ascii="黑体" w:hAnsi="黑体" w:eastAsia="黑体"/>
          <w:sz w:val="44"/>
          <w:szCs w:val="44"/>
        </w:rPr>
      </w:pPr>
    </w:p>
    <w:p>
      <w:pPr>
        <w:adjustRightInd w:val="0"/>
        <w:snapToGrid w:val="0"/>
        <w:spacing w:line="360" w:lineRule="auto"/>
        <w:jc w:val="center"/>
        <w:outlineLvl w:val="0"/>
        <w:rPr>
          <w:rFonts w:ascii="黑体" w:hAnsi="黑体" w:eastAsia="黑体"/>
          <w:sz w:val="44"/>
          <w:szCs w:val="44"/>
        </w:rPr>
      </w:pPr>
    </w:p>
    <w:p>
      <w:pPr>
        <w:adjustRightInd w:val="0"/>
        <w:snapToGrid w:val="0"/>
        <w:spacing w:line="360" w:lineRule="auto"/>
        <w:jc w:val="center"/>
        <w:outlineLvl w:val="0"/>
        <w:rPr>
          <w:rFonts w:hint="eastAsia" w:ascii="黑体" w:hAnsi="黑体" w:eastAsia="黑体"/>
          <w:sz w:val="44"/>
          <w:szCs w:val="44"/>
        </w:rPr>
      </w:pPr>
      <w:r>
        <w:rPr>
          <w:rFonts w:hint="eastAsia" w:ascii="黑体" w:hAnsi="黑体" w:eastAsia="黑体"/>
          <w:sz w:val="44"/>
          <w:szCs w:val="44"/>
        </w:rPr>
        <w:br w:type="page"/>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ascii="黑体" w:eastAsia="黑体"/>
          <w:sz w:val="44"/>
          <w:szCs w:val="44"/>
        </w:rPr>
      </w:pPr>
      <w:r>
        <w:rPr>
          <w:rFonts w:hint="eastAsia" w:ascii="黑体" w:hAnsi="黑体" w:eastAsia="黑体"/>
          <w:sz w:val="44"/>
          <w:szCs w:val="44"/>
        </w:rPr>
        <w:t>第四章</w:t>
      </w:r>
      <w:r>
        <w:rPr>
          <w:rFonts w:hint="eastAsia" w:ascii="黑体" w:eastAsia="黑体"/>
          <w:sz w:val="44"/>
          <w:szCs w:val="44"/>
        </w:rPr>
        <w:t xml:space="preserve"> </w:t>
      </w:r>
      <w:r>
        <w:rPr>
          <w:rFonts w:hint="eastAsia" w:ascii="黑体" w:hAnsi="黑体" w:eastAsia="黑体"/>
          <w:sz w:val="44"/>
          <w:szCs w:val="44"/>
        </w:rPr>
        <w:t>合同条款及格式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sz w:val="36"/>
          <w:szCs w:val="36"/>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sz w:val="24"/>
          <w:szCs w:val="24"/>
        </w:rPr>
      </w:pPr>
      <w:r>
        <w:rPr>
          <w:rFonts w:hint="eastAsia" w:ascii="仿宋" w:hAnsi="仿宋" w:eastAsia="仿宋" w:cs="仿宋"/>
          <w:sz w:val="36"/>
          <w:szCs w:val="36"/>
        </w:rPr>
        <w:t>第一节 通用合同条款</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spacing w:before="18" w:line="240" w:lineRule="auto"/>
        <w:textAlignment w:val="auto"/>
        <w:rPr>
          <w:rFonts w:hint="eastAsia" w:ascii="仿宋" w:hAnsi="仿宋" w:eastAsia="仿宋" w:cs="仿宋"/>
          <w:sz w:val="28"/>
          <w:szCs w:val="28"/>
        </w:rPr>
      </w:pPr>
      <w:r>
        <w:rPr>
          <w:rFonts w:hint="eastAsia" w:ascii="仿宋" w:hAnsi="仿宋" w:eastAsia="仿宋" w:cs="仿宋"/>
          <w:sz w:val="28"/>
          <w:szCs w:val="28"/>
        </w:rPr>
        <w:t>通用</w:t>
      </w:r>
      <w:r>
        <w:rPr>
          <w:rFonts w:hint="eastAsia" w:ascii="仿宋" w:hAnsi="仿宋" w:eastAsia="仿宋" w:cs="仿宋"/>
          <w:spacing w:val="-3"/>
          <w:sz w:val="28"/>
          <w:szCs w:val="28"/>
        </w:rPr>
        <w:t>合</w:t>
      </w:r>
      <w:r>
        <w:rPr>
          <w:rFonts w:hint="eastAsia" w:ascii="仿宋" w:hAnsi="仿宋" w:eastAsia="仿宋" w:cs="仿宋"/>
          <w:sz w:val="28"/>
          <w:szCs w:val="28"/>
        </w:rPr>
        <w:t>同条</w:t>
      </w:r>
      <w:r>
        <w:rPr>
          <w:rFonts w:hint="eastAsia" w:ascii="仿宋" w:hAnsi="仿宋" w:eastAsia="仿宋" w:cs="仿宋"/>
          <w:spacing w:val="-2"/>
          <w:sz w:val="28"/>
          <w:szCs w:val="28"/>
        </w:rPr>
        <w:t>款</w:t>
      </w:r>
      <w:r>
        <w:rPr>
          <w:rFonts w:hint="eastAsia" w:ascii="仿宋" w:hAnsi="仿宋" w:eastAsia="仿宋" w:cs="仿宋"/>
          <w:spacing w:val="-3"/>
          <w:sz w:val="28"/>
          <w:szCs w:val="28"/>
        </w:rPr>
        <w:t>”</w:t>
      </w:r>
      <w:r>
        <w:rPr>
          <w:rFonts w:hint="eastAsia" w:ascii="仿宋" w:hAnsi="仿宋" w:eastAsia="仿宋" w:cs="仿宋"/>
          <w:sz w:val="28"/>
          <w:szCs w:val="28"/>
        </w:rPr>
        <w:t>采用《</w:t>
      </w:r>
      <w:r>
        <w:rPr>
          <w:rFonts w:hint="eastAsia" w:ascii="仿宋" w:hAnsi="仿宋" w:eastAsia="仿宋" w:cs="仿宋"/>
          <w:spacing w:val="-3"/>
          <w:sz w:val="28"/>
          <w:szCs w:val="28"/>
        </w:rPr>
        <w:t>标</w:t>
      </w:r>
      <w:r>
        <w:rPr>
          <w:rFonts w:hint="eastAsia" w:ascii="仿宋" w:hAnsi="仿宋" w:eastAsia="仿宋" w:cs="仿宋"/>
          <w:sz w:val="28"/>
          <w:szCs w:val="28"/>
        </w:rPr>
        <w:t>准施</w:t>
      </w:r>
      <w:r>
        <w:rPr>
          <w:rFonts w:hint="eastAsia" w:ascii="仿宋" w:hAnsi="仿宋" w:eastAsia="仿宋" w:cs="仿宋"/>
          <w:spacing w:val="-3"/>
          <w:sz w:val="28"/>
          <w:szCs w:val="28"/>
        </w:rPr>
        <w:t>工招</w:t>
      </w:r>
      <w:r>
        <w:rPr>
          <w:rFonts w:hint="eastAsia" w:ascii="仿宋" w:hAnsi="仿宋" w:eastAsia="仿宋" w:cs="仿宋"/>
          <w:sz w:val="28"/>
          <w:szCs w:val="28"/>
        </w:rPr>
        <w:t>标文件</w:t>
      </w:r>
      <w:r>
        <w:rPr>
          <w:rFonts w:hint="eastAsia" w:ascii="仿宋" w:hAnsi="仿宋" w:eastAsia="仿宋" w:cs="仿宋"/>
          <w:spacing w:val="-3"/>
          <w:sz w:val="28"/>
          <w:szCs w:val="28"/>
        </w:rPr>
        <w:t>》</w:t>
      </w:r>
      <w:r>
        <w:rPr>
          <w:rFonts w:hint="eastAsia" w:ascii="仿宋" w:hAnsi="仿宋" w:eastAsia="仿宋" w:cs="仿宋"/>
          <w:sz w:val="28"/>
          <w:szCs w:val="28"/>
        </w:rPr>
        <w:t>的“</w:t>
      </w:r>
      <w:r>
        <w:rPr>
          <w:rFonts w:hint="eastAsia" w:ascii="仿宋" w:hAnsi="仿宋" w:eastAsia="仿宋" w:cs="仿宋"/>
          <w:spacing w:val="-3"/>
          <w:sz w:val="28"/>
          <w:szCs w:val="28"/>
        </w:rPr>
        <w:t>通用</w:t>
      </w:r>
      <w:r>
        <w:rPr>
          <w:rFonts w:hint="eastAsia" w:ascii="仿宋" w:hAnsi="仿宋" w:eastAsia="仿宋" w:cs="仿宋"/>
          <w:sz w:val="28"/>
          <w:szCs w:val="28"/>
        </w:rPr>
        <w:t>合同条</w:t>
      </w:r>
      <w:r>
        <w:rPr>
          <w:rFonts w:hint="eastAsia" w:ascii="仿宋" w:hAnsi="仿宋" w:eastAsia="仿宋" w:cs="仿宋"/>
          <w:spacing w:val="-3"/>
          <w:sz w:val="28"/>
          <w:szCs w:val="28"/>
        </w:rPr>
        <w:t>款</w:t>
      </w:r>
      <w:r>
        <w:rPr>
          <w:rFonts w:hint="eastAsia" w:ascii="仿宋" w:hAnsi="仿宋" w:eastAsia="仿宋" w:cs="仿宋"/>
          <w:spacing w:val="-140"/>
          <w:sz w:val="28"/>
          <w:szCs w:val="28"/>
        </w:rPr>
        <w:t>”</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szCs w:val="28"/>
        </w:rPr>
        <w:sectPr>
          <w:pgSz w:w="11850" w:h="16783"/>
          <w:pgMar w:top="1440" w:right="1406" w:bottom="1440" w:left="1406" w:header="720" w:footer="720" w:gutter="0"/>
          <w:cols w:space="0" w:num="1"/>
          <w:rtlGutter w:val="0"/>
          <w:docGrid w:linePitch="0" w:charSpace="0"/>
        </w:sectPr>
      </w:pPr>
    </w:p>
    <w:p>
      <w:pPr>
        <w:keepNext w:val="0"/>
        <w:keepLines w:val="0"/>
        <w:pageBreakBefore w:val="0"/>
        <w:widowControl/>
        <w:tabs>
          <w:tab w:val="left" w:pos="1660"/>
        </w:tabs>
        <w:kinsoku/>
        <w:wordWrap/>
        <w:overflowPunct/>
        <w:topLinePunct w:val="0"/>
        <w:autoSpaceDE/>
        <w:autoSpaceDN/>
        <w:bidi w:val="0"/>
        <w:spacing w:line="240" w:lineRule="auto"/>
        <w:textAlignment w:val="auto"/>
        <w:rPr>
          <w:rFonts w:hint="eastAsia" w:ascii="仿宋" w:hAnsi="仿宋" w:eastAsia="仿宋" w:cs="仿宋"/>
          <w:sz w:val="41"/>
        </w:rPr>
      </w:pPr>
      <w:r>
        <w:rPr>
          <w:rFonts w:hint="eastAsia" w:ascii="仿宋" w:hAnsi="仿宋" w:eastAsia="仿宋" w:cs="仿宋"/>
          <w:b/>
          <w:bCs/>
          <w:sz w:val="52"/>
          <w:szCs w:val="52"/>
        </w:rPr>
        <w:t xml:space="preserve"> </w:t>
      </w:r>
    </w:p>
    <w:p>
      <w:pPr>
        <w:keepNext w:val="0"/>
        <w:keepLines w:val="0"/>
        <w:pageBreakBefore w:val="0"/>
        <w:widowControl/>
        <w:tabs>
          <w:tab w:val="left" w:pos="1660"/>
        </w:tabs>
        <w:kinsoku/>
        <w:wordWrap/>
        <w:overflowPunct/>
        <w:topLinePunct w:val="0"/>
        <w:autoSpaceDE/>
        <w:autoSpaceDN/>
        <w:bidi w:val="0"/>
        <w:spacing w:line="240" w:lineRule="auto"/>
        <w:textAlignment w:val="auto"/>
        <w:rPr>
          <w:rFonts w:hint="eastAsia" w:ascii="仿宋" w:hAnsi="仿宋" w:eastAsia="仿宋" w:cs="仿宋"/>
          <w:sz w:val="41"/>
        </w:rPr>
      </w:pPr>
    </w:p>
    <w:p>
      <w:pPr>
        <w:keepNext w:val="0"/>
        <w:keepLines w:val="0"/>
        <w:pageBreakBefore w:val="0"/>
        <w:widowControl/>
        <w:tabs>
          <w:tab w:val="left" w:pos="1660"/>
        </w:tabs>
        <w:kinsoku/>
        <w:wordWrap/>
        <w:overflowPunct/>
        <w:topLinePunct w:val="0"/>
        <w:autoSpaceDE/>
        <w:autoSpaceDN/>
        <w:bidi w:val="0"/>
        <w:spacing w:line="240" w:lineRule="auto"/>
        <w:textAlignment w:val="auto"/>
        <w:rPr>
          <w:rFonts w:hint="eastAsia" w:ascii="仿宋" w:hAnsi="仿宋" w:eastAsia="仿宋" w:cs="仿宋"/>
          <w:sz w:val="41"/>
        </w:rPr>
      </w:pPr>
    </w:p>
    <w:p>
      <w:pPr>
        <w:keepNext w:val="0"/>
        <w:keepLines w:val="0"/>
        <w:pageBreakBefore w:val="0"/>
        <w:widowControl/>
        <w:tabs>
          <w:tab w:val="left" w:pos="1660"/>
        </w:tabs>
        <w:kinsoku/>
        <w:wordWrap/>
        <w:overflowPunct/>
        <w:topLinePunct w:val="0"/>
        <w:autoSpaceDE/>
        <w:autoSpaceDN/>
        <w:bidi w:val="0"/>
        <w:spacing w:line="240" w:lineRule="auto"/>
        <w:textAlignment w:val="auto"/>
        <w:rPr>
          <w:rFonts w:hint="eastAsia" w:ascii="仿宋" w:hAnsi="仿宋" w:eastAsia="仿宋" w:cs="仿宋"/>
          <w:sz w:val="41"/>
        </w:rPr>
      </w:pPr>
      <w:r>
        <w:rPr>
          <w:rFonts w:hint="eastAsia" w:ascii="仿宋" w:hAnsi="仿宋" w:eastAsia="仿宋" w:cs="仿宋"/>
          <w:sz w:val="41"/>
        </w:rPr>
        <w:t>第二节</w:t>
      </w:r>
      <w:r>
        <w:rPr>
          <w:rFonts w:hint="eastAsia" w:ascii="仿宋" w:hAnsi="仿宋" w:eastAsia="仿宋" w:cs="仿宋"/>
        </w:rPr>
        <w:tab/>
      </w:r>
      <w:r>
        <w:rPr>
          <w:rFonts w:hint="eastAsia" w:ascii="仿宋" w:hAnsi="仿宋" w:eastAsia="仿宋" w:cs="仿宋"/>
          <w:sz w:val="41"/>
        </w:rPr>
        <w:t>专用合同条款</w:t>
      </w:r>
    </w:p>
    <w:p>
      <w:pPr>
        <w:keepNext w:val="0"/>
        <w:keepLines w:val="0"/>
        <w:pageBreakBefore w:val="0"/>
        <w:widowControl/>
        <w:tabs>
          <w:tab w:val="left" w:pos="1660"/>
        </w:tabs>
        <w:kinsoku/>
        <w:wordWrap/>
        <w:overflowPunct/>
        <w:topLinePunct w:val="0"/>
        <w:autoSpaceDE/>
        <w:autoSpaceDN/>
        <w:bidi w:val="0"/>
        <w:spacing w:line="240" w:lineRule="auto"/>
        <w:textAlignment w:val="auto"/>
        <w:rPr>
          <w:rFonts w:hint="eastAsia" w:ascii="仿宋" w:hAnsi="仿宋" w:eastAsia="仿宋" w:cs="仿宋"/>
          <w:sz w:val="41"/>
        </w:rPr>
      </w:pPr>
    </w:p>
    <w:p>
      <w:pPr>
        <w:keepNext w:val="0"/>
        <w:keepLines w:val="0"/>
        <w:pageBreakBefore w:val="0"/>
        <w:widowControl/>
        <w:tabs>
          <w:tab w:val="left" w:pos="1660"/>
        </w:tabs>
        <w:kinsoku/>
        <w:wordWrap/>
        <w:overflowPunct/>
        <w:topLinePunct w:val="0"/>
        <w:autoSpaceDE/>
        <w:autoSpaceDN/>
        <w:bidi w:val="0"/>
        <w:spacing w:line="240" w:lineRule="auto"/>
        <w:textAlignment w:val="auto"/>
        <w:rPr>
          <w:rFonts w:hint="eastAsia" w:ascii="仿宋" w:hAnsi="仿宋" w:eastAsia="仿宋" w:cs="仿宋"/>
          <w:sz w:val="41"/>
        </w:rPr>
      </w:pPr>
    </w:p>
    <w:p>
      <w:pPr>
        <w:keepNext w:val="0"/>
        <w:keepLines w:val="0"/>
        <w:pageBreakBefore w:val="0"/>
        <w:widowControl/>
        <w:tabs>
          <w:tab w:val="left" w:pos="1660"/>
        </w:tabs>
        <w:kinsoku/>
        <w:wordWrap/>
        <w:overflowPunct/>
        <w:topLinePunct w:val="0"/>
        <w:autoSpaceDE/>
        <w:autoSpaceDN/>
        <w:bidi w:val="0"/>
        <w:spacing w:line="240" w:lineRule="auto"/>
        <w:textAlignment w:val="auto"/>
        <w:rPr>
          <w:rFonts w:hint="eastAsia" w:ascii="仿宋" w:hAnsi="仿宋" w:eastAsia="仿宋" w:cs="仿宋"/>
          <w:sz w:val="41"/>
        </w:rPr>
        <w:sectPr>
          <w:type w:val="continuous"/>
          <w:pgSz w:w="11900" w:h="16841"/>
          <w:pgMar w:top="1417" w:right="1417" w:bottom="1417" w:left="1417" w:header="0" w:footer="567" w:gutter="0"/>
          <w:cols w:space="720" w:num="1"/>
          <w:docGrid w:linePitch="360" w:charSpace="0"/>
        </w:sectPr>
      </w:pPr>
    </w:p>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32"/>
        </w:rPr>
      </w:pPr>
      <w:bookmarkStart w:id="50" w:name="page123"/>
      <w:bookmarkEnd w:id="50"/>
      <w:r>
        <w:rPr>
          <w:rFonts w:hint="eastAsia" w:ascii="仿宋" w:hAnsi="仿宋" w:eastAsia="仿宋" w:cs="仿宋"/>
          <w:sz w:val="32"/>
        </w:rPr>
        <w:t>A. 公路工程专用合同条款</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1. 一般约定</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27"/>
        </w:numPr>
        <w:tabs>
          <w:tab w:val="left" w:pos="420"/>
        </w:tabs>
        <w:kinsoku/>
        <w:wordWrap/>
        <w:overflowPunct/>
        <w:topLinePunct w:val="0"/>
        <w:autoSpaceDE/>
        <w:autoSpaceDN/>
        <w:bidi w:val="0"/>
        <w:spacing w:line="240" w:lineRule="auto"/>
        <w:ind w:left="420" w:hanging="416"/>
        <w:jc w:val="both"/>
        <w:textAlignment w:val="auto"/>
        <w:rPr>
          <w:rFonts w:hint="eastAsia" w:ascii="仿宋" w:hAnsi="仿宋" w:eastAsia="仿宋" w:cs="仿宋"/>
          <w:sz w:val="24"/>
        </w:rPr>
      </w:pPr>
      <w:r>
        <w:rPr>
          <w:rFonts w:hint="eastAsia" w:ascii="仿宋" w:hAnsi="仿宋" w:eastAsia="仿宋" w:cs="仿宋"/>
          <w:sz w:val="24"/>
        </w:rPr>
        <w:t>词语定义</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27"/>
        </w:numPr>
        <w:tabs>
          <w:tab w:val="left" w:pos="1080"/>
        </w:tabs>
        <w:kinsoku/>
        <w:wordWrap/>
        <w:overflowPunct/>
        <w:topLinePunct w:val="0"/>
        <w:autoSpaceDE/>
        <w:autoSpaceDN/>
        <w:bidi w:val="0"/>
        <w:spacing w:line="240" w:lineRule="auto"/>
        <w:ind w:left="1080" w:hanging="596"/>
        <w:jc w:val="both"/>
        <w:textAlignment w:val="auto"/>
        <w:rPr>
          <w:rFonts w:hint="eastAsia" w:ascii="仿宋" w:hAnsi="仿宋" w:eastAsia="仿宋" w:cs="仿宋"/>
          <w:sz w:val="24"/>
        </w:rPr>
      </w:pPr>
      <w:r>
        <w:rPr>
          <w:rFonts w:hint="eastAsia" w:ascii="仿宋" w:hAnsi="仿宋" w:eastAsia="仿宋" w:cs="仿宋"/>
          <w:sz w:val="24"/>
        </w:rPr>
        <w:t>合同</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720"/>
        <w:textAlignment w:val="auto"/>
        <w:rPr>
          <w:rFonts w:hint="eastAsia" w:ascii="仿宋" w:hAnsi="仿宋" w:eastAsia="仿宋" w:cs="仿宋"/>
          <w:sz w:val="24"/>
        </w:rPr>
      </w:pPr>
      <w:r>
        <w:rPr>
          <w:rFonts w:hint="eastAsia" w:ascii="仿宋" w:hAnsi="仿宋" w:eastAsia="仿宋" w:cs="仿宋"/>
          <w:sz w:val="24"/>
        </w:rPr>
        <w:t>第 1.1.1.6 目细化为：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720"/>
        <w:textAlignment w:val="auto"/>
        <w:rPr>
          <w:rFonts w:hint="eastAsia" w:ascii="仿宋" w:hAnsi="仿宋" w:eastAsia="仿宋" w:cs="仿宋"/>
          <w:sz w:val="24"/>
        </w:rPr>
      </w:pPr>
      <w:r>
        <w:rPr>
          <w:rFonts w:hint="eastAsia" w:ascii="仿宋" w:hAnsi="仿宋" w:eastAsia="仿宋" w:cs="仿宋"/>
          <w:sz w:val="24"/>
        </w:rPr>
        <w:t>技术规范：指本合同所约定的技术标准和要求，是合同文件的组成部分。通</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用合同条款中“技术标准和要求”一词具有相同含义。</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720"/>
        <w:textAlignment w:val="auto"/>
        <w:rPr>
          <w:rFonts w:hint="eastAsia" w:ascii="仿宋" w:hAnsi="仿宋" w:eastAsia="仿宋" w:cs="仿宋"/>
          <w:sz w:val="24"/>
        </w:rPr>
      </w:pPr>
      <w:r>
        <w:rPr>
          <w:rFonts w:hint="eastAsia" w:ascii="仿宋" w:hAnsi="仿宋" w:eastAsia="仿宋" w:cs="仿宋"/>
          <w:sz w:val="24"/>
        </w:rPr>
        <w:t>第 1.1.1.8 目细化为：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720"/>
        <w:jc w:val="both"/>
        <w:textAlignment w:val="auto"/>
        <w:rPr>
          <w:rFonts w:hint="eastAsia" w:ascii="仿宋" w:hAnsi="仿宋" w:eastAsia="仿宋" w:cs="仿宋"/>
          <w:sz w:val="24"/>
        </w:rPr>
      </w:pPr>
      <w:r>
        <w:rPr>
          <w:rFonts w:hint="eastAsia" w:ascii="仿宋" w:hAnsi="仿宋" w:eastAsia="仿宋" w:cs="仿宋"/>
          <w:sz w:val="24"/>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单表 5.1～表 5.5）。</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720"/>
        <w:textAlignment w:val="auto"/>
        <w:rPr>
          <w:rFonts w:hint="eastAsia" w:ascii="仿宋" w:hAnsi="仿宋" w:eastAsia="仿宋" w:cs="仿宋"/>
          <w:sz w:val="24"/>
        </w:rPr>
      </w:pPr>
      <w:r>
        <w:rPr>
          <w:rFonts w:hint="eastAsia" w:ascii="仿宋" w:hAnsi="仿宋" w:eastAsia="仿宋" w:cs="仿宋"/>
          <w:sz w:val="24"/>
        </w:rPr>
        <w:t>本项补充第 1.1.1.10 目：</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720"/>
        <w:textAlignment w:val="auto"/>
        <w:rPr>
          <w:rFonts w:hint="eastAsia" w:ascii="仿宋" w:hAnsi="仿宋" w:eastAsia="仿宋" w:cs="仿宋"/>
          <w:sz w:val="24"/>
        </w:rPr>
      </w:pPr>
      <w:r>
        <w:rPr>
          <w:rFonts w:hint="eastAsia" w:ascii="仿宋" w:hAnsi="仿宋" w:eastAsia="仿宋" w:cs="仿宋"/>
          <w:sz w:val="24"/>
        </w:rPr>
        <w:t>1.1.1.10  补遗书：指发出招标文件之后由招标人向已取得招标文件的投标人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发出的、编号的对招标文件所作的澄清、修改书。</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1.1.2 合同当事人和人员</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720"/>
        <w:textAlignment w:val="auto"/>
        <w:rPr>
          <w:rFonts w:hint="eastAsia" w:ascii="仿宋" w:hAnsi="仿宋" w:eastAsia="仿宋" w:cs="仿宋"/>
          <w:sz w:val="24"/>
        </w:rPr>
      </w:pPr>
      <w:r>
        <w:rPr>
          <w:rFonts w:hint="eastAsia" w:ascii="仿宋" w:hAnsi="仿宋" w:eastAsia="仿宋" w:cs="仿宋"/>
          <w:sz w:val="24"/>
        </w:rPr>
        <w:t>本项补充第 1.1.2.8 目：</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720"/>
        <w:textAlignment w:val="auto"/>
        <w:rPr>
          <w:rFonts w:hint="eastAsia" w:ascii="仿宋" w:hAnsi="仿宋" w:eastAsia="仿宋" w:cs="仿宋"/>
          <w:sz w:val="24"/>
        </w:rPr>
      </w:pPr>
      <w:r>
        <w:rPr>
          <w:rFonts w:hint="eastAsia" w:ascii="仿宋" w:hAnsi="仿宋" w:eastAsia="仿宋" w:cs="仿宋"/>
          <w:sz w:val="24"/>
        </w:rPr>
        <w:t>1.1.2.8 承包人项目总工：指由承包人书面委派常驻现场负责管理本合同工程</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的总工程师或技术总负责人。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720" w:hanging="239"/>
        <w:textAlignment w:val="auto"/>
        <w:rPr>
          <w:rFonts w:hint="eastAsia" w:ascii="仿宋" w:hAnsi="仿宋" w:eastAsia="仿宋" w:cs="仿宋"/>
          <w:sz w:val="24"/>
        </w:rPr>
      </w:pPr>
      <w:r>
        <w:rPr>
          <w:rFonts w:hint="eastAsia" w:ascii="仿宋" w:hAnsi="仿宋" w:eastAsia="仿宋" w:cs="仿宋"/>
          <w:sz w:val="24"/>
        </w:rPr>
        <w:t>1.1.3 工程和设备第 1.1.3.4 目细化为：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720"/>
        <w:textAlignment w:val="auto"/>
        <w:rPr>
          <w:rFonts w:hint="eastAsia" w:ascii="仿宋" w:hAnsi="仿宋" w:eastAsia="仿宋" w:cs="仿宋"/>
          <w:sz w:val="24"/>
        </w:rPr>
      </w:pPr>
      <w:r>
        <w:rPr>
          <w:rFonts w:hint="eastAsia" w:ascii="仿宋" w:hAnsi="仿宋" w:eastAsia="仿宋" w:cs="仿宋"/>
          <w:sz w:val="24"/>
        </w:rPr>
        <w:t>单位工程：指在建设项目中，根据签订的合同，具有独立施工条件的工程。</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720"/>
        <w:textAlignment w:val="auto"/>
        <w:rPr>
          <w:rFonts w:hint="eastAsia" w:ascii="仿宋" w:hAnsi="仿宋" w:eastAsia="仿宋" w:cs="仿宋"/>
          <w:sz w:val="24"/>
        </w:rPr>
      </w:pPr>
      <w:r>
        <w:rPr>
          <w:rFonts w:hint="eastAsia" w:ascii="仿宋" w:hAnsi="仿宋" w:eastAsia="仿宋" w:cs="仿宋"/>
          <w:sz w:val="24"/>
        </w:rPr>
        <w:t>第 1.1.3.10 目细化为：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720"/>
        <w:jc w:val="both"/>
        <w:textAlignment w:val="auto"/>
        <w:rPr>
          <w:rFonts w:hint="eastAsia" w:ascii="仿宋" w:hAnsi="仿宋" w:eastAsia="仿宋" w:cs="仿宋"/>
          <w:sz w:val="24"/>
        </w:rPr>
      </w:pPr>
      <w:r>
        <w:rPr>
          <w:rFonts w:hint="eastAsia" w:ascii="仿宋" w:hAnsi="仿宋" w:eastAsia="仿宋" w:cs="仿宋"/>
          <w:sz w:val="24"/>
        </w:rPr>
        <w:t>永久占地：指为实施本合同工程而需要的一切永久占用的土地，包括公路两侧路权范围内的用地。</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720"/>
        <w:textAlignment w:val="auto"/>
        <w:rPr>
          <w:rFonts w:hint="eastAsia" w:ascii="仿宋" w:hAnsi="仿宋" w:eastAsia="仿宋" w:cs="仿宋"/>
          <w:sz w:val="24"/>
        </w:rPr>
      </w:pPr>
      <w:r>
        <w:rPr>
          <w:rFonts w:hint="eastAsia" w:ascii="仿宋" w:hAnsi="仿宋" w:eastAsia="仿宋" w:cs="仿宋"/>
          <w:sz w:val="24"/>
        </w:rPr>
        <w:t>第 1.1.3.11 目细化为：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720"/>
        <w:jc w:val="both"/>
        <w:textAlignment w:val="auto"/>
        <w:rPr>
          <w:rFonts w:hint="eastAsia" w:ascii="仿宋" w:hAnsi="仿宋" w:eastAsia="仿宋" w:cs="仿宋"/>
          <w:sz w:val="24"/>
        </w:rPr>
      </w:pPr>
      <w:r>
        <w:rPr>
          <w:rFonts w:hint="eastAsia" w:ascii="仿宋" w:hAnsi="仿宋" w:eastAsia="仿宋" w:cs="仿宋"/>
          <w:sz w:val="24"/>
        </w:rPr>
        <w:t>临时占地：指为实施本合同工程而需要的一切临时占用的土地，包括施工所用的临时支线、便道、便桥和现场的临时出入通道，以及生产（办公）、生活等临时设施用地等。</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720"/>
        <w:textAlignment w:val="auto"/>
        <w:rPr>
          <w:rFonts w:hint="eastAsia" w:ascii="仿宋" w:hAnsi="仿宋" w:eastAsia="仿宋" w:cs="仿宋"/>
          <w:sz w:val="24"/>
        </w:rPr>
      </w:pPr>
      <w:r>
        <w:rPr>
          <w:rFonts w:hint="eastAsia" w:ascii="仿宋" w:hAnsi="仿宋" w:eastAsia="仿宋" w:cs="仿宋"/>
          <w:sz w:val="24"/>
        </w:rPr>
        <w:t>本项补充第 1.1.3.12 目、第 1.1.3.13 目：</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720"/>
        <w:textAlignment w:val="auto"/>
        <w:rPr>
          <w:rFonts w:hint="eastAsia" w:ascii="仿宋" w:hAnsi="仿宋" w:eastAsia="仿宋" w:cs="仿宋"/>
        </w:rPr>
      </w:pPr>
      <w:r>
        <w:rPr>
          <w:rFonts w:hint="eastAsia" w:ascii="仿宋" w:hAnsi="仿宋" w:eastAsia="仿宋" w:cs="仿宋"/>
          <w:sz w:val="24"/>
        </w:rPr>
        <w:t>1.1.3.12  分部工程：指在单位工程中，按结构部位、路段长度及施工特或</w:t>
      </w:r>
      <w:bookmarkStart w:id="51" w:name="page124"/>
      <w:bookmarkEnd w:id="51"/>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r>
        <w:rPr>
          <w:rFonts w:hint="eastAsia" w:ascii="仿宋" w:hAnsi="仿宋" w:eastAsia="仿宋" w:cs="仿宋"/>
          <w:sz w:val="24"/>
        </w:rPr>
        <w:t>施工任务划分的若干个工程。</w:t>
      </w:r>
    </w:p>
    <w:p>
      <w:pPr>
        <w:keepNext w:val="0"/>
        <w:keepLines w:val="0"/>
        <w:pageBreakBefore w:val="0"/>
        <w:widowControl/>
        <w:kinsoku/>
        <w:wordWrap/>
        <w:overflowPunct/>
        <w:topLinePunct w:val="0"/>
        <w:autoSpaceDE/>
        <w:autoSpaceDN/>
        <w:bidi w:val="0"/>
        <w:spacing w:line="240" w:lineRule="auto"/>
        <w:ind w:left="720"/>
        <w:textAlignment w:val="auto"/>
        <w:rPr>
          <w:rFonts w:hint="eastAsia" w:ascii="仿宋" w:hAnsi="仿宋" w:eastAsia="仿宋" w:cs="仿宋"/>
        </w:rPr>
      </w:pPr>
      <w:r>
        <w:rPr>
          <w:rFonts w:hint="eastAsia" w:ascii="仿宋" w:hAnsi="仿宋" w:eastAsia="仿宋" w:cs="仿宋"/>
          <w:sz w:val="24"/>
        </w:rPr>
        <w:t>1.1.3.13  分项工程：指在分部工程中，按不同的施工方法、材料、工序及路段长度等划分的若干个工程。</w:t>
      </w:r>
    </w:p>
    <w:p>
      <w:pPr>
        <w:keepNext w:val="0"/>
        <w:keepLines w:val="0"/>
        <w:pageBreakBefore w:val="0"/>
        <w:widowControl/>
        <w:kinsoku/>
        <w:wordWrap/>
        <w:overflowPunct/>
        <w:topLinePunct w:val="0"/>
        <w:autoSpaceDE/>
        <w:autoSpaceDN/>
        <w:bidi w:val="0"/>
        <w:spacing w:line="240" w:lineRule="auto"/>
        <w:ind w:left="720" w:hanging="249"/>
        <w:textAlignment w:val="auto"/>
        <w:rPr>
          <w:rFonts w:hint="eastAsia" w:ascii="仿宋" w:hAnsi="仿宋" w:eastAsia="仿宋" w:cs="仿宋"/>
        </w:rPr>
      </w:pPr>
      <w:r>
        <w:rPr>
          <w:rFonts w:hint="eastAsia" w:ascii="仿宋" w:hAnsi="仿宋" w:eastAsia="仿宋" w:cs="仿宋"/>
          <w:sz w:val="24"/>
        </w:rPr>
        <w:t>1.1.6 其他本项补充第 1.1.6.2 目～第 1.1.6.9 目：</w:t>
      </w:r>
    </w:p>
    <w:p>
      <w:pPr>
        <w:keepNext w:val="0"/>
        <w:keepLines w:val="0"/>
        <w:pageBreakBefore w:val="0"/>
        <w:widowControl/>
        <w:numPr>
          <w:ilvl w:val="1"/>
          <w:numId w:val="28"/>
        </w:numPr>
        <w:tabs>
          <w:tab w:val="left" w:pos="1500"/>
        </w:tabs>
        <w:kinsoku/>
        <w:wordWrap/>
        <w:overflowPunct/>
        <w:topLinePunct w:val="0"/>
        <w:autoSpaceDE/>
        <w:autoSpaceDN/>
        <w:bidi w:val="0"/>
        <w:spacing w:line="240" w:lineRule="auto"/>
        <w:ind w:firstLine="724"/>
        <w:jc w:val="both"/>
        <w:textAlignment w:val="auto"/>
        <w:rPr>
          <w:rFonts w:hint="eastAsia" w:ascii="仿宋" w:hAnsi="仿宋" w:eastAsia="仿宋" w:cs="仿宋"/>
          <w:sz w:val="24"/>
        </w:rPr>
      </w:pPr>
      <w:r>
        <w:rPr>
          <w:rFonts w:hint="eastAsia" w:ascii="仿宋" w:hAnsi="仿宋" w:eastAsia="仿宋" w:cs="仿宋"/>
          <w:sz w:val="24"/>
        </w:rPr>
        <w:t>竣工验收：指《公路工程竣（交）工验收办法》中的竣工验收。通用合同条款中“国家验收”一词具有相同含义。</w:t>
      </w:r>
    </w:p>
    <w:p>
      <w:pPr>
        <w:keepNext w:val="0"/>
        <w:keepLines w:val="0"/>
        <w:pageBreakBefore w:val="0"/>
        <w:widowControl/>
        <w:numPr>
          <w:ilvl w:val="1"/>
          <w:numId w:val="28"/>
        </w:numPr>
        <w:tabs>
          <w:tab w:val="left" w:pos="1476"/>
        </w:tabs>
        <w:kinsoku/>
        <w:wordWrap/>
        <w:overflowPunct/>
        <w:topLinePunct w:val="0"/>
        <w:autoSpaceDE/>
        <w:autoSpaceDN/>
        <w:bidi w:val="0"/>
        <w:spacing w:line="240" w:lineRule="auto"/>
        <w:ind w:firstLine="724"/>
        <w:jc w:val="both"/>
        <w:textAlignment w:val="auto"/>
        <w:rPr>
          <w:rFonts w:hint="eastAsia" w:ascii="仿宋" w:hAnsi="仿宋" w:eastAsia="仿宋" w:cs="仿宋"/>
          <w:sz w:val="24"/>
        </w:rPr>
      </w:pPr>
      <w:r>
        <w:rPr>
          <w:rFonts w:hint="eastAsia" w:ascii="仿宋" w:hAnsi="仿宋" w:eastAsia="仿宋" w:cs="仿宋"/>
          <w:sz w:val="24"/>
        </w:rPr>
        <w:t>交工：指《公路工程竣（交）工验收办法》中的交工。通用合同条款中“竣工”一词具有相同含义。</w:t>
      </w:r>
    </w:p>
    <w:p>
      <w:pPr>
        <w:keepNext w:val="0"/>
        <w:keepLines w:val="0"/>
        <w:pageBreakBefore w:val="0"/>
        <w:widowControl/>
        <w:numPr>
          <w:ilvl w:val="1"/>
          <w:numId w:val="28"/>
        </w:numPr>
        <w:tabs>
          <w:tab w:val="left" w:pos="1476"/>
        </w:tabs>
        <w:kinsoku/>
        <w:wordWrap/>
        <w:overflowPunct/>
        <w:topLinePunct w:val="0"/>
        <w:autoSpaceDE/>
        <w:autoSpaceDN/>
        <w:bidi w:val="0"/>
        <w:spacing w:line="240" w:lineRule="auto"/>
        <w:ind w:firstLine="724"/>
        <w:jc w:val="both"/>
        <w:textAlignment w:val="auto"/>
        <w:rPr>
          <w:rFonts w:hint="eastAsia" w:ascii="仿宋" w:hAnsi="仿宋" w:eastAsia="仿宋" w:cs="仿宋"/>
          <w:sz w:val="24"/>
        </w:rPr>
      </w:pPr>
      <w:r>
        <w:rPr>
          <w:rFonts w:hint="eastAsia" w:ascii="仿宋" w:hAnsi="仿宋" w:eastAsia="仿宋" w:cs="仿宋"/>
          <w:sz w:val="24"/>
        </w:rPr>
        <w:t>交工验收：指《公路工程竣（交）工验收办法》中的交工验收。通用合同条款中“竣工验收”一词具有相同含义。</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28"/>
        </w:numPr>
        <w:tabs>
          <w:tab w:val="left" w:pos="1476"/>
        </w:tabs>
        <w:kinsoku/>
        <w:wordWrap/>
        <w:overflowPunct/>
        <w:topLinePunct w:val="0"/>
        <w:autoSpaceDE/>
        <w:autoSpaceDN/>
        <w:bidi w:val="0"/>
        <w:spacing w:line="240" w:lineRule="auto"/>
        <w:ind w:firstLine="724"/>
        <w:jc w:val="both"/>
        <w:textAlignment w:val="auto"/>
        <w:rPr>
          <w:rFonts w:hint="eastAsia" w:ascii="仿宋" w:hAnsi="仿宋" w:eastAsia="仿宋" w:cs="仿宋"/>
          <w:sz w:val="24"/>
        </w:rPr>
      </w:pPr>
      <w:r>
        <w:rPr>
          <w:rFonts w:hint="eastAsia" w:ascii="仿宋" w:hAnsi="仿宋" w:eastAsia="仿宋" w:cs="仿宋"/>
          <w:sz w:val="24"/>
        </w:rPr>
        <w:t>交工验收证书：指《公路工程竣（交）工验收办法》中的交工验收证书。通用合同条款中“工程接收证书”一词具有相同含义。</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28"/>
        </w:numPr>
        <w:tabs>
          <w:tab w:val="left" w:pos="1476"/>
        </w:tabs>
        <w:kinsoku/>
        <w:wordWrap/>
        <w:overflowPunct/>
        <w:topLinePunct w:val="0"/>
        <w:autoSpaceDE/>
        <w:autoSpaceDN/>
        <w:bidi w:val="0"/>
        <w:spacing w:line="240" w:lineRule="auto"/>
        <w:ind w:firstLine="724"/>
        <w:jc w:val="both"/>
        <w:textAlignment w:val="auto"/>
        <w:rPr>
          <w:rFonts w:hint="eastAsia" w:ascii="仿宋" w:hAnsi="仿宋" w:eastAsia="仿宋" w:cs="仿宋"/>
          <w:sz w:val="24"/>
        </w:rPr>
      </w:pPr>
      <w:r>
        <w:rPr>
          <w:rFonts w:hint="eastAsia" w:ascii="仿宋" w:hAnsi="仿宋" w:eastAsia="仿宋" w:cs="仿宋"/>
          <w:sz w:val="24"/>
        </w:rPr>
        <w:t>转包：指承包人违反法律和不履行合同规定的责任和义务，将中标工程全部委托或以专业分包的名义将中标工程肢解后全部委托给其他施工企业施工的行为。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28"/>
        </w:numPr>
        <w:tabs>
          <w:tab w:val="left" w:pos="1476"/>
        </w:tabs>
        <w:kinsoku/>
        <w:wordWrap/>
        <w:overflowPunct/>
        <w:topLinePunct w:val="0"/>
        <w:autoSpaceDE/>
        <w:autoSpaceDN/>
        <w:bidi w:val="0"/>
        <w:spacing w:line="240" w:lineRule="auto"/>
        <w:ind w:firstLine="724"/>
        <w:jc w:val="both"/>
        <w:textAlignment w:val="auto"/>
        <w:rPr>
          <w:rFonts w:hint="eastAsia" w:ascii="仿宋" w:hAnsi="仿宋" w:eastAsia="仿宋" w:cs="仿宋"/>
          <w:sz w:val="24"/>
        </w:rPr>
      </w:pPr>
      <w:r>
        <w:rPr>
          <w:rFonts w:hint="eastAsia" w:ascii="仿宋" w:hAnsi="仿宋" w:eastAsia="仿宋" w:cs="仿宋"/>
          <w:sz w:val="24"/>
        </w:rPr>
        <w:t>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p>
      <w:pPr>
        <w:keepNext w:val="0"/>
        <w:keepLines w:val="0"/>
        <w:pageBreakBefore w:val="0"/>
        <w:widowControl/>
        <w:numPr>
          <w:ilvl w:val="1"/>
          <w:numId w:val="28"/>
        </w:numPr>
        <w:tabs>
          <w:tab w:val="left" w:pos="1476"/>
        </w:tabs>
        <w:kinsoku/>
        <w:wordWrap/>
        <w:overflowPunct/>
        <w:topLinePunct w:val="0"/>
        <w:autoSpaceDE/>
        <w:autoSpaceDN/>
        <w:bidi w:val="0"/>
        <w:spacing w:line="240" w:lineRule="auto"/>
        <w:ind w:firstLine="724"/>
        <w:jc w:val="both"/>
        <w:textAlignment w:val="auto"/>
        <w:rPr>
          <w:rFonts w:hint="eastAsia" w:ascii="仿宋" w:hAnsi="仿宋" w:eastAsia="仿宋" w:cs="仿宋"/>
          <w:sz w:val="24"/>
        </w:rPr>
      </w:pPr>
      <w:r>
        <w:rPr>
          <w:rFonts w:hint="eastAsia" w:ascii="仿宋" w:hAnsi="仿宋" w:eastAsia="仿宋" w:cs="仿宋"/>
          <w:sz w:val="24"/>
        </w:rPr>
        <w:t>劳务分包：指承包人与具有施工劳务资质的劳务企业签订劳务分包合同，由劳务企业提供劳务人员及机具，由承包人统一组织施工、统一控制工程质量、施工进度、材料采购、生产安全的施工行为。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28"/>
        </w:numPr>
        <w:tabs>
          <w:tab w:val="left" w:pos="1476"/>
        </w:tabs>
        <w:kinsoku/>
        <w:wordWrap/>
        <w:overflowPunct/>
        <w:topLinePunct w:val="0"/>
        <w:autoSpaceDE/>
        <w:autoSpaceDN/>
        <w:bidi w:val="0"/>
        <w:spacing w:line="240" w:lineRule="auto"/>
        <w:ind w:firstLine="724"/>
        <w:jc w:val="both"/>
        <w:textAlignment w:val="auto"/>
        <w:rPr>
          <w:rFonts w:hint="eastAsia" w:ascii="仿宋" w:hAnsi="仿宋" w:eastAsia="仿宋" w:cs="仿宋"/>
          <w:sz w:val="24"/>
        </w:rPr>
      </w:pPr>
      <w:r>
        <w:rPr>
          <w:rFonts w:hint="eastAsia" w:ascii="仿宋" w:hAnsi="仿宋" w:eastAsia="仿宋" w:cs="仿宋"/>
          <w:sz w:val="24"/>
        </w:rPr>
        <w:t>雇用民工：指承包人与具有相应劳动能力的自然人签订劳动合同，由承包人统一组织管理，从事分项工程施工或配套工程施工的行为。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29"/>
        </w:numPr>
        <w:tabs>
          <w:tab w:val="left" w:pos="420"/>
        </w:tabs>
        <w:kinsoku/>
        <w:wordWrap/>
        <w:overflowPunct/>
        <w:topLinePunct w:val="0"/>
        <w:autoSpaceDE/>
        <w:autoSpaceDN/>
        <w:bidi w:val="0"/>
        <w:spacing w:line="240" w:lineRule="auto"/>
        <w:ind w:left="420" w:hanging="416"/>
        <w:jc w:val="both"/>
        <w:textAlignment w:val="auto"/>
        <w:rPr>
          <w:rFonts w:hint="eastAsia" w:ascii="仿宋" w:hAnsi="仿宋" w:eastAsia="仿宋" w:cs="仿宋"/>
          <w:sz w:val="24"/>
        </w:rPr>
      </w:pPr>
      <w:r>
        <w:rPr>
          <w:rFonts w:hint="eastAsia" w:ascii="仿宋" w:hAnsi="仿宋" w:eastAsia="仿宋" w:cs="仿宋"/>
          <w:sz w:val="24"/>
        </w:rPr>
        <w:t>合同文件的优先顺序</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4"/>
        </w:rPr>
      </w:pPr>
      <w:r>
        <w:rPr>
          <w:rFonts w:hint="eastAsia" w:ascii="仿宋" w:hAnsi="仿宋" w:eastAsia="仿宋" w:cs="仿宋"/>
          <w:sz w:val="24"/>
        </w:rPr>
        <w:t>本款约定为：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391"/>
        <w:textAlignment w:val="auto"/>
        <w:rPr>
          <w:rFonts w:hint="eastAsia" w:ascii="仿宋" w:hAnsi="仿宋" w:eastAsia="仿宋" w:cs="仿宋"/>
          <w:sz w:val="24"/>
        </w:rPr>
      </w:pPr>
      <w:r>
        <w:rPr>
          <w:rFonts w:hint="eastAsia" w:ascii="仿宋" w:hAnsi="仿宋" w:eastAsia="仿宋" w:cs="仿宋"/>
          <w:sz w:val="24"/>
        </w:rPr>
        <w:t>组成合同的各项文件应互相解释，互为说明。除项目专用合同条款另有约定外，解释合同文件的优先顺序如下：</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51"/>
        <w:textAlignment w:val="auto"/>
        <w:rPr>
          <w:rFonts w:hint="eastAsia" w:ascii="仿宋" w:hAnsi="仿宋" w:eastAsia="仿宋" w:cs="仿宋"/>
          <w:sz w:val="24"/>
        </w:rPr>
      </w:pPr>
      <w:r>
        <w:rPr>
          <w:rFonts w:hint="eastAsia" w:ascii="仿宋" w:hAnsi="仿宋" w:eastAsia="仿宋" w:cs="仿宋"/>
          <w:sz w:val="24"/>
        </w:rPr>
        <w:t>（1）合同协议书及各种合同附件（含评标期间和合同谈判过程中的澄清文件和补充资料）；</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（2）中标通知书；</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（3）投标函及投标函附录；</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（4）项目专用合同条款；</w:t>
      </w:r>
      <w:bookmarkStart w:id="52" w:name="page125"/>
      <w:bookmarkEnd w:id="52"/>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（5）公路工程专用合同条款；</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（6）通用合同条款；</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（7）工程量清单计量规则；</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（8）技术规范；</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（9）图纸；</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（10）已标价工程量清单；</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（11）承包人有关人员、设备投入的承诺及投标文件中的施工组织设计；（12）其他合同文件。</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1.5 合同协议书</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4"/>
        </w:rPr>
      </w:pPr>
      <w:r>
        <w:rPr>
          <w:rFonts w:hint="eastAsia" w:ascii="仿宋" w:hAnsi="仿宋" w:eastAsia="仿宋" w:cs="仿宋"/>
          <w:sz w:val="24"/>
        </w:rPr>
        <w:t>本款补充：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391"/>
        <w:jc w:val="both"/>
        <w:textAlignment w:val="auto"/>
        <w:rPr>
          <w:rFonts w:hint="eastAsia" w:ascii="仿宋" w:hAnsi="仿宋" w:eastAsia="仿宋" w:cs="仿宋"/>
          <w:sz w:val="24"/>
        </w:rPr>
      </w:pPr>
      <w:r>
        <w:rPr>
          <w:rFonts w:hint="eastAsia" w:ascii="仿宋" w:hAnsi="仿宋" w:eastAsia="仿宋" w:cs="仿宋"/>
          <w:sz w:val="24"/>
        </w:rPr>
        <w:t>制备本合同文件的费用由发包人承担。在合同协议书签订并生效之前，投标函和中标通知书将对双方具有约束力。</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1.6 图纸和承包人文件</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1.6.1 图纸的提供</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4"/>
        </w:rPr>
      </w:pPr>
      <w:r>
        <w:rPr>
          <w:rFonts w:hint="eastAsia" w:ascii="仿宋" w:hAnsi="仿宋" w:eastAsia="仿宋" w:cs="仿宋"/>
          <w:sz w:val="24"/>
        </w:rPr>
        <w:t>本项细化为：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391"/>
        <w:jc w:val="both"/>
        <w:textAlignment w:val="auto"/>
        <w:rPr>
          <w:rFonts w:hint="eastAsia" w:ascii="仿宋" w:hAnsi="仿宋" w:eastAsia="仿宋" w:cs="仿宋"/>
          <w:sz w:val="23"/>
        </w:rPr>
      </w:pPr>
      <w:r>
        <w:rPr>
          <w:rFonts w:hint="eastAsia" w:ascii="仿宋" w:hAnsi="仿宋" w:eastAsia="仿宋" w:cs="仿宋"/>
          <w:sz w:val="23"/>
        </w:rPr>
        <w:t>监理人应在发出中标通知书之后 42 天内，向承包人免费提供由发包人或其委托的设计单位设计的施工图纸、技术规范和其他技术资料 2 份，并向承包人进行技术交底。承包人需要更多份数时，应自费复制。由于发包人未按时提供图纸造成工期</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延误的，按第 11.3 款的约定办理。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1.6.2 承包人提供的文件</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4"/>
        </w:rPr>
      </w:pPr>
      <w:r>
        <w:rPr>
          <w:rFonts w:hint="eastAsia" w:ascii="仿宋" w:hAnsi="仿宋" w:eastAsia="仿宋" w:cs="仿宋"/>
          <w:sz w:val="24"/>
        </w:rPr>
        <w:t>本项细化为：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391"/>
        <w:textAlignment w:val="auto"/>
        <w:rPr>
          <w:rFonts w:hint="eastAsia" w:ascii="仿宋" w:hAnsi="仿宋" w:eastAsia="仿宋" w:cs="仿宋"/>
          <w:sz w:val="23"/>
        </w:rPr>
      </w:pPr>
      <w:r>
        <w:rPr>
          <w:rFonts w:hint="eastAsia" w:ascii="仿宋" w:hAnsi="仿宋" w:eastAsia="仿宋" w:cs="仿宋"/>
          <w:sz w:val="23"/>
        </w:rPr>
        <w:t>有下列情形之一的，承包人应免费向监理人提交相关部分工程的施工图纸 3 份，并附必要的计算书、技术资料，或施工工艺图、设备安装图及安装设备的使用和维</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护手册各 2 份供监理人批准。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4"/>
        </w:rPr>
      </w:pPr>
      <w:r>
        <w:rPr>
          <w:rFonts w:hint="eastAsia" w:ascii="仿宋" w:hAnsi="仿宋" w:eastAsia="仿宋" w:cs="仿宋"/>
          <w:sz w:val="24"/>
        </w:rPr>
        <w:t>（1）为使第 1.6.1 项所述的施工图纸适合于经施工测量后的纵、横断面；（2）为使第 1.6.1 项所述的施工图纸适合于现场具体地形；</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4"/>
        </w:rPr>
      </w:pPr>
      <w:r>
        <w:rPr>
          <w:rFonts w:hint="eastAsia" w:ascii="仿宋" w:hAnsi="仿宋" w:eastAsia="仿宋" w:cs="仿宋"/>
          <w:sz w:val="24"/>
        </w:rPr>
        <w:t>（3）为使第 1.6.1 项所述的施工图纸适合于因尺寸与位置变化而引起局部变更；（4）由于合同要求与施工需要。</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3"/>
        </w:rPr>
      </w:pPr>
      <w:r>
        <w:rPr>
          <w:rFonts w:hint="eastAsia" w:ascii="仿宋" w:hAnsi="仿宋" w:eastAsia="仿宋" w:cs="仿宋"/>
          <w:sz w:val="23"/>
        </w:rPr>
        <w:t>此类图纸应按监理人规定的格式和图幅绘制。监理人在收到由承包人绘制的上述</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jc w:val="both"/>
        <w:textAlignment w:val="auto"/>
        <w:rPr>
          <w:rFonts w:hint="eastAsia" w:ascii="仿宋" w:hAnsi="仿宋" w:eastAsia="仿宋" w:cs="仿宋"/>
          <w:sz w:val="24"/>
        </w:rPr>
      </w:pPr>
      <w:r>
        <w:rPr>
          <w:rFonts w:hint="eastAsia" w:ascii="仿宋" w:hAnsi="仿宋" w:eastAsia="仿宋" w:cs="仿宋"/>
          <w:sz w:val="24"/>
        </w:rPr>
        <w:t>工程、工艺图纸、计算书和有关技术资料后 14 天内应予批准或提出修改要求，承包人应按监理人提出的要求作出修改，重新向监理人提交，监理人应在 7 天内批准或提出进一步的修改意见。</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bookmarkStart w:id="53" w:name="page126"/>
      <w:bookmarkEnd w:id="53"/>
      <w:r>
        <w:rPr>
          <w:rFonts w:hint="eastAsia" w:ascii="仿宋" w:hAnsi="仿宋" w:eastAsia="仿宋" w:cs="仿宋"/>
          <w:sz w:val="24"/>
        </w:rPr>
        <w:t>1.6.4 图纸的错误</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4"/>
        </w:rPr>
      </w:pPr>
      <w:r>
        <w:rPr>
          <w:rFonts w:hint="eastAsia" w:ascii="仿宋" w:hAnsi="仿宋" w:eastAsia="仿宋" w:cs="仿宋"/>
          <w:sz w:val="24"/>
        </w:rPr>
        <w:t>本项细化为：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391"/>
        <w:jc w:val="both"/>
        <w:textAlignment w:val="auto"/>
        <w:rPr>
          <w:rFonts w:hint="eastAsia" w:ascii="仿宋" w:hAnsi="仿宋" w:eastAsia="仿宋" w:cs="仿宋"/>
          <w:sz w:val="24"/>
        </w:rPr>
      </w:pPr>
      <w:r>
        <w:rPr>
          <w:rFonts w:hint="eastAsia" w:ascii="仿宋" w:hAnsi="仿宋" w:eastAsia="仿宋" w:cs="仿宋"/>
          <w:sz w:val="24"/>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1.9 严禁贿赂</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4"/>
        </w:rPr>
      </w:pPr>
      <w:r>
        <w:rPr>
          <w:rFonts w:hint="eastAsia" w:ascii="仿宋" w:hAnsi="仿宋" w:eastAsia="仿宋" w:cs="仿宋"/>
          <w:sz w:val="24"/>
        </w:rPr>
        <w:t>本款补充：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391"/>
        <w:jc w:val="both"/>
        <w:textAlignment w:val="auto"/>
        <w:rPr>
          <w:rFonts w:hint="eastAsia" w:ascii="仿宋" w:hAnsi="仿宋" w:eastAsia="仿宋" w:cs="仿宋"/>
          <w:sz w:val="24"/>
        </w:rPr>
      </w:pPr>
      <w:r>
        <w:rPr>
          <w:rFonts w:hint="eastAsia" w:ascii="仿宋" w:hAnsi="仿宋" w:eastAsia="仿宋" w:cs="仿宋"/>
          <w:sz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2. 发包人义务</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2.3 提供施工场地</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4"/>
        </w:rPr>
      </w:pPr>
      <w:r>
        <w:rPr>
          <w:rFonts w:hint="eastAsia" w:ascii="仿宋" w:hAnsi="仿宋" w:eastAsia="仿宋" w:cs="仿宋"/>
          <w:sz w:val="24"/>
        </w:rPr>
        <w:t>本款补充：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3"/>
        </w:rPr>
      </w:pPr>
      <w:r>
        <w:rPr>
          <w:rFonts w:hint="eastAsia" w:ascii="仿宋" w:hAnsi="仿宋" w:eastAsia="仿宋" w:cs="仿宋"/>
          <w:sz w:val="23"/>
        </w:rPr>
        <w:t>发包人负责办理永久占地的征用及与之有关的拆迁赔偿手续并承担相关费用。承</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jc w:val="both"/>
        <w:textAlignment w:val="auto"/>
        <w:rPr>
          <w:rFonts w:hint="eastAsia" w:ascii="仿宋" w:hAnsi="仿宋" w:eastAsia="仿宋" w:cs="仿宋"/>
          <w:sz w:val="24"/>
        </w:rPr>
      </w:pPr>
      <w:r>
        <w:rPr>
          <w:rFonts w:hint="eastAsia" w:ascii="仿宋" w:hAnsi="仿宋" w:eastAsia="仿宋" w:cs="仿宋"/>
          <w:sz w:val="24"/>
        </w:rPr>
        <w:t>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391"/>
        <w:jc w:val="both"/>
        <w:textAlignment w:val="auto"/>
        <w:rPr>
          <w:rFonts w:hint="eastAsia" w:ascii="仿宋" w:hAnsi="仿宋" w:eastAsia="仿宋" w:cs="仿宋"/>
          <w:sz w:val="24"/>
        </w:rPr>
      </w:pPr>
      <w:r>
        <w:rPr>
          <w:rFonts w:hint="eastAsia" w:ascii="仿宋" w:hAnsi="仿宋" w:eastAsia="仿宋" w:cs="仿宋"/>
          <w:sz w:val="24"/>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3. 监理人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30"/>
        </w:numPr>
        <w:tabs>
          <w:tab w:val="left" w:pos="420"/>
        </w:tabs>
        <w:kinsoku/>
        <w:wordWrap/>
        <w:overflowPunct/>
        <w:topLinePunct w:val="0"/>
        <w:autoSpaceDE/>
        <w:autoSpaceDN/>
        <w:bidi w:val="0"/>
        <w:spacing w:line="240" w:lineRule="auto"/>
        <w:ind w:left="420" w:hanging="416"/>
        <w:jc w:val="both"/>
        <w:textAlignment w:val="auto"/>
        <w:rPr>
          <w:rFonts w:hint="eastAsia" w:ascii="仿宋" w:hAnsi="仿宋" w:eastAsia="仿宋" w:cs="仿宋"/>
          <w:sz w:val="24"/>
        </w:rPr>
      </w:pPr>
      <w:r>
        <w:rPr>
          <w:rFonts w:hint="eastAsia" w:ascii="仿宋" w:hAnsi="仿宋" w:eastAsia="仿宋" w:cs="仿宋"/>
          <w:sz w:val="24"/>
        </w:rPr>
        <w:t>监理人的职责和权力</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30"/>
        </w:numPr>
        <w:tabs>
          <w:tab w:val="left" w:pos="780"/>
        </w:tabs>
        <w:kinsoku/>
        <w:wordWrap/>
        <w:overflowPunct/>
        <w:topLinePunct w:val="0"/>
        <w:autoSpaceDE/>
        <w:autoSpaceDN/>
        <w:bidi w:val="0"/>
        <w:spacing w:line="240" w:lineRule="auto"/>
        <w:ind w:left="780" w:hanging="296"/>
        <w:jc w:val="both"/>
        <w:textAlignment w:val="auto"/>
        <w:rPr>
          <w:rFonts w:hint="eastAsia" w:ascii="仿宋" w:hAnsi="仿宋" w:eastAsia="仿宋" w:cs="仿宋"/>
          <w:sz w:val="24"/>
        </w:rPr>
      </w:pPr>
      <w:r>
        <w:rPr>
          <w:rFonts w:hint="eastAsia" w:ascii="仿宋" w:hAnsi="仿宋" w:eastAsia="仿宋" w:cs="仿宋"/>
          <w:sz w:val="24"/>
        </w:rPr>
        <w:t>3.1.1 项补充：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kinsoku/>
        <w:wordWrap/>
        <w:overflowPunct/>
        <w:topLinePunct w:val="0"/>
        <w:autoSpaceDE/>
        <w:autoSpaceDN/>
        <w:bidi w:val="0"/>
        <w:spacing w:line="240" w:lineRule="auto"/>
        <w:ind w:left="480"/>
        <w:jc w:val="both"/>
        <w:textAlignment w:val="auto"/>
        <w:rPr>
          <w:rFonts w:hint="eastAsia" w:ascii="仿宋" w:hAnsi="仿宋" w:eastAsia="仿宋" w:cs="仿宋"/>
          <w:sz w:val="24"/>
        </w:rPr>
      </w:pPr>
      <w:r>
        <w:rPr>
          <w:rFonts w:hint="eastAsia" w:ascii="仿宋" w:hAnsi="仿宋" w:eastAsia="仿宋" w:cs="仿宋"/>
          <w:sz w:val="24"/>
        </w:rPr>
        <w:t>监理人在行使下列权力前需要经发包人事先批准：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（1）根据第 4.3 款，同意分包本工程的某些非关键性工作或者适合专业化队伍施工的专项工程；</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（2）确定第 4.11 款下产生的费用增加额；</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（3）根据第 11.1 款、第 12.3 款、第 12.4 款发布开工通知、暂停施工指示或复</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工通知；</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（4）决定第 11.3 款、第 11.4 款下的工期延长；</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（5）审查批准技术方案或设计的变更；</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（6）根据第 15.3 款发出的变更指示，其单项工程变更或累计变更涉及的金额超过了项目专用合同条款数据表中规定的金额；</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（7）确定第 15.4 款下变更工作的单价；</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（8）按照第 15.6 款决定有关暂列金额的使用；</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（9）确定第 15.8 款下的暂估价金额；</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（10）确定第 23.1 款下的索赔额。</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如果发生紧急情况，监理人认为将造成人员伤亡，或危及本工程或邻近的财产</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需立即采取行动，监理人有权在未征得发包人的批准的情况下发布处理紧急情况所</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r>
        <w:rPr>
          <w:rFonts w:hint="eastAsia" w:ascii="仿宋" w:hAnsi="仿宋" w:eastAsia="仿宋" w:cs="仿宋"/>
          <w:sz w:val="23"/>
        </w:rPr>
        <w:t>必需的指令，承包人应予执行，由此造成的费用增加由监理人按第 3.5 款商定或确</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定。</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31"/>
        </w:numPr>
        <w:tabs>
          <w:tab w:val="left" w:pos="420"/>
        </w:tabs>
        <w:kinsoku/>
        <w:wordWrap/>
        <w:overflowPunct/>
        <w:topLinePunct w:val="0"/>
        <w:autoSpaceDE/>
        <w:autoSpaceDN/>
        <w:bidi w:val="0"/>
        <w:spacing w:line="240" w:lineRule="auto"/>
        <w:ind w:left="420" w:hanging="416"/>
        <w:jc w:val="both"/>
        <w:textAlignment w:val="auto"/>
        <w:rPr>
          <w:rFonts w:hint="eastAsia" w:ascii="仿宋" w:hAnsi="仿宋" w:eastAsia="仿宋" w:cs="仿宋"/>
          <w:sz w:val="24"/>
        </w:rPr>
      </w:pPr>
      <w:r>
        <w:rPr>
          <w:rFonts w:hint="eastAsia" w:ascii="仿宋" w:hAnsi="仿宋" w:eastAsia="仿宋" w:cs="仿宋"/>
          <w:sz w:val="24"/>
        </w:rPr>
        <w:t>商定或确定</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31"/>
        </w:numPr>
        <w:tabs>
          <w:tab w:val="left" w:pos="780"/>
        </w:tabs>
        <w:kinsoku/>
        <w:wordWrap/>
        <w:overflowPunct/>
        <w:topLinePunct w:val="0"/>
        <w:autoSpaceDE/>
        <w:autoSpaceDN/>
        <w:bidi w:val="0"/>
        <w:spacing w:line="240" w:lineRule="auto"/>
        <w:ind w:left="780" w:hanging="296"/>
        <w:jc w:val="both"/>
        <w:textAlignment w:val="auto"/>
        <w:rPr>
          <w:rFonts w:hint="eastAsia" w:ascii="仿宋" w:hAnsi="仿宋" w:eastAsia="仿宋" w:cs="仿宋"/>
          <w:sz w:val="24"/>
        </w:rPr>
      </w:pPr>
      <w:r>
        <w:rPr>
          <w:rFonts w:hint="eastAsia" w:ascii="仿宋" w:hAnsi="仿宋" w:eastAsia="仿宋" w:cs="仿宋"/>
          <w:sz w:val="24"/>
        </w:rPr>
        <w:t>3.5.1 项补充：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如果这项商定或确定导致费用增加和（或）工期延长，或者涉及确定变更工程的价格，则总监理工程师在发出通知前，应征得发包人的同意。</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4. 承包人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32"/>
        </w:numPr>
        <w:tabs>
          <w:tab w:val="left" w:pos="420"/>
        </w:tabs>
        <w:kinsoku/>
        <w:wordWrap/>
        <w:overflowPunct/>
        <w:topLinePunct w:val="0"/>
        <w:autoSpaceDE/>
        <w:autoSpaceDN/>
        <w:bidi w:val="0"/>
        <w:spacing w:line="240" w:lineRule="auto"/>
        <w:ind w:left="420" w:hanging="416"/>
        <w:jc w:val="both"/>
        <w:textAlignment w:val="auto"/>
        <w:rPr>
          <w:rFonts w:hint="eastAsia" w:ascii="仿宋" w:hAnsi="仿宋" w:eastAsia="仿宋" w:cs="仿宋"/>
          <w:sz w:val="24"/>
        </w:rPr>
      </w:pPr>
      <w:r>
        <w:rPr>
          <w:rFonts w:hint="eastAsia" w:ascii="仿宋" w:hAnsi="仿宋" w:eastAsia="仿宋" w:cs="仿宋"/>
          <w:sz w:val="24"/>
        </w:rPr>
        <w:t>承包人的一般义务</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32"/>
        </w:numPr>
        <w:tabs>
          <w:tab w:val="left" w:pos="1079"/>
        </w:tabs>
        <w:kinsoku/>
        <w:wordWrap/>
        <w:overflowPunct/>
        <w:topLinePunct w:val="0"/>
        <w:autoSpaceDE/>
        <w:autoSpaceDN/>
        <w:bidi w:val="0"/>
        <w:spacing w:line="240" w:lineRule="auto"/>
        <w:ind w:left="400" w:firstLine="75"/>
        <w:jc w:val="both"/>
        <w:textAlignment w:val="auto"/>
        <w:rPr>
          <w:rFonts w:hint="eastAsia" w:ascii="仿宋" w:hAnsi="仿宋" w:eastAsia="仿宋" w:cs="仿宋"/>
          <w:sz w:val="24"/>
        </w:rPr>
      </w:pPr>
      <w:r>
        <w:rPr>
          <w:rFonts w:hint="eastAsia" w:ascii="仿宋" w:hAnsi="仿宋" w:eastAsia="仿宋" w:cs="仿宋"/>
          <w:sz w:val="24"/>
        </w:rPr>
        <w:t>工程的维护和照管本项细化为：</w:t>
      </w:r>
    </w:p>
    <w:p>
      <w:pPr>
        <w:keepNext w:val="0"/>
        <w:keepLines w:val="0"/>
        <w:pageBreakBefore w:val="0"/>
        <w:widowControl/>
        <w:kinsoku/>
        <w:wordWrap/>
        <w:overflowPunct/>
        <w:topLinePunct w:val="0"/>
        <w:autoSpaceDE/>
        <w:autoSpaceDN/>
        <w:bidi w:val="0"/>
        <w:spacing w:line="240" w:lineRule="auto"/>
        <w:ind w:firstLine="391"/>
        <w:jc w:val="both"/>
        <w:textAlignment w:val="auto"/>
        <w:rPr>
          <w:rFonts w:hint="eastAsia" w:ascii="仿宋" w:hAnsi="仿宋" w:eastAsia="仿宋" w:cs="仿宋"/>
          <w:sz w:val="24"/>
        </w:rPr>
      </w:pPr>
      <w:r>
        <w:rPr>
          <w:rFonts w:hint="eastAsia" w:ascii="仿宋" w:hAnsi="仿宋" w:eastAsia="仿宋" w:cs="仿宋"/>
          <w:sz w:val="24"/>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391"/>
        <w:jc w:val="both"/>
        <w:textAlignment w:val="auto"/>
        <w:rPr>
          <w:rFonts w:hint="eastAsia" w:ascii="仿宋" w:hAnsi="仿宋" w:eastAsia="仿宋" w:cs="仿宋"/>
          <w:sz w:val="24"/>
        </w:rPr>
      </w:pPr>
      <w:r>
        <w:rPr>
          <w:rFonts w:hint="eastAsia" w:ascii="仿宋" w:hAnsi="仿宋" w:eastAsia="仿宋" w:cs="仿宋"/>
          <w:sz w:val="24"/>
        </w:rPr>
        <w:t>（2）在承包人负责照管与维护期间，如果本工程或材料、设备等发生损失或损害，除不可抗力原因之外，承包人均应自费弥补，并达到合同要求。承包人还应对</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按第 19 条规定而实施作业过程中由承包人造成的对工程的任何损失或损害负责。</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4.1.10 其他义务</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4"/>
        </w:rPr>
      </w:pPr>
      <w:r>
        <w:rPr>
          <w:rFonts w:hint="eastAsia" w:ascii="仿宋" w:hAnsi="仿宋" w:eastAsia="仿宋" w:cs="仿宋"/>
          <w:sz w:val="24"/>
        </w:rPr>
        <w:t>本项细化为：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391"/>
        <w:jc w:val="both"/>
        <w:textAlignment w:val="auto"/>
        <w:rPr>
          <w:rFonts w:hint="eastAsia" w:ascii="仿宋" w:hAnsi="仿宋" w:eastAsia="仿宋" w:cs="仿宋"/>
          <w:sz w:val="24"/>
        </w:rPr>
      </w:pPr>
      <w:r>
        <w:rPr>
          <w:rFonts w:hint="eastAsia" w:ascii="仿宋" w:hAnsi="仿宋" w:eastAsia="仿宋" w:cs="仿宋"/>
          <w:sz w:val="24"/>
        </w:rPr>
        <w:t>（1） 临时占地由承包人向当地政府土地管理部门申请，并办理租用手续，承包人按有关规定直接支付其费用，发包人对此将予以协调。</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391"/>
        <w:textAlignment w:val="auto"/>
        <w:rPr>
          <w:rFonts w:hint="eastAsia" w:ascii="仿宋" w:hAnsi="仿宋" w:eastAsia="仿宋" w:cs="仿宋"/>
          <w:sz w:val="24"/>
        </w:rPr>
      </w:pPr>
      <w:r>
        <w:rPr>
          <w:rFonts w:hint="eastAsia" w:ascii="仿宋" w:hAnsi="仿宋" w:eastAsia="仿宋" w:cs="仿宋"/>
          <w:sz w:val="24"/>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占地的租地费用实行总额包干，列入工程量清单第 100 章中由承包人按总额报价。</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391"/>
        <w:jc w:val="both"/>
        <w:textAlignment w:val="auto"/>
        <w:rPr>
          <w:rFonts w:hint="eastAsia" w:ascii="仿宋" w:hAnsi="仿宋" w:eastAsia="仿宋" w:cs="仿宋"/>
          <w:sz w:val="24"/>
        </w:rPr>
      </w:pPr>
      <w:r>
        <w:rPr>
          <w:rFonts w:hint="eastAsia" w:ascii="仿宋" w:hAnsi="仿宋" w:eastAsia="仿宋" w:cs="仿宋"/>
          <w:sz w:val="24"/>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391"/>
        <w:jc w:val="both"/>
        <w:textAlignment w:val="auto"/>
        <w:rPr>
          <w:rFonts w:hint="eastAsia" w:ascii="仿宋" w:hAnsi="仿宋" w:eastAsia="仿宋" w:cs="仿宋"/>
          <w:sz w:val="24"/>
        </w:rPr>
      </w:pPr>
      <w:r>
        <w:rPr>
          <w:rFonts w:hint="eastAsia" w:ascii="仿宋" w:hAnsi="仿宋" w:eastAsia="仿宋" w:cs="仿宋"/>
          <w:sz w:val="24"/>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391"/>
        <w:jc w:val="both"/>
        <w:textAlignment w:val="auto"/>
        <w:rPr>
          <w:rFonts w:hint="eastAsia" w:ascii="仿宋" w:hAnsi="仿宋" w:eastAsia="仿宋" w:cs="仿宋"/>
          <w:sz w:val="24"/>
        </w:rPr>
      </w:pPr>
      <w:r>
        <w:rPr>
          <w:rFonts w:hint="eastAsia" w:ascii="仿宋" w:hAnsi="仿宋" w:eastAsia="仿宋" w:cs="仿宋"/>
          <w:sz w:val="24"/>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391"/>
        <w:jc w:val="both"/>
        <w:textAlignment w:val="auto"/>
        <w:rPr>
          <w:rFonts w:hint="eastAsia" w:ascii="仿宋" w:hAnsi="仿宋" w:eastAsia="仿宋" w:cs="仿宋"/>
          <w:sz w:val="23"/>
        </w:rPr>
      </w:pPr>
      <w:r>
        <w:rPr>
          <w:rFonts w:hint="eastAsia" w:ascii="仿宋" w:hAnsi="仿宋" w:eastAsia="仿宋" w:cs="仿宋"/>
          <w:sz w:val="23"/>
        </w:rPr>
        <w:t>承包人的项目经理部是民工工资支付行为的主体，承包人的项目经理是民工工资支付的责任人。项目经理部要建立全体民工花名册和工资支付表，确保将工资直接</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jc w:val="both"/>
        <w:textAlignment w:val="auto"/>
        <w:rPr>
          <w:rFonts w:hint="eastAsia" w:ascii="仿宋" w:hAnsi="仿宋" w:eastAsia="仿宋" w:cs="仿宋"/>
          <w:sz w:val="24"/>
        </w:rPr>
      </w:pPr>
      <w:r>
        <w:rPr>
          <w:rFonts w:hint="eastAsia" w:ascii="仿宋" w:hAnsi="仿宋" w:eastAsia="仿宋" w:cs="仿宋"/>
          <w:sz w:val="24"/>
        </w:rPr>
        <w:t>发放给民工本人，或委托银行发放民工工资，严禁发放给“包工头”或其他不具备用工主体资格的组织和个人。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3"/>
        </w:rPr>
      </w:pPr>
      <w:r>
        <w:rPr>
          <w:rFonts w:hint="eastAsia" w:ascii="仿宋" w:hAnsi="仿宋" w:eastAsia="仿宋" w:cs="仿宋"/>
          <w:sz w:val="23"/>
        </w:rPr>
        <w:t>工资支付表应如实记录支付单位、支付时间、支付对象、支付数额、支付对象的</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身份证号和签字等信息。民工花名册和工资支付表应报监理人备查。</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391"/>
        <w:jc w:val="both"/>
        <w:textAlignment w:val="auto"/>
        <w:rPr>
          <w:rFonts w:hint="eastAsia" w:ascii="仿宋" w:hAnsi="仿宋" w:eastAsia="仿宋" w:cs="仿宋"/>
          <w:sz w:val="24"/>
        </w:rPr>
      </w:pPr>
      <w:r>
        <w:rPr>
          <w:rFonts w:hint="eastAsia" w:ascii="仿宋" w:hAnsi="仿宋" w:eastAsia="仿宋" w:cs="仿宋"/>
          <w:sz w:val="24"/>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391"/>
        <w:jc w:val="both"/>
        <w:textAlignment w:val="auto"/>
        <w:rPr>
          <w:rFonts w:hint="eastAsia" w:ascii="仿宋" w:hAnsi="仿宋" w:eastAsia="仿宋" w:cs="仿宋"/>
          <w:sz w:val="24"/>
        </w:rPr>
      </w:pPr>
      <w:r>
        <w:rPr>
          <w:rFonts w:hint="eastAsia" w:ascii="仿宋" w:hAnsi="仿宋" w:eastAsia="仿宋" w:cs="仿宋"/>
          <w:sz w:val="24"/>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r>
        <w:rPr>
          <w:rFonts w:hint="eastAsia" w:ascii="仿宋" w:hAnsi="仿宋" w:eastAsia="仿宋" w:cs="仿宋"/>
          <w:sz w:val="23"/>
        </w:rPr>
        <w:t>培训，改善职工生产生活条件，与此相关的费用承包人应列入工程量清单第 100 章</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中。</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4"/>
        </w:rPr>
      </w:pPr>
      <w:r>
        <w:rPr>
          <w:rFonts w:hint="eastAsia" w:ascii="仿宋" w:hAnsi="仿宋" w:eastAsia="仿宋" w:cs="仿宋"/>
          <w:sz w:val="24"/>
        </w:rPr>
        <w:t>（6）承包人应履行项目专用合同条款约定的其他义务。</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4.2 履约保证金</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承包人应保证其履约保证金在发包人签发交工验收证书且承包人按照合同约定</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jc w:val="both"/>
        <w:textAlignment w:val="auto"/>
        <w:rPr>
          <w:rFonts w:hint="eastAsia" w:ascii="仿宋" w:hAnsi="仿宋" w:eastAsia="仿宋" w:cs="仿宋"/>
          <w:sz w:val="24"/>
        </w:rPr>
      </w:pPr>
      <w:r>
        <w:rPr>
          <w:rFonts w:hint="eastAsia" w:ascii="仿宋" w:hAnsi="仿宋" w:eastAsia="仿宋" w:cs="仿宋"/>
          <w:sz w:val="24"/>
        </w:rPr>
        <w:t>缴纳质量保证金前一直有效。发包人应在收到承包人缴纳的质量保证金后 28 天内将履约保证金退还给承包人。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承包人拒绝按照本合同约定缴纳质量保证金的，发包人有权从交工付款证书中扣留相应金额作为质量保证金，或者直接将履约保证金金额用于保证承包人在缺陷责任期内履行缺陷修复义务。</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33"/>
        </w:numPr>
        <w:tabs>
          <w:tab w:val="left" w:pos="420"/>
        </w:tabs>
        <w:kinsoku/>
        <w:wordWrap/>
        <w:overflowPunct/>
        <w:topLinePunct w:val="0"/>
        <w:autoSpaceDE/>
        <w:autoSpaceDN/>
        <w:bidi w:val="0"/>
        <w:spacing w:line="240" w:lineRule="auto"/>
        <w:ind w:left="420" w:hanging="416"/>
        <w:jc w:val="both"/>
        <w:textAlignment w:val="auto"/>
        <w:rPr>
          <w:rFonts w:hint="eastAsia" w:ascii="仿宋" w:hAnsi="仿宋" w:eastAsia="仿宋" w:cs="仿宋"/>
          <w:sz w:val="24"/>
        </w:rPr>
      </w:pPr>
      <w:r>
        <w:rPr>
          <w:rFonts w:hint="eastAsia" w:ascii="仿宋" w:hAnsi="仿宋" w:eastAsia="仿宋" w:cs="仿宋"/>
          <w:sz w:val="24"/>
        </w:rPr>
        <w:t>分包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33"/>
        </w:numPr>
        <w:tabs>
          <w:tab w:val="left" w:pos="780"/>
        </w:tabs>
        <w:kinsoku/>
        <w:wordWrap/>
        <w:overflowPunct/>
        <w:topLinePunct w:val="0"/>
        <w:autoSpaceDE/>
        <w:autoSpaceDN/>
        <w:bidi w:val="0"/>
        <w:spacing w:line="240" w:lineRule="auto"/>
        <w:ind w:left="780" w:hanging="296"/>
        <w:jc w:val="both"/>
        <w:textAlignment w:val="auto"/>
        <w:rPr>
          <w:rFonts w:hint="eastAsia" w:ascii="仿宋" w:hAnsi="仿宋" w:eastAsia="仿宋" w:cs="仿宋"/>
          <w:sz w:val="24"/>
        </w:rPr>
      </w:pPr>
      <w:r>
        <w:rPr>
          <w:rFonts w:hint="eastAsia" w:ascii="仿宋" w:hAnsi="仿宋" w:eastAsia="仿宋" w:cs="仿宋"/>
          <w:sz w:val="24"/>
        </w:rPr>
        <w:t>4.3.2 项～第 4.3.4 项细化为：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3"/>
        </w:rPr>
      </w:pPr>
      <w:r>
        <w:rPr>
          <w:rFonts w:hint="eastAsia" w:ascii="仿宋" w:hAnsi="仿宋" w:eastAsia="仿宋" w:cs="仿宋"/>
          <w:sz w:val="23"/>
        </w:rPr>
        <w:t>4.3.2 承包人不得将工程关键性工作分包给第三人。经发包人同意，承包人可将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工程的其他部分或工作分包给第三人。分包包括专业分包和劳务分包。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4.3.3 专业分包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在工程施工过程中，承包人进行专业分包必须遵守以下规定：</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bookmarkStart w:id="54" w:name="page130"/>
      <w:bookmarkEnd w:id="54"/>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（2）专业分包人的资格能力（含安全生产能力）应与其分包工程的标准和规模相适应，且应当具备如下条件：</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34"/>
        </w:numPr>
        <w:tabs>
          <w:tab w:val="left" w:pos="780"/>
        </w:tabs>
        <w:kinsoku/>
        <w:wordWrap/>
        <w:overflowPunct/>
        <w:topLinePunct w:val="0"/>
        <w:autoSpaceDE/>
        <w:autoSpaceDN/>
        <w:bidi w:val="0"/>
        <w:spacing w:line="240" w:lineRule="auto"/>
        <w:ind w:left="780" w:hanging="296"/>
        <w:jc w:val="both"/>
        <w:textAlignment w:val="auto"/>
        <w:rPr>
          <w:rFonts w:hint="eastAsia" w:ascii="仿宋" w:hAnsi="仿宋" w:eastAsia="仿宋" w:cs="仿宋"/>
          <w:sz w:val="24"/>
        </w:rPr>
      </w:pPr>
      <w:r>
        <w:rPr>
          <w:rFonts w:hint="eastAsia" w:ascii="仿宋" w:hAnsi="仿宋" w:eastAsia="仿宋" w:cs="仿宋"/>
          <w:sz w:val="24"/>
        </w:rPr>
        <w:t>具有经工商登记的法人资格；</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34"/>
        </w:numPr>
        <w:tabs>
          <w:tab w:val="left" w:pos="780"/>
        </w:tabs>
        <w:kinsoku/>
        <w:wordWrap/>
        <w:overflowPunct/>
        <w:topLinePunct w:val="0"/>
        <w:autoSpaceDE/>
        <w:autoSpaceDN/>
        <w:bidi w:val="0"/>
        <w:spacing w:line="240" w:lineRule="auto"/>
        <w:ind w:left="780" w:hanging="296"/>
        <w:jc w:val="both"/>
        <w:textAlignment w:val="auto"/>
        <w:rPr>
          <w:rFonts w:hint="eastAsia" w:ascii="仿宋" w:hAnsi="仿宋" w:eastAsia="仿宋" w:cs="仿宋"/>
          <w:sz w:val="24"/>
        </w:rPr>
      </w:pPr>
      <w:r>
        <w:rPr>
          <w:rFonts w:hint="eastAsia" w:ascii="仿宋" w:hAnsi="仿宋" w:eastAsia="仿宋" w:cs="仿宋"/>
          <w:sz w:val="24"/>
        </w:rPr>
        <w:t>具有从事类似工程经验的管理与技术人员；</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34"/>
        </w:numPr>
        <w:tabs>
          <w:tab w:val="left" w:pos="780"/>
        </w:tabs>
        <w:kinsoku/>
        <w:wordWrap/>
        <w:overflowPunct/>
        <w:topLinePunct w:val="0"/>
        <w:autoSpaceDE/>
        <w:autoSpaceDN/>
        <w:bidi w:val="0"/>
        <w:spacing w:line="240" w:lineRule="auto"/>
        <w:ind w:left="780" w:hanging="296"/>
        <w:jc w:val="both"/>
        <w:textAlignment w:val="auto"/>
        <w:rPr>
          <w:rFonts w:hint="eastAsia" w:ascii="仿宋" w:hAnsi="仿宋" w:eastAsia="仿宋" w:cs="仿宋"/>
          <w:sz w:val="24"/>
        </w:rPr>
      </w:pPr>
      <w:r>
        <w:rPr>
          <w:rFonts w:hint="eastAsia" w:ascii="仿宋" w:hAnsi="仿宋" w:eastAsia="仿宋" w:cs="仿宋"/>
          <w:sz w:val="24"/>
        </w:rPr>
        <w:t>具有（自有或租赁）分包工程所需的施工设备。</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kinsoku/>
        <w:wordWrap/>
        <w:overflowPunct/>
        <w:topLinePunct w:val="0"/>
        <w:autoSpaceDE/>
        <w:autoSpaceDN/>
        <w:bidi w:val="0"/>
        <w:spacing w:line="240" w:lineRule="auto"/>
        <w:ind w:left="480"/>
        <w:jc w:val="both"/>
        <w:textAlignment w:val="auto"/>
        <w:rPr>
          <w:rFonts w:hint="eastAsia" w:ascii="仿宋" w:hAnsi="仿宋" w:eastAsia="仿宋" w:cs="仿宋"/>
          <w:sz w:val="24"/>
        </w:rPr>
      </w:pPr>
      <w:r>
        <w:rPr>
          <w:rFonts w:hint="eastAsia" w:ascii="仿宋" w:hAnsi="仿宋" w:eastAsia="仿宋" w:cs="仿宋"/>
          <w:sz w:val="24"/>
        </w:rPr>
        <w:t>承包人应向监理人提交专业分包人的资格能力证明材料，经监理人审查并报发</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包人批准后，可以将相应专业工程分包给该专业分包人。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（3）专业分包工程不得再次分包。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（7）专业分包人应当依据专业分包合同的约定，组织分包工程的施工，并对分包工程的质量、安全和进度等实施有效控制。专业分包人对其分包的工程向承包人负责，并就所分包的工程向发包人承担连带责任。</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违反上述规定之一者属违规分包。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4.3.4 劳务分包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在工程施工过程中，承包人进行劳务分包必须遵守以下规定：</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（1）劳务分包人应具有施工劳务资质。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right="-28" w:rightChars="-14" w:firstLine="480"/>
        <w:textAlignment w:val="auto"/>
        <w:rPr>
          <w:rFonts w:hint="eastAsia" w:ascii="仿宋" w:hAnsi="仿宋" w:eastAsia="仿宋" w:cs="仿宋"/>
          <w:sz w:val="23"/>
        </w:rPr>
      </w:pPr>
      <w:r>
        <w:rPr>
          <w:rFonts w:hint="eastAsia" w:ascii="仿宋" w:hAnsi="仿宋" w:eastAsia="仿宋" w:cs="仿宋"/>
          <w:sz w:val="23"/>
        </w:rPr>
        <w:t>（2）劳务分包应当依法签订劳务分包合同，劳务分包合同必须由承包人的法定代表人或其委托代理人与劳务分包人直接签订，不得由他人代签。承包人的项目经</w:t>
      </w:r>
      <w:bookmarkStart w:id="55" w:name="page131"/>
      <w:bookmarkEnd w:id="55"/>
      <w:r>
        <w:rPr>
          <w:rFonts w:hint="eastAsia" w:ascii="仿宋" w:hAnsi="仿宋" w:eastAsia="仿宋" w:cs="仿宋"/>
          <w:sz w:val="24"/>
        </w:rPr>
        <w:t>理部、项目经理、施工班组等不具备用工主体资格，不能与劳务分包人签订劳务分包合同。承包人应向发包人和监理人提交劳务分包合同副本并报项目所在地劳动保障部门备案。</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3）承包人雇用的劳务作业应加入到承包人的施工班组统一管理。有关施工质量、施工安全、施工进度、环境保护、技术方案、试验检测、材料保管与供应、机械设备等都必须由承包人管理与调配，不得以包代管。</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（4）承包人应当对劳务分包人员进行安全培训和管理，劳务分包人不得将其分包的劳务作业再次分包。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违反上述规定之一者属违规分包。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本款补充第 4.3.6 项、第 4.3.7 项：</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35"/>
        </w:numPr>
        <w:tabs>
          <w:tab w:val="left" w:pos="1080"/>
        </w:tabs>
        <w:kinsoku/>
        <w:wordWrap/>
        <w:overflowPunct/>
        <w:topLinePunct w:val="0"/>
        <w:autoSpaceDE/>
        <w:autoSpaceDN/>
        <w:bidi w:val="0"/>
        <w:spacing w:line="240" w:lineRule="auto"/>
        <w:ind w:left="1080" w:hanging="596"/>
        <w:jc w:val="both"/>
        <w:textAlignment w:val="auto"/>
        <w:rPr>
          <w:rFonts w:hint="eastAsia" w:ascii="仿宋" w:hAnsi="仿宋" w:eastAsia="仿宋" w:cs="仿宋"/>
          <w:sz w:val="23"/>
        </w:rPr>
      </w:pPr>
      <w:r>
        <w:rPr>
          <w:rFonts w:hint="eastAsia" w:ascii="仿宋" w:hAnsi="仿宋" w:eastAsia="仿宋" w:cs="仿宋"/>
          <w:sz w:val="23"/>
        </w:rPr>
        <w:t>发包人对承包人与分包人之间的法律与经济纠纷不承担任何责任和义务。</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p>
      <w:pPr>
        <w:keepNext w:val="0"/>
        <w:keepLines w:val="0"/>
        <w:pageBreakBefore w:val="0"/>
        <w:widowControl/>
        <w:numPr>
          <w:ilvl w:val="0"/>
          <w:numId w:val="35"/>
        </w:numPr>
        <w:tabs>
          <w:tab w:val="left" w:pos="1080"/>
        </w:tabs>
        <w:kinsoku/>
        <w:wordWrap/>
        <w:overflowPunct/>
        <w:topLinePunct w:val="0"/>
        <w:autoSpaceDE/>
        <w:autoSpaceDN/>
        <w:bidi w:val="0"/>
        <w:spacing w:line="240" w:lineRule="auto"/>
        <w:ind w:left="1080" w:hanging="596"/>
        <w:jc w:val="both"/>
        <w:textAlignment w:val="auto"/>
        <w:rPr>
          <w:rFonts w:hint="eastAsia" w:ascii="仿宋" w:hAnsi="仿宋" w:eastAsia="仿宋" w:cs="仿宋"/>
          <w:sz w:val="23"/>
        </w:rPr>
      </w:pPr>
      <w:r>
        <w:rPr>
          <w:rFonts w:hint="eastAsia" w:ascii="仿宋" w:hAnsi="仿宋" w:eastAsia="仿宋" w:cs="仿宋"/>
          <w:sz w:val="23"/>
        </w:rPr>
        <w:t>本项目的各项分包工作均应遵守《公路工程施工分包管理办法》的有关规</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定。</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4.4 联合体</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本款补充第 4.4.4 项：</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1"/>
          <w:numId w:val="36"/>
        </w:numPr>
        <w:tabs>
          <w:tab w:val="left" w:pos="1020"/>
        </w:tabs>
        <w:kinsoku/>
        <w:wordWrap/>
        <w:overflowPunct/>
        <w:topLinePunct w:val="0"/>
        <w:autoSpaceDE/>
        <w:autoSpaceDN/>
        <w:bidi w:val="0"/>
        <w:spacing w:line="240" w:lineRule="auto"/>
        <w:ind w:left="1020" w:hanging="536"/>
        <w:jc w:val="both"/>
        <w:textAlignment w:val="auto"/>
        <w:rPr>
          <w:rFonts w:hint="eastAsia" w:ascii="仿宋" w:hAnsi="仿宋" w:eastAsia="仿宋" w:cs="仿宋"/>
          <w:sz w:val="24"/>
        </w:rPr>
      </w:pPr>
      <w:r>
        <w:rPr>
          <w:rFonts w:hint="eastAsia" w:ascii="仿宋" w:hAnsi="仿宋" w:eastAsia="仿宋" w:cs="仿宋"/>
          <w:sz w:val="24"/>
        </w:rPr>
        <w:t>未经发包人事先同意，联合体的组成与结构不得变动。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37"/>
        </w:numPr>
        <w:tabs>
          <w:tab w:val="left" w:pos="420"/>
        </w:tabs>
        <w:kinsoku/>
        <w:wordWrap/>
        <w:overflowPunct/>
        <w:topLinePunct w:val="0"/>
        <w:autoSpaceDE/>
        <w:autoSpaceDN/>
        <w:bidi w:val="0"/>
        <w:spacing w:line="240" w:lineRule="auto"/>
        <w:ind w:left="420" w:hanging="416"/>
        <w:jc w:val="both"/>
        <w:textAlignment w:val="auto"/>
        <w:rPr>
          <w:rFonts w:hint="eastAsia" w:ascii="仿宋" w:hAnsi="仿宋" w:eastAsia="仿宋" w:cs="仿宋"/>
          <w:sz w:val="24"/>
        </w:rPr>
      </w:pPr>
      <w:r>
        <w:rPr>
          <w:rFonts w:hint="eastAsia" w:ascii="仿宋" w:hAnsi="仿宋" w:eastAsia="仿宋" w:cs="仿宋"/>
          <w:sz w:val="24"/>
        </w:rPr>
        <w:t>承包人人员的管理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第 4.6.3 项细化为：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本款补充第 4.6.5 项：</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4.6.5 尽管承包人已按承诺派遣了上述各类人员，但若这些人员仍不能满足合同</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jc w:val="both"/>
        <w:textAlignment w:val="auto"/>
        <w:rPr>
          <w:rFonts w:hint="eastAsia" w:ascii="仿宋" w:hAnsi="仿宋" w:eastAsia="仿宋" w:cs="仿宋"/>
          <w:sz w:val="24"/>
        </w:rPr>
      </w:pPr>
      <w:r>
        <w:rPr>
          <w:rFonts w:hint="eastAsia" w:ascii="仿宋" w:hAnsi="仿宋" w:eastAsia="仿宋" w:cs="仿宋"/>
          <w:sz w:val="24"/>
        </w:rPr>
        <w:t>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4.7 撤换承包人项目经理和其他人员</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firstLineChars="200"/>
        <w:textAlignment w:val="auto"/>
        <w:rPr>
          <w:rFonts w:hint="eastAsia" w:ascii="仿宋" w:hAnsi="仿宋" w:eastAsia="仿宋" w:cs="仿宋"/>
          <w:sz w:val="24"/>
        </w:rPr>
      </w:pPr>
      <w:r>
        <w:rPr>
          <w:rFonts w:hint="eastAsia" w:ascii="仿宋" w:hAnsi="仿宋" w:eastAsia="仿宋" w:cs="仿宋"/>
          <w:sz w:val="24"/>
        </w:rPr>
        <w:t>本款细化为：</w:t>
      </w:r>
    </w:p>
    <w:p>
      <w:pPr>
        <w:keepNext w:val="0"/>
        <w:keepLines w:val="0"/>
        <w:pageBreakBefore w:val="0"/>
        <w:widowControl/>
        <w:kinsoku/>
        <w:wordWrap/>
        <w:overflowPunct/>
        <w:topLinePunct w:val="0"/>
        <w:autoSpaceDE/>
        <w:autoSpaceDN/>
        <w:bidi w:val="0"/>
        <w:spacing w:line="240" w:lineRule="auto"/>
        <w:ind w:firstLine="400" w:firstLineChars="200"/>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firstLineChars="200"/>
        <w:textAlignment w:val="auto"/>
        <w:rPr>
          <w:rFonts w:hint="eastAsia" w:ascii="仿宋" w:hAnsi="仿宋" w:eastAsia="仿宋" w:cs="仿宋"/>
          <w:sz w:val="24"/>
        </w:rPr>
      </w:pPr>
      <w:r>
        <w:rPr>
          <w:rFonts w:hint="eastAsia" w:ascii="仿宋" w:hAnsi="仿宋" w:eastAsia="仿宋" w:cs="仿宋"/>
          <w:sz w:val="24"/>
        </w:rPr>
        <w:t>承包人应对其项目经理和其他人员进行有效管理。监理人要求撤换不能胜任本</w:t>
      </w:r>
      <w:bookmarkStart w:id="56" w:name="page132"/>
      <w:bookmarkEnd w:id="56"/>
      <w:r>
        <w:rPr>
          <w:rFonts w:hint="eastAsia" w:ascii="仿宋" w:hAnsi="仿宋" w:eastAsia="仿宋" w:cs="仿宋"/>
          <w:sz w:val="24"/>
        </w:rPr>
        <w:t>职工作、行为不端或玩忽职守的承包人项目经理和其他人员的，承包人应予以撤换，同时委派经发包人与监理人同意的新的项目经理和其他人员。</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4.9 工程价款应专款专用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4.10 承包人现场查勘</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vertAlign w:val="superscript"/>
        </w:rPr>
      </w:pPr>
      <w:r>
        <w:rPr>
          <w:rFonts w:hint="eastAsia" w:ascii="仿宋" w:hAnsi="仿宋" w:eastAsia="仿宋" w:cs="仿宋"/>
          <w:sz w:val="24"/>
        </w:rPr>
        <w:t>第 4.10.1 项细化为：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38"/>
        </w:numPr>
        <w:tabs>
          <w:tab w:val="left" w:pos="540"/>
        </w:tabs>
        <w:kinsoku/>
        <w:wordWrap/>
        <w:overflowPunct/>
        <w:topLinePunct w:val="0"/>
        <w:autoSpaceDE/>
        <w:autoSpaceDN/>
        <w:bidi w:val="0"/>
        <w:spacing w:line="240" w:lineRule="auto"/>
        <w:ind w:left="540" w:hanging="536"/>
        <w:jc w:val="both"/>
        <w:textAlignment w:val="auto"/>
        <w:rPr>
          <w:rFonts w:hint="eastAsia" w:ascii="仿宋" w:hAnsi="仿宋" w:eastAsia="仿宋" w:cs="仿宋"/>
          <w:sz w:val="24"/>
        </w:rPr>
      </w:pPr>
      <w:r>
        <w:rPr>
          <w:rFonts w:hint="eastAsia" w:ascii="仿宋" w:hAnsi="仿宋" w:eastAsia="仿宋" w:cs="仿宋"/>
          <w:sz w:val="24"/>
        </w:rPr>
        <w:t>不利物质条件</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38"/>
        </w:numPr>
        <w:tabs>
          <w:tab w:val="left" w:pos="780"/>
        </w:tabs>
        <w:kinsoku/>
        <w:wordWrap/>
        <w:overflowPunct/>
        <w:topLinePunct w:val="0"/>
        <w:autoSpaceDE/>
        <w:autoSpaceDN/>
        <w:bidi w:val="0"/>
        <w:spacing w:line="240" w:lineRule="auto"/>
        <w:ind w:left="780" w:hanging="296"/>
        <w:jc w:val="both"/>
        <w:textAlignment w:val="auto"/>
        <w:rPr>
          <w:rFonts w:hint="eastAsia" w:ascii="仿宋" w:hAnsi="仿宋" w:eastAsia="仿宋" w:cs="仿宋"/>
          <w:sz w:val="24"/>
        </w:rPr>
      </w:pPr>
      <w:r>
        <w:rPr>
          <w:rFonts w:hint="eastAsia" w:ascii="仿宋" w:hAnsi="仿宋" w:eastAsia="仿宋" w:cs="仿宋"/>
          <w:sz w:val="24"/>
        </w:rPr>
        <w:t>4.11.2 项细化为：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39"/>
        </w:numPr>
        <w:tabs>
          <w:tab w:val="left" w:pos="1133"/>
        </w:tabs>
        <w:kinsoku/>
        <w:wordWrap/>
        <w:overflowPunct/>
        <w:topLinePunct w:val="0"/>
        <w:autoSpaceDE/>
        <w:autoSpaceDN/>
        <w:bidi w:val="0"/>
        <w:spacing w:line="240" w:lineRule="auto"/>
        <w:ind w:firstLine="424"/>
        <w:textAlignment w:val="auto"/>
        <w:rPr>
          <w:rFonts w:hint="eastAsia" w:ascii="仿宋" w:hAnsi="仿宋" w:eastAsia="仿宋" w:cs="仿宋"/>
          <w:sz w:val="24"/>
        </w:rPr>
      </w:pPr>
      <w:r>
        <w:rPr>
          <w:rFonts w:hint="eastAsia" w:ascii="仿宋" w:hAnsi="仿宋" w:eastAsia="仿宋" w:cs="仿宋"/>
          <w:sz w:val="24"/>
        </w:rPr>
        <w:t>承包人遇到不可预见的不利物质条件时，应采取适应不利物质条件的合理措施继续施工，并及时通知监理人。监理人应当及时发出指示，指示构成变更的，按第 15 条约定办理。监理人没有发出指示的，承包人因采取合理措施而增加的费用和（或）工期延误，由发包人承担。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kinsoku/>
        <w:wordWrap/>
        <w:overflowPunct/>
        <w:topLinePunct w:val="0"/>
        <w:autoSpaceDE/>
        <w:autoSpaceDN/>
        <w:bidi w:val="0"/>
        <w:spacing w:line="240" w:lineRule="auto"/>
        <w:ind w:left="420"/>
        <w:jc w:val="both"/>
        <w:textAlignment w:val="auto"/>
        <w:rPr>
          <w:rFonts w:hint="eastAsia" w:ascii="仿宋" w:hAnsi="仿宋" w:eastAsia="仿宋" w:cs="仿宋"/>
          <w:sz w:val="24"/>
        </w:rPr>
      </w:pPr>
      <w:r>
        <w:rPr>
          <w:rFonts w:hint="eastAsia" w:ascii="仿宋" w:hAnsi="仿宋" w:eastAsia="仿宋" w:cs="仿宋"/>
          <w:sz w:val="24"/>
        </w:rPr>
        <w:t>本款补充第 4.11.3 项：</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39"/>
        </w:numPr>
        <w:tabs>
          <w:tab w:val="left" w:pos="1140"/>
        </w:tabs>
        <w:kinsoku/>
        <w:wordWrap/>
        <w:overflowPunct/>
        <w:topLinePunct w:val="0"/>
        <w:autoSpaceDE/>
        <w:autoSpaceDN/>
        <w:bidi w:val="0"/>
        <w:spacing w:line="240" w:lineRule="auto"/>
        <w:ind w:left="1140" w:hanging="716"/>
        <w:jc w:val="both"/>
        <w:textAlignment w:val="auto"/>
        <w:rPr>
          <w:rFonts w:hint="eastAsia" w:ascii="仿宋" w:hAnsi="仿宋" w:eastAsia="仿宋" w:cs="仿宋"/>
          <w:sz w:val="24"/>
        </w:rPr>
      </w:pPr>
      <w:r>
        <w:rPr>
          <w:rFonts w:hint="eastAsia" w:ascii="仿宋" w:hAnsi="仿宋" w:eastAsia="仿宋" w:cs="仿宋"/>
          <w:sz w:val="24"/>
        </w:rPr>
        <w:t>可预见的不利物质条件</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20"/>
        <w:jc w:val="both"/>
        <w:textAlignment w:val="auto"/>
        <w:rPr>
          <w:rFonts w:hint="eastAsia" w:ascii="仿宋" w:hAnsi="仿宋" w:eastAsia="仿宋" w:cs="仿宋"/>
          <w:sz w:val="24"/>
        </w:rPr>
      </w:pPr>
      <w:r>
        <w:rPr>
          <w:rFonts w:hint="eastAsia" w:ascii="仿宋" w:hAnsi="仿宋" w:eastAsia="仿宋" w:cs="仿宋"/>
          <w:sz w:val="24"/>
        </w:rPr>
        <w:t>（1）对于项目专用合同条款中已经明确指出的不利物质条件无论承包人是否有其经历和经验均视为承包人在接受合同时已预见其影响，并已在签约合同价中计入因其影响而可能发生的一切费用。</w:t>
      </w:r>
    </w:p>
    <w:p>
      <w:pPr>
        <w:keepNext w:val="0"/>
        <w:keepLines w:val="0"/>
        <w:pageBreakBefore w:val="0"/>
        <w:widowControl/>
        <w:kinsoku/>
        <w:wordWrap/>
        <w:overflowPunct/>
        <w:topLinePunct w:val="0"/>
        <w:autoSpaceDE/>
        <w:autoSpaceDN/>
        <w:bidi w:val="0"/>
        <w:spacing w:line="240" w:lineRule="auto"/>
        <w:ind w:firstLine="420"/>
        <w:jc w:val="both"/>
        <w:textAlignment w:val="auto"/>
        <w:rPr>
          <w:rFonts w:hint="eastAsia" w:ascii="仿宋" w:hAnsi="仿宋" w:eastAsia="仿宋" w:cs="仿宋"/>
          <w:sz w:val="24"/>
        </w:rPr>
      </w:pPr>
      <w:bookmarkStart w:id="57" w:name="page133"/>
      <w:bookmarkEnd w:id="57"/>
      <w:r>
        <w:rPr>
          <w:rFonts w:hint="eastAsia" w:ascii="仿宋" w:hAnsi="仿宋" w:eastAsia="仿宋" w:cs="仿宋"/>
          <w:sz w:val="24"/>
        </w:rPr>
        <w:t>（2）对于项目专用合同条款未明确指出，但是在不利物质条件发生之前，监理人已经指示承包人有可能发生，但承包人未能及时采取有效措施，而导致的损失和后果均由承包人承担。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补充第 4.12 款、第 4.13 款：</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4.12 投标文件的完备性</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4.13 开展党建工作要求</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对于政府投资的国家高速公路项目，或承包人为国有控股或参股企业的，承包人应按规定在项目现场设立基层党组织。不满足上述情形的，承包人应创造条件使党员能够参加党组织生活并接受相应管理。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5. 材料和工程设备</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5.2 发包人提供的材料和工程设备</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第 5.2.3 项补充：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bookmarkStart w:id="58" w:name="page134"/>
      <w:bookmarkEnd w:id="58"/>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6. 施工设备和临时设施</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6.1 承包人提供的施工设备和临时设施</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20"/>
        <w:textAlignment w:val="auto"/>
        <w:rPr>
          <w:rFonts w:hint="eastAsia" w:ascii="仿宋" w:hAnsi="仿宋" w:eastAsia="仿宋" w:cs="仿宋"/>
          <w:sz w:val="24"/>
        </w:rPr>
      </w:pPr>
      <w:r>
        <w:rPr>
          <w:rFonts w:hint="eastAsia" w:ascii="仿宋" w:hAnsi="仿宋" w:eastAsia="仿宋" w:cs="仿宋"/>
          <w:sz w:val="24"/>
        </w:rPr>
        <w:t>第 6.1.2 项约定为：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承包人应自行承担修建临时设施的费用，需要临时占地的，应由承包人按第</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4.1.10 项（1）目的规定办理。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6.3 要求承包人增加或更换施工设备</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7. 交通运输</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7.1 道路通行权和场外设施</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20"/>
        <w:textAlignment w:val="auto"/>
        <w:rPr>
          <w:rFonts w:hint="eastAsia" w:ascii="仿宋" w:hAnsi="仿宋" w:eastAsia="仿宋" w:cs="仿宋"/>
          <w:sz w:val="24"/>
        </w:rPr>
      </w:pPr>
      <w:r>
        <w:rPr>
          <w:rFonts w:hint="eastAsia" w:ascii="仿宋" w:hAnsi="仿宋" w:eastAsia="仿宋" w:cs="仿宋"/>
          <w:sz w:val="24"/>
        </w:rPr>
        <w:t>本款约定为：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8. 测量放线</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8.4 监理人使用施工控制网</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4"/>
        </w:rPr>
      </w:pPr>
      <w:r>
        <w:rPr>
          <w:rFonts w:hint="eastAsia" w:ascii="仿宋" w:hAnsi="仿宋" w:eastAsia="仿宋" w:cs="仿宋"/>
          <w:sz w:val="24"/>
        </w:rPr>
        <w:t>本款补充：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4"/>
        </w:rPr>
      </w:pPr>
      <w:r>
        <w:rPr>
          <w:rFonts w:hint="eastAsia" w:ascii="仿宋" w:hAnsi="仿宋" w:eastAsia="仿宋" w:cs="仿宋"/>
          <w:sz w:val="24"/>
        </w:rPr>
        <w:t>经监理人批准，其他相关承包人也可免费使用施工控制网。</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9. 施工安全、治安保卫和环境保护</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40"/>
        </w:numPr>
        <w:tabs>
          <w:tab w:val="left" w:pos="420"/>
        </w:tabs>
        <w:kinsoku/>
        <w:wordWrap/>
        <w:overflowPunct/>
        <w:topLinePunct w:val="0"/>
        <w:autoSpaceDE/>
        <w:autoSpaceDN/>
        <w:bidi w:val="0"/>
        <w:spacing w:line="240" w:lineRule="auto"/>
        <w:ind w:left="420" w:hanging="416"/>
        <w:jc w:val="both"/>
        <w:textAlignment w:val="auto"/>
        <w:rPr>
          <w:rFonts w:hint="eastAsia" w:ascii="仿宋" w:hAnsi="仿宋" w:eastAsia="仿宋" w:cs="仿宋"/>
          <w:sz w:val="24"/>
        </w:rPr>
      </w:pPr>
      <w:r>
        <w:rPr>
          <w:rFonts w:hint="eastAsia" w:ascii="仿宋" w:hAnsi="仿宋" w:eastAsia="仿宋" w:cs="仿宋"/>
          <w:sz w:val="24"/>
        </w:rPr>
        <w:t>承包人的施工安全责任</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40"/>
        </w:numPr>
        <w:tabs>
          <w:tab w:val="left" w:pos="780"/>
        </w:tabs>
        <w:kinsoku/>
        <w:wordWrap/>
        <w:overflowPunct/>
        <w:topLinePunct w:val="0"/>
        <w:autoSpaceDE/>
        <w:autoSpaceDN/>
        <w:bidi w:val="0"/>
        <w:spacing w:line="240" w:lineRule="auto"/>
        <w:ind w:left="780" w:hanging="296"/>
        <w:jc w:val="both"/>
        <w:textAlignment w:val="auto"/>
        <w:rPr>
          <w:rFonts w:hint="eastAsia" w:ascii="仿宋" w:hAnsi="仿宋" w:eastAsia="仿宋" w:cs="仿宋"/>
          <w:sz w:val="24"/>
        </w:rPr>
      </w:pPr>
      <w:r>
        <w:rPr>
          <w:rFonts w:hint="eastAsia" w:ascii="仿宋" w:hAnsi="仿宋" w:eastAsia="仿宋" w:cs="仿宋"/>
          <w:sz w:val="24"/>
        </w:rPr>
        <w:t>9.2.1 项细化为：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kinsoku/>
        <w:wordWrap/>
        <w:overflowPunct/>
        <w:topLinePunct w:val="0"/>
        <w:autoSpaceDE/>
        <w:autoSpaceDN/>
        <w:bidi w:val="0"/>
        <w:spacing w:line="240" w:lineRule="auto"/>
        <w:ind w:left="480"/>
        <w:jc w:val="both"/>
        <w:textAlignment w:val="auto"/>
        <w:rPr>
          <w:rFonts w:hint="eastAsia" w:ascii="仿宋" w:hAnsi="仿宋" w:eastAsia="仿宋" w:cs="仿宋"/>
          <w:sz w:val="24"/>
        </w:rPr>
      </w:pPr>
      <w:r>
        <w:rPr>
          <w:rFonts w:hint="eastAsia" w:ascii="仿宋" w:hAnsi="仿宋" w:eastAsia="仿宋" w:cs="仿宋"/>
          <w:sz w:val="24"/>
        </w:rPr>
        <w:t>承包人应按合同约定履行安全职责，严格执行国家、地方政府有关施工安全管</w:t>
      </w:r>
      <w:bookmarkStart w:id="59" w:name="page135"/>
      <w:bookmarkEnd w:id="59"/>
      <w:r>
        <w:rPr>
          <w:rFonts w:hint="eastAsia" w:ascii="仿宋" w:hAnsi="仿宋" w:eastAsia="仿宋" w:cs="仿宋"/>
          <w:sz w:val="24"/>
        </w:rPr>
        <w:t>理方面的法律、法规及规章制度，同时严格执行发包人制订的本项目安全生产管理方面的规章制度、安全检查程序及施工安全管理要求，以及监理人有关安全工作的指示。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承包人应根据本工程的实际安全施工要求，编制施工安全技术措施，并在签订</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jc w:val="both"/>
        <w:textAlignment w:val="auto"/>
        <w:rPr>
          <w:rFonts w:hint="eastAsia" w:ascii="仿宋" w:hAnsi="仿宋" w:eastAsia="仿宋" w:cs="仿宋"/>
          <w:sz w:val="24"/>
        </w:rPr>
      </w:pPr>
      <w:r>
        <w:rPr>
          <w:rFonts w:hint="eastAsia" w:ascii="仿宋" w:hAnsi="仿宋" w:eastAsia="仿宋" w:cs="仿宋"/>
          <w:sz w:val="24"/>
        </w:rPr>
        <w:t>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本项目需要编制专项施工方案的工程包括但不限于以下内容：</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（1）不良地质条件下有潜在危险性的土方、石方开挖；（2）滑坡和高边坡处理；（3）桩基础、挡墙基础、深水基础及围堰工程；</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3"/>
        </w:rPr>
      </w:pPr>
      <w:r>
        <w:rPr>
          <w:rFonts w:hint="eastAsia" w:ascii="仿宋" w:hAnsi="仿宋" w:eastAsia="仿宋" w:cs="仿宋"/>
          <w:sz w:val="23"/>
        </w:rPr>
        <w:t>（4）桥梁工程中的梁、拱、柱等构件施工等；（5）隧道工程中的不良地质隧道、高瓦斯隧道等；</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（6）水上工程中的打桩船作业、施工船作业、外海孤岛作业、边通航边施工作业等；</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（7）水下工程中的水下焊接、混凝土浇筑、爆破工程等；（8）爆破工程；</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（9）大型临时工程中的大型支架、模板、便桥的架设与拆除；桥梁、码头的加固与拆除；</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（10）其他危险性较大的工程。</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监理人和发包人在检查中发现有安全问题或有违反安全管理规章制度的情况</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时，可视为承包人违约，应按第 22.1 款的规定办理。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第 9.2.5 项细化为：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除项目专用合同条款另有约定外，安全生产费用应为投标价（不含安全生产费</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r>
        <w:rPr>
          <w:rFonts w:hint="eastAsia" w:ascii="仿宋" w:hAnsi="仿宋" w:eastAsia="仿宋" w:cs="仿宋"/>
          <w:sz w:val="23"/>
        </w:rPr>
        <w:t>及建筑工程一切险及第三者责任险的保险费）的 1.5%（若发包人公布了最高投标限</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r>
        <w:rPr>
          <w:rFonts w:hint="eastAsia" w:ascii="仿宋" w:hAnsi="仿宋" w:eastAsia="仿宋" w:cs="仿宋"/>
          <w:sz w:val="23"/>
        </w:rPr>
        <w:t>价时，按最高投标限价的 1.5%计）。安全生产费用应用于施工安全防护用具及设施</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的采购和更新、安全施工措施的落实、安全生产条件的改善，不得挪作他用。如承</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包人在此基础上增加安全生产费用以满足项目施工需要，则承包人应在本项目工程</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量清单其他相关子目的单价或总额价中予以考虑，发包人不再另行支付。因采取合</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同未约定的特殊防护措施增加的费用，由监理人按第 3.5 款商定或确定。</w:t>
      </w:r>
      <w:bookmarkStart w:id="60" w:name="page136"/>
      <w:bookmarkEnd w:id="60"/>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本款补充第 9.2.8 项~第 9.2.11 项：</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1"/>
          <w:numId w:val="41"/>
        </w:numPr>
        <w:tabs>
          <w:tab w:val="left" w:pos="1080"/>
        </w:tabs>
        <w:kinsoku/>
        <w:wordWrap/>
        <w:overflowPunct/>
        <w:topLinePunct w:val="0"/>
        <w:autoSpaceDE/>
        <w:autoSpaceDN/>
        <w:bidi w:val="0"/>
        <w:spacing w:line="240" w:lineRule="auto"/>
        <w:ind w:firstLine="484"/>
        <w:jc w:val="both"/>
        <w:textAlignment w:val="auto"/>
        <w:rPr>
          <w:rFonts w:hint="eastAsia" w:ascii="仿宋" w:hAnsi="仿宋" w:eastAsia="仿宋" w:cs="仿宋"/>
          <w:sz w:val="23"/>
        </w:rPr>
      </w:pPr>
      <w:r>
        <w:rPr>
          <w:rFonts w:hint="eastAsia" w:ascii="仿宋" w:hAnsi="仿宋" w:eastAsia="仿宋" w:cs="仿宋"/>
          <w:sz w:val="23"/>
        </w:rPr>
        <w:t>承包人应充分关注和保障所有在现场工作的人员的安全，采取以下有效措施，使现场和本合同工程的实施保持有条不紊，以免使上述人员的安全受到威胁。</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（1）按《公路水运工程安全生产监督管理办法》规定的最低数量和资质条件配备专职安全生产管理人员；</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p>
      <w:pPr>
        <w:keepNext w:val="0"/>
        <w:keepLines w:val="0"/>
        <w:pageBreakBefore w:val="0"/>
        <w:widowControl/>
        <w:kinsoku/>
        <w:wordWrap/>
        <w:overflowPunct/>
        <w:topLinePunct w:val="0"/>
        <w:autoSpaceDE/>
        <w:autoSpaceDN/>
        <w:bidi w:val="0"/>
        <w:spacing w:line="240" w:lineRule="auto"/>
        <w:ind w:left="480"/>
        <w:jc w:val="both"/>
        <w:textAlignment w:val="auto"/>
        <w:rPr>
          <w:rFonts w:hint="eastAsia" w:ascii="仿宋" w:hAnsi="仿宋" w:eastAsia="仿宋" w:cs="仿宋"/>
          <w:sz w:val="23"/>
        </w:rPr>
      </w:pPr>
      <w:r>
        <w:rPr>
          <w:rFonts w:hint="eastAsia" w:ascii="仿宋" w:hAnsi="仿宋" w:eastAsia="仿宋" w:cs="仿宋"/>
          <w:sz w:val="23"/>
        </w:rPr>
        <w:t>（3）所有施工机具设备和高空作业设备均应定期检查，并有安全员的签字记录；（4）根据本合同各单位工程的施工特点，严格执行《公路水运工程安全生产监</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p>
      <w:pPr>
        <w:keepNext w:val="0"/>
        <w:keepLines w:val="0"/>
        <w:pageBreakBefore w:val="0"/>
        <w:widowControl/>
        <w:kinsoku/>
        <w:wordWrap/>
        <w:overflowPunct/>
        <w:topLinePunct w:val="0"/>
        <w:autoSpaceDE/>
        <w:autoSpaceDN/>
        <w:bidi w:val="0"/>
        <w:spacing w:line="240" w:lineRule="auto"/>
        <w:jc w:val="both"/>
        <w:textAlignment w:val="auto"/>
        <w:rPr>
          <w:rFonts w:hint="eastAsia" w:ascii="仿宋" w:hAnsi="仿宋" w:eastAsia="仿宋" w:cs="仿宋"/>
          <w:sz w:val="24"/>
        </w:rPr>
      </w:pPr>
      <w:r>
        <w:rPr>
          <w:rFonts w:hint="eastAsia" w:ascii="仿宋" w:hAnsi="仿宋" w:eastAsia="仿宋" w:cs="仿宋"/>
          <w:sz w:val="24"/>
        </w:rPr>
        <w:t>督管理办法》《公路工程施工安全技术规范》等有关规定。</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p>
      <w:pPr>
        <w:keepNext w:val="0"/>
        <w:keepLines w:val="0"/>
        <w:pageBreakBefore w:val="0"/>
        <w:widowControl/>
        <w:numPr>
          <w:ilvl w:val="1"/>
          <w:numId w:val="41"/>
        </w:numPr>
        <w:tabs>
          <w:tab w:val="left" w:pos="1085"/>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为了保护本合同工程免遭损坏，或为了现场附近和过往群众的安全与方便，在确有必要的时候和地方，或当监理人或有关主管部门要求时，承包人应自费提供照明、警卫、护栅、警告标志等安全防护设施。</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41"/>
        </w:numPr>
        <w:tabs>
          <w:tab w:val="left" w:pos="1200"/>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在通航水域施工时，承包人应与当地主管部门取得联系，设置必要的导航标志，及时发布航行通告，确保施工水域安全。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41"/>
        </w:numPr>
        <w:tabs>
          <w:tab w:val="left" w:pos="1193"/>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42"/>
        </w:numPr>
        <w:tabs>
          <w:tab w:val="left" w:pos="420"/>
        </w:tabs>
        <w:kinsoku/>
        <w:wordWrap/>
        <w:overflowPunct/>
        <w:topLinePunct w:val="0"/>
        <w:autoSpaceDE/>
        <w:autoSpaceDN/>
        <w:bidi w:val="0"/>
        <w:spacing w:line="240" w:lineRule="auto"/>
        <w:ind w:left="420" w:hanging="416"/>
        <w:jc w:val="both"/>
        <w:textAlignment w:val="auto"/>
        <w:rPr>
          <w:rFonts w:hint="eastAsia" w:ascii="仿宋" w:hAnsi="仿宋" w:eastAsia="仿宋" w:cs="仿宋"/>
          <w:sz w:val="24"/>
        </w:rPr>
      </w:pPr>
      <w:r>
        <w:rPr>
          <w:rFonts w:hint="eastAsia" w:ascii="仿宋" w:hAnsi="仿宋" w:eastAsia="仿宋" w:cs="仿宋"/>
          <w:sz w:val="24"/>
        </w:rPr>
        <w:t>环境保护</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本款补充第 9.4.7 项~第 9.4.11 项：</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9.4.7 承包人应切实执行技术规范中有关环境保护方面的条款和规定。</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3"/>
        </w:rPr>
      </w:pPr>
      <w:r>
        <w:rPr>
          <w:rFonts w:hint="eastAsia" w:ascii="仿宋" w:hAnsi="仿宋" w:eastAsia="仿宋" w:cs="仿宋"/>
          <w:sz w:val="23"/>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jc w:val="both"/>
        <w:textAlignment w:val="auto"/>
        <w:rPr>
          <w:rFonts w:hint="eastAsia" w:ascii="仿宋" w:hAnsi="仿宋" w:eastAsia="仿宋" w:cs="仿宋"/>
          <w:sz w:val="24"/>
        </w:rPr>
      </w:pPr>
      <w:r>
        <w:rPr>
          <w:rFonts w:hint="eastAsia" w:ascii="仿宋" w:hAnsi="仿宋" w:eastAsia="仿宋" w:cs="仿宋"/>
          <w:sz w:val="24"/>
        </w:rPr>
        <w:t>水平。为保护施工现场附近居民的夜间休息，对居民区 150m 以内的施工现场，施工时间应加以控制。</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（2）对于公路施工中粉尘污染的主要污染源――灰土拌和、施工车辆和筑路机械运行及运输产生的扬尘，应采取有效措施减轻其对施工现场的大气污染，保护人民健康，如：</w:t>
      </w:r>
      <w:bookmarkStart w:id="61" w:name="page137"/>
      <w:bookmarkEnd w:id="61"/>
    </w:p>
    <w:p>
      <w:pPr>
        <w:keepNext w:val="0"/>
        <w:keepLines w:val="0"/>
        <w:pageBreakBefore w:val="0"/>
        <w:widowControl/>
        <w:numPr>
          <w:ilvl w:val="0"/>
          <w:numId w:val="43"/>
        </w:numPr>
        <w:tabs>
          <w:tab w:val="left" w:pos="780"/>
        </w:tabs>
        <w:kinsoku/>
        <w:wordWrap/>
        <w:overflowPunct/>
        <w:topLinePunct w:val="0"/>
        <w:autoSpaceDE/>
        <w:autoSpaceDN/>
        <w:bidi w:val="0"/>
        <w:spacing w:line="240" w:lineRule="auto"/>
        <w:ind w:left="780" w:hanging="296"/>
        <w:jc w:val="both"/>
        <w:textAlignment w:val="auto"/>
        <w:rPr>
          <w:rFonts w:hint="eastAsia" w:ascii="仿宋" w:hAnsi="仿宋" w:eastAsia="仿宋" w:cs="仿宋"/>
          <w:sz w:val="24"/>
        </w:rPr>
      </w:pPr>
      <w:r>
        <w:rPr>
          <w:rFonts w:hint="eastAsia" w:ascii="仿宋" w:hAnsi="仿宋" w:eastAsia="仿宋" w:cs="仿宋"/>
          <w:sz w:val="24"/>
        </w:rPr>
        <w:t>拌和设备应有较好的密封，或有防尘设备。</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43"/>
        </w:numPr>
        <w:tabs>
          <w:tab w:val="left" w:pos="780"/>
        </w:tabs>
        <w:kinsoku/>
        <w:wordWrap/>
        <w:overflowPunct/>
        <w:topLinePunct w:val="0"/>
        <w:autoSpaceDE/>
        <w:autoSpaceDN/>
        <w:bidi w:val="0"/>
        <w:spacing w:line="240" w:lineRule="auto"/>
        <w:ind w:left="780" w:hanging="296"/>
        <w:jc w:val="both"/>
        <w:textAlignment w:val="auto"/>
        <w:rPr>
          <w:rFonts w:hint="eastAsia" w:ascii="仿宋" w:hAnsi="仿宋" w:eastAsia="仿宋" w:cs="仿宋"/>
          <w:sz w:val="24"/>
        </w:rPr>
      </w:pPr>
      <w:r>
        <w:rPr>
          <w:rFonts w:hint="eastAsia" w:ascii="仿宋" w:hAnsi="仿宋" w:eastAsia="仿宋" w:cs="仿宋"/>
          <w:sz w:val="24"/>
        </w:rPr>
        <w:t>施工通道、沥青混凝土拌和站及灰土拌和站应经常进行洒水降尘。</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43"/>
        </w:numPr>
        <w:tabs>
          <w:tab w:val="left" w:pos="780"/>
        </w:tabs>
        <w:kinsoku/>
        <w:wordWrap/>
        <w:overflowPunct/>
        <w:topLinePunct w:val="0"/>
        <w:autoSpaceDE/>
        <w:autoSpaceDN/>
        <w:bidi w:val="0"/>
        <w:spacing w:line="240" w:lineRule="auto"/>
        <w:ind w:left="780" w:hanging="296"/>
        <w:jc w:val="both"/>
        <w:textAlignment w:val="auto"/>
        <w:rPr>
          <w:rFonts w:hint="eastAsia" w:ascii="仿宋" w:hAnsi="仿宋" w:eastAsia="仿宋" w:cs="仿宋"/>
          <w:sz w:val="24"/>
        </w:rPr>
      </w:pPr>
      <w:r>
        <w:rPr>
          <w:rFonts w:hint="eastAsia" w:ascii="仿宋" w:hAnsi="仿宋" w:eastAsia="仿宋" w:cs="仿宋"/>
          <w:sz w:val="24"/>
        </w:rPr>
        <w:t>路面施工应注意保持水分，以免扬尘。</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43"/>
        </w:numPr>
        <w:tabs>
          <w:tab w:val="left" w:pos="780"/>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隧道出渣和桥梁钻孔灌注桩施工时排出的泥浆要进行妥善处理，严禁向河流或农田排放。</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kinsoku/>
        <w:wordWrap/>
        <w:overflowPunct/>
        <w:topLinePunct w:val="0"/>
        <w:autoSpaceDE/>
        <w:autoSpaceDN/>
        <w:bidi w:val="0"/>
        <w:spacing w:line="240" w:lineRule="auto"/>
        <w:ind w:left="480"/>
        <w:jc w:val="both"/>
        <w:textAlignment w:val="auto"/>
        <w:rPr>
          <w:rFonts w:hint="eastAsia" w:ascii="仿宋" w:hAnsi="仿宋" w:eastAsia="仿宋" w:cs="仿宋"/>
          <w:sz w:val="24"/>
        </w:rPr>
      </w:pPr>
      <w:r>
        <w:rPr>
          <w:rFonts w:hint="eastAsia" w:ascii="仿宋" w:hAnsi="仿宋" w:eastAsia="仿宋" w:cs="仿宋"/>
          <w:sz w:val="24"/>
        </w:rPr>
        <w:t>（3）采取可靠措施保证原有交通的正常通行，维持沿线村镇的居民饮水、农田</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灌溉、生产生活用电及通信等管线的正常使用。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44"/>
        </w:numPr>
        <w:tabs>
          <w:tab w:val="left" w:pos="1080"/>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44"/>
        </w:numPr>
        <w:tabs>
          <w:tab w:val="left" w:pos="1020"/>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在施工期间，承包人应随时保持现场整洁，施工设备和材料、工程设备应整齐妥善存放和储存，废料与垃圾及不再需要的临时设施应及时从现场清除、拆除并运走。</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44"/>
        </w:numPr>
        <w:tabs>
          <w:tab w:val="left" w:pos="1200"/>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44"/>
        </w:numPr>
        <w:tabs>
          <w:tab w:val="left" w:pos="1193"/>
        </w:tabs>
        <w:kinsoku/>
        <w:wordWrap/>
        <w:overflowPunct/>
        <w:topLinePunct w:val="0"/>
        <w:autoSpaceDE/>
        <w:autoSpaceDN/>
        <w:bidi w:val="0"/>
        <w:spacing w:line="240" w:lineRule="auto"/>
        <w:ind w:firstLine="484"/>
        <w:textAlignment w:val="auto"/>
        <w:rPr>
          <w:rFonts w:hint="eastAsia" w:ascii="仿宋" w:hAnsi="仿宋" w:eastAsia="仿宋" w:cs="仿宋"/>
          <w:sz w:val="24"/>
        </w:rPr>
      </w:pPr>
      <w:r>
        <w:rPr>
          <w:rFonts w:hint="eastAsia" w:ascii="仿宋" w:hAnsi="仿宋" w:eastAsia="仿宋" w:cs="仿宋"/>
          <w:sz w:val="24"/>
        </w:rPr>
        <w:t>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10. 进度计划</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10.1 合同进度计划</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承包人编制施工方案说明的内容见项目专用合同条款。</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566" w:firstLineChars="236"/>
        <w:textAlignment w:val="auto"/>
        <w:rPr>
          <w:rFonts w:hint="eastAsia" w:ascii="仿宋" w:hAnsi="仿宋" w:eastAsia="仿宋" w:cs="仿宋"/>
          <w:sz w:val="24"/>
        </w:rPr>
      </w:pPr>
      <w:r>
        <w:rPr>
          <w:rFonts w:hint="eastAsia" w:ascii="仿宋" w:hAnsi="仿宋" w:eastAsia="仿宋" w:cs="仿宋"/>
          <w:sz w:val="24"/>
        </w:rPr>
        <w:t>承包人向监理人报送施工进度计划和施工方案说明的期限：签订合同协议书后28 天之内。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监理人应在 14 天内对承包人施工进度计划和施工方案说明予以批复或提出修改意见。</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合同进度计划应按照关键线路网络图和主要工作横道图两种形式分别编绘，并应包括每月预计完成的工作量和形象进度。</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10.2 合同进度计划的修订</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4"/>
        </w:rPr>
      </w:pPr>
      <w:r>
        <w:rPr>
          <w:rFonts w:hint="eastAsia" w:ascii="仿宋" w:hAnsi="仿宋" w:eastAsia="仿宋" w:cs="仿宋"/>
          <w:sz w:val="24"/>
        </w:rPr>
        <w:t>本款补充：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3"/>
        </w:rPr>
      </w:pPr>
      <w:r>
        <w:rPr>
          <w:rFonts w:hint="eastAsia" w:ascii="仿宋" w:hAnsi="仿宋" w:eastAsia="仿宋" w:cs="仿宋"/>
          <w:sz w:val="23"/>
        </w:rPr>
        <w:t>承包人提交合同进度计划修订申请报告，并附有关措施和相关资料的期限：实际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进度发生滞后的当月 25 日前。</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4"/>
        </w:rPr>
      </w:pPr>
      <w:r>
        <w:rPr>
          <w:rFonts w:hint="eastAsia" w:ascii="仿宋" w:hAnsi="仿宋" w:eastAsia="仿宋" w:cs="仿宋"/>
          <w:sz w:val="24"/>
        </w:rPr>
        <w:t>监理人批复修订合同进度计划的期限：收到修订合同进度计划后 14 天内。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本条补充第 10.3 款、第 10.4 款：</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10.3 年度施工计划</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3"/>
        </w:rPr>
      </w:pPr>
      <w:r>
        <w:rPr>
          <w:rFonts w:hint="eastAsia" w:ascii="仿宋" w:hAnsi="仿宋" w:eastAsia="仿宋" w:cs="仿宋"/>
          <w:sz w:val="23"/>
        </w:rPr>
        <w:t>承包人应在每年 11 月底前，根据已同意的合同进度计划或其修订的计划，向监</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jc w:val="both"/>
        <w:textAlignment w:val="auto"/>
        <w:rPr>
          <w:rFonts w:hint="eastAsia" w:ascii="仿宋" w:hAnsi="仿宋" w:eastAsia="仿宋" w:cs="仿宋"/>
          <w:sz w:val="24"/>
        </w:rPr>
      </w:pPr>
      <w:r>
        <w:rPr>
          <w:rFonts w:hint="eastAsia" w:ascii="仿宋" w:hAnsi="仿宋" w:eastAsia="仿宋" w:cs="仿宋"/>
          <w:sz w:val="24"/>
        </w:rPr>
        <w:t>理人提交 2 份格式和内容符合监理人合理规定的下一年度的施工计划，以供审查。该计划应包括本年度估计完成的和下一年度预计完成的分项工程数量和工作量，以及为实施此计划将采取的措施。</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10.4 合同用款计划</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3"/>
        </w:rPr>
      </w:pPr>
      <w:r>
        <w:rPr>
          <w:rFonts w:hint="eastAsia" w:ascii="仿宋" w:hAnsi="仿宋" w:eastAsia="仿宋" w:cs="仿宋"/>
          <w:sz w:val="23"/>
        </w:rPr>
        <w:t>承包人应在签订本合同协议书后 28 天之内，按招标文件中规定的格式，向监理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jc w:val="both"/>
        <w:textAlignment w:val="auto"/>
        <w:rPr>
          <w:rFonts w:hint="eastAsia" w:ascii="仿宋" w:hAnsi="仿宋" w:eastAsia="仿宋" w:cs="仿宋"/>
          <w:sz w:val="24"/>
        </w:rPr>
      </w:pPr>
      <w:r>
        <w:rPr>
          <w:rFonts w:hint="eastAsia" w:ascii="仿宋" w:hAnsi="仿宋" w:eastAsia="仿宋" w:cs="仿宋"/>
          <w:sz w:val="24"/>
        </w:rPr>
        <w:t>人提交 2 份按合同规定承包人有权得到支付的详细的季度合同用款计划，以备监理人查阅。如果监理人提出要求，承包人还应按季度提交修订的合同用款计划。</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11. 开工和交工</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11.1 开工</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第 11.1.2 项补充：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承包人应在分部工程开工前 14 天向监理人提交分部工程开工报审表，若承包人的开工准备、工作计划和质量控制方法是可接受的且已获得批准，则经监理人书面同意，分部工程才能开工。</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bookmarkStart w:id="62" w:name="page139"/>
      <w:bookmarkEnd w:id="62"/>
      <w:r>
        <w:rPr>
          <w:rFonts w:hint="eastAsia" w:ascii="仿宋" w:hAnsi="仿宋" w:eastAsia="仿宋" w:cs="仿宋"/>
          <w:sz w:val="24"/>
        </w:rPr>
        <w:t>11.3 发包人的工期延误</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即使由于上述原因造成工期延误，如果受影响的工程并非处在工程施工进度网络计划的关键线路上，则承包人无权要求延长总工期。</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45"/>
        </w:numPr>
        <w:tabs>
          <w:tab w:val="left" w:pos="480"/>
        </w:tabs>
        <w:kinsoku/>
        <w:wordWrap/>
        <w:overflowPunct/>
        <w:topLinePunct w:val="0"/>
        <w:autoSpaceDE/>
        <w:autoSpaceDN/>
        <w:bidi w:val="0"/>
        <w:spacing w:line="240" w:lineRule="auto"/>
        <w:ind w:left="480" w:hanging="476"/>
        <w:jc w:val="both"/>
        <w:textAlignment w:val="auto"/>
        <w:rPr>
          <w:rFonts w:hint="eastAsia" w:ascii="仿宋" w:hAnsi="仿宋" w:eastAsia="仿宋" w:cs="仿宋"/>
          <w:sz w:val="24"/>
        </w:rPr>
      </w:pPr>
      <w:r>
        <w:rPr>
          <w:rFonts w:hint="eastAsia" w:ascii="仿宋" w:hAnsi="仿宋" w:eastAsia="仿宋" w:cs="仿宋"/>
          <w:sz w:val="24"/>
        </w:rPr>
        <w:t>异常恶劣的气候条件本款补充：</w:t>
      </w: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异常气候是指项目所在地 30 年以上一遇的罕见气候现象（包括温度、降水、降雪、风等）。异常恶劣的气候条件在项目专用合同条款中作具体约定。</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11.5 承包人的工期延误</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（1）承包人应严格执行监理人批准的合同进度计划，对工作量计划和形象进度计划分别控制。除第 11.3 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3"/>
        </w:rPr>
      </w:pPr>
      <w:r>
        <w:rPr>
          <w:rFonts w:hint="eastAsia" w:ascii="仿宋" w:hAnsi="仿宋" w:eastAsia="仿宋" w:cs="仿宋"/>
          <w:sz w:val="23"/>
        </w:rPr>
        <w:t>（2）如果承包人在接到监理人通知后的 14 天内，未能采取加快工程进度的措施，致使实际工程进度进一步滞后，或承包人虽采取了一些措施，仍无法按预计工</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r>
        <w:rPr>
          <w:rFonts w:hint="eastAsia" w:ascii="仿宋" w:hAnsi="仿宋" w:eastAsia="仿宋" w:cs="仿宋"/>
          <w:sz w:val="23"/>
        </w:rPr>
        <w:t>期交工时，监理人应立即通知发包人。发包人在向承包人发出书面警告通知 14 天后，</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jc w:val="both"/>
        <w:textAlignment w:val="auto"/>
        <w:rPr>
          <w:rFonts w:hint="eastAsia" w:ascii="仿宋" w:hAnsi="仿宋" w:eastAsia="仿宋" w:cs="仿宋"/>
          <w:sz w:val="24"/>
        </w:rPr>
      </w:pPr>
      <w:r>
        <w:rPr>
          <w:rFonts w:hint="eastAsia" w:ascii="仿宋" w:hAnsi="仿宋" w:eastAsia="仿宋" w:cs="仿宋"/>
          <w:sz w:val="24"/>
        </w:rPr>
        <w:t>发包人可按第 22.1 款终止对承包人的雇用，也可将本合同工程中的一部分工作交由其他承包人或其他分包人完成。在不解除本合同规定的承包人责任和义务的同时，承包人应承担因此所增加的一切费用。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sz w:val="24"/>
        </w:rPr>
      </w:pPr>
      <w:r>
        <w:rPr>
          <w:rFonts w:hint="eastAsia" w:ascii="仿宋" w:hAnsi="仿宋" w:eastAsia="仿宋" w:cs="仿宋"/>
          <w:sz w:val="24"/>
        </w:rPr>
        <w:t>（4）承包人支付逾期交工违约金，不免除承包人完成工程及修补缺陷的义务。（5）如果在合同工程完工之前，已对合同工程内按时完工的单位工程签发了交工验收证书，则合同工程的逾期交工违约金，应按已签发交工验收证书的单位工程</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的价值占合同工程价值的比例予以减少，但本规定不应影响逾期交工违约金的规定</w:t>
      </w:r>
      <w:bookmarkStart w:id="63" w:name="page140"/>
      <w:bookmarkEnd w:id="63"/>
      <w:r>
        <w:rPr>
          <w:rFonts w:hint="eastAsia" w:ascii="仿宋" w:hAnsi="仿宋" w:eastAsia="仿宋" w:cs="仿宋"/>
          <w:sz w:val="24"/>
        </w:rPr>
        <w:t>限额。</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11.6 工期提前</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发包人不得随意要求承包人提前交工，承包人也不得随意提出提前交工的建议。如遇特殊情况，确需将工期提前的，发包人和承包人必须采取有效措施，确保工程质量。</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本条补充第 11.7 款：</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11.7 工作时间的限制</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承包人在夜间或国家规定的节假日进行永久工程的施工，应向监理人报告，以便监理人履行监理职责和义务。</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但是，为了抢救生命或保护财产，或为了工程的安全、质量而不可避免地短暂作业，则不必事先向监理人报告。但承包人应在事后立即向监理人报告。</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本款规定不适用于习惯上或施工本身要求实行连续生产的作业。</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12. 暂停施工</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12.1 承包人暂停施工的责任</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本款第（5）项细化为：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（5）现场气候条件导致的必要停工（第 11.4 款约定的异常恶劣的气候条件除外）；</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（6）项目专用合同条款可能约定的由承包人承担的其他暂停施工。</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13. 工程质量</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46"/>
        </w:numPr>
        <w:tabs>
          <w:tab w:val="left" w:pos="540"/>
        </w:tabs>
        <w:kinsoku/>
        <w:wordWrap/>
        <w:overflowPunct/>
        <w:topLinePunct w:val="0"/>
        <w:autoSpaceDE/>
        <w:autoSpaceDN/>
        <w:bidi w:val="0"/>
        <w:spacing w:line="240" w:lineRule="auto"/>
        <w:ind w:left="540" w:hanging="536"/>
        <w:jc w:val="both"/>
        <w:textAlignment w:val="auto"/>
        <w:rPr>
          <w:rFonts w:hint="eastAsia" w:ascii="仿宋" w:hAnsi="仿宋" w:eastAsia="仿宋" w:cs="仿宋"/>
          <w:sz w:val="24"/>
        </w:rPr>
      </w:pPr>
      <w:r>
        <w:rPr>
          <w:rFonts w:hint="eastAsia" w:ascii="仿宋" w:hAnsi="仿宋" w:eastAsia="仿宋" w:cs="仿宋"/>
          <w:sz w:val="24"/>
        </w:rPr>
        <w:t>工程质量要求</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46"/>
        </w:numPr>
        <w:tabs>
          <w:tab w:val="left" w:pos="780"/>
        </w:tabs>
        <w:kinsoku/>
        <w:wordWrap/>
        <w:overflowPunct/>
        <w:topLinePunct w:val="0"/>
        <w:autoSpaceDE/>
        <w:autoSpaceDN/>
        <w:bidi w:val="0"/>
        <w:spacing w:line="240" w:lineRule="auto"/>
        <w:ind w:left="780" w:hanging="296"/>
        <w:jc w:val="both"/>
        <w:textAlignment w:val="auto"/>
        <w:rPr>
          <w:rFonts w:hint="eastAsia" w:ascii="仿宋" w:hAnsi="仿宋" w:eastAsia="仿宋" w:cs="仿宋"/>
          <w:sz w:val="24"/>
        </w:rPr>
      </w:pPr>
      <w:r>
        <w:rPr>
          <w:rFonts w:hint="eastAsia" w:ascii="仿宋" w:hAnsi="仿宋" w:eastAsia="仿宋" w:cs="仿宋"/>
          <w:sz w:val="24"/>
        </w:rPr>
        <w:t>13.1.1 项约定为：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kinsoku/>
        <w:wordWrap/>
        <w:overflowPunct/>
        <w:topLinePunct w:val="0"/>
        <w:autoSpaceDE/>
        <w:autoSpaceDN/>
        <w:bidi w:val="0"/>
        <w:spacing w:line="240" w:lineRule="auto"/>
        <w:ind w:left="480"/>
        <w:jc w:val="both"/>
        <w:textAlignment w:val="auto"/>
        <w:rPr>
          <w:rFonts w:hint="eastAsia" w:ascii="仿宋" w:hAnsi="仿宋" w:eastAsia="仿宋" w:cs="仿宋"/>
          <w:sz w:val="24"/>
        </w:rPr>
      </w:pPr>
      <w:r>
        <w:rPr>
          <w:rFonts w:hint="eastAsia" w:ascii="仿宋" w:hAnsi="仿宋" w:eastAsia="仿宋" w:cs="仿宋"/>
          <w:sz w:val="24"/>
        </w:rPr>
        <w:t>工程质量验收按技术规范及《公路工程质量检验评定标准》执行。</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bookmarkStart w:id="64" w:name="page141"/>
      <w:bookmarkEnd w:id="64"/>
      <w:r>
        <w:rPr>
          <w:rFonts w:hint="eastAsia" w:ascii="仿宋" w:hAnsi="仿宋" w:eastAsia="仿宋" w:cs="仿宋"/>
          <w:sz w:val="24"/>
        </w:rPr>
        <w:t>本款补充第 13.1.4 项、第 13.1.5 项：</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13.1.4 发包人和承包人应严格遵守《关于严格落实公路工程质量责任制的若干</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意见》的相关规定，认真执行工程质量责任登记制度并按要求填写工程质量责任登记表。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13.1.5 本项目严格执行质量责任追究制度。质量事故处理实行“四不放过”原则：</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事故原因调查不清不放过；事故责任者没有受到教育不放过；没有防范措施不放过；相关责任人没受到处理不放过。</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47"/>
        </w:numPr>
        <w:tabs>
          <w:tab w:val="left" w:pos="540"/>
        </w:tabs>
        <w:kinsoku/>
        <w:wordWrap/>
        <w:overflowPunct/>
        <w:topLinePunct w:val="0"/>
        <w:autoSpaceDE/>
        <w:autoSpaceDN/>
        <w:bidi w:val="0"/>
        <w:spacing w:line="240" w:lineRule="auto"/>
        <w:ind w:left="540" w:hanging="536"/>
        <w:jc w:val="both"/>
        <w:textAlignment w:val="auto"/>
        <w:rPr>
          <w:rFonts w:hint="eastAsia" w:ascii="仿宋" w:hAnsi="仿宋" w:eastAsia="仿宋" w:cs="仿宋"/>
          <w:sz w:val="24"/>
        </w:rPr>
      </w:pPr>
      <w:r>
        <w:rPr>
          <w:rFonts w:hint="eastAsia" w:ascii="仿宋" w:hAnsi="仿宋" w:eastAsia="仿宋" w:cs="仿宋"/>
          <w:sz w:val="24"/>
        </w:rPr>
        <w:t>承包人的质量管理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47"/>
        </w:numPr>
        <w:tabs>
          <w:tab w:val="left" w:pos="780"/>
        </w:tabs>
        <w:kinsoku/>
        <w:wordWrap/>
        <w:overflowPunct/>
        <w:topLinePunct w:val="0"/>
        <w:autoSpaceDE/>
        <w:autoSpaceDN/>
        <w:bidi w:val="0"/>
        <w:spacing w:line="240" w:lineRule="auto"/>
        <w:ind w:left="780" w:hanging="296"/>
        <w:jc w:val="both"/>
        <w:textAlignment w:val="auto"/>
        <w:rPr>
          <w:rFonts w:hint="eastAsia" w:ascii="仿宋" w:hAnsi="仿宋" w:eastAsia="仿宋" w:cs="仿宋"/>
          <w:sz w:val="24"/>
        </w:rPr>
      </w:pPr>
      <w:r>
        <w:rPr>
          <w:rFonts w:hint="eastAsia" w:ascii="仿宋" w:hAnsi="仿宋" w:eastAsia="仿宋" w:cs="仿宋"/>
          <w:sz w:val="24"/>
        </w:rPr>
        <w:t>13.2.1 项补充：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kinsoku/>
        <w:wordWrap/>
        <w:overflowPunct/>
        <w:topLinePunct w:val="0"/>
        <w:autoSpaceDE/>
        <w:autoSpaceDN/>
        <w:bidi w:val="0"/>
        <w:spacing w:line="240" w:lineRule="auto"/>
        <w:ind w:left="480"/>
        <w:jc w:val="both"/>
        <w:textAlignment w:val="auto"/>
        <w:rPr>
          <w:rFonts w:hint="eastAsia" w:ascii="仿宋" w:hAnsi="仿宋" w:eastAsia="仿宋" w:cs="仿宋"/>
          <w:sz w:val="24"/>
        </w:rPr>
      </w:pPr>
      <w:r>
        <w:rPr>
          <w:rFonts w:hint="eastAsia" w:ascii="仿宋" w:hAnsi="仿宋" w:eastAsia="仿宋" w:cs="仿宋"/>
          <w:sz w:val="24"/>
        </w:rPr>
        <w:t>承包人提交工程质量保证措施文件的期限：签订合同协议书后 28 天之内。本款补充第 13.2.3 项~第 13.2.10 项：</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48"/>
        </w:numPr>
        <w:tabs>
          <w:tab w:val="left" w:pos="1200"/>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公路工程施行质量责任终身制。承包人应当书面明确相应的项目负责人和质量负责人。承包人的相关人员按照国家法律法规和有关规定在工程合理使用年限内承担相应的质量责任。</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48"/>
        </w:numPr>
        <w:tabs>
          <w:tab w:val="left" w:pos="1200"/>
        </w:tabs>
        <w:kinsoku/>
        <w:wordWrap/>
        <w:overflowPunct/>
        <w:topLinePunct w:val="0"/>
        <w:autoSpaceDE/>
        <w:autoSpaceDN/>
        <w:bidi w:val="0"/>
        <w:spacing w:line="240" w:lineRule="auto"/>
        <w:ind w:firstLine="484"/>
        <w:textAlignment w:val="auto"/>
        <w:rPr>
          <w:rFonts w:hint="eastAsia" w:ascii="仿宋" w:hAnsi="仿宋" w:eastAsia="仿宋" w:cs="仿宋"/>
          <w:sz w:val="23"/>
        </w:rPr>
      </w:pPr>
      <w:r>
        <w:rPr>
          <w:rFonts w:hint="eastAsia" w:ascii="仿宋" w:hAnsi="仿宋" w:eastAsia="仿宋" w:cs="仿宋"/>
          <w:sz w:val="23"/>
        </w:rPr>
        <w:t>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p>
      <w:pPr>
        <w:keepNext w:val="0"/>
        <w:keepLines w:val="0"/>
        <w:pageBreakBefore w:val="0"/>
        <w:widowControl/>
        <w:numPr>
          <w:ilvl w:val="0"/>
          <w:numId w:val="48"/>
        </w:numPr>
        <w:tabs>
          <w:tab w:val="left" w:pos="1200"/>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承包人对工程施工质量负责，应当按合同约定设立现场质量管理机构、配备工程技术人员和质量管理人员，落实工程施工质量责任制。</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48"/>
        </w:numPr>
        <w:tabs>
          <w:tab w:val="left" w:pos="1200"/>
        </w:tabs>
        <w:kinsoku/>
        <w:wordWrap/>
        <w:overflowPunct/>
        <w:topLinePunct w:val="0"/>
        <w:autoSpaceDE/>
        <w:autoSpaceDN/>
        <w:bidi w:val="0"/>
        <w:spacing w:line="240" w:lineRule="auto"/>
        <w:ind w:firstLine="484"/>
        <w:textAlignment w:val="auto"/>
        <w:rPr>
          <w:rFonts w:hint="eastAsia" w:ascii="仿宋" w:hAnsi="仿宋" w:eastAsia="仿宋" w:cs="仿宋"/>
          <w:sz w:val="24"/>
        </w:rPr>
      </w:pPr>
      <w:r>
        <w:rPr>
          <w:rFonts w:hint="eastAsia" w:ascii="仿宋" w:hAnsi="仿宋" w:eastAsia="仿宋" w:cs="仿宋"/>
          <w:sz w:val="24"/>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48"/>
        </w:numPr>
        <w:tabs>
          <w:tab w:val="left" w:pos="1200"/>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48"/>
        </w:numPr>
        <w:tabs>
          <w:tab w:val="left" w:pos="1200"/>
        </w:tabs>
        <w:kinsoku/>
        <w:wordWrap/>
        <w:overflowPunct/>
        <w:topLinePunct w:val="0"/>
        <w:autoSpaceDE/>
        <w:autoSpaceDN/>
        <w:bidi w:val="0"/>
        <w:spacing w:line="240" w:lineRule="auto"/>
        <w:ind w:firstLine="484"/>
        <w:textAlignment w:val="auto"/>
        <w:rPr>
          <w:rFonts w:hint="eastAsia" w:ascii="仿宋" w:hAnsi="仿宋" w:eastAsia="仿宋" w:cs="仿宋"/>
          <w:sz w:val="24"/>
        </w:rPr>
      </w:pPr>
      <w:r>
        <w:rPr>
          <w:rFonts w:hint="eastAsia" w:ascii="仿宋" w:hAnsi="仿宋" w:eastAsia="仿宋" w:cs="仿宋"/>
          <w:sz w:val="24"/>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keepNext w:val="0"/>
        <w:keepLines w:val="0"/>
        <w:pageBreakBefore w:val="0"/>
        <w:widowControl/>
        <w:numPr>
          <w:ilvl w:val="0"/>
          <w:numId w:val="48"/>
        </w:numPr>
        <w:tabs>
          <w:tab w:val="left" w:pos="1200"/>
        </w:tabs>
        <w:kinsoku/>
        <w:wordWrap/>
        <w:overflowPunct/>
        <w:topLinePunct w:val="0"/>
        <w:autoSpaceDE/>
        <w:autoSpaceDN/>
        <w:bidi w:val="0"/>
        <w:spacing w:line="240" w:lineRule="auto"/>
        <w:ind w:left="1200" w:hanging="716"/>
        <w:jc w:val="both"/>
        <w:textAlignment w:val="auto"/>
        <w:rPr>
          <w:rFonts w:hint="eastAsia" w:ascii="仿宋" w:hAnsi="仿宋" w:eastAsia="仿宋" w:cs="仿宋"/>
          <w:sz w:val="24"/>
        </w:rPr>
      </w:pPr>
      <w:r>
        <w:rPr>
          <w:rFonts w:hint="eastAsia" w:ascii="仿宋" w:hAnsi="仿宋" w:eastAsia="仿宋" w:cs="仿宋"/>
          <w:sz w:val="24"/>
        </w:rPr>
        <w:t>承包人应当依法规范分包行为，并对承担的工程质量负总责，分包单位</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bookmarkStart w:id="65" w:name="page142"/>
      <w:bookmarkEnd w:id="65"/>
      <w:r>
        <w:rPr>
          <w:rFonts w:hint="eastAsia" w:ascii="仿宋" w:hAnsi="仿宋" w:eastAsia="仿宋" w:cs="仿宋"/>
          <w:sz w:val="24"/>
        </w:rPr>
        <w:t>对分包合同范围内的工程质量负责。</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13.2.10 承包人驻工程现场机构应在现场驻地和重要的分部、分项工程施工现场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设置明显的工程质量责任登记表公示牌。</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13.4 监理人的质量检查</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监理人及其委派的检验人员，应能进入工程现场，以及材料或工程设备的制造、加工或制配的车间和场所，包括不属于承包人的车间或场所进行检查，承包人应为此提供便利和协助。</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监理人可以将材料或工程设备的检查和检验委托给一家独立的有质量检验认证资格的检验单位。该独立检验单位的检验结果应视为监理人完成的。监理人应将这</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种委托的通知书不少于 7 天前交给承包人。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49"/>
        </w:numPr>
        <w:tabs>
          <w:tab w:val="left" w:pos="540"/>
        </w:tabs>
        <w:kinsoku/>
        <w:wordWrap/>
        <w:overflowPunct/>
        <w:topLinePunct w:val="0"/>
        <w:autoSpaceDE/>
        <w:autoSpaceDN/>
        <w:bidi w:val="0"/>
        <w:spacing w:line="240" w:lineRule="auto"/>
        <w:ind w:left="540" w:hanging="536"/>
        <w:jc w:val="both"/>
        <w:textAlignment w:val="auto"/>
        <w:rPr>
          <w:rFonts w:hint="eastAsia" w:ascii="仿宋" w:hAnsi="仿宋" w:eastAsia="仿宋" w:cs="仿宋"/>
          <w:sz w:val="24"/>
        </w:rPr>
      </w:pPr>
      <w:r>
        <w:rPr>
          <w:rFonts w:hint="eastAsia" w:ascii="仿宋" w:hAnsi="仿宋" w:eastAsia="仿宋" w:cs="仿宋"/>
          <w:sz w:val="24"/>
        </w:rPr>
        <w:t>工程隐蔽部位覆盖前的检查</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49"/>
        </w:numPr>
        <w:tabs>
          <w:tab w:val="left" w:pos="780"/>
        </w:tabs>
        <w:kinsoku/>
        <w:wordWrap/>
        <w:overflowPunct/>
        <w:topLinePunct w:val="0"/>
        <w:autoSpaceDE/>
        <w:autoSpaceDN/>
        <w:bidi w:val="0"/>
        <w:spacing w:line="240" w:lineRule="auto"/>
        <w:ind w:left="780" w:hanging="296"/>
        <w:jc w:val="both"/>
        <w:textAlignment w:val="auto"/>
        <w:rPr>
          <w:rFonts w:hint="eastAsia" w:ascii="仿宋" w:hAnsi="仿宋" w:eastAsia="仿宋" w:cs="仿宋"/>
          <w:sz w:val="24"/>
        </w:rPr>
      </w:pPr>
      <w:r>
        <w:rPr>
          <w:rFonts w:hint="eastAsia" w:ascii="仿宋" w:hAnsi="仿宋" w:eastAsia="仿宋" w:cs="仿宋"/>
          <w:sz w:val="24"/>
        </w:rPr>
        <w:t>13.5.1 项补充：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当监理人有指令时，承包人应对重要隐蔽工程进行拍摄或照相并应保证监理人有充分的机会对将要覆盖或掩蔽的工程进行检查和量测，特别是在基础以上的任一部分工程修筑之前，对该基础进行检查。</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13.6 清除不合格工程</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第 13.6.1 项细化为：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（2）如果承包人未在规定时间内执行监理人的指示，发包人有权雇用他人执行，由此增加的费用和（或）工期延误由承包人承担。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14. 试验和检验</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本条补充第 14.4 款：</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14.4 试验和检验费用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566" w:firstLineChars="236"/>
        <w:textAlignment w:val="auto"/>
        <w:rPr>
          <w:rFonts w:hint="eastAsia" w:ascii="仿宋" w:hAnsi="仿宋" w:eastAsia="仿宋" w:cs="仿宋"/>
          <w:sz w:val="24"/>
        </w:rPr>
      </w:pPr>
      <w:r>
        <w:rPr>
          <w:rFonts w:hint="eastAsia" w:ascii="仿宋" w:hAnsi="仿宋" w:eastAsia="仿宋" w:cs="仿宋"/>
          <w:sz w:val="24"/>
        </w:rPr>
        <w:t>（1）承包人应负责提供合同和技术规范规定的试验和检验所需的全部样品，并承担其费用。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（2）在合同中明确规定的试验和检验，包括无须在工程量清单中单独列项和已在工程量清单中单独列项的试验和检验，其试验和检验的费用由承包人承担。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15. 变更</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15.1 变更的范围和内容</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本款第（1）项细化为：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（1）取消合同中任何一项工作，但被取消的工作不能转由发包人或其他人实施，由于承包人违约造成的情况除外；</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15.3 变更程序</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本款补充第 15.3.4 项：</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1"/>
          <w:numId w:val="50"/>
        </w:numPr>
        <w:tabs>
          <w:tab w:val="left" w:pos="1200"/>
        </w:tabs>
        <w:kinsoku/>
        <w:wordWrap/>
        <w:overflowPunct/>
        <w:topLinePunct w:val="0"/>
        <w:autoSpaceDE/>
        <w:autoSpaceDN/>
        <w:bidi w:val="0"/>
        <w:spacing w:line="240" w:lineRule="auto"/>
        <w:ind w:left="1200" w:hanging="716"/>
        <w:jc w:val="both"/>
        <w:textAlignment w:val="auto"/>
        <w:rPr>
          <w:rFonts w:hint="eastAsia" w:ascii="仿宋" w:hAnsi="仿宋" w:eastAsia="仿宋" w:cs="仿宋"/>
          <w:sz w:val="24"/>
        </w:rPr>
      </w:pPr>
      <w:r>
        <w:rPr>
          <w:rFonts w:hint="eastAsia" w:ascii="仿宋" w:hAnsi="仿宋" w:eastAsia="仿宋" w:cs="仿宋"/>
          <w:sz w:val="24"/>
        </w:rPr>
        <w:t>设计变更程序应执行《公路工程设计变更管理办法》的相关规定。</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51"/>
        </w:numPr>
        <w:tabs>
          <w:tab w:val="left" w:pos="540"/>
        </w:tabs>
        <w:kinsoku/>
        <w:wordWrap/>
        <w:overflowPunct/>
        <w:topLinePunct w:val="0"/>
        <w:autoSpaceDE/>
        <w:autoSpaceDN/>
        <w:bidi w:val="0"/>
        <w:spacing w:line="240" w:lineRule="auto"/>
        <w:ind w:left="540" w:hanging="536"/>
        <w:jc w:val="both"/>
        <w:textAlignment w:val="auto"/>
        <w:rPr>
          <w:rFonts w:hint="eastAsia" w:ascii="仿宋" w:hAnsi="仿宋" w:eastAsia="仿宋" w:cs="仿宋"/>
          <w:sz w:val="24"/>
        </w:rPr>
      </w:pPr>
      <w:r>
        <w:rPr>
          <w:rFonts w:hint="eastAsia" w:ascii="仿宋" w:hAnsi="仿宋" w:eastAsia="仿宋" w:cs="仿宋"/>
          <w:sz w:val="24"/>
        </w:rPr>
        <w:t>变更的估价原则</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除项目专用合同条款另有约定外，因变更引起的价格调整按照本款约定处理。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52"/>
        </w:numPr>
        <w:tabs>
          <w:tab w:val="left" w:pos="1200"/>
        </w:tabs>
        <w:kinsoku/>
        <w:wordWrap/>
        <w:overflowPunct/>
        <w:topLinePunct w:val="0"/>
        <w:autoSpaceDE/>
        <w:autoSpaceDN/>
        <w:bidi w:val="0"/>
        <w:spacing w:line="240" w:lineRule="auto"/>
        <w:ind w:left="1200" w:hanging="716"/>
        <w:jc w:val="both"/>
        <w:textAlignment w:val="auto"/>
        <w:rPr>
          <w:rFonts w:hint="eastAsia" w:ascii="仿宋" w:hAnsi="仿宋" w:eastAsia="仿宋" w:cs="仿宋"/>
          <w:sz w:val="24"/>
        </w:rPr>
      </w:pPr>
      <w:r>
        <w:rPr>
          <w:rFonts w:hint="eastAsia" w:ascii="仿宋" w:hAnsi="仿宋" w:eastAsia="仿宋" w:cs="仿宋"/>
          <w:sz w:val="24"/>
        </w:rPr>
        <w:t>如果取消某项工作，则该项工作的总额价不予支付。</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52"/>
        </w:numPr>
        <w:tabs>
          <w:tab w:val="left" w:pos="1200"/>
        </w:tabs>
        <w:kinsoku/>
        <w:wordWrap/>
        <w:overflowPunct/>
        <w:topLinePunct w:val="0"/>
        <w:autoSpaceDE/>
        <w:autoSpaceDN/>
        <w:bidi w:val="0"/>
        <w:spacing w:line="240" w:lineRule="auto"/>
        <w:ind w:left="1200" w:hanging="716"/>
        <w:jc w:val="both"/>
        <w:textAlignment w:val="auto"/>
        <w:rPr>
          <w:rFonts w:hint="eastAsia" w:ascii="仿宋" w:hAnsi="仿宋" w:eastAsia="仿宋" w:cs="仿宋"/>
          <w:sz w:val="24"/>
        </w:rPr>
      </w:pPr>
      <w:r>
        <w:rPr>
          <w:rFonts w:hint="eastAsia" w:ascii="仿宋" w:hAnsi="仿宋" w:eastAsia="仿宋" w:cs="仿宋"/>
          <w:sz w:val="24"/>
        </w:rPr>
        <w:t>已标价工程量清单中有适用于变更工作的子目的，采用该子目的单价。</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52"/>
        </w:numPr>
        <w:tabs>
          <w:tab w:val="left" w:pos="1200"/>
        </w:tabs>
        <w:kinsoku/>
        <w:wordWrap/>
        <w:overflowPunct/>
        <w:topLinePunct w:val="0"/>
        <w:autoSpaceDE/>
        <w:autoSpaceDN/>
        <w:bidi w:val="0"/>
        <w:spacing w:line="240" w:lineRule="auto"/>
        <w:ind w:firstLine="484"/>
        <w:textAlignment w:val="auto"/>
        <w:rPr>
          <w:rFonts w:hint="eastAsia" w:ascii="仿宋" w:hAnsi="仿宋" w:eastAsia="仿宋" w:cs="仿宋"/>
          <w:sz w:val="23"/>
        </w:rPr>
      </w:pPr>
      <w:r>
        <w:rPr>
          <w:rFonts w:hint="eastAsia" w:ascii="仿宋" w:hAnsi="仿宋" w:eastAsia="仿宋" w:cs="仿宋"/>
          <w:sz w:val="23"/>
        </w:rPr>
        <w:t>已标价工程量清单中无适用于变更工作的子目，但有类似子目的，可在合理范围内参照类似子目的单价，由监理人按第 3.5 款商定或确定变更工作的单价。</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p>
      <w:pPr>
        <w:keepNext w:val="0"/>
        <w:keepLines w:val="0"/>
        <w:pageBreakBefore w:val="0"/>
        <w:widowControl/>
        <w:numPr>
          <w:ilvl w:val="0"/>
          <w:numId w:val="52"/>
        </w:numPr>
        <w:tabs>
          <w:tab w:val="left" w:pos="1200"/>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已标价工程量清单中无适用或类似子目的单价，可在综合考虑承包人在投标时所提供的单价分析表的基础上，由监理人按第 3.5 款商定或确定变更工作的单价。</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52"/>
        </w:numPr>
        <w:tabs>
          <w:tab w:val="left" w:pos="1200"/>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如果本工程的变更指示是因承包人过错、承包人违反合同或承包人责任造成的，则这种违约引起的任何额外费用应由承包人承担。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53"/>
        </w:numPr>
        <w:tabs>
          <w:tab w:val="left" w:pos="540"/>
        </w:tabs>
        <w:kinsoku/>
        <w:wordWrap/>
        <w:overflowPunct/>
        <w:topLinePunct w:val="0"/>
        <w:autoSpaceDE/>
        <w:autoSpaceDN/>
        <w:bidi w:val="0"/>
        <w:spacing w:line="240" w:lineRule="auto"/>
        <w:ind w:left="540" w:hanging="536"/>
        <w:jc w:val="both"/>
        <w:textAlignment w:val="auto"/>
        <w:rPr>
          <w:rFonts w:hint="eastAsia" w:ascii="仿宋" w:hAnsi="仿宋" w:eastAsia="仿宋" w:cs="仿宋"/>
          <w:sz w:val="24"/>
        </w:rPr>
      </w:pPr>
      <w:r>
        <w:rPr>
          <w:rFonts w:hint="eastAsia" w:ascii="仿宋" w:hAnsi="仿宋" w:eastAsia="仿宋" w:cs="仿宋"/>
          <w:sz w:val="24"/>
        </w:rPr>
        <w:t>承包人的合理化建议</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53"/>
        </w:numPr>
        <w:tabs>
          <w:tab w:val="left" w:pos="700"/>
        </w:tabs>
        <w:kinsoku/>
        <w:wordWrap/>
        <w:overflowPunct/>
        <w:topLinePunct w:val="0"/>
        <w:autoSpaceDE/>
        <w:autoSpaceDN/>
        <w:bidi w:val="0"/>
        <w:spacing w:line="240" w:lineRule="auto"/>
        <w:ind w:left="700" w:hanging="304"/>
        <w:jc w:val="both"/>
        <w:textAlignment w:val="auto"/>
        <w:rPr>
          <w:rFonts w:hint="eastAsia" w:ascii="仿宋" w:hAnsi="仿宋" w:eastAsia="仿宋" w:cs="仿宋"/>
          <w:sz w:val="24"/>
        </w:rPr>
      </w:pPr>
      <w:r>
        <w:rPr>
          <w:rFonts w:hint="eastAsia" w:ascii="仿宋" w:hAnsi="仿宋" w:eastAsia="仿宋" w:cs="仿宋"/>
          <w:sz w:val="24"/>
        </w:rPr>
        <w:t>15.5.2 项约定为：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60" w:firstLineChars="200"/>
        <w:textAlignment w:val="auto"/>
        <w:rPr>
          <w:rFonts w:hint="eastAsia" w:ascii="仿宋" w:hAnsi="仿宋" w:eastAsia="仿宋" w:cs="仿宋"/>
          <w:sz w:val="24"/>
        </w:rPr>
      </w:pPr>
      <w:r>
        <w:rPr>
          <w:rFonts w:hint="eastAsia" w:ascii="仿宋" w:hAnsi="仿宋" w:eastAsia="仿宋" w:cs="仿宋"/>
          <w:sz w:val="23"/>
        </w:rPr>
        <w:t>承包人提出的合理化建议缩短了工期，发包人按第 11.6 款的规定给予奖励。承包人提出的合理化建议降低了合同价格或者提高了工程经济效益的，发包人按</w:t>
      </w:r>
      <w:r>
        <w:rPr>
          <w:rFonts w:hint="eastAsia" w:ascii="仿宋" w:hAnsi="仿宋" w:eastAsia="仿宋" w:cs="仿宋"/>
          <w:sz w:val="24"/>
        </w:rPr>
        <w:t>项目专用合同条款数据表中规定的金额给予奖励。</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15.6 暂列金额</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4"/>
        </w:rPr>
      </w:pPr>
      <w:r>
        <w:rPr>
          <w:rFonts w:hint="eastAsia" w:ascii="仿宋" w:hAnsi="仿宋" w:eastAsia="仿宋" w:cs="仿宋"/>
          <w:sz w:val="24"/>
        </w:rPr>
        <w:t>本款细化为：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1"/>
          <w:numId w:val="54"/>
        </w:numPr>
        <w:tabs>
          <w:tab w:val="left" w:pos="1120"/>
        </w:tabs>
        <w:kinsoku/>
        <w:wordWrap/>
        <w:overflowPunct/>
        <w:topLinePunct w:val="0"/>
        <w:autoSpaceDE/>
        <w:autoSpaceDN/>
        <w:bidi w:val="0"/>
        <w:spacing w:line="240" w:lineRule="auto"/>
        <w:ind w:left="1120" w:hanging="724"/>
        <w:jc w:val="both"/>
        <w:textAlignment w:val="auto"/>
        <w:rPr>
          <w:rFonts w:hint="eastAsia" w:ascii="仿宋" w:hAnsi="仿宋" w:eastAsia="仿宋" w:cs="仿宋"/>
          <w:sz w:val="23"/>
        </w:rPr>
      </w:pPr>
      <w:r>
        <w:rPr>
          <w:rFonts w:hint="eastAsia" w:ascii="仿宋" w:hAnsi="仿宋" w:eastAsia="仿宋" w:cs="仿宋"/>
          <w:sz w:val="23"/>
        </w:rPr>
        <w:t>暂列金额应由监理人报发包人批准后指令全部或部分地使用，或者根本不</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p>
      <w:pPr>
        <w:keepNext w:val="0"/>
        <w:keepLines w:val="0"/>
        <w:pageBreakBefore w:val="0"/>
        <w:widowControl/>
        <w:kinsoku/>
        <w:wordWrap/>
        <w:overflowPunct/>
        <w:topLinePunct w:val="0"/>
        <w:autoSpaceDE/>
        <w:autoSpaceDN/>
        <w:bidi w:val="0"/>
        <w:spacing w:line="240" w:lineRule="auto"/>
        <w:jc w:val="both"/>
        <w:textAlignment w:val="auto"/>
        <w:rPr>
          <w:rFonts w:hint="eastAsia" w:ascii="仿宋" w:hAnsi="仿宋" w:eastAsia="仿宋" w:cs="仿宋"/>
          <w:sz w:val="24"/>
        </w:rPr>
      </w:pPr>
      <w:r>
        <w:rPr>
          <w:rFonts w:hint="eastAsia" w:ascii="仿宋" w:hAnsi="仿宋" w:eastAsia="仿宋" w:cs="仿宋"/>
          <w:sz w:val="24"/>
        </w:rPr>
        <w:t>予动用。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p>
      <w:pPr>
        <w:keepNext w:val="0"/>
        <w:keepLines w:val="0"/>
        <w:pageBreakBefore w:val="0"/>
        <w:widowControl/>
        <w:numPr>
          <w:ilvl w:val="1"/>
          <w:numId w:val="54"/>
        </w:numPr>
        <w:tabs>
          <w:tab w:val="left" w:pos="1111"/>
        </w:tabs>
        <w:kinsoku/>
        <w:wordWrap/>
        <w:overflowPunct/>
        <w:topLinePunct w:val="0"/>
        <w:autoSpaceDE/>
        <w:autoSpaceDN/>
        <w:bidi w:val="0"/>
        <w:spacing w:line="240" w:lineRule="auto"/>
        <w:ind w:firstLine="396"/>
        <w:jc w:val="both"/>
        <w:textAlignment w:val="auto"/>
        <w:rPr>
          <w:rFonts w:hint="eastAsia" w:ascii="仿宋" w:hAnsi="仿宋" w:eastAsia="仿宋" w:cs="仿宋"/>
          <w:sz w:val="23"/>
        </w:rPr>
      </w:pPr>
      <w:r>
        <w:rPr>
          <w:rFonts w:hint="eastAsia" w:ascii="仿宋" w:hAnsi="仿宋" w:eastAsia="仿宋" w:cs="仿宋"/>
          <w:sz w:val="23"/>
        </w:rPr>
        <w:t>对于经发包人批准的每一笔暂列金额，监理人有权向承包人发出实施工程或提供材料、工程设备或服务的指令。这些指令应由承包人完成，监理人应根据第</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p>
      <w:pPr>
        <w:keepNext w:val="0"/>
        <w:keepLines w:val="0"/>
        <w:pageBreakBefore w:val="0"/>
        <w:widowControl/>
        <w:numPr>
          <w:ilvl w:val="0"/>
          <w:numId w:val="55"/>
        </w:numPr>
        <w:tabs>
          <w:tab w:val="left" w:pos="480"/>
        </w:tabs>
        <w:kinsoku/>
        <w:wordWrap/>
        <w:overflowPunct/>
        <w:topLinePunct w:val="0"/>
        <w:autoSpaceDE/>
        <w:autoSpaceDN/>
        <w:bidi w:val="0"/>
        <w:spacing w:line="240" w:lineRule="auto"/>
        <w:ind w:left="480" w:hanging="476"/>
        <w:jc w:val="both"/>
        <w:textAlignment w:val="auto"/>
        <w:rPr>
          <w:rFonts w:hint="eastAsia" w:ascii="仿宋" w:hAnsi="仿宋" w:eastAsia="仿宋" w:cs="仿宋"/>
          <w:sz w:val="24"/>
        </w:rPr>
      </w:pPr>
      <w:r>
        <w:rPr>
          <w:rFonts w:hint="eastAsia" w:ascii="仿宋" w:hAnsi="仿宋" w:eastAsia="仿宋" w:cs="仿宋"/>
          <w:sz w:val="24"/>
        </w:rPr>
        <w:t>款约定的变更估价原则和第 15.7 款的规定，对合同价格进行相应调整。</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55"/>
        </w:numPr>
        <w:tabs>
          <w:tab w:val="left" w:pos="1111"/>
        </w:tabs>
        <w:kinsoku/>
        <w:wordWrap/>
        <w:overflowPunct/>
        <w:topLinePunct w:val="0"/>
        <w:autoSpaceDE/>
        <w:autoSpaceDN/>
        <w:bidi w:val="0"/>
        <w:spacing w:line="240" w:lineRule="auto"/>
        <w:ind w:firstLine="396"/>
        <w:jc w:val="both"/>
        <w:textAlignment w:val="auto"/>
        <w:rPr>
          <w:rFonts w:hint="eastAsia" w:ascii="仿宋" w:hAnsi="仿宋" w:eastAsia="仿宋" w:cs="仿宋"/>
          <w:sz w:val="24"/>
        </w:rPr>
      </w:pPr>
      <w:r>
        <w:rPr>
          <w:rFonts w:hint="eastAsia" w:ascii="仿宋" w:hAnsi="仿宋" w:eastAsia="仿宋" w:cs="仿宋"/>
          <w:sz w:val="24"/>
        </w:rPr>
        <w:t>当监理人提出要求时，承包人应提供有关暂列金额支出的所有报价单、发票、凭证和账单或收据，除非该工作是根据已标价工程量清单列明的单价或总额价进行的估价。</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16. 价格调整</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16.1 物价波动引起的价格调整</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本款约定为：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3"/>
        </w:rPr>
      </w:pPr>
      <w:r>
        <w:rPr>
          <w:rFonts w:hint="eastAsia" w:ascii="仿宋" w:hAnsi="仿宋" w:eastAsia="仿宋" w:cs="仿宋"/>
          <w:sz w:val="23"/>
        </w:rPr>
        <w:t>（1）除项目专用合同条款另有约定外，因物价波动引起的价格调整应按项目专用合同条款数据表的规定，按照第 16.1.1 项或第 16.1.2 项约定的原则处理；或者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（2）在合同执行期间（包括工期拖延期间）由于人工、材料和设备价格的上涨而引起工程施工成本增加的风险由承包人自行承担，合同价格不会因此而调整。</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56"/>
        </w:numPr>
        <w:tabs>
          <w:tab w:val="left" w:pos="1200"/>
        </w:tabs>
        <w:kinsoku/>
        <w:wordWrap/>
        <w:overflowPunct/>
        <w:topLinePunct w:val="0"/>
        <w:autoSpaceDE/>
        <w:autoSpaceDN/>
        <w:bidi w:val="0"/>
        <w:spacing w:line="240" w:lineRule="auto"/>
        <w:ind w:left="1200" w:hanging="725"/>
        <w:jc w:val="both"/>
        <w:textAlignment w:val="auto"/>
        <w:rPr>
          <w:rFonts w:hint="eastAsia" w:ascii="仿宋" w:hAnsi="仿宋" w:eastAsia="仿宋" w:cs="仿宋"/>
          <w:sz w:val="24"/>
        </w:rPr>
      </w:pPr>
      <w:r>
        <w:rPr>
          <w:rFonts w:hint="eastAsia" w:ascii="仿宋" w:hAnsi="仿宋" w:eastAsia="仿宋" w:cs="仿宋"/>
          <w:sz w:val="24"/>
        </w:rPr>
        <w:t>采用价格指数调整价格差额</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56"/>
        </w:numPr>
        <w:tabs>
          <w:tab w:val="left" w:pos="1380"/>
        </w:tabs>
        <w:kinsoku/>
        <w:wordWrap/>
        <w:overflowPunct/>
        <w:topLinePunct w:val="0"/>
        <w:autoSpaceDE/>
        <w:autoSpaceDN/>
        <w:bidi w:val="0"/>
        <w:spacing w:line="240" w:lineRule="auto"/>
        <w:ind w:left="1380" w:hanging="896"/>
        <w:jc w:val="both"/>
        <w:textAlignment w:val="auto"/>
        <w:rPr>
          <w:rFonts w:hint="eastAsia" w:ascii="仿宋" w:hAnsi="仿宋" w:eastAsia="仿宋" w:cs="仿宋"/>
          <w:sz w:val="24"/>
        </w:rPr>
      </w:pPr>
      <w:r>
        <w:rPr>
          <w:rFonts w:hint="eastAsia" w:ascii="仿宋" w:hAnsi="仿宋" w:eastAsia="仿宋" w:cs="仿宋"/>
          <w:sz w:val="24"/>
        </w:rPr>
        <w:t>价格调整公式</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价格调整公式后增加备注如下：</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760"/>
        <w:textAlignment w:val="auto"/>
        <w:rPr>
          <w:rFonts w:hint="eastAsia" w:ascii="仿宋" w:hAnsi="仿宋" w:eastAsia="仿宋" w:cs="仿宋"/>
          <w:sz w:val="24"/>
        </w:rPr>
      </w:pPr>
      <w:r>
        <w:rPr>
          <w:rFonts w:hint="eastAsia" w:ascii="仿宋" w:hAnsi="仿宋" w:eastAsia="仿宋" w:cs="仿宋"/>
          <w:sz w:val="24"/>
        </w:rPr>
        <w:t>式中，</w:t>
      </w:r>
      <w:r>
        <w:rPr>
          <w:rFonts w:hint="eastAsia" w:ascii="仿宋" w:hAnsi="仿宋" w:eastAsia="仿宋" w:cs="仿宋"/>
          <w:b/>
          <w:sz w:val="24"/>
        </w:rPr>
        <w:t>A=1－（B</w:t>
      </w:r>
      <w:r>
        <w:rPr>
          <w:rFonts w:hint="eastAsia" w:ascii="仿宋" w:hAnsi="仿宋" w:eastAsia="仿宋" w:cs="仿宋"/>
          <w:b/>
          <w:sz w:val="32"/>
          <w:vertAlign w:val="subscript"/>
        </w:rPr>
        <w:t>1</w:t>
      </w:r>
      <w:r>
        <w:rPr>
          <w:rFonts w:hint="eastAsia" w:ascii="仿宋" w:hAnsi="仿宋" w:eastAsia="仿宋" w:cs="仿宋"/>
          <w:b/>
          <w:sz w:val="24"/>
        </w:rPr>
        <w:t>＋B</w:t>
      </w:r>
      <w:r>
        <w:rPr>
          <w:rFonts w:hint="eastAsia" w:ascii="仿宋" w:hAnsi="仿宋" w:eastAsia="仿宋" w:cs="仿宋"/>
          <w:b/>
          <w:sz w:val="32"/>
          <w:vertAlign w:val="subscript"/>
        </w:rPr>
        <w:t>2</w:t>
      </w:r>
      <w:r>
        <w:rPr>
          <w:rFonts w:hint="eastAsia" w:ascii="仿宋" w:hAnsi="仿宋" w:eastAsia="仿宋" w:cs="仿宋"/>
          <w:b/>
          <w:sz w:val="24"/>
        </w:rPr>
        <w:t>＋B</w:t>
      </w:r>
      <w:r>
        <w:rPr>
          <w:rFonts w:hint="eastAsia" w:ascii="仿宋" w:hAnsi="仿宋" w:eastAsia="仿宋" w:cs="仿宋"/>
          <w:b/>
          <w:sz w:val="32"/>
          <w:vertAlign w:val="subscript"/>
        </w:rPr>
        <w:t>3</w:t>
      </w:r>
      <w:r>
        <w:rPr>
          <w:rFonts w:hint="eastAsia" w:ascii="仿宋" w:hAnsi="仿宋" w:eastAsia="仿宋" w:cs="仿宋"/>
          <w:b/>
          <w:sz w:val="24"/>
        </w:rPr>
        <w:t>＋</w:t>
      </w:r>
      <w:r>
        <w:rPr>
          <w:rFonts w:hint="eastAsia" w:ascii="仿宋" w:hAnsi="仿宋" w:eastAsia="仿宋" w:cs="仿宋"/>
          <w:b/>
          <w:sz w:val="32"/>
          <w:vertAlign w:val="subscript"/>
        </w:rPr>
        <w:t>……</w:t>
      </w:r>
      <w:r>
        <w:rPr>
          <w:rFonts w:hint="eastAsia" w:ascii="仿宋" w:hAnsi="仿宋" w:eastAsia="仿宋" w:cs="仿宋"/>
          <w:b/>
          <w:sz w:val="24"/>
        </w:rPr>
        <w:t>＋B</w:t>
      </w:r>
      <w:r>
        <w:rPr>
          <w:rFonts w:hint="eastAsia" w:ascii="仿宋" w:hAnsi="仿宋" w:eastAsia="仿宋" w:cs="仿宋"/>
          <w:b/>
          <w:sz w:val="32"/>
          <w:vertAlign w:val="subscript"/>
        </w:rPr>
        <w:t>n</w:t>
      </w:r>
      <w:r>
        <w:rPr>
          <w:rFonts w:hint="eastAsia" w:ascii="仿宋" w:hAnsi="仿宋" w:eastAsia="仿宋" w:cs="仿宋"/>
          <w:b/>
          <w:sz w:val="24"/>
        </w:rPr>
        <w:t>）</w:t>
      </w:r>
      <w:r>
        <w:rPr>
          <w:rFonts w:hint="eastAsia" w:ascii="仿宋" w:hAnsi="仿宋" w:eastAsia="仿宋" w:cs="仿宋"/>
          <w:sz w:val="24"/>
        </w:rPr>
        <w:t>。</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本目最后一段文字细化为：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在采用价格调整公式进行调价时，还应遵守以下规定：</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78"/>
        <w:textAlignment w:val="auto"/>
        <w:rPr>
          <w:rFonts w:hint="eastAsia" w:ascii="仿宋" w:hAnsi="仿宋" w:eastAsia="仿宋" w:cs="仿宋"/>
          <w:sz w:val="23"/>
        </w:rPr>
      </w:pPr>
      <w:r>
        <w:rPr>
          <w:rFonts w:hint="eastAsia" w:ascii="仿宋" w:hAnsi="仿宋" w:eastAsia="仿宋" w:cs="仿宋"/>
          <w:sz w:val="23"/>
        </w:rPr>
        <w:t>（1）以上价格调整公式中的各可调因子、定值权重，以及基本价格指数及其来源由发包人在投标函附录价格指数和权重表中约定。价格指数应首先采用国家或省、</w:t>
      </w:r>
      <w:bookmarkStart w:id="66" w:name="page145"/>
      <w:bookmarkEnd w:id="66"/>
      <w:r>
        <w:rPr>
          <w:rFonts w:hint="eastAsia" w:ascii="仿宋" w:hAnsi="仿宋" w:eastAsia="仿宋" w:cs="仿宋"/>
          <w:sz w:val="24"/>
        </w:rPr>
        <w:t>自治区、直辖市价格部门或统计部门提供的价格指数，缺乏上述价格指数时，可采用上述部门提供的价格代替。</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78"/>
        <w:jc w:val="both"/>
        <w:textAlignment w:val="auto"/>
        <w:rPr>
          <w:rFonts w:hint="eastAsia" w:ascii="仿宋" w:hAnsi="仿宋" w:eastAsia="仿宋" w:cs="仿宋"/>
          <w:sz w:val="24"/>
        </w:rPr>
      </w:pPr>
      <w:r>
        <w:rPr>
          <w:rFonts w:hint="eastAsia" w:ascii="仿宋" w:hAnsi="仿宋" w:eastAsia="仿宋" w:cs="仿宋"/>
          <w:sz w:val="24"/>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17. 计量与支付</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17.1 计量</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17.1.2 计量方法</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本项约定为：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工程的计量应以净值为准，除非项目专用合同条款另有约定。工程量清单中各个子目的具体计量方法按本合同文件工程量清单计量规则中的规定执行。</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17.1.4 单价子目的计量</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本项补充：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（7）承包人未在已标价工程量清单中填入单价或总额价的工程子目，将被认为其已包含在本合同的其他子目的单价和总额价中，发包人将不另行支付。</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17.1.5 总价子目的计量</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本项补充：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70"/>
        <w:textAlignment w:val="auto"/>
        <w:rPr>
          <w:rFonts w:hint="eastAsia" w:ascii="仿宋" w:hAnsi="仿宋" w:eastAsia="仿宋" w:cs="仿宋"/>
          <w:sz w:val="24"/>
        </w:rPr>
      </w:pPr>
      <w:r>
        <w:rPr>
          <w:rFonts w:hint="eastAsia" w:ascii="仿宋" w:hAnsi="仿宋" w:eastAsia="仿宋" w:cs="仿宋"/>
          <w:sz w:val="24"/>
        </w:rPr>
        <w:t>本项目工程量清单中要求承包人以“总额”方式报价的子目，各子目的支付原则和支付进度按项目专用合同条款的规定执行。</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57"/>
        </w:numPr>
        <w:tabs>
          <w:tab w:val="left" w:pos="540"/>
        </w:tabs>
        <w:kinsoku/>
        <w:wordWrap/>
        <w:overflowPunct/>
        <w:topLinePunct w:val="0"/>
        <w:autoSpaceDE/>
        <w:autoSpaceDN/>
        <w:bidi w:val="0"/>
        <w:spacing w:line="240" w:lineRule="auto"/>
        <w:ind w:left="540" w:hanging="536"/>
        <w:jc w:val="both"/>
        <w:textAlignment w:val="auto"/>
        <w:rPr>
          <w:rFonts w:hint="eastAsia" w:ascii="仿宋" w:hAnsi="仿宋" w:eastAsia="仿宋" w:cs="仿宋"/>
          <w:sz w:val="24"/>
        </w:rPr>
      </w:pPr>
      <w:r>
        <w:rPr>
          <w:rFonts w:hint="eastAsia" w:ascii="仿宋" w:hAnsi="仿宋" w:eastAsia="仿宋" w:cs="仿宋"/>
          <w:sz w:val="24"/>
        </w:rPr>
        <w:t>预付款</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57"/>
        </w:numPr>
        <w:tabs>
          <w:tab w:val="left" w:pos="1140"/>
        </w:tabs>
        <w:kinsoku/>
        <w:wordWrap/>
        <w:overflowPunct/>
        <w:topLinePunct w:val="0"/>
        <w:autoSpaceDE/>
        <w:autoSpaceDN/>
        <w:bidi w:val="0"/>
        <w:spacing w:line="240" w:lineRule="auto"/>
        <w:ind w:left="1140" w:hanging="665"/>
        <w:jc w:val="both"/>
        <w:textAlignment w:val="auto"/>
        <w:rPr>
          <w:rFonts w:hint="eastAsia" w:ascii="仿宋" w:hAnsi="仿宋" w:eastAsia="仿宋" w:cs="仿宋"/>
          <w:sz w:val="24"/>
        </w:rPr>
      </w:pPr>
      <w:r>
        <w:rPr>
          <w:rFonts w:hint="eastAsia" w:ascii="仿宋" w:hAnsi="仿宋" w:eastAsia="仿宋" w:cs="仿宋"/>
          <w:sz w:val="24"/>
        </w:rPr>
        <w:t>预付款</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本项约定为：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预付款包括开工预付款和材料、设备预付款。具体额度和预付办法如下：</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（1）开工预付款的金额在项目专用合同条款数据表中约定。在承包人签订了合同协议书且承包人承诺的主要设备进场后，监理人应在当期进度付款证书中向承包人支付开工预付款。</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承包人不得将该预付款用于与本工程无关的支出，监理人有权监督承包人对该项费用的使用，如经查实承包人滥用开工预付款，发包人有权立即向银行索赔履约保证金，并解除合同。</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565" w:firstLineChars="246"/>
        <w:textAlignment w:val="auto"/>
        <w:rPr>
          <w:rFonts w:hint="eastAsia" w:ascii="仿宋" w:hAnsi="仿宋" w:eastAsia="仿宋" w:cs="仿宋"/>
          <w:sz w:val="23"/>
        </w:rPr>
      </w:pPr>
      <w:r>
        <w:rPr>
          <w:rFonts w:hint="eastAsia" w:ascii="仿宋" w:hAnsi="仿宋" w:eastAsia="仿宋" w:cs="仿宋"/>
          <w:sz w:val="23"/>
        </w:rPr>
        <w:t>（2）</w:t>
      </w:r>
      <w:r>
        <w:rPr>
          <w:rFonts w:hint="eastAsia" w:ascii="仿宋" w:hAnsi="仿宋" w:eastAsia="仿宋" w:cs="仿宋"/>
          <w:sz w:val="24"/>
        </w:rPr>
        <w:t>材料、设备预付款按项目专用合同条款数据表中所列主要材料、设备单据费用（进口的材料、设备为到岸价，国内采购的为出厂价或销售价，地方材料为堆场价）的百分比支付。其预付条件为：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58"/>
        </w:numPr>
        <w:tabs>
          <w:tab w:val="left" w:pos="780"/>
        </w:tabs>
        <w:kinsoku/>
        <w:wordWrap/>
        <w:overflowPunct/>
        <w:topLinePunct w:val="0"/>
        <w:autoSpaceDE/>
        <w:autoSpaceDN/>
        <w:bidi w:val="0"/>
        <w:spacing w:line="240" w:lineRule="auto"/>
        <w:ind w:left="780" w:hanging="296"/>
        <w:jc w:val="both"/>
        <w:textAlignment w:val="auto"/>
        <w:rPr>
          <w:rFonts w:hint="eastAsia" w:ascii="仿宋" w:hAnsi="仿宋" w:eastAsia="仿宋" w:cs="仿宋"/>
          <w:sz w:val="24"/>
        </w:rPr>
      </w:pPr>
      <w:r>
        <w:rPr>
          <w:rFonts w:hint="eastAsia" w:ascii="仿宋" w:hAnsi="仿宋" w:eastAsia="仿宋" w:cs="仿宋"/>
          <w:sz w:val="24"/>
        </w:rPr>
        <w:t>材料、设备符合规范要求并经监理人认可；</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58"/>
        </w:numPr>
        <w:tabs>
          <w:tab w:val="left" w:pos="780"/>
        </w:tabs>
        <w:kinsoku/>
        <w:wordWrap/>
        <w:overflowPunct/>
        <w:topLinePunct w:val="0"/>
        <w:autoSpaceDE/>
        <w:autoSpaceDN/>
        <w:bidi w:val="0"/>
        <w:spacing w:line="240" w:lineRule="auto"/>
        <w:ind w:left="780" w:hanging="296"/>
        <w:jc w:val="both"/>
        <w:textAlignment w:val="auto"/>
        <w:rPr>
          <w:rFonts w:hint="eastAsia" w:ascii="仿宋" w:hAnsi="仿宋" w:eastAsia="仿宋" w:cs="仿宋"/>
          <w:sz w:val="24"/>
        </w:rPr>
      </w:pPr>
      <w:r>
        <w:rPr>
          <w:rFonts w:hint="eastAsia" w:ascii="仿宋" w:hAnsi="仿宋" w:eastAsia="仿宋" w:cs="仿宋"/>
          <w:sz w:val="24"/>
        </w:rPr>
        <w:t>承包人已出具材料、设备费用凭证或支付单据；</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58"/>
        </w:numPr>
        <w:tabs>
          <w:tab w:val="left" w:pos="766"/>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材料、设备已在现场交货，且存储良好，监理人认为材料、设备的存储方法符合要求。</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则监理人应将此项金额作为材料、设备预付款计入下一次的进度付款证书中。在预计交工前 3 个月，将不再支付材料、设备预付款。</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kinsoku/>
        <w:wordWrap/>
        <w:overflowPunct/>
        <w:topLinePunct w:val="0"/>
        <w:autoSpaceDE/>
        <w:autoSpaceDN/>
        <w:bidi w:val="0"/>
        <w:spacing w:line="240" w:lineRule="auto"/>
        <w:ind w:left="480"/>
        <w:jc w:val="both"/>
        <w:textAlignment w:val="auto"/>
        <w:rPr>
          <w:rFonts w:hint="eastAsia" w:ascii="仿宋" w:hAnsi="仿宋" w:eastAsia="仿宋" w:cs="仿宋"/>
          <w:sz w:val="24"/>
        </w:rPr>
      </w:pPr>
      <w:r>
        <w:rPr>
          <w:rFonts w:hint="eastAsia" w:ascii="仿宋" w:hAnsi="仿宋" w:eastAsia="仿宋" w:cs="仿宋"/>
          <w:sz w:val="24"/>
        </w:rPr>
        <w:t>17.2.2 预付款保函</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本项细化为：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承包人无须向发包人提交预付款保函。发包人向承包人支付的预付款，应按照</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jc w:val="both"/>
        <w:textAlignment w:val="auto"/>
        <w:rPr>
          <w:rFonts w:hint="eastAsia" w:ascii="仿宋" w:hAnsi="仿宋" w:eastAsia="仿宋" w:cs="仿宋"/>
          <w:sz w:val="24"/>
        </w:rPr>
      </w:pPr>
      <w:r>
        <w:rPr>
          <w:rFonts w:hint="eastAsia" w:ascii="仿宋" w:hAnsi="仿宋" w:eastAsia="仿宋" w:cs="仿宋"/>
          <w:sz w:val="24"/>
        </w:rPr>
        <w:t>本合同第 17.2.1 项规定使用，承包人提交的履约保证金对预付款的正常使用承担保证责任。</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20"/>
        <w:textAlignment w:val="auto"/>
        <w:rPr>
          <w:rFonts w:hint="eastAsia" w:ascii="仿宋" w:hAnsi="仿宋" w:eastAsia="仿宋" w:cs="仿宋"/>
          <w:sz w:val="24"/>
        </w:rPr>
      </w:pPr>
      <w:r>
        <w:rPr>
          <w:rFonts w:hint="eastAsia" w:ascii="仿宋" w:hAnsi="仿宋" w:eastAsia="仿宋" w:cs="仿宋"/>
          <w:sz w:val="24"/>
        </w:rPr>
        <w:t>17.2.3 预付款的扣回与还清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20"/>
        <w:textAlignment w:val="auto"/>
        <w:rPr>
          <w:rFonts w:hint="eastAsia" w:ascii="仿宋" w:hAnsi="仿宋" w:eastAsia="仿宋" w:cs="仿宋"/>
          <w:sz w:val="24"/>
        </w:rPr>
      </w:pPr>
      <w:r>
        <w:rPr>
          <w:rFonts w:hint="eastAsia" w:ascii="仿宋" w:hAnsi="仿宋" w:eastAsia="仿宋" w:cs="仿宋"/>
          <w:sz w:val="24"/>
        </w:rPr>
        <w:t>本项约定为：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20"/>
        <w:jc w:val="both"/>
        <w:textAlignment w:val="auto"/>
        <w:rPr>
          <w:rFonts w:hint="eastAsia" w:ascii="仿宋" w:hAnsi="仿宋" w:eastAsia="仿宋" w:cs="仿宋"/>
          <w:sz w:val="23"/>
        </w:rPr>
      </w:pPr>
      <w:r>
        <w:rPr>
          <w:rFonts w:hint="eastAsia" w:ascii="仿宋" w:hAnsi="仿宋" w:eastAsia="仿宋" w:cs="仿宋"/>
          <w:sz w:val="23"/>
        </w:rPr>
        <w:t>（1）开工预付款在进度付款证书的累计金额未达到签约合同价的 30%之前不予扣回，在达到签约合同价 30%之后，开始按工程进度以固定比例（即每完成签约合</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jc w:val="both"/>
        <w:textAlignment w:val="auto"/>
        <w:rPr>
          <w:rFonts w:hint="eastAsia" w:ascii="仿宋" w:hAnsi="仿宋" w:eastAsia="仿宋" w:cs="仿宋"/>
          <w:sz w:val="24"/>
        </w:rPr>
      </w:pPr>
      <w:r>
        <w:rPr>
          <w:rFonts w:hint="eastAsia" w:ascii="仿宋" w:hAnsi="仿宋" w:eastAsia="仿宋" w:cs="仿宋"/>
          <w:sz w:val="24"/>
        </w:rPr>
        <w:t>同价的 1%，扣回开工预付款的 2%）分期从各月的进度付款证书中扣回，全部金额在进度付款证书的累计金额达到签约合同价的 80%时扣完。</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20"/>
        <w:jc w:val="both"/>
        <w:textAlignment w:val="auto"/>
        <w:rPr>
          <w:rFonts w:hint="eastAsia" w:ascii="仿宋" w:hAnsi="仿宋" w:eastAsia="仿宋" w:cs="仿宋"/>
          <w:sz w:val="24"/>
        </w:rPr>
      </w:pPr>
      <w:r>
        <w:rPr>
          <w:rFonts w:hint="eastAsia" w:ascii="仿宋" w:hAnsi="仿宋" w:eastAsia="仿宋" w:cs="仿宋"/>
          <w:sz w:val="24"/>
        </w:rPr>
        <w:t>（2）当材料、设备已用于或安装在永久工程之中时，材料、设备预付款应从进度付款证书中扣回，扣回期不超过 3 个月。已经支付材料、设备预付款的材料、设备的所有权应属于发包人。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17.3 工程进度付款</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17.3.3 进度付款证书和支付时间</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本项（1）目补充：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本项（2）目细化为：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发包人应在监理人收到进度付款申请单且承包人提交了合格的增值税专用发票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后的 28 天内，将进度应付款支付给承包人。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firstLineChars="200"/>
        <w:textAlignment w:val="auto"/>
        <w:rPr>
          <w:rFonts w:hint="eastAsia" w:ascii="仿宋" w:hAnsi="仿宋" w:eastAsia="仿宋" w:cs="仿宋"/>
          <w:sz w:val="24"/>
        </w:rPr>
      </w:pPr>
      <w:r>
        <w:rPr>
          <w:rFonts w:hint="eastAsia" w:ascii="仿宋" w:hAnsi="仿宋" w:eastAsia="仿宋" w:cs="仿宋"/>
          <w:sz w:val="24"/>
        </w:rPr>
        <w:t>发包人不按期支付的，按项目专用合同条款数据表中约定的利率向承包人支付</w:t>
      </w:r>
      <w:bookmarkStart w:id="67" w:name="page147"/>
      <w:bookmarkEnd w:id="67"/>
      <w:r>
        <w:rPr>
          <w:rFonts w:hint="eastAsia" w:ascii="仿宋" w:hAnsi="仿宋" w:eastAsia="仿宋" w:cs="仿宋"/>
          <w:sz w:val="24"/>
        </w:rPr>
        <w:t>逾期付款违约金。违约金计算基数为发包人的全部未付款额，时间从应付而未付该款额之日算起（不计复利）。</w:t>
      </w:r>
    </w:p>
    <w:p>
      <w:pPr>
        <w:keepNext w:val="0"/>
        <w:keepLines w:val="0"/>
        <w:pageBreakBefore w:val="0"/>
        <w:widowControl/>
        <w:kinsoku/>
        <w:wordWrap/>
        <w:overflowPunct/>
        <w:topLinePunct w:val="0"/>
        <w:autoSpaceDE/>
        <w:autoSpaceDN/>
        <w:bidi w:val="0"/>
        <w:spacing w:line="240" w:lineRule="auto"/>
        <w:ind w:firstLine="400" w:firstLineChars="200"/>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本款补充第 17.3.5 项：</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17.3.5 农民工工资保证金</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3"/>
        </w:rPr>
      </w:pPr>
      <w:r>
        <w:rPr>
          <w:rFonts w:hint="eastAsia" w:ascii="仿宋" w:hAnsi="仿宋" w:eastAsia="仿宋" w:cs="仿宋"/>
          <w:sz w:val="23"/>
        </w:rPr>
        <w:t>（1）为确保施工过程中农民工工资实时、足额发放到位，承包人应按照项目专</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用合同条款约定的时间和金额缴存农民工工资保证金。</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3"/>
        </w:rPr>
      </w:pPr>
      <w:r>
        <w:rPr>
          <w:rFonts w:hint="eastAsia" w:ascii="仿宋" w:hAnsi="仿宋" w:eastAsia="仿宋" w:cs="仿宋"/>
          <w:sz w:val="23"/>
        </w:rPr>
        <w:t>（2）农民工工资保证金可采用银行保函或现金、支票形式。采用银行保函时，</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出具保函的银行须具有相应担保能力，且按照发包人批准的格式出具，所需费用由</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承包人承担。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rPr>
      </w:pPr>
      <w:r>
        <w:rPr>
          <w:rFonts w:hint="eastAsia" w:ascii="仿宋" w:hAnsi="仿宋" w:eastAsia="仿宋" w:cs="仿宋"/>
          <w:sz w:val="23"/>
        </w:rPr>
        <w:t>（3）农民工工资保证金的扣留条件、返还时间按照项目专用合同条款的约定执</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行。</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59"/>
        </w:numPr>
        <w:tabs>
          <w:tab w:val="left" w:pos="540"/>
        </w:tabs>
        <w:kinsoku/>
        <w:wordWrap/>
        <w:overflowPunct/>
        <w:topLinePunct w:val="0"/>
        <w:autoSpaceDE/>
        <w:autoSpaceDN/>
        <w:bidi w:val="0"/>
        <w:spacing w:line="240" w:lineRule="auto"/>
        <w:ind w:left="540" w:hanging="536"/>
        <w:jc w:val="both"/>
        <w:textAlignment w:val="auto"/>
        <w:rPr>
          <w:rFonts w:hint="eastAsia" w:ascii="仿宋" w:hAnsi="仿宋" w:eastAsia="仿宋" w:cs="仿宋"/>
          <w:sz w:val="24"/>
        </w:rPr>
      </w:pPr>
      <w:r>
        <w:rPr>
          <w:rFonts w:hint="eastAsia" w:ascii="仿宋" w:hAnsi="仿宋" w:eastAsia="仿宋" w:cs="仿宋"/>
          <w:sz w:val="24"/>
        </w:rPr>
        <w:t>质量保证金</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59"/>
        </w:numPr>
        <w:tabs>
          <w:tab w:val="left" w:pos="780"/>
        </w:tabs>
        <w:kinsoku/>
        <w:wordWrap/>
        <w:overflowPunct/>
        <w:topLinePunct w:val="0"/>
        <w:autoSpaceDE/>
        <w:autoSpaceDN/>
        <w:bidi w:val="0"/>
        <w:spacing w:line="240" w:lineRule="auto"/>
        <w:ind w:left="780" w:hanging="296"/>
        <w:jc w:val="both"/>
        <w:textAlignment w:val="auto"/>
        <w:rPr>
          <w:rFonts w:hint="eastAsia" w:ascii="仿宋" w:hAnsi="仿宋" w:eastAsia="仿宋" w:cs="仿宋"/>
          <w:sz w:val="24"/>
        </w:rPr>
      </w:pPr>
      <w:r>
        <w:rPr>
          <w:rFonts w:hint="eastAsia" w:ascii="仿宋" w:hAnsi="仿宋" w:eastAsia="仿宋" w:cs="仿宋"/>
          <w:sz w:val="24"/>
        </w:rPr>
        <w:t>17.4.1 项、第 17.4.2 项细化为：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60"/>
        </w:numPr>
        <w:tabs>
          <w:tab w:val="left" w:pos="1200"/>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交工验收证书签发后 14 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质量保证金采用现金、支票形式提交的，发包人应在项目专用合同条款数据表中明确是否计付利息以及利息的计算方式。</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60"/>
        </w:numPr>
        <w:tabs>
          <w:tab w:val="left" w:pos="1200"/>
        </w:tabs>
        <w:kinsoku/>
        <w:wordWrap/>
        <w:overflowPunct/>
        <w:topLinePunct w:val="0"/>
        <w:autoSpaceDE/>
        <w:autoSpaceDN/>
        <w:bidi w:val="0"/>
        <w:spacing w:line="240" w:lineRule="auto"/>
        <w:ind w:left="1200" w:hanging="716"/>
        <w:jc w:val="both"/>
        <w:textAlignment w:val="auto"/>
        <w:rPr>
          <w:rFonts w:hint="eastAsia" w:ascii="仿宋" w:hAnsi="仿宋" w:eastAsia="仿宋" w:cs="仿宋"/>
          <w:sz w:val="23"/>
        </w:rPr>
      </w:pPr>
      <w:r>
        <w:rPr>
          <w:rFonts w:hint="eastAsia" w:ascii="仿宋" w:hAnsi="仿宋" w:eastAsia="仿宋" w:cs="仿宋"/>
          <w:sz w:val="23"/>
        </w:rPr>
        <w:t>在第 1.1.4.5 目约定的缺陷责任期满，且质量监督机构已按规定对工程质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量检测鉴定合格，承包人向发包人申请到期应返还承包人剩余的质量保证金金额，</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发包人应在 14 天内会同承包人按照合同约定的内容核实承包人是否完成缺陷责任。如无异议，发包人应当在核实后将剩余保证金返还承包人。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61"/>
        </w:numPr>
        <w:tabs>
          <w:tab w:val="left" w:pos="540"/>
        </w:tabs>
        <w:kinsoku/>
        <w:wordWrap/>
        <w:overflowPunct/>
        <w:topLinePunct w:val="0"/>
        <w:autoSpaceDE/>
        <w:autoSpaceDN/>
        <w:bidi w:val="0"/>
        <w:spacing w:line="240" w:lineRule="auto"/>
        <w:ind w:left="540" w:hanging="536"/>
        <w:jc w:val="both"/>
        <w:textAlignment w:val="auto"/>
        <w:rPr>
          <w:rFonts w:hint="eastAsia" w:ascii="仿宋" w:hAnsi="仿宋" w:eastAsia="仿宋" w:cs="仿宋"/>
          <w:sz w:val="24"/>
        </w:rPr>
      </w:pPr>
      <w:r>
        <w:rPr>
          <w:rFonts w:hint="eastAsia" w:ascii="仿宋" w:hAnsi="仿宋" w:eastAsia="仿宋" w:cs="仿宋"/>
          <w:sz w:val="24"/>
        </w:rPr>
        <w:t>交工结算</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61"/>
        </w:numPr>
        <w:tabs>
          <w:tab w:val="left" w:pos="1200"/>
        </w:tabs>
        <w:kinsoku/>
        <w:wordWrap/>
        <w:overflowPunct/>
        <w:topLinePunct w:val="0"/>
        <w:autoSpaceDE/>
        <w:autoSpaceDN/>
        <w:bidi w:val="0"/>
        <w:spacing w:line="240" w:lineRule="auto"/>
        <w:ind w:left="1200" w:hanging="725"/>
        <w:jc w:val="both"/>
        <w:textAlignment w:val="auto"/>
        <w:rPr>
          <w:rFonts w:hint="eastAsia" w:ascii="仿宋" w:hAnsi="仿宋" w:eastAsia="仿宋" w:cs="仿宋"/>
          <w:sz w:val="24"/>
        </w:rPr>
      </w:pPr>
      <w:r>
        <w:rPr>
          <w:rFonts w:hint="eastAsia" w:ascii="仿宋" w:hAnsi="仿宋" w:eastAsia="仿宋" w:cs="仿宋"/>
          <w:sz w:val="24"/>
        </w:rPr>
        <w:t>交工付款申请单</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本项（1）目约定为：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承包人向监理人提交交工付款申请单（包括相关证明材料）的份数在项目专用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合同条款数据表中约定；期限：交工验收证书签发后 42 天内。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17.5.2 交工付款证书及支付时间</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本项（2）目细化为：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566" w:firstLineChars="236"/>
        <w:textAlignment w:val="auto"/>
        <w:rPr>
          <w:rFonts w:hint="eastAsia" w:ascii="仿宋" w:hAnsi="仿宋" w:eastAsia="仿宋" w:cs="仿宋"/>
          <w:sz w:val="24"/>
        </w:rPr>
      </w:pPr>
      <w:r>
        <w:rPr>
          <w:rFonts w:hint="eastAsia" w:ascii="仿宋" w:hAnsi="仿宋" w:eastAsia="仿宋" w:cs="仿宋"/>
          <w:sz w:val="24"/>
        </w:rPr>
        <w:t>发包人应在监理人出具交工付款证书且承包人提交了合格的增值税专用发票后</w:t>
      </w:r>
      <w:bookmarkStart w:id="68" w:name="page148"/>
      <w:bookmarkEnd w:id="68"/>
      <w:r>
        <w:rPr>
          <w:rFonts w:hint="eastAsia" w:ascii="仿宋" w:hAnsi="仿宋" w:eastAsia="仿宋" w:cs="仿宋"/>
          <w:sz w:val="24"/>
        </w:rPr>
        <w:t>的 14 天内，将应支付款支付给承包人。发包人不按期支付的，按第 17.3.3（2）目的约定，将逾期付款违约金支付给承包人。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62"/>
        </w:numPr>
        <w:tabs>
          <w:tab w:val="left" w:pos="540"/>
        </w:tabs>
        <w:kinsoku/>
        <w:wordWrap/>
        <w:overflowPunct/>
        <w:topLinePunct w:val="0"/>
        <w:autoSpaceDE/>
        <w:autoSpaceDN/>
        <w:bidi w:val="0"/>
        <w:spacing w:line="240" w:lineRule="auto"/>
        <w:ind w:left="540" w:hanging="536"/>
        <w:jc w:val="both"/>
        <w:textAlignment w:val="auto"/>
        <w:rPr>
          <w:rFonts w:hint="eastAsia" w:ascii="仿宋" w:hAnsi="仿宋" w:eastAsia="仿宋" w:cs="仿宋"/>
          <w:sz w:val="24"/>
        </w:rPr>
      </w:pPr>
      <w:r>
        <w:rPr>
          <w:rFonts w:hint="eastAsia" w:ascii="仿宋" w:hAnsi="仿宋" w:eastAsia="仿宋" w:cs="仿宋"/>
          <w:sz w:val="24"/>
        </w:rPr>
        <w:t>最终结清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62"/>
        </w:numPr>
        <w:tabs>
          <w:tab w:val="left" w:pos="1190"/>
        </w:tabs>
        <w:kinsoku/>
        <w:wordWrap/>
        <w:overflowPunct/>
        <w:topLinePunct w:val="0"/>
        <w:autoSpaceDE/>
        <w:autoSpaceDN/>
        <w:bidi w:val="0"/>
        <w:spacing w:line="240" w:lineRule="auto"/>
        <w:ind w:left="480" w:hanging="5"/>
        <w:jc w:val="both"/>
        <w:textAlignment w:val="auto"/>
        <w:rPr>
          <w:rFonts w:hint="eastAsia" w:ascii="仿宋" w:hAnsi="仿宋" w:eastAsia="仿宋" w:cs="仿宋"/>
          <w:sz w:val="24"/>
        </w:rPr>
      </w:pPr>
      <w:r>
        <w:rPr>
          <w:rFonts w:hint="eastAsia" w:ascii="仿宋" w:hAnsi="仿宋" w:eastAsia="仿宋" w:cs="仿宋"/>
          <w:sz w:val="24"/>
        </w:rPr>
        <w:t>最终结清申请单本项（1）目约定为：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承包人向监理人提交最终结清申请单（包括相关证明材料）的份数在项目专用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合同条款数据表中约定；期限：缺陷责任期终止证书签发后 28 天内。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最终结清申请单中的总金额应认为是代表了根据合同规定应付给承包人的全部款项的最后结算。</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17.6.2 最终结清证书和支付时间</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本项（2）目细化为：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3"/>
        </w:rPr>
      </w:pPr>
      <w:r>
        <w:rPr>
          <w:rFonts w:hint="eastAsia" w:ascii="仿宋" w:hAnsi="仿宋" w:eastAsia="仿宋" w:cs="仿宋"/>
          <w:sz w:val="23"/>
        </w:rPr>
        <w:t>（2）发包人应在监理人出具最终结清证书且承包人提交了合格的增值税专用发票后的 14 天内，将应支付款支付给承包人。发包人不按期支付的，按第 17.3.3（2）</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目的约定，将逾期付款违约金支付给承包人。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18. 交工验收</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18.2 交工验收申请报告</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本款第（2）项约定为：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竣工资料的内容：承包人应按照《公路工程竣（交）工验收办法》和相关规定编制竣工资料。</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竣工资料的份数在项目专用合同条款数据表中约定。</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18.3 验收</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第 18.3.2 项补充：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第 18.3.5 项约定为：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经验收合格工程的实际交工日期，以最终提交交工验收申请报告的日期为准，并在交工验收证书中写明。</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bookmarkStart w:id="69" w:name="page149"/>
      <w:bookmarkEnd w:id="69"/>
      <w:r>
        <w:rPr>
          <w:rFonts w:hint="eastAsia" w:ascii="仿宋" w:hAnsi="仿宋" w:eastAsia="仿宋" w:cs="仿宋"/>
          <w:sz w:val="24"/>
        </w:rPr>
        <w:t>本款补充第 18.3.7 项：</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组织办理交工验收和签发交工验收证书的费用由发包人承担。但按照第 18.3.4</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项规定达不到合格标准的交工验收费用由承包人承担。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本条补充第 18.9 款：</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18.9 竣工文件</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承包人应按照《公路工程竣（交）工验收办法》的相关规定，在缺陷责任期内为竣工验收补充竣工资料，并在签发缺陷责任期终止证书之前提交。</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19. 缺陷责任与保修责任</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19.2 缺陷责任</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第 19.2.2 项补充：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在缺陷责任期内，承包人应尽快完成在交工验收证书中写明的未完成工作，并完成对本工程缺陷的修复或监理人指令的修补工作。</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19.5 承包人的进入权</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承包人在缺陷修复施工过程中，应服从管养单位的有关安全管理规定，由于承包人自身原因造成的人员伤亡、设备和材料的损毁及罚款等责任由承包人自负。</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19.7 保修责任</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（2）在全部工程交工验收前，已经发包人提前验收的单位工程，其保修期的起算日期相应提前。</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（3）工程保修期终止后 28 天内，监理人签发保修期终止证书。</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rPr>
      </w:pPr>
      <w:r>
        <w:rPr>
          <w:rFonts w:hint="eastAsia" w:ascii="仿宋" w:hAnsi="仿宋" w:eastAsia="仿宋" w:cs="仿宋"/>
          <w:sz w:val="23"/>
        </w:rPr>
        <w:t>（4）若承包人不履行保修义务和责任，则承包人应承担由于违约造成的法律后果，并由发包人将其违约行为上报省级交通运输主管部门，作为不良记录纳入公路</w:t>
      </w:r>
      <w:r>
        <w:rPr>
          <w:rFonts w:hint="eastAsia" w:ascii="仿宋" w:hAnsi="仿宋" w:eastAsia="仿宋" w:cs="仿宋"/>
          <w:sz w:val="24"/>
        </w:rPr>
        <w:t>建设市场信用信息管理系统。</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20. 保险</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63"/>
        </w:numPr>
        <w:tabs>
          <w:tab w:val="left" w:pos="480"/>
        </w:tabs>
        <w:kinsoku/>
        <w:wordWrap/>
        <w:overflowPunct/>
        <w:topLinePunct w:val="0"/>
        <w:autoSpaceDE/>
        <w:autoSpaceDN/>
        <w:bidi w:val="0"/>
        <w:spacing w:line="240" w:lineRule="auto"/>
        <w:ind w:left="480" w:hanging="476"/>
        <w:textAlignment w:val="auto"/>
        <w:rPr>
          <w:rFonts w:hint="eastAsia" w:ascii="仿宋" w:hAnsi="仿宋" w:eastAsia="仿宋" w:cs="仿宋"/>
          <w:sz w:val="24"/>
        </w:rPr>
      </w:pPr>
      <w:r>
        <w:rPr>
          <w:rFonts w:hint="eastAsia" w:ascii="仿宋" w:hAnsi="仿宋" w:eastAsia="仿宋" w:cs="仿宋"/>
          <w:sz w:val="24"/>
        </w:rPr>
        <w:t>工程保险本款约定为：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建筑工程一切险的投保内容：为本合同工程的永久工程、临时工程和设备及已运至施工工地用于永久工程的材料和设备所投的保险。</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保险金额：工程量清单第 100 章（不含建筑工程一切险及第三者责任险的保险费）至第 700 章的合计金额。</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保险费率：在项目专用合同条款数据表中约定。</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保险期限：开工日起直至本合同工程签发缺陷责任期终止证书止（即合同工期＋缺陷责任期）。</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承包人应以发包人和承包人的共同名义投保建筑工程一切险。建筑工程一切险</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jc w:val="both"/>
        <w:textAlignment w:val="auto"/>
        <w:rPr>
          <w:rFonts w:hint="eastAsia" w:ascii="仿宋" w:hAnsi="仿宋" w:eastAsia="仿宋" w:cs="仿宋"/>
          <w:sz w:val="24"/>
        </w:rPr>
      </w:pPr>
      <w:r>
        <w:rPr>
          <w:rFonts w:hint="eastAsia" w:ascii="仿宋" w:hAnsi="仿宋" w:eastAsia="仿宋" w:cs="仿宋"/>
          <w:sz w:val="24"/>
        </w:rPr>
        <w:t>的保险费由承包人报价时列入工程量清单第 100 章内。发包人在接到保险单后，将按照保险单的费用直接向承包人支付。</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20.4 第三者责任险</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第 20.4.2 项补充：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第三者责任险的保险费由承包人报价时列入工程量清单第 100 章内。发包人在接到保险单后，将按照保险单的费用直接向承包人支付。</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20.5 其他保险</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本款约定为：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20"/>
        <w:jc w:val="both"/>
        <w:textAlignment w:val="auto"/>
        <w:rPr>
          <w:rFonts w:hint="eastAsia" w:ascii="仿宋" w:hAnsi="仿宋" w:eastAsia="仿宋" w:cs="仿宋"/>
          <w:sz w:val="24"/>
        </w:rPr>
      </w:pPr>
      <w:r>
        <w:rPr>
          <w:rFonts w:hint="eastAsia" w:ascii="仿宋" w:hAnsi="仿宋" w:eastAsia="仿宋" w:cs="仿宋"/>
          <w:sz w:val="24"/>
        </w:rPr>
        <w:t>承包人应为其施工设备等办理保险，其投保金额应足以现场重置。办理本款保险的一切费用均由承包人承担，并包括在工程量清单的单价及总额价中，发包人不单独支付。</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64"/>
        </w:numPr>
        <w:tabs>
          <w:tab w:val="left" w:pos="540"/>
        </w:tabs>
        <w:kinsoku/>
        <w:wordWrap/>
        <w:overflowPunct/>
        <w:topLinePunct w:val="0"/>
        <w:autoSpaceDE/>
        <w:autoSpaceDN/>
        <w:bidi w:val="0"/>
        <w:spacing w:line="240" w:lineRule="auto"/>
        <w:ind w:left="540" w:hanging="536"/>
        <w:jc w:val="both"/>
        <w:textAlignment w:val="auto"/>
        <w:rPr>
          <w:rFonts w:hint="eastAsia" w:ascii="仿宋" w:hAnsi="仿宋" w:eastAsia="仿宋" w:cs="仿宋"/>
          <w:sz w:val="24"/>
        </w:rPr>
      </w:pPr>
      <w:r>
        <w:rPr>
          <w:rFonts w:hint="eastAsia" w:ascii="仿宋" w:hAnsi="仿宋" w:eastAsia="仿宋" w:cs="仿宋"/>
          <w:sz w:val="24"/>
        </w:rPr>
        <w:t>对各项保险的一般要求</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64"/>
        </w:numPr>
        <w:tabs>
          <w:tab w:val="left" w:pos="1120"/>
        </w:tabs>
        <w:kinsoku/>
        <w:wordWrap/>
        <w:overflowPunct/>
        <w:topLinePunct w:val="0"/>
        <w:autoSpaceDE/>
        <w:autoSpaceDN/>
        <w:bidi w:val="0"/>
        <w:spacing w:line="240" w:lineRule="auto"/>
        <w:ind w:left="400" w:hanging="4"/>
        <w:jc w:val="both"/>
        <w:textAlignment w:val="auto"/>
        <w:rPr>
          <w:rFonts w:hint="eastAsia" w:ascii="仿宋" w:hAnsi="仿宋" w:eastAsia="仿宋" w:cs="仿宋"/>
          <w:sz w:val="23"/>
        </w:rPr>
      </w:pPr>
      <w:r>
        <w:rPr>
          <w:rFonts w:hint="eastAsia" w:ascii="仿宋" w:hAnsi="仿宋" w:eastAsia="仿宋" w:cs="仿宋"/>
          <w:sz w:val="23"/>
        </w:rPr>
        <w:t>保险凭证本项约定为：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p>
      <w:pPr>
        <w:keepNext w:val="0"/>
        <w:keepLines w:val="0"/>
        <w:pageBreakBefore w:val="0"/>
        <w:widowControl/>
        <w:kinsoku/>
        <w:wordWrap/>
        <w:overflowPunct/>
        <w:topLinePunct w:val="0"/>
        <w:autoSpaceDE/>
        <w:autoSpaceDN/>
        <w:bidi w:val="0"/>
        <w:spacing w:line="240" w:lineRule="auto"/>
        <w:ind w:left="400"/>
        <w:jc w:val="both"/>
        <w:textAlignment w:val="auto"/>
        <w:rPr>
          <w:rFonts w:hint="eastAsia" w:ascii="仿宋" w:hAnsi="仿宋" w:eastAsia="仿宋" w:cs="仿宋"/>
          <w:sz w:val="23"/>
        </w:rPr>
      </w:pPr>
      <w:r>
        <w:rPr>
          <w:rFonts w:hint="eastAsia" w:ascii="仿宋" w:hAnsi="仿宋" w:eastAsia="仿宋" w:cs="仿宋"/>
          <w:sz w:val="23"/>
        </w:rPr>
        <w:t>承包人向发包人提交各项保险生效的证据和保险单副本的期限：开工后 56 天内。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p>
      <w:pPr>
        <w:keepNext w:val="0"/>
        <w:keepLines w:val="0"/>
        <w:pageBreakBefore w:val="0"/>
        <w:widowControl/>
        <w:numPr>
          <w:ilvl w:val="1"/>
          <w:numId w:val="65"/>
        </w:numPr>
        <w:tabs>
          <w:tab w:val="left" w:pos="1120"/>
        </w:tabs>
        <w:kinsoku/>
        <w:wordWrap/>
        <w:overflowPunct/>
        <w:topLinePunct w:val="0"/>
        <w:autoSpaceDE/>
        <w:autoSpaceDN/>
        <w:bidi w:val="0"/>
        <w:spacing w:line="240" w:lineRule="auto"/>
        <w:ind w:left="1120" w:hanging="724"/>
        <w:jc w:val="both"/>
        <w:textAlignment w:val="auto"/>
        <w:rPr>
          <w:rFonts w:hint="eastAsia" w:ascii="仿宋" w:hAnsi="仿宋" w:eastAsia="仿宋" w:cs="仿宋"/>
          <w:sz w:val="24"/>
        </w:rPr>
      </w:pPr>
      <w:r>
        <w:rPr>
          <w:rFonts w:hint="eastAsia" w:ascii="仿宋" w:hAnsi="仿宋" w:eastAsia="仿宋" w:cs="仿宋"/>
          <w:sz w:val="24"/>
        </w:rPr>
        <w:t>持续保险</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本项补充：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在整个合同期内，承包人应按合同条款规定保证足够的保险额。</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4"/>
        </w:rPr>
      </w:pPr>
      <w:r>
        <w:rPr>
          <w:rFonts w:hint="eastAsia" w:ascii="仿宋" w:hAnsi="仿宋" w:eastAsia="仿宋" w:cs="仿宋"/>
          <w:sz w:val="24"/>
        </w:rPr>
        <w:t>20.6.4 保险金不足的补偿</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本项细化为：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保险金不足以补偿损失的（包括免赔额和超过赔偿限额的部分），应由承包人和（或）发包人按合同约定负责补偿。</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4"/>
        </w:rPr>
      </w:pPr>
      <w:r>
        <w:rPr>
          <w:rFonts w:hint="eastAsia" w:ascii="仿宋" w:hAnsi="仿宋" w:eastAsia="仿宋" w:cs="仿宋"/>
          <w:sz w:val="24"/>
        </w:rPr>
        <w:t>20.6.5 未按约定投保的补救</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textAlignment w:val="auto"/>
        <w:rPr>
          <w:rFonts w:hint="eastAsia" w:ascii="仿宋" w:hAnsi="仿宋" w:eastAsia="仿宋" w:cs="仿宋"/>
          <w:sz w:val="24"/>
        </w:rPr>
      </w:pPr>
      <w:r>
        <w:rPr>
          <w:rFonts w:hint="eastAsia" w:ascii="仿宋" w:hAnsi="仿宋" w:eastAsia="仿宋" w:cs="仿宋"/>
          <w:sz w:val="24"/>
        </w:rPr>
        <w:t>本项（2）目细化为：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391"/>
        <w:textAlignment w:val="auto"/>
        <w:rPr>
          <w:rFonts w:hint="eastAsia" w:ascii="仿宋" w:hAnsi="仿宋" w:eastAsia="仿宋" w:cs="仿宋"/>
          <w:sz w:val="24"/>
        </w:rPr>
      </w:pPr>
      <w:r>
        <w:rPr>
          <w:rFonts w:hint="eastAsia" w:ascii="仿宋" w:hAnsi="仿宋" w:eastAsia="仿宋" w:cs="仿宋"/>
          <w:sz w:val="24"/>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21. 不可抗力</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21.1 不可抗力的确认</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第 21.1.1 项细化为：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不可抗力是指承包人和发包人在订立合同时不可预见，在工程施工过程中不可避免发生并不能克服的自然灾害和社会性突发事件。包括但不限于：</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（1）地震、海啸、火山爆发、泥石流、暴雨（雪）、台风、龙卷风、水灾等自然灾害；</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（2）战争、骚乱、暴动，但纯属承包人或其分包人派遣与雇用的人员由于本合同工程施工原因引起者除外；</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（3）核反应、辐射或放射性污染；（4）空中飞行物体坠落或非发包人或承包人责任造成的爆炸、火灾；（5）瘟疫；</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（6）项目专用合同条款约定的其他情形。</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66"/>
        </w:numPr>
        <w:tabs>
          <w:tab w:val="left" w:pos="540"/>
        </w:tabs>
        <w:kinsoku/>
        <w:wordWrap/>
        <w:overflowPunct/>
        <w:topLinePunct w:val="0"/>
        <w:autoSpaceDE/>
        <w:autoSpaceDN/>
        <w:bidi w:val="0"/>
        <w:spacing w:line="240" w:lineRule="auto"/>
        <w:ind w:left="540" w:hanging="536"/>
        <w:jc w:val="both"/>
        <w:textAlignment w:val="auto"/>
        <w:rPr>
          <w:rFonts w:hint="eastAsia" w:ascii="仿宋" w:hAnsi="仿宋" w:eastAsia="仿宋" w:cs="仿宋"/>
          <w:sz w:val="24"/>
        </w:rPr>
      </w:pPr>
      <w:r>
        <w:rPr>
          <w:rFonts w:hint="eastAsia" w:ascii="仿宋" w:hAnsi="仿宋" w:eastAsia="仿宋" w:cs="仿宋"/>
          <w:sz w:val="24"/>
        </w:rPr>
        <w:t>不可抗力后果及其处理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66"/>
        </w:numPr>
        <w:tabs>
          <w:tab w:val="left" w:pos="1200"/>
        </w:tabs>
        <w:kinsoku/>
        <w:wordWrap/>
        <w:overflowPunct/>
        <w:topLinePunct w:val="0"/>
        <w:autoSpaceDE/>
        <w:autoSpaceDN/>
        <w:bidi w:val="0"/>
        <w:spacing w:line="240" w:lineRule="auto"/>
        <w:ind w:left="1200" w:hanging="725"/>
        <w:jc w:val="both"/>
        <w:textAlignment w:val="auto"/>
        <w:rPr>
          <w:rFonts w:hint="eastAsia" w:ascii="仿宋" w:hAnsi="仿宋" w:eastAsia="仿宋" w:cs="仿宋"/>
          <w:sz w:val="24"/>
        </w:rPr>
      </w:pPr>
      <w:r>
        <w:rPr>
          <w:rFonts w:hint="eastAsia" w:ascii="仿宋" w:hAnsi="仿宋" w:eastAsia="仿宋" w:cs="仿宋"/>
          <w:sz w:val="24"/>
        </w:rPr>
        <w:t>因不可抗力解除合同</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本项细化为：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566" w:firstLineChars="236"/>
        <w:textAlignment w:val="auto"/>
        <w:rPr>
          <w:rFonts w:hint="eastAsia" w:ascii="仿宋" w:hAnsi="仿宋" w:eastAsia="仿宋" w:cs="仿宋"/>
          <w:sz w:val="24"/>
        </w:rPr>
      </w:pPr>
      <w:r>
        <w:rPr>
          <w:rFonts w:hint="eastAsia" w:ascii="仿宋" w:hAnsi="仿宋" w:eastAsia="仿宋" w:cs="仿宋"/>
          <w:sz w:val="24"/>
        </w:rPr>
        <w:t>合同一方当事人因不可抗力不能履行合同的，应当及时通知对方解除合同。合同解除后，承包人应按照第 22.2.5 项约定撤离施工场地。已经订货的材料、设备由</w:t>
      </w:r>
      <w:r>
        <w:rPr>
          <w:rFonts w:hint="eastAsia" w:ascii="仿宋" w:hAnsi="仿宋" w:eastAsia="仿宋" w:cs="仿宋"/>
          <w:sz w:val="23"/>
        </w:rPr>
        <w:t>订货方负责退货或解除订货合同，不能退还的货款和因退货、解除订货合同发生的费用，由发包人承担，因未及时退货造成的损失由责任方承担。合同解除后的付款，</w:t>
      </w:r>
      <w:r>
        <w:rPr>
          <w:rFonts w:hint="eastAsia" w:ascii="仿宋" w:hAnsi="仿宋" w:eastAsia="仿宋" w:cs="仿宋"/>
          <w:sz w:val="24"/>
        </w:rPr>
        <w:t>参照第 22.2.4 项约定，由监理人按第 3.5 款商定或确定，但由于解除合同应赔偿的承包人损失不予考虑。</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22. 违约</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67"/>
        </w:numPr>
        <w:tabs>
          <w:tab w:val="left" w:pos="540"/>
        </w:tabs>
        <w:kinsoku/>
        <w:wordWrap/>
        <w:overflowPunct/>
        <w:topLinePunct w:val="0"/>
        <w:autoSpaceDE/>
        <w:autoSpaceDN/>
        <w:bidi w:val="0"/>
        <w:spacing w:line="240" w:lineRule="auto"/>
        <w:ind w:left="540" w:hanging="536"/>
        <w:jc w:val="both"/>
        <w:textAlignment w:val="auto"/>
        <w:rPr>
          <w:rFonts w:hint="eastAsia" w:ascii="仿宋" w:hAnsi="仿宋" w:eastAsia="仿宋" w:cs="仿宋"/>
          <w:sz w:val="24"/>
        </w:rPr>
      </w:pPr>
      <w:r>
        <w:rPr>
          <w:rFonts w:hint="eastAsia" w:ascii="仿宋" w:hAnsi="仿宋" w:eastAsia="仿宋" w:cs="仿宋"/>
          <w:sz w:val="24"/>
        </w:rPr>
        <w:t>承包人违约</w:t>
      </w:r>
    </w:p>
    <w:p>
      <w:pPr>
        <w:keepNext w:val="0"/>
        <w:keepLines w:val="0"/>
        <w:pageBreakBefore w:val="0"/>
        <w:widowControl/>
        <w:numPr>
          <w:ilvl w:val="1"/>
          <w:numId w:val="67"/>
        </w:numPr>
        <w:tabs>
          <w:tab w:val="left" w:pos="1200"/>
        </w:tabs>
        <w:kinsoku/>
        <w:wordWrap/>
        <w:overflowPunct/>
        <w:topLinePunct w:val="0"/>
        <w:autoSpaceDE/>
        <w:autoSpaceDN/>
        <w:bidi w:val="0"/>
        <w:spacing w:line="240" w:lineRule="auto"/>
        <w:ind w:left="1200" w:hanging="716"/>
        <w:jc w:val="both"/>
        <w:textAlignment w:val="auto"/>
        <w:rPr>
          <w:rFonts w:hint="eastAsia" w:ascii="仿宋" w:hAnsi="仿宋" w:eastAsia="仿宋" w:cs="仿宋"/>
        </w:rPr>
      </w:pPr>
      <w:r>
        <w:rPr>
          <w:rFonts w:hint="eastAsia" w:ascii="仿宋" w:hAnsi="仿宋" w:eastAsia="仿宋" w:cs="仿宋"/>
          <w:sz w:val="24"/>
        </w:rPr>
        <w:t>承包人违约的情形</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rPr>
      </w:pPr>
      <w:r>
        <w:rPr>
          <w:rFonts w:hint="eastAsia" w:ascii="仿宋" w:hAnsi="仿宋" w:eastAsia="仿宋" w:cs="仿宋"/>
          <w:sz w:val="24"/>
        </w:rPr>
        <w:t>本项（2）目细化为：</w:t>
      </w: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rPr>
      </w:pPr>
      <w:r>
        <w:rPr>
          <w:rFonts w:hint="eastAsia" w:ascii="仿宋" w:hAnsi="仿宋" w:eastAsia="仿宋" w:cs="仿宋"/>
          <w:sz w:val="24"/>
        </w:rPr>
        <w:t>（2）承包人违反第 5.3 款或第 6.4 款的约定，未经监理人批准，私自将已按合同约定进入施工场地的施工设备、临时设施、材料或工程设备撤离施工场地；</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rPr>
      </w:pPr>
      <w:r>
        <w:rPr>
          <w:rFonts w:hint="eastAsia" w:ascii="仿宋" w:hAnsi="仿宋" w:eastAsia="仿宋" w:cs="仿宋"/>
          <w:sz w:val="24"/>
        </w:rPr>
        <w:t>本项（7）目细化为：</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rPr>
      </w:pPr>
      <w:r>
        <w:rPr>
          <w:rFonts w:hint="eastAsia" w:ascii="仿宋" w:hAnsi="仿宋" w:eastAsia="仿宋" w:cs="仿宋"/>
          <w:sz w:val="24"/>
        </w:rPr>
        <w:t>（7）承包人未能按期开工；</w:t>
      </w: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rPr>
      </w:pPr>
      <w:r>
        <w:rPr>
          <w:rFonts w:hint="eastAsia" w:ascii="仿宋" w:hAnsi="仿宋" w:eastAsia="仿宋" w:cs="仿宋"/>
          <w:sz w:val="24"/>
        </w:rPr>
        <w:t>（8）承包人违反第 4.6 款或第 6.3 款的规定，未按承诺或未按监理人的要求及时配备称职的主要管理人员、技术骨干或关键施工设备；</w:t>
      </w: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rPr>
      </w:pPr>
      <w:r>
        <w:rPr>
          <w:rFonts w:hint="eastAsia" w:ascii="仿宋" w:hAnsi="仿宋" w:eastAsia="仿宋" w:cs="仿宋"/>
          <w:sz w:val="24"/>
        </w:rPr>
        <w:t>（9）经监理人和发包人检查，发现承包人有安全问题或有违反安全管理规章制度的情况；</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rPr>
      </w:pPr>
      <w:r>
        <w:rPr>
          <w:rFonts w:hint="eastAsia" w:ascii="仿宋" w:hAnsi="仿宋" w:eastAsia="仿宋" w:cs="仿宋"/>
          <w:sz w:val="24"/>
        </w:rPr>
        <w:t>（10）承包人不按合同约定履行义务的其他情况。</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rPr>
      </w:pPr>
      <w:r>
        <w:rPr>
          <w:rFonts w:hint="eastAsia" w:ascii="仿宋" w:hAnsi="仿宋" w:eastAsia="仿宋" w:cs="仿宋"/>
          <w:sz w:val="24"/>
        </w:rPr>
        <w:t>22.1.2 对承包人违约的处理</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rPr>
      </w:pPr>
      <w:r>
        <w:rPr>
          <w:rFonts w:hint="eastAsia" w:ascii="仿宋" w:hAnsi="仿宋" w:eastAsia="仿宋" w:cs="仿宋"/>
          <w:sz w:val="24"/>
        </w:rPr>
        <w:t>本项补充：</w:t>
      </w: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rPr>
      </w:pPr>
      <w:r>
        <w:rPr>
          <w:rFonts w:hint="eastAsia" w:ascii="仿宋" w:hAnsi="仿宋" w:eastAsia="仿宋" w:cs="仿宋"/>
          <w:sz w:val="24"/>
        </w:rPr>
        <w:t>（4）承包人发生第 22.1.1 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r>
        <w:rPr>
          <w:rFonts w:hint="eastAsia" w:ascii="仿宋" w:hAnsi="仿宋" w:eastAsia="仿宋" w:cs="仿宋"/>
          <w:sz w:val="24"/>
        </w:rPr>
        <w:t>22.2 发包人违约</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rPr>
      </w:pPr>
      <w:r>
        <w:rPr>
          <w:rFonts w:hint="eastAsia" w:ascii="仿宋" w:hAnsi="仿宋" w:eastAsia="仿宋" w:cs="仿宋"/>
          <w:sz w:val="24"/>
        </w:rPr>
        <w:t>22.2.1 发包人违约的情形</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rPr>
      </w:pPr>
      <w:r>
        <w:rPr>
          <w:rFonts w:hint="eastAsia" w:ascii="仿宋" w:hAnsi="仿宋" w:eastAsia="仿宋" w:cs="仿宋"/>
          <w:sz w:val="24"/>
        </w:rPr>
        <w:t>本项（5）目细化为：</w:t>
      </w: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rPr>
      </w:pPr>
      <w:r>
        <w:rPr>
          <w:rFonts w:hint="eastAsia" w:ascii="仿宋" w:hAnsi="仿宋" w:eastAsia="仿宋" w:cs="仿宋"/>
          <w:sz w:val="24"/>
        </w:rPr>
        <w:t>（5）发包人无正当理由不按时返还履约保证金、质量保证金或农民工工资保证金的；</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（6）发包人不履行合同约定其他义务的。</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22.2.2 承包人有权暂停施工</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bookmarkStart w:id="70" w:name="page153"/>
      <w:bookmarkEnd w:id="70"/>
      <w:r>
        <w:rPr>
          <w:rFonts w:hint="eastAsia" w:ascii="仿宋" w:hAnsi="仿宋" w:eastAsia="仿宋" w:cs="仿宋"/>
          <w:sz w:val="24"/>
        </w:rPr>
        <w:t>本项细化为：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70"/>
        <w:jc w:val="both"/>
        <w:textAlignment w:val="auto"/>
        <w:rPr>
          <w:rFonts w:hint="eastAsia" w:ascii="仿宋" w:hAnsi="仿宋" w:eastAsia="仿宋" w:cs="仿宋"/>
        </w:rPr>
      </w:pPr>
      <w:r>
        <w:rPr>
          <w:rFonts w:hint="eastAsia" w:ascii="仿宋" w:hAnsi="仿宋" w:eastAsia="仿宋" w:cs="仿宋"/>
          <w:sz w:val="23"/>
        </w:rPr>
        <w:t>发包人发生除第 22.2.1（4）、（5）目以外的违约情况时，承包人可向发包人发出通知，要求发包人采取有效措施纠正违约行为。发包人收到承包人通知后的 28 天</w:t>
      </w:r>
    </w:p>
    <w:p>
      <w:pPr>
        <w:keepNext w:val="0"/>
        <w:keepLines w:val="0"/>
        <w:pageBreakBefore w:val="0"/>
        <w:widowControl/>
        <w:kinsoku/>
        <w:wordWrap/>
        <w:overflowPunct/>
        <w:topLinePunct w:val="0"/>
        <w:autoSpaceDE/>
        <w:autoSpaceDN/>
        <w:bidi w:val="0"/>
        <w:spacing w:line="240" w:lineRule="auto"/>
        <w:jc w:val="both"/>
        <w:textAlignment w:val="auto"/>
        <w:rPr>
          <w:rFonts w:hint="eastAsia" w:ascii="仿宋" w:hAnsi="仿宋" w:eastAsia="仿宋" w:cs="仿宋"/>
          <w:sz w:val="24"/>
        </w:rPr>
      </w:pPr>
      <w:r>
        <w:rPr>
          <w:rFonts w:hint="eastAsia" w:ascii="仿宋" w:hAnsi="仿宋" w:eastAsia="仿宋" w:cs="仿宋"/>
          <w:sz w:val="24"/>
        </w:rPr>
        <w:t>内仍不履行合同义务，承包人有权暂停施工，并通知监理人，发包人应承担由此增加的费用和（或）工期延误，并支付承包人合理利润。</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70"/>
        <w:jc w:val="both"/>
        <w:textAlignment w:val="auto"/>
        <w:rPr>
          <w:rFonts w:hint="eastAsia" w:ascii="仿宋" w:hAnsi="仿宋" w:eastAsia="仿宋" w:cs="仿宋"/>
          <w:sz w:val="24"/>
        </w:rPr>
      </w:pPr>
      <w:r>
        <w:rPr>
          <w:rFonts w:hint="eastAsia" w:ascii="仿宋" w:hAnsi="仿宋" w:eastAsia="仿宋" w:cs="仿宋"/>
          <w:sz w:val="24"/>
        </w:rPr>
        <w:t>发包人发生第 22.2.1（5）目的违约情况时，承包人可向发包人发出通知，要求发包人采取有效措施纠正违约行为。发包人收到承包人通知后的 28 天内仍不返还履约保证金、质量保证金或农民工工资保证金的，发包人应按项目专用合同条款的约定向承包人支付逾期返还保证金的违约金。</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22.2.4 解除合同后的付款</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本项（2）目细化为：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（2）承包人为该工程施工订购并已付款的材料、工程设备和其他物品的金额。发包人付款后，该材料、工程设备和其他物品归发包人所有；</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23. 索赔</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23.1 承包人索赔的提出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本款第（4）项细化为：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（4）在索赔事件影响结束后的 28 天内，承包人应向监理人递交最终索赔通知书，说明最终要求索赔的追加付款金额和（或）延长的工期，并附必要的记录和证明材料。</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23.2 承包人索赔处理程序</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本款第（2）项细化为：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（2）监理人应按第 3.5 款商定或确定追加的付款和（或）延长的工期，并在收到上述索赔通知书或有关索赔的进一步证明材料后的 42 天内，将索赔处理结果报发包人批准后答复承包人。如果承包人提出的索赔要求未能遵守第 23.1（2）~（4）项的规定，则承包人只限于索赔由监理人按当时记录予以核实的那部分款额和（或）工期延长天数。</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bookmarkStart w:id="71" w:name="page154"/>
      <w:bookmarkEnd w:id="71"/>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8"/>
        </w:rPr>
      </w:pPr>
      <w:r>
        <w:rPr>
          <w:rFonts w:hint="eastAsia" w:ascii="仿宋" w:hAnsi="仿宋" w:eastAsia="仿宋" w:cs="仿宋"/>
          <w:sz w:val="28"/>
        </w:rPr>
        <w:t>24. 争议的解决</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24.3 争议评审</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第 24.3.1 项补充：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争议评审组由 3 人或 5 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本条补充第 24.4 款、第 24.5 款（适用于采用仲裁方式最终解决争议的项目）：</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24.4 仲裁</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（1）对于未能友好解决或未能通过争议评审解决的争议，发包人或承包人任一方均有权提交给第 24.1 款约定的仲裁委员会仲裁。</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rPr>
      </w:pPr>
      <w:r>
        <w:rPr>
          <w:rFonts w:hint="eastAsia" w:ascii="仿宋" w:hAnsi="仿宋" w:eastAsia="仿宋" w:cs="仿宋"/>
          <w:sz w:val="24"/>
        </w:rPr>
        <w:t>（3）仲裁裁决是终局性的并对发包人和承包人双方具有约束力。</w: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rPr>
      </w:pPr>
      <w:r>
        <w:rPr>
          <w:rFonts w:hint="eastAsia" w:ascii="仿宋" w:hAnsi="仿宋" w:eastAsia="仿宋" w:cs="仿宋"/>
          <w:sz w:val="24"/>
        </w:rPr>
        <w:t>（4）全部仲裁费用应由败诉方承担；或按仲裁委员会裁决的比例分担。</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24.5 仲裁的执行</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（1）任何一方不履行仲裁机构的裁决的，对方可以向有管辖权的人民法院申请执行。</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keepNext w:val="0"/>
        <w:keepLines w:val="0"/>
        <w:pageBreakBefore w:val="0"/>
        <w:widowControl/>
        <w:kinsoku/>
        <w:wordWrap/>
        <w:overflowPunct/>
        <w:topLinePunct w:val="0"/>
        <w:autoSpaceDE/>
        <w:autoSpaceDN/>
        <w:bidi w:val="0"/>
        <w:spacing w:line="240" w:lineRule="auto"/>
        <w:jc w:val="both"/>
        <w:textAlignment w:val="auto"/>
        <w:rPr>
          <w:rFonts w:hint="eastAsia" w:ascii="仿宋" w:hAnsi="仿宋" w:eastAsia="仿宋" w:cs="仿宋"/>
          <w:sz w:val="24"/>
        </w:rPr>
        <w:sectPr>
          <w:pgSz w:w="11900" w:h="16841"/>
          <w:pgMar w:top="851" w:right="1580" w:bottom="579" w:left="1640" w:header="567" w:footer="567" w:gutter="0"/>
          <w:cols w:space="720" w:num="1"/>
          <w:docGrid w:linePitch="360" w:charSpace="0"/>
        </w:sect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sectPr>
          <w:type w:val="continuous"/>
          <w:pgSz w:w="11900" w:h="16841"/>
          <w:pgMar w:top="851" w:right="9980" w:bottom="579" w:left="1640" w:header="0" w:footer="0" w:gutter="0"/>
          <w:cols w:space="720" w:num="1"/>
          <w:docGrid w:linePitch="360" w:charSpace="0"/>
        </w:sectPr>
      </w:pPr>
    </w:p>
    <w:p>
      <w:pPr>
        <w:keepNext w:val="0"/>
        <w:keepLines w:val="0"/>
        <w:pageBreakBefore w:val="0"/>
        <w:widowControl/>
        <w:kinsoku/>
        <w:wordWrap/>
        <w:overflowPunct/>
        <w:topLinePunct w:val="0"/>
        <w:autoSpaceDE/>
        <w:autoSpaceDN/>
        <w:bidi w:val="0"/>
        <w:spacing w:line="240" w:lineRule="auto"/>
        <w:ind w:left="2840"/>
        <w:textAlignment w:val="auto"/>
        <w:rPr>
          <w:rFonts w:hint="eastAsia" w:ascii="仿宋" w:hAnsi="仿宋" w:eastAsia="仿宋" w:cs="仿宋"/>
          <w:sz w:val="32"/>
        </w:rPr>
      </w:pPr>
      <w:bookmarkStart w:id="72" w:name="page155"/>
      <w:bookmarkEnd w:id="72"/>
      <w:r>
        <w:rPr>
          <w:rFonts w:hint="eastAsia" w:ascii="仿宋" w:hAnsi="仿宋" w:eastAsia="仿宋" w:cs="仿宋"/>
          <w:sz w:val="32"/>
        </w:rPr>
        <w:t>B. 项目专用合同条款</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tabs>
          <w:tab w:val="left" w:pos="460"/>
        </w:tabs>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说</w:t>
      </w:r>
      <w:r>
        <w:rPr>
          <w:rFonts w:hint="eastAsia" w:ascii="仿宋" w:hAnsi="仿宋" w:eastAsia="仿宋" w:cs="仿宋"/>
        </w:rPr>
        <w:tab/>
      </w:r>
      <w:r>
        <w:rPr>
          <w:rFonts w:hint="eastAsia" w:ascii="仿宋" w:hAnsi="仿宋" w:eastAsia="仿宋" w:cs="仿宋"/>
          <w:sz w:val="24"/>
        </w:rPr>
        <w:t>明：</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720"/>
        <w:jc w:val="both"/>
        <w:textAlignment w:val="auto"/>
        <w:rPr>
          <w:rFonts w:hint="eastAsia" w:ascii="仿宋" w:hAnsi="仿宋" w:eastAsia="仿宋" w:cs="仿宋"/>
          <w:sz w:val="24"/>
        </w:rPr>
      </w:pPr>
      <w:r>
        <w:rPr>
          <w:rFonts w:hint="eastAsia" w:ascii="仿宋" w:hAnsi="仿宋" w:eastAsia="仿宋" w:cs="仿宋"/>
          <w:sz w:val="24"/>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720"/>
        <w:textAlignment w:val="auto"/>
        <w:rPr>
          <w:rFonts w:hint="eastAsia" w:ascii="仿宋" w:hAnsi="仿宋" w:eastAsia="仿宋" w:cs="仿宋"/>
          <w:sz w:val="24"/>
        </w:rPr>
      </w:pPr>
      <w:r>
        <w:rPr>
          <w:rFonts w:hint="eastAsia" w:ascii="仿宋" w:hAnsi="仿宋" w:eastAsia="仿宋" w:cs="仿宋"/>
          <w:sz w:val="24"/>
        </w:rPr>
        <w:t>2.项目专用合同条款的编号应与通用合同条款和公路工程专用合同条款一</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致。</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720"/>
        <w:textAlignment w:val="auto"/>
        <w:rPr>
          <w:rFonts w:hint="eastAsia" w:ascii="仿宋" w:hAnsi="仿宋" w:eastAsia="仿宋" w:cs="仿宋"/>
          <w:sz w:val="24"/>
        </w:rPr>
      </w:pPr>
      <w:r>
        <w:rPr>
          <w:rFonts w:hint="eastAsia" w:ascii="仿宋" w:hAnsi="仿宋" w:eastAsia="仿宋" w:cs="仿宋"/>
          <w:sz w:val="24"/>
        </w:rPr>
        <w:t>3.项目专用合同条款可对下列内容进行补充和细化：</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720"/>
        <w:jc w:val="both"/>
        <w:textAlignment w:val="auto"/>
        <w:rPr>
          <w:rFonts w:hint="eastAsia" w:ascii="仿宋" w:hAnsi="仿宋" w:eastAsia="仿宋" w:cs="仿宋"/>
          <w:sz w:val="23"/>
        </w:rPr>
      </w:pPr>
      <w:r>
        <w:rPr>
          <w:rFonts w:hint="eastAsia" w:ascii="仿宋" w:hAnsi="仿宋" w:eastAsia="仿宋" w:cs="仿宋"/>
          <w:sz w:val="23"/>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720"/>
        <w:jc w:val="both"/>
        <w:textAlignment w:val="auto"/>
        <w:rPr>
          <w:rFonts w:hint="eastAsia" w:ascii="仿宋" w:hAnsi="仿宋" w:eastAsia="仿宋" w:cs="仿宋"/>
          <w:sz w:val="24"/>
        </w:rPr>
      </w:pPr>
      <w:r>
        <w:rPr>
          <w:rFonts w:hint="eastAsia" w:ascii="仿宋" w:hAnsi="仿宋" w:eastAsia="仿宋" w:cs="仿宋"/>
          <w:sz w:val="24"/>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720"/>
        <w:textAlignment w:val="auto"/>
        <w:rPr>
          <w:rFonts w:hint="eastAsia" w:ascii="仿宋" w:hAnsi="仿宋" w:eastAsia="仿宋" w:cs="仿宋"/>
          <w:sz w:val="24"/>
        </w:rPr>
      </w:pPr>
      <w:r>
        <w:rPr>
          <w:rFonts w:hint="eastAsia" w:ascii="仿宋" w:hAnsi="仿宋" w:eastAsia="仿宋" w:cs="仿宋"/>
          <w:sz w:val="24"/>
        </w:rPr>
        <w:t>（3）其他需要补充、细化的内容。</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sectPr>
          <w:pgSz w:w="11900" w:h="16841"/>
          <w:pgMar w:top="851" w:right="1500" w:bottom="610" w:left="1640" w:header="567" w:footer="567" w:gutter="0"/>
          <w:cols w:space="720" w:num="1"/>
          <w:docGrid w:linePitch="360" w:charSpace="0"/>
        </w:sectPr>
      </w:pPr>
    </w:p>
    <w:p>
      <w:pPr>
        <w:keepNext w:val="0"/>
        <w:keepLines w:val="0"/>
        <w:pageBreakBefore w:val="0"/>
        <w:widowControl/>
        <w:kinsoku/>
        <w:wordWrap/>
        <w:overflowPunct/>
        <w:topLinePunct w:val="0"/>
        <w:autoSpaceDE/>
        <w:autoSpaceDN/>
        <w:bidi w:val="0"/>
        <w:spacing w:line="240" w:lineRule="auto"/>
        <w:ind w:left="2680"/>
        <w:textAlignment w:val="auto"/>
        <w:rPr>
          <w:rFonts w:hint="eastAsia" w:ascii="仿宋" w:hAnsi="仿宋" w:eastAsia="仿宋" w:cs="仿宋"/>
          <w:sz w:val="32"/>
        </w:rPr>
      </w:pPr>
      <w:bookmarkStart w:id="73" w:name="page156"/>
      <w:bookmarkEnd w:id="73"/>
      <w:r>
        <w:rPr>
          <w:rFonts w:hint="eastAsia" w:ascii="仿宋" w:hAnsi="仿宋" w:eastAsia="仿宋" w:cs="仿宋"/>
          <w:sz w:val="32"/>
        </w:rPr>
        <w:t>项目专用合同条款数据表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760" w:hanging="659"/>
        <w:jc w:val="both"/>
        <w:textAlignment w:val="auto"/>
        <w:rPr>
          <w:rFonts w:hint="eastAsia" w:ascii="仿宋" w:hAnsi="仿宋" w:eastAsia="仿宋" w:cs="仿宋"/>
          <w:sz w:val="24"/>
        </w:rPr>
      </w:pPr>
      <w:r>
        <w:rPr>
          <w:rFonts w:hint="eastAsia" w:ascii="仿宋" w:hAnsi="仿宋" w:eastAsia="仿宋" w:cs="仿宋"/>
          <w:sz w:val="24"/>
        </w:rPr>
        <w:t>说明：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r>
        <w:rPr>
          <w:rFonts w:hint="eastAsia" w:ascii="仿宋" w:hAnsi="仿宋" w:eastAsia="仿宋" w:cs="仿宋"/>
          <w:sz w:val="24"/>
        </w:rPr>
        <mc:AlternateContent>
          <mc:Choice Requires="wps">
            <w:drawing>
              <wp:anchor distT="0" distB="0" distL="114300" distR="114300" simplePos="0" relativeHeight="252146688" behindDoc="1" locked="0" layoutInCell="0" allowOverlap="1">
                <wp:simplePos x="0" y="0"/>
                <wp:positionH relativeFrom="column">
                  <wp:posOffset>5734685</wp:posOffset>
                </wp:positionH>
                <wp:positionV relativeFrom="paragraph">
                  <wp:posOffset>198120</wp:posOffset>
                </wp:positionV>
                <wp:extent cx="12700" cy="12700"/>
                <wp:effectExtent l="0" t="0" r="0" b="0"/>
                <wp:wrapNone/>
                <wp:docPr id="48" name="矩形 48"/>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51.55pt;margin-top:15.6pt;height:1pt;width:1pt;z-index:-251169792;mso-width-relative:page;mso-height-relative:page;" fillcolor="#000000" filled="t" stroked="t" coordsize="21600,21600" o:allowincell="f" o:gfxdata="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YIZ2DWAAAACQEAAA8AAAAA&#10;AAAAAQAgAAAAIgAAAGRycy9kb3ducmV2LnhtbFBLAQIUABQAAAAIAIdO4kBjHGhP3QEAAM8DAAAO&#10;AAAAAAAAAAEAIAAAACUBAABkcnMvZTJvRG9jLnhtbFBLBQYAAAAABgAGAFkBAAB0BQAAAAA=&#10;">
                <v:fill on="t" focussize="0,0"/>
                <v:stroke color="#FFFFFF" joinstyle="miter"/>
                <v:imagedata o:title=""/>
                <o:lock v:ext="edit" aspectratio="f"/>
              </v:rect>
            </w:pict>
          </mc:Fallback>
        </mc:AlternateContent>
      </w:r>
    </w:p>
    <w:tbl>
      <w:tblPr>
        <w:tblStyle w:val="13"/>
        <w:tblW w:w="9060" w:type="dxa"/>
        <w:tblInd w:w="0" w:type="dxa"/>
        <w:tblLayout w:type="fixed"/>
        <w:tblCellMar>
          <w:top w:w="0" w:type="dxa"/>
          <w:left w:w="0" w:type="dxa"/>
          <w:bottom w:w="0" w:type="dxa"/>
          <w:right w:w="0" w:type="dxa"/>
        </w:tblCellMar>
      </w:tblPr>
      <w:tblGrid>
        <w:gridCol w:w="640"/>
        <w:gridCol w:w="1120"/>
        <w:gridCol w:w="740"/>
        <w:gridCol w:w="600"/>
        <w:gridCol w:w="420"/>
        <w:gridCol w:w="120"/>
        <w:gridCol w:w="120"/>
        <w:gridCol w:w="60"/>
        <w:gridCol w:w="120"/>
        <w:gridCol w:w="240"/>
        <w:gridCol w:w="420"/>
        <w:gridCol w:w="640"/>
        <w:gridCol w:w="100"/>
        <w:gridCol w:w="40"/>
        <w:gridCol w:w="80"/>
        <w:gridCol w:w="69"/>
        <w:gridCol w:w="131"/>
        <w:gridCol w:w="100"/>
        <w:gridCol w:w="40"/>
        <w:gridCol w:w="380"/>
        <w:gridCol w:w="420"/>
        <w:gridCol w:w="100"/>
        <w:gridCol w:w="60"/>
        <w:gridCol w:w="180"/>
        <w:gridCol w:w="400"/>
        <w:gridCol w:w="420"/>
        <w:gridCol w:w="120"/>
        <w:gridCol w:w="100"/>
        <w:gridCol w:w="620"/>
        <w:gridCol w:w="340"/>
        <w:gridCol w:w="120"/>
      </w:tblGrid>
      <w:tr>
        <w:tblPrEx>
          <w:tblLayout w:type="fixed"/>
          <w:tblCellMar>
            <w:top w:w="0" w:type="dxa"/>
            <w:left w:w="0" w:type="dxa"/>
            <w:bottom w:w="0" w:type="dxa"/>
            <w:right w:w="0" w:type="dxa"/>
          </w:tblCellMar>
        </w:tblPrEx>
        <w:trPr>
          <w:trHeight w:val="338" w:hRule="atLeast"/>
        </w:trPr>
        <w:tc>
          <w:tcPr>
            <w:tcW w:w="640" w:type="dxa"/>
            <w:tcBorders>
              <w:top w:val="single" w:color="auto" w:sz="8" w:space="0"/>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
                <w:w w:val="99"/>
                <w:sz w:val="21"/>
              </w:rPr>
            </w:pPr>
            <w:r>
              <w:rPr>
                <w:rFonts w:hint="eastAsia" w:ascii="仿宋" w:hAnsi="仿宋" w:eastAsia="仿宋" w:cs="仿宋"/>
                <w:b/>
                <w:w w:val="99"/>
                <w:sz w:val="21"/>
              </w:rPr>
              <w:t>序号</w:t>
            </w:r>
          </w:p>
        </w:tc>
        <w:tc>
          <w:tcPr>
            <w:tcW w:w="1120" w:type="dxa"/>
            <w:tcBorders>
              <w:top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
                <w:sz w:val="21"/>
              </w:rPr>
            </w:pPr>
            <w:r>
              <w:rPr>
                <w:rFonts w:hint="eastAsia" w:ascii="仿宋" w:hAnsi="仿宋" w:eastAsia="仿宋" w:cs="仿宋"/>
                <w:b/>
                <w:sz w:val="21"/>
              </w:rPr>
              <w:t>条目号</w:t>
            </w:r>
          </w:p>
        </w:tc>
        <w:tc>
          <w:tcPr>
            <w:tcW w:w="74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60" w:type="dxa"/>
            <w:gridSpan w:val="20"/>
            <w:tcBorders>
              <w:top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260"/>
              <w:textAlignment w:val="auto"/>
              <w:rPr>
                <w:rFonts w:hint="eastAsia" w:ascii="仿宋" w:hAnsi="仿宋" w:eastAsia="仿宋" w:cs="仿宋"/>
                <w:b/>
                <w:sz w:val="21"/>
              </w:rPr>
            </w:pPr>
            <w:r>
              <w:rPr>
                <w:rFonts w:hint="eastAsia" w:ascii="仿宋" w:hAnsi="仿宋" w:eastAsia="仿宋" w:cs="仿宋"/>
                <w:b/>
                <w:sz w:val="21"/>
              </w:rPr>
              <w:t>信息或数据</w:t>
            </w:r>
          </w:p>
        </w:tc>
      </w:tr>
      <w:tr>
        <w:tblPrEx>
          <w:tblLayout w:type="fixed"/>
          <w:tblCellMar>
            <w:top w:w="0" w:type="dxa"/>
            <w:left w:w="0" w:type="dxa"/>
            <w:bottom w:w="0" w:type="dxa"/>
            <w:right w:w="0" w:type="dxa"/>
          </w:tblCellMar>
        </w:tblPrEx>
        <w:trPr>
          <w:trHeight w:val="32" w:hRule="atLeast"/>
        </w:trPr>
        <w:tc>
          <w:tcPr>
            <w:tcW w:w="640" w:type="dxa"/>
            <w:tcBorders>
              <w:left w:val="single" w:color="auto" w:sz="8" w:space="0"/>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3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2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6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2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3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6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3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r>
      <w:tr>
        <w:tblPrEx>
          <w:tblLayout w:type="fixed"/>
          <w:tblCellMar>
            <w:top w:w="0" w:type="dxa"/>
            <w:left w:w="0" w:type="dxa"/>
            <w:bottom w:w="0" w:type="dxa"/>
            <w:right w:w="0" w:type="dxa"/>
          </w:tblCellMar>
        </w:tblPrEx>
        <w:trPr>
          <w:trHeight w:val="318" w:hRule="atLeast"/>
        </w:trPr>
        <w:tc>
          <w:tcPr>
            <w:tcW w:w="640" w:type="dxa"/>
            <w:vMerge w:val="restart"/>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4"/>
                <w:sz w:val="21"/>
              </w:rPr>
            </w:pPr>
            <w:r>
              <w:rPr>
                <w:rFonts w:hint="eastAsia" w:ascii="仿宋" w:hAnsi="仿宋" w:eastAsia="仿宋" w:cs="仿宋"/>
                <w:w w:val="94"/>
                <w:sz w:val="21"/>
              </w:rPr>
              <w:t>1</w:t>
            </w:r>
          </w:p>
        </w:tc>
        <w:tc>
          <w:tcPr>
            <w:tcW w:w="1120" w:type="dxa"/>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1.1.2.2</w:t>
            </w:r>
          </w:p>
        </w:tc>
        <w:tc>
          <w:tcPr>
            <w:tcW w:w="1880" w:type="dxa"/>
            <w:gridSpan w:val="4"/>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sz w:val="21"/>
              </w:rPr>
            </w:pPr>
            <w:r>
              <w:rPr>
                <w:rFonts w:hint="eastAsia" w:ascii="仿宋" w:hAnsi="仿宋" w:eastAsia="仿宋" w:cs="仿宋"/>
                <w:sz w:val="21"/>
              </w:rPr>
              <w:t>发 包 人：</w:t>
            </w: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PrEx>
        <w:trPr>
          <w:trHeight w:val="206" w:hRule="atLeast"/>
        </w:trPr>
        <w:tc>
          <w:tcPr>
            <w:tcW w:w="640" w:type="dxa"/>
            <w:vMerge w:val="continue"/>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120" w:type="dxa"/>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740" w:type="dxa"/>
            <w:vMerge w:val="restart"/>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sz w:val="21"/>
              </w:rPr>
            </w:pPr>
            <w:r>
              <w:rPr>
                <w:rFonts w:hint="eastAsia" w:ascii="仿宋" w:hAnsi="仿宋" w:eastAsia="仿宋" w:cs="仿宋"/>
                <w:sz w:val="21"/>
              </w:rPr>
              <w:t>地</w:t>
            </w:r>
          </w:p>
        </w:tc>
        <w:tc>
          <w:tcPr>
            <w:tcW w:w="1140" w:type="dxa"/>
            <w:gridSpan w:val="3"/>
            <w:vMerge w:val="restart"/>
            <w:noWrap w:val="0"/>
            <w:vAlign w:val="bottom"/>
          </w:tcPr>
          <w:p>
            <w:pPr>
              <w:keepNext w:val="0"/>
              <w:keepLines w:val="0"/>
              <w:pageBreakBefore w:val="0"/>
              <w:widowControl/>
              <w:kinsoku/>
              <w:wordWrap/>
              <w:overflowPunct/>
              <w:topLinePunct w:val="0"/>
              <w:autoSpaceDE/>
              <w:autoSpaceDN/>
              <w:bidi w:val="0"/>
              <w:spacing w:line="240" w:lineRule="auto"/>
              <w:ind w:left="220"/>
              <w:textAlignment w:val="auto"/>
              <w:rPr>
                <w:rFonts w:hint="eastAsia" w:ascii="仿宋" w:hAnsi="仿宋" w:eastAsia="仿宋" w:cs="仿宋"/>
                <w:sz w:val="21"/>
              </w:rPr>
            </w:pPr>
            <w:r>
              <w:rPr>
                <w:rFonts w:hint="eastAsia" w:ascii="仿宋" w:hAnsi="仿宋" w:eastAsia="仿宋" w:cs="仿宋"/>
                <w:sz w:val="21"/>
              </w:rPr>
              <w:t>址：</w:t>
            </w: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4460" w:type="dxa"/>
            <w:gridSpan w:val="20"/>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sz w:val="21"/>
              </w:rPr>
            </w:pPr>
            <w:r>
              <w:rPr>
                <w:rFonts w:hint="eastAsia" w:ascii="仿宋" w:hAnsi="仿宋" w:eastAsia="仿宋" w:cs="仿宋"/>
                <w:sz w:val="21"/>
              </w:rPr>
              <w:t>邮政编码：</w:t>
            </w:r>
          </w:p>
        </w:tc>
      </w:tr>
      <w:tr>
        <w:tblPrEx>
          <w:tblLayout w:type="fixed"/>
          <w:tblCellMar>
            <w:top w:w="0" w:type="dxa"/>
            <w:left w:w="0" w:type="dxa"/>
            <w:bottom w:w="0" w:type="dxa"/>
            <w:right w:w="0" w:type="dxa"/>
          </w:tblCellMar>
        </w:tblPrEx>
        <w:trPr>
          <w:trHeight w:val="154" w:hRule="atLeast"/>
        </w:trPr>
        <w:tc>
          <w:tcPr>
            <w:tcW w:w="640" w:type="dxa"/>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740" w:type="dxa"/>
            <w:vMerge w:val="continue"/>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140" w:type="dxa"/>
            <w:gridSpan w:val="3"/>
            <w:vMerge w:val="continue"/>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460" w:type="dxa"/>
            <w:gridSpan w:val="20"/>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r>
      <w:tr>
        <w:tblPrEx>
          <w:tblLayout w:type="fixed"/>
          <w:tblCellMar>
            <w:top w:w="0" w:type="dxa"/>
            <w:left w:w="0" w:type="dxa"/>
            <w:bottom w:w="0" w:type="dxa"/>
            <w:right w:w="0" w:type="dxa"/>
          </w:tblCellMar>
        </w:tblPrEx>
        <w:trPr>
          <w:trHeight w:val="32" w:hRule="atLeast"/>
        </w:trPr>
        <w:tc>
          <w:tcPr>
            <w:tcW w:w="640" w:type="dxa"/>
            <w:tcBorders>
              <w:left w:val="single" w:color="auto" w:sz="8" w:space="0"/>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3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2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6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2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3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6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3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r>
      <w:tr>
        <w:tblPrEx>
          <w:tblLayout w:type="fixed"/>
          <w:tblCellMar>
            <w:top w:w="0" w:type="dxa"/>
            <w:left w:w="0" w:type="dxa"/>
            <w:bottom w:w="0" w:type="dxa"/>
            <w:right w:w="0" w:type="dxa"/>
          </w:tblCellMar>
        </w:tblPrEx>
        <w:trPr>
          <w:trHeight w:val="320" w:hRule="atLeast"/>
        </w:trPr>
        <w:tc>
          <w:tcPr>
            <w:tcW w:w="640" w:type="dxa"/>
            <w:vMerge w:val="restart"/>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4"/>
                <w:sz w:val="21"/>
              </w:rPr>
            </w:pPr>
            <w:r>
              <w:rPr>
                <w:rFonts w:hint="eastAsia" w:ascii="仿宋" w:hAnsi="仿宋" w:eastAsia="仿宋" w:cs="仿宋"/>
                <w:w w:val="94"/>
                <w:sz w:val="21"/>
              </w:rPr>
              <w:t>2</w:t>
            </w:r>
          </w:p>
        </w:tc>
        <w:tc>
          <w:tcPr>
            <w:tcW w:w="1120" w:type="dxa"/>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1.1.2.6</w:t>
            </w:r>
          </w:p>
        </w:tc>
        <w:tc>
          <w:tcPr>
            <w:tcW w:w="1880" w:type="dxa"/>
            <w:gridSpan w:val="4"/>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sz w:val="21"/>
              </w:rPr>
            </w:pPr>
            <w:r>
              <w:rPr>
                <w:rFonts w:hint="eastAsia" w:ascii="仿宋" w:hAnsi="仿宋" w:eastAsia="仿宋" w:cs="仿宋"/>
                <w:sz w:val="21"/>
              </w:rPr>
              <w:t>监 理 人：</w:t>
            </w: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06" w:hRule="atLeast"/>
        </w:trPr>
        <w:tc>
          <w:tcPr>
            <w:tcW w:w="640" w:type="dxa"/>
            <w:vMerge w:val="continue"/>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120" w:type="dxa"/>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740" w:type="dxa"/>
            <w:vMerge w:val="restart"/>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sz w:val="21"/>
              </w:rPr>
            </w:pPr>
            <w:r>
              <w:rPr>
                <w:rFonts w:hint="eastAsia" w:ascii="仿宋" w:hAnsi="仿宋" w:eastAsia="仿宋" w:cs="仿宋"/>
                <w:sz w:val="21"/>
              </w:rPr>
              <w:t>地</w:t>
            </w:r>
          </w:p>
        </w:tc>
        <w:tc>
          <w:tcPr>
            <w:tcW w:w="1140" w:type="dxa"/>
            <w:gridSpan w:val="3"/>
            <w:vMerge w:val="restart"/>
            <w:noWrap w:val="0"/>
            <w:vAlign w:val="bottom"/>
          </w:tcPr>
          <w:p>
            <w:pPr>
              <w:keepNext w:val="0"/>
              <w:keepLines w:val="0"/>
              <w:pageBreakBefore w:val="0"/>
              <w:widowControl/>
              <w:kinsoku/>
              <w:wordWrap/>
              <w:overflowPunct/>
              <w:topLinePunct w:val="0"/>
              <w:autoSpaceDE/>
              <w:autoSpaceDN/>
              <w:bidi w:val="0"/>
              <w:spacing w:line="240" w:lineRule="auto"/>
              <w:ind w:left="220"/>
              <w:textAlignment w:val="auto"/>
              <w:rPr>
                <w:rFonts w:hint="eastAsia" w:ascii="仿宋" w:hAnsi="仿宋" w:eastAsia="仿宋" w:cs="仿宋"/>
                <w:sz w:val="21"/>
              </w:rPr>
            </w:pPr>
            <w:r>
              <w:rPr>
                <w:rFonts w:hint="eastAsia" w:ascii="仿宋" w:hAnsi="仿宋" w:eastAsia="仿宋" w:cs="仿宋"/>
                <w:sz w:val="21"/>
              </w:rPr>
              <w:t>址：</w:t>
            </w: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4460" w:type="dxa"/>
            <w:gridSpan w:val="20"/>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sz w:val="21"/>
              </w:rPr>
            </w:pPr>
            <w:r>
              <w:rPr>
                <w:rFonts w:hint="eastAsia" w:ascii="仿宋" w:hAnsi="仿宋" w:eastAsia="仿宋" w:cs="仿宋"/>
                <w:sz w:val="21"/>
              </w:rPr>
              <w:t>邮政编码：</w:t>
            </w:r>
          </w:p>
        </w:tc>
      </w:tr>
      <w:tr>
        <w:tblPrEx>
          <w:tblLayout w:type="fixed"/>
          <w:tblCellMar>
            <w:top w:w="0" w:type="dxa"/>
            <w:left w:w="0" w:type="dxa"/>
            <w:bottom w:w="0" w:type="dxa"/>
            <w:right w:w="0" w:type="dxa"/>
          </w:tblCellMar>
        </w:tblPrEx>
        <w:trPr>
          <w:trHeight w:val="154" w:hRule="atLeast"/>
        </w:trPr>
        <w:tc>
          <w:tcPr>
            <w:tcW w:w="640" w:type="dxa"/>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740" w:type="dxa"/>
            <w:vMerge w:val="continue"/>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140" w:type="dxa"/>
            <w:gridSpan w:val="3"/>
            <w:vMerge w:val="continue"/>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460" w:type="dxa"/>
            <w:gridSpan w:val="20"/>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r>
      <w:tr>
        <w:tblPrEx>
          <w:tblLayout w:type="fixed"/>
          <w:tblCellMar>
            <w:top w:w="0" w:type="dxa"/>
            <w:left w:w="0" w:type="dxa"/>
            <w:bottom w:w="0" w:type="dxa"/>
            <w:right w:w="0" w:type="dxa"/>
          </w:tblCellMar>
        </w:tblPrEx>
        <w:trPr>
          <w:trHeight w:val="32" w:hRule="atLeast"/>
        </w:trPr>
        <w:tc>
          <w:tcPr>
            <w:tcW w:w="640" w:type="dxa"/>
            <w:tcBorders>
              <w:left w:val="single" w:color="auto" w:sz="8" w:space="0"/>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3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6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6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69"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231"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3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6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3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r>
      <w:tr>
        <w:tblPrEx>
          <w:tblLayout w:type="fixed"/>
          <w:tblCellMar>
            <w:top w:w="0" w:type="dxa"/>
            <w:left w:w="0" w:type="dxa"/>
            <w:bottom w:w="0" w:type="dxa"/>
            <w:right w:w="0" w:type="dxa"/>
          </w:tblCellMar>
        </w:tblPrEx>
        <w:trPr>
          <w:trHeight w:val="314" w:hRule="atLeast"/>
        </w:trPr>
        <w:tc>
          <w:tcPr>
            <w:tcW w:w="640" w:type="dxa"/>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4"/>
                <w:sz w:val="21"/>
              </w:rPr>
            </w:pPr>
            <w:r>
              <w:rPr>
                <w:rFonts w:hint="eastAsia" w:ascii="仿宋" w:hAnsi="仿宋" w:eastAsia="仿宋" w:cs="仿宋"/>
                <w:w w:val="94"/>
                <w:sz w:val="21"/>
              </w:rPr>
              <w:t>3</w:t>
            </w:r>
          </w:p>
        </w:tc>
        <w:tc>
          <w:tcPr>
            <w:tcW w:w="1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1.1.4.5</w:t>
            </w:r>
          </w:p>
        </w:tc>
        <w:tc>
          <w:tcPr>
            <w:tcW w:w="3700" w:type="dxa"/>
            <w:gridSpan w:val="13"/>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w w:val="99"/>
                <w:sz w:val="21"/>
              </w:rPr>
            </w:pPr>
            <w:r>
              <w:rPr>
                <w:rFonts w:hint="eastAsia" w:ascii="仿宋" w:hAnsi="仿宋" w:eastAsia="仿宋" w:cs="仿宋"/>
                <w:w w:val="99"/>
                <w:sz w:val="21"/>
              </w:rPr>
              <w:t>缺陷责任期：自实际交工日期起计算</w:t>
            </w:r>
          </w:p>
        </w:tc>
        <w:tc>
          <w:tcPr>
            <w:tcW w:w="69"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31"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2</w:t>
            </w:r>
          </w:p>
        </w:tc>
        <w:tc>
          <w:tcPr>
            <w:tcW w:w="3300" w:type="dxa"/>
            <w:gridSpan w:val="13"/>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vertAlign w:val="superscript"/>
              </w:rPr>
            </w:pPr>
            <w:r>
              <w:rPr>
                <w:rFonts w:hint="eastAsia" w:ascii="仿宋" w:hAnsi="仿宋" w:eastAsia="仿宋" w:cs="仿宋"/>
                <w:sz w:val="21"/>
              </w:rPr>
              <w:t>年</w:t>
            </w:r>
          </w:p>
        </w:tc>
      </w:tr>
      <w:tr>
        <w:tblPrEx>
          <w:tblLayout w:type="fixed"/>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76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9"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71"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4" w:hRule="atLeast"/>
        </w:trPr>
        <w:tc>
          <w:tcPr>
            <w:tcW w:w="640" w:type="dxa"/>
            <w:vMerge w:val="restart"/>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4"/>
                <w:sz w:val="21"/>
              </w:rPr>
            </w:pPr>
            <w:r>
              <w:rPr>
                <w:rFonts w:hint="eastAsia" w:ascii="仿宋" w:hAnsi="仿宋" w:eastAsia="仿宋" w:cs="仿宋"/>
                <w:w w:val="94"/>
                <w:sz w:val="21"/>
              </w:rPr>
              <w:t>4</w:t>
            </w:r>
          </w:p>
        </w:tc>
        <w:tc>
          <w:tcPr>
            <w:tcW w:w="1120" w:type="dxa"/>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9"/>
                <w:sz w:val="21"/>
              </w:rPr>
            </w:pPr>
            <w:r>
              <w:rPr>
                <w:rFonts w:hint="eastAsia" w:ascii="仿宋" w:hAnsi="仿宋" w:eastAsia="仿宋" w:cs="仿宋"/>
                <w:w w:val="99"/>
                <w:sz w:val="21"/>
              </w:rPr>
              <w:t>1.6.3</w:t>
            </w:r>
          </w:p>
        </w:tc>
        <w:tc>
          <w:tcPr>
            <w:tcW w:w="7300" w:type="dxa"/>
            <w:gridSpan w:val="29"/>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sz w:val="21"/>
              </w:rPr>
            </w:pPr>
            <w:r>
              <w:rPr>
                <w:rFonts w:hint="eastAsia" w:ascii="仿宋" w:hAnsi="仿宋" w:eastAsia="仿宋" w:cs="仿宋"/>
                <w:sz w:val="21"/>
              </w:rPr>
              <w:t>图纸需要修改和补充的，应由监理人取得发包人同意后，在该工程或工程相</w:t>
            </w:r>
          </w:p>
        </w:tc>
      </w:tr>
      <w:tr>
        <w:tblPrEx>
          <w:tblLayout w:type="fixed"/>
          <w:tblCellMar>
            <w:top w:w="0" w:type="dxa"/>
            <w:left w:w="0" w:type="dxa"/>
            <w:bottom w:w="0" w:type="dxa"/>
            <w:right w:w="0" w:type="dxa"/>
          </w:tblCellMar>
        </w:tblPrEx>
        <w:trPr>
          <w:trHeight w:val="220" w:hRule="atLeast"/>
        </w:trPr>
        <w:tc>
          <w:tcPr>
            <w:tcW w:w="640" w:type="dxa"/>
            <w:vMerge w:val="continue"/>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120" w:type="dxa"/>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880" w:type="dxa"/>
            <w:gridSpan w:val="4"/>
            <w:vMerge w:val="restart"/>
            <w:noWrap w:val="0"/>
            <w:vAlign w:val="bottom"/>
          </w:tcPr>
          <w:p>
            <w:pPr>
              <w:keepNext w:val="0"/>
              <w:keepLines w:val="0"/>
              <w:pageBreakBefore w:val="0"/>
              <w:widowControl/>
              <w:kinsoku/>
              <w:wordWrap/>
              <w:overflowPunct/>
              <w:topLinePunct w:val="0"/>
              <w:autoSpaceDE/>
              <w:autoSpaceDN/>
              <w:bidi w:val="0"/>
              <w:spacing w:line="240" w:lineRule="auto"/>
              <w:ind w:left="80"/>
              <w:textAlignment w:val="auto"/>
              <w:rPr>
                <w:rFonts w:hint="eastAsia" w:ascii="仿宋" w:hAnsi="仿宋" w:eastAsia="仿宋" w:cs="仿宋"/>
                <w:sz w:val="21"/>
              </w:rPr>
            </w:pPr>
            <w:r>
              <w:rPr>
                <w:rFonts w:hint="eastAsia" w:ascii="仿宋" w:hAnsi="仿宋" w:eastAsia="仿宋" w:cs="仿宋"/>
                <w:sz w:val="21"/>
              </w:rPr>
              <w:t>应部位施工前</w:t>
            </w:r>
          </w:p>
        </w:tc>
        <w:tc>
          <w:tcPr>
            <w:tcW w:w="5420" w:type="dxa"/>
            <w:gridSpan w:val="25"/>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right="412"/>
              <w:textAlignment w:val="auto"/>
              <w:rPr>
                <w:rFonts w:hint="eastAsia" w:ascii="仿宋" w:hAnsi="仿宋" w:eastAsia="仿宋" w:cs="仿宋"/>
                <w:sz w:val="21"/>
              </w:rPr>
            </w:pPr>
            <w:r>
              <w:rPr>
                <w:rFonts w:hint="eastAsia" w:ascii="仿宋" w:hAnsi="仿宋" w:eastAsia="仿宋" w:cs="仿宋"/>
                <w:sz w:val="21"/>
              </w:rPr>
              <w:t>天签发图纸修改图给承包人</w:t>
            </w:r>
          </w:p>
        </w:tc>
      </w:tr>
      <w:tr>
        <w:tblPrEx>
          <w:tblLayout w:type="fixed"/>
          <w:tblCellMar>
            <w:top w:w="0" w:type="dxa"/>
            <w:left w:w="0" w:type="dxa"/>
            <w:bottom w:w="0" w:type="dxa"/>
            <w:right w:w="0" w:type="dxa"/>
          </w:tblCellMar>
        </w:tblPrEx>
        <w:trPr>
          <w:trHeight w:val="150" w:hRule="atLeast"/>
        </w:trPr>
        <w:tc>
          <w:tcPr>
            <w:tcW w:w="640" w:type="dxa"/>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880" w:type="dxa"/>
            <w:gridSpan w:val="4"/>
            <w:vMerge w:val="continue"/>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5420" w:type="dxa"/>
            <w:gridSpan w:val="25"/>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r>
      <w:tr>
        <w:tblPrEx>
          <w:tblLayout w:type="fixed"/>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3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8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4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4" w:hRule="atLeast"/>
        </w:trPr>
        <w:tc>
          <w:tcPr>
            <w:tcW w:w="640" w:type="dxa"/>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7300" w:type="dxa"/>
            <w:gridSpan w:val="29"/>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sz w:val="21"/>
              </w:rPr>
            </w:pPr>
            <w:r>
              <w:rPr>
                <w:rFonts w:hint="eastAsia" w:ascii="仿宋" w:hAnsi="仿宋" w:eastAsia="仿宋" w:cs="仿宋"/>
                <w:sz w:val="21"/>
              </w:rPr>
              <w:t>监理人在行使下列权力前需要经发包人事先批准：</w:t>
            </w:r>
          </w:p>
        </w:tc>
      </w:tr>
      <w:tr>
        <w:tblPrEx>
          <w:tblLayout w:type="fixed"/>
          <w:tblCellMar>
            <w:top w:w="0" w:type="dxa"/>
            <w:left w:w="0" w:type="dxa"/>
            <w:bottom w:w="0" w:type="dxa"/>
            <w:right w:w="0" w:type="dxa"/>
          </w:tblCellMar>
        </w:tblPrEx>
        <w:trPr>
          <w:trHeight w:val="386" w:hRule="atLeast"/>
        </w:trPr>
        <w:tc>
          <w:tcPr>
            <w:tcW w:w="640" w:type="dxa"/>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4"/>
                <w:sz w:val="21"/>
              </w:rPr>
            </w:pPr>
            <w:r>
              <w:rPr>
                <w:rFonts w:hint="eastAsia" w:ascii="仿宋" w:hAnsi="仿宋" w:eastAsia="仿宋" w:cs="仿宋"/>
                <w:w w:val="94"/>
                <w:sz w:val="21"/>
              </w:rPr>
              <w:t>5</w:t>
            </w:r>
          </w:p>
        </w:tc>
        <w:tc>
          <w:tcPr>
            <w:tcW w:w="1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9"/>
                <w:sz w:val="21"/>
              </w:rPr>
            </w:pPr>
            <w:r>
              <w:rPr>
                <w:rFonts w:hint="eastAsia" w:ascii="仿宋" w:hAnsi="仿宋" w:eastAsia="仿宋" w:cs="仿宋"/>
                <w:w w:val="99"/>
                <w:sz w:val="21"/>
              </w:rPr>
              <w:t>3.1.1</w:t>
            </w:r>
          </w:p>
        </w:tc>
        <w:tc>
          <w:tcPr>
            <w:tcW w:w="7300" w:type="dxa"/>
            <w:gridSpan w:val="29"/>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w w:val="93"/>
                <w:sz w:val="21"/>
              </w:rPr>
            </w:pPr>
            <w:r>
              <w:rPr>
                <w:rFonts w:hint="eastAsia" w:ascii="仿宋" w:hAnsi="仿宋" w:eastAsia="仿宋" w:cs="仿宋"/>
                <w:sz w:val="21"/>
              </w:rPr>
              <w:t>（6）根据第 15.3 款发出的变更指示，其单项工程变更涉及的金额超过了该单项</w:t>
            </w:r>
          </w:p>
        </w:tc>
      </w:tr>
      <w:tr>
        <w:tblPrEx>
          <w:tblLayout w:type="fixed"/>
          <w:tblCellMar>
            <w:top w:w="0" w:type="dxa"/>
            <w:left w:w="0" w:type="dxa"/>
            <w:bottom w:w="0" w:type="dxa"/>
            <w:right w:w="0" w:type="dxa"/>
          </w:tblCellMar>
        </w:tblPrEx>
        <w:trPr>
          <w:trHeight w:val="330" w:hRule="atLeast"/>
        </w:trPr>
        <w:tc>
          <w:tcPr>
            <w:tcW w:w="640" w:type="dxa"/>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7300" w:type="dxa"/>
            <w:gridSpan w:val="29"/>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80"/>
              <w:textAlignment w:val="auto"/>
              <w:rPr>
                <w:rFonts w:hint="eastAsia" w:ascii="仿宋" w:hAnsi="仿宋" w:eastAsia="仿宋" w:cs="仿宋"/>
                <w:sz w:val="21"/>
              </w:rPr>
            </w:pPr>
            <w:r>
              <w:rPr>
                <w:rFonts w:hint="eastAsia" w:ascii="仿宋" w:hAnsi="仿宋" w:eastAsia="仿宋" w:cs="仿宋"/>
                <w:sz w:val="21"/>
              </w:rPr>
              <w:t>工程签约时合同价的  %或累计变更超过了签约合同价的  %</w:t>
            </w:r>
          </w:p>
        </w:tc>
      </w:tr>
      <w:tr>
        <w:tblPrEx>
          <w:tblLayout w:type="fixed"/>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76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8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6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2" w:hRule="atLeast"/>
        </w:trPr>
        <w:tc>
          <w:tcPr>
            <w:tcW w:w="640" w:type="dxa"/>
            <w:vMerge w:val="restart"/>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4"/>
                <w:sz w:val="21"/>
              </w:rPr>
            </w:pPr>
            <w:r>
              <w:rPr>
                <w:rFonts w:hint="eastAsia" w:ascii="仿宋" w:hAnsi="仿宋" w:eastAsia="仿宋" w:cs="仿宋"/>
                <w:w w:val="94"/>
                <w:sz w:val="21"/>
              </w:rPr>
              <w:t>6</w:t>
            </w:r>
          </w:p>
        </w:tc>
        <w:tc>
          <w:tcPr>
            <w:tcW w:w="1120" w:type="dxa"/>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9"/>
                <w:sz w:val="21"/>
              </w:rPr>
            </w:pPr>
            <w:r>
              <w:rPr>
                <w:rFonts w:hint="eastAsia" w:ascii="仿宋" w:hAnsi="仿宋" w:eastAsia="仿宋" w:cs="仿宋"/>
                <w:w w:val="99"/>
                <w:sz w:val="21"/>
              </w:rPr>
              <w:t>5.2.1</w:t>
            </w:r>
          </w:p>
        </w:tc>
        <w:tc>
          <w:tcPr>
            <w:tcW w:w="7300" w:type="dxa"/>
            <w:gridSpan w:val="29"/>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sz w:val="21"/>
              </w:rPr>
            </w:pPr>
            <w:r>
              <w:rPr>
                <w:rFonts w:hint="eastAsia" w:ascii="仿宋" w:hAnsi="仿宋" w:eastAsia="仿宋" w:cs="仿宋"/>
                <w:sz w:val="21"/>
              </w:rPr>
              <w:t>发包人是否提供材料或工程设备： 是或否</w:t>
            </w:r>
          </w:p>
        </w:tc>
      </w:tr>
      <w:tr>
        <w:tblPrEx>
          <w:tblLayout w:type="fixed"/>
          <w:tblCellMar>
            <w:top w:w="0" w:type="dxa"/>
            <w:left w:w="0" w:type="dxa"/>
            <w:bottom w:w="0" w:type="dxa"/>
            <w:right w:w="0" w:type="dxa"/>
          </w:tblCellMar>
        </w:tblPrEx>
        <w:trPr>
          <w:trHeight w:val="20" w:hRule="atLeast"/>
        </w:trPr>
        <w:tc>
          <w:tcPr>
            <w:tcW w:w="640" w:type="dxa"/>
            <w:vMerge w:val="continue"/>
            <w:tcBorders>
              <w:left w:val="single" w:color="auto" w:sz="8" w:space="0"/>
              <w:righ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vMerge w:val="continue"/>
            <w:tcBorders>
              <w:righ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210" w:hRule="atLeast"/>
        </w:trPr>
        <w:tc>
          <w:tcPr>
            <w:tcW w:w="640" w:type="dxa"/>
            <w:vMerge w:val="continue"/>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120" w:type="dxa"/>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7300" w:type="dxa"/>
            <w:gridSpan w:val="29"/>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sz w:val="21"/>
              </w:rPr>
            </w:pPr>
            <w:r>
              <w:rPr>
                <w:rFonts w:hint="eastAsia" w:ascii="仿宋" w:hAnsi="仿宋" w:eastAsia="仿宋" w:cs="仿宋"/>
                <w:sz w:val="21"/>
              </w:rPr>
              <w:t>如发包人负责提供部分材料或工程设备，相关规定如下：</w:t>
            </w:r>
          </w:p>
        </w:tc>
      </w:tr>
      <w:tr>
        <w:tblPrEx>
          <w:tblLayout w:type="fixed"/>
          <w:tblCellMar>
            <w:top w:w="0" w:type="dxa"/>
            <w:left w:w="0" w:type="dxa"/>
            <w:bottom w:w="0" w:type="dxa"/>
            <w:right w:w="0" w:type="dxa"/>
          </w:tblCellMar>
        </w:tblPrEx>
        <w:trPr>
          <w:trHeight w:val="150" w:hRule="atLeast"/>
        </w:trPr>
        <w:tc>
          <w:tcPr>
            <w:tcW w:w="640" w:type="dxa"/>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7300" w:type="dxa"/>
            <w:gridSpan w:val="29"/>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r>
      <w:tr>
        <w:tblPrEx>
          <w:tblLayout w:type="fixed"/>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76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5"/>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0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4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4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2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4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2" w:hRule="atLeast"/>
        </w:trPr>
        <w:tc>
          <w:tcPr>
            <w:tcW w:w="640" w:type="dxa"/>
            <w:vMerge w:val="restart"/>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4"/>
                <w:sz w:val="21"/>
              </w:rPr>
            </w:pPr>
            <w:r>
              <w:rPr>
                <w:rFonts w:hint="eastAsia" w:ascii="仿宋" w:hAnsi="仿宋" w:eastAsia="仿宋" w:cs="仿宋"/>
                <w:w w:val="94"/>
                <w:sz w:val="21"/>
              </w:rPr>
              <w:t>7</w:t>
            </w:r>
          </w:p>
        </w:tc>
        <w:tc>
          <w:tcPr>
            <w:tcW w:w="1120" w:type="dxa"/>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8"/>
                <w:sz w:val="21"/>
              </w:rPr>
            </w:pPr>
            <w:r>
              <w:rPr>
                <w:rFonts w:hint="eastAsia" w:ascii="仿宋" w:hAnsi="仿宋" w:eastAsia="仿宋" w:cs="仿宋"/>
                <w:w w:val="98"/>
                <w:sz w:val="21"/>
              </w:rPr>
              <w:t>6.2</w:t>
            </w:r>
          </w:p>
        </w:tc>
        <w:tc>
          <w:tcPr>
            <w:tcW w:w="7300" w:type="dxa"/>
            <w:gridSpan w:val="29"/>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sz w:val="21"/>
              </w:rPr>
            </w:pPr>
            <w:r>
              <w:rPr>
                <w:rFonts w:hint="eastAsia" w:ascii="仿宋" w:hAnsi="仿宋" w:eastAsia="仿宋" w:cs="仿宋"/>
                <w:sz w:val="21"/>
              </w:rPr>
              <w:t>发包人是否提供施工设备和临时设施： 是或否</w:t>
            </w:r>
          </w:p>
        </w:tc>
      </w:tr>
      <w:tr>
        <w:tblPrEx>
          <w:tblLayout w:type="fixed"/>
          <w:tblCellMar>
            <w:top w:w="0" w:type="dxa"/>
            <w:left w:w="0" w:type="dxa"/>
            <w:bottom w:w="0" w:type="dxa"/>
            <w:right w:w="0" w:type="dxa"/>
          </w:tblCellMar>
        </w:tblPrEx>
        <w:trPr>
          <w:trHeight w:val="20" w:hRule="atLeast"/>
        </w:trPr>
        <w:tc>
          <w:tcPr>
            <w:tcW w:w="640" w:type="dxa"/>
            <w:vMerge w:val="continue"/>
            <w:tcBorders>
              <w:left w:val="single" w:color="auto" w:sz="8" w:space="0"/>
              <w:righ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vMerge w:val="continue"/>
            <w:tcBorders>
              <w:righ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210" w:hRule="atLeast"/>
        </w:trPr>
        <w:tc>
          <w:tcPr>
            <w:tcW w:w="640" w:type="dxa"/>
            <w:vMerge w:val="continue"/>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120" w:type="dxa"/>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7300" w:type="dxa"/>
            <w:gridSpan w:val="29"/>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sz w:val="21"/>
              </w:rPr>
            </w:pPr>
            <w:r>
              <w:rPr>
                <w:rFonts w:hint="eastAsia" w:ascii="仿宋" w:hAnsi="仿宋" w:eastAsia="仿宋" w:cs="仿宋"/>
                <w:sz w:val="21"/>
              </w:rPr>
              <w:t>如发包人负责提供部分施工设备和临时设施，相关规定如下：</w:t>
            </w:r>
          </w:p>
        </w:tc>
      </w:tr>
      <w:tr>
        <w:tblPrEx>
          <w:tblLayout w:type="fixed"/>
          <w:tblCellMar>
            <w:top w:w="0" w:type="dxa"/>
            <w:left w:w="0" w:type="dxa"/>
            <w:bottom w:w="0" w:type="dxa"/>
            <w:right w:w="0" w:type="dxa"/>
          </w:tblCellMar>
        </w:tblPrEx>
        <w:trPr>
          <w:trHeight w:val="150" w:hRule="atLeast"/>
        </w:trPr>
        <w:tc>
          <w:tcPr>
            <w:tcW w:w="640" w:type="dxa"/>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7300" w:type="dxa"/>
            <w:gridSpan w:val="29"/>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r>
      <w:tr>
        <w:tblPrEx>
          <w:tblLayout w:type="fixed"/>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76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5"/>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960" w:type="dxa"/>
            <w:gridSpan w:val="7"/>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60" w:type="dxa"/>
            <w:gridSpan w:val="3"/>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2" w:hRule="atLeast"/>
        </w:trPr>
        <w:tc>
          <w:tcPr>
            <w:tcW w:w="640" w:type="dxa"/>
            <w:vMerge w:val="restart"/>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4"/>
                <w:sz w:val="21"/>
              </w:rPr>
            </w:pPr>
            <w:r>
              <w:rPr>
                <w:rFonts w:hint="eastAsia" w:ascii="仿宋" w:hAnsi="仿宋" w:eastAsia="仿宋" w:cs="仿宋"/>
                <w:w w:val="94"/>
                <w:sz w:val="21"/>
              </w:rPr>
              <w:t>8</w:t>
            </w:r>
          </w:p>
        </w:tc>
        <w:tc>
          <w:tcPr>
            <w:tcW w:w="1120" w:type="dxa"/>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9"/>
                <w:sz w:val="21"/>
              </w:rPr>
            </w:pPr>
            <w:r>
              <w:rPr>
                <w:rFonts w:hint="eastAsia" w:ascii="仿宋" w:hAnsi="仿宋" w:eastAsia="仿宋" w:cs="仿宋"/>
                <w:w w:val="99"/>
                <w:sz w:val="21"/>
              </w:rPr>
              <w:t>8.1.1</w:t>
            </w:r>
          </w:p>
        </w:tc>
        <w:tc>
          <w:tcPr>
            <w:tcW w:w="6220" w:type="dxa"/>
            <w:gridSpan w:val="26"/>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w w:val="99"/>
                <w:sz w:val="21"/>
              </w:rPr>
            </w:pPr>
            <w:r>
              <w:rPr>
                <w:rFonts w:hint="eastAsia" w:ascii="仿宋" w:hAnsi="仿宋" w:eastAsia="仿宋" w:cs="仿宋"/>
                <w:w w:val="99"/>
                <w:sz w:val="21"/>
              </w:rPr>
              <w:t>发包人提供测量基准点、基准线和水准点及其书面资料的期限：</w:t>
            </w:r>
          </w:p>
        </w:tc>
        <w:tc>
          <w:tcPr>
            <w:tcW w:w="9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10" w:hRule="atLeast"/>
        </w:trPr>
        <w:tc>
          <w:tcPr>
            <w:tcW w:w="640" w:type="dxa"/>
            <w:vMerge w:val="continue"/>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120" w:type="dxa"/>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7300" w:type="dxa"/>
            <w:gridSpan w:val="29"/>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sz w:val="21"/>
              </w:rPr>
            </w:pPr>
            <w:r>
              <w:rPr>
                <w:rFonts w:hint="eastAsia" w:ascii="仿宋" w:hAnsi="仿宋" w:eastAsia="仿宋" w:cs="仿宋"/>
                <w:sz w:val="21"/>
              </w:rPr>
              <w:t>承包人将施工控制网资料报送监理人审批的期限：</w:t>
            </w:r>
          </w:p>
        </w:tc>
      </w:tr>
      <w:tr>
        <w:tblPrEx>
          <w:tblLayout w:type="fixed"/>
          <w:tblCellMar>
            <w:top w:w="0" w:type="dxa"/>
            <w:left w:w="0" w:type="dxa"/>
            <w:bottom w:w="0" w:type="dxa"/>
            <w:right w:w="0" w:type="dxa"/>
          </w:tblCellMar>
        </w:tblPrEx>
        <w:trPr>
          <w:trHeight w:val="150" w:hRule="atLeast"/>
        </w:trPr>
        <w:tc>
          <w:tcPr>
            <w:tcW w:w="640" w:type="dxa"/>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7300" w:type="dxa"/>
            <w:gridSpan w:val="29"/>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r>
      <w:tr>
        <w:tblPrEx>
          <w:tblLayout w:type="fixed"/>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76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2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0" w:hRule="atLeast"/>
        </w:trPr>
        <w:tc>
          <w:tcPr>
            <w:tcW w:w="640" w:type="dxa"/>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4"/>
                <w:sz w:val="21"/>
              </w:rPr>
            </w:pPr>
            <w:r>
              <w:rPr>
                <w:rFonts w:hint="eastAsia" w:ascii="仿宋" w:hAnsi="仿宋" w:eastAsia="仿宋" w:cs="仿宋"/>
                <w:w w:val="94"/>
                <w:sz w:val="21"/>
              </w:rPr>
              <w:t>9</w:t>
            </w:r>
          </w:p>
        </w:tc>
        <w:tc>
          <w:tcPr>
            <w:tcW w:w="1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8"/>
                <w:sz w:val="21"/>
              </w:rPr>
            </w:pPr>
            <w:r>
              <w:rPr>
                <w:rFonts w:hint="eastAsia" w:ascii="仿宋" w:hAnsi="仿宋" w:eastAsia="仿宋" w:cs="仿宋"/>
                <w:w w:val="98"/>
                <w:sz w:val="21"/>
              </w:rPr>
              <w:t>11.5（3）</w:t>
            </w:r>
          </w:p>
        </w:tc>
        <w:tc>
          <w:tcPr>
            <w:tcW w:w="2420" w:type="dxa"/>
            <w:gridSpan w:val="8"/>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sz w:val="21"/>
              </w:rPr>
            </w:pPr>
            <w:r>
              <w:rPr>
                <w:rFonts w:hint="eastAsia" w:ascii="仿宋" w:hAnsi="仿宋" w:eastAsia="仿宋" w:cs="仿宋"/>
                <w:sz w:val="21"/>
              </w:rPr>
              <w:t>逾期交工违约金：</w:t>
            </w:r>
          </w:p>
        </w:tc>
        <w:tc>
          <w:tcPr>
            <w:tcW w:w="1280" w:type="dxa"/>
            <w:gridSpan w:val="5"/>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rPr>
            </w:pPr>
            <w:r>
              <w:rPr>
                <w:rFonts w:hint="eastAsia" w:ascii="仿宋" w:hAnsi="仿宋" w:eastAsia="仿宋" w:cs="仿宋"/>
                <w:sz w:val="21"/>
              </w:rPr>
              <w:t>元/天</w:t>
            </w:r>
          </w:p>
        </w:tc>
        <w:tc>
          <w:tcPr>
            <w:tcW w:w="2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76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5"/>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80" w:type="dxa"/>
            <w:gridSpan w:val="8"/>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80" w:type="dxa"/>
            <w:gridSpan w:val="4"/>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0" w:hRule="atLeast"/>
        </w:trPr>
        <w:tc>
          <w:tcPr>
            <w:tcW w:w="640" w:type="dxa"/>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10</w:t>
            </w:r>
          </w:p>
        </w:tc>
        <w:tc>
          <w:tcPr>
            <w:tcW w:w="1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8"/>
                <w:sz w:val="21"/>
              </w:rPr>
            </w:pPr>
            <w:r>
              <w:rPr>
                <w:rFonts w:hint="eastAsia" w:ascii="仿宋" w:hAnsi="仿宋" w:eastAsia="仿宋" w:cs="仿宋"/>
                <w:w w:val="98"/>
                <w:sz w:val="21"/>
              </w:rPr>
              <w:t>11.5（3）</w:t>
            </w:r>
          </w:p>
        </w:tc>
        <w:tc>
          <w:tcPr>
            <w:tcW w:w="2420" w:type="dxa"/>
            <w:gridSpan w:val="8"/>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w w:val="99"/>
                <w:sz w:val="21"/>
              </w:rPr>
            </w:pPr>
            <w:r>
              <w:rPr>
                <w:rFonts w:hint="eastAsia" w:ascii="仿宋" w:hAnsi="仿宋" w:eastAsia="仿宋" w:cs="仿宋"/>
                <w:w w:val="99"/>
                <w:sz w:val="21"/>
              </w:rPr>
              <w:t>逾期交工违约金限额：</w:t>
            </w: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10</w:t>
            </w:r>
          </w:p>
        </w:tc>
        <w:tc>
          <w:tcPr>
            <w:tcW w:w="4460" w:type="dxa"/>
            <w:gridSpan w:val="20"/>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vertAlign w:val="superscript"/>
              </w:rPr>
            </w:pPr>
            <w:r>
              <w:rPr>
                <w:rFonts w:hint="eastAsia" w:ascii="仿宋" w:hAnsi="仿宋" w:eastAsia="仿宋" w:cs="仿宋"/>
                <w:sz w:val="21"/>
              </w:rPr>
              <w:t>%签约合同价</w:t>
            </w:r>
          </w:p>
        </w:tc>
      </w:tr>
      <w:tr>
        <w:tblPrEx>
          <w:tblLayout w:type="fixed"/>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76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6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0" w:hRule="atLeast"/>
        </w:trPr>
        <w:tc>
          <w:tcPr>
            <w:tcW w:w="640" w:type="dxa"/>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5"/>
                <w:sz w:val="21"/>
              </w:rPr>
            </w:pPr>
            <w:r>
              <w:rPr>
                <w:rFonts w:hint="eastAsia" w:ascii="仿宋" w:hAnsi="仿宋" w:eastAsia="仿宋" w:cs="仿宋"/>
                <w:w w:val="95"/>
                <w:sz w:val="21"/>
              </w:rPr>
              <w:t>11</w:t>
            </w:r>
          </w:p>
        </w:tc>
        <w:tc>
          <w:tcPr>
            <w:tcW w:w="1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7"/>
                <w:sz w:val="21"/>
              </w:rPr>
            </w:pPr>
            <w:r>
              <w:rPr>
                <w:rFonts w:hint="eastAsia" w:ascii="仿宋" w:hAnsi="仿宋" w:eastAsia="仿宋" w:cs="仿宋"/>
                <w:w w:val="97"/>
                <w:sz w:val="21"/>
              </w:rPr>
              <w:t>11.6</w:t>
            </w:r>
          </w:p>
        </w:tc>
        <w:tc>
          <w:tcPr>
            <w:tcW w:w="2420" w:type="dxa"/>
            <w:gridSpan w:val="8"/>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sz w:val="21"/>
              </w:rPr>
            </w:pPr>
            <w:r>
              <w:rPr>
                <w:rFonts w:hint="eastAsia" w:ascii="仿宋" w:hAnsi="仿宋" w:eastAsia="仿宋" w:cs="仿宋"/>
                <w:sz w:val="21"/>
              </w:rPr>
              <w:t>提前交工的奖金：</w:t>
            </w:r>
          </w:p>
        </w:tc>
        <w:tc>
          <w:tcPr>
            <w:tcW w:w="1280" w:type="dxa"/>
            <w:gridSpan w:val="5"/>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rPr>
            </w:pPr>
            <w:r>
              <w:rPr>
                <w:rFonts w:hint="eastAsia" w:ascii="仿宋" w:hAnsi="仿宋" w:eastAsia="仿宋" w:cs="仿宋"/>
                <w:sz w:val="21"/>
              </w:rPr>
              <w:t>元/天</w:t>
            </w:r>
          </w:p>
        </w:tc>
        <w:tc>
          <w:tcPr>
            <w:tcW w:w="2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76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5"/>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80" w:type="dxa"/>
            <w:gridSpan w:val="8"/>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80" w:type="dxa"/>
            <w:gridSpan w:val="4"/>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0" w:hRule="atLeast"/>
        </w:trPr>
        <w:tc>
          <w:tcPr>
            <w:tcW w:w="640" w:type="dxa"/>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12</w:t>
            </w:r>
          </w:p>
        </w:tc>
        <w:tc>
          <w:tcPr>
            <w:tcW w:w="1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7"/>
                <w:sz w:val="21"/>
              </w:rPr>
            </w:pPr>
            <w:r>
              <w:rPr>
                <w:rFonts w:hint="eastAsia" w:ascii="仿宋" w:hAnsi="仿宋" w:eastAsia="仿宋" w:cs="仿宋"/>
                <w:w w:val="97"/>
                <w:sz w:val="21"/>
              </w:rPr>
              <w:t>11.6</w:t>
            </w:r>
          </w:p>
        </w:tc>
        <w:tc>
          <w:tcPr>
            <w:tcW w:w="2420" w:type="dxa"/>
            <w:gridSpan w:val="8"/>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w w:val="99"/>
                <w:sz w:val="21"/>
              </w:rPr>
            </w:pPr>
            <w:r>
              <w:rPr>
                <w:rFonts w:hint="eastAsia" w:ascii="仿宋" w:hAnsi="仿宋" w:eastAsia="仿宋" w:cs="仿宋"/>
                <w:w w:val="99"/>
                <w:sz w:val="21"/>
              </w:rPr>
              <w:t>提前交工的奖金限额：</w:t>
            </w: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60" w:type="dxa"/>
            <w:gridSpan w:val="20"/>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rPr>
            </w:pPr>
            <w:r>
              <w:rPr>
                <w:rFonts w:hint="eastAsia" w:ascii="仿宋" w:hAnsi="仿宋" w:eastAsia="仿宋" w:cs="仿宋"/>
                <w:sz w:val="21"/>
              </w:rPr>
              <w:t>%签约合同价</w:t>
            </w:r>
          </w:p>
        </w:tc>
      </w:tr>
      <w:tr>
        <w:tblPrEx>
          <w:tblLayout w:type="fixed"/>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580" w:type="dxa"/>
            <w:gridSpan w:val="11"/>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540" w:type="dxa"/>
            <w:gridSpan w:val="1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80" w:type="dxa"/>
            <w:gridSpan w:val="4"/>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4" w:hRule="atLeast"/>
        </w:trPr>
        <w:tc>
          <w:tcPr>
            <w:tcW w:w="640" w:type="dxa"/>
            <w:vMerge w:val="restart"/>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13</w:t>
            </w:r>
          </w:p>
        </w:tc>
        <w:tc>
          <w:tcPr>
            <w:tcW w:w="1120" w:type="dxa"/>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8"/>
                <w:sz w:val="21"/>
              </w:rPr>
            </w:pPr>
            <w:r>
              <w:rPr>
                <w:rFonts w:hint="eastAsia" w:ascii="仿宋" w:hAnsi="仿宋" w:eastAsia="仿宋" w:cs="仿宋"/>
                <w:w w:val="98"/>
                <w:sz w:val="21"/>
              </w:rPr>
              <w:t>15.5.2</w:t>
            </w:r>
          </w:p>
        </w:tc>
        <w:tc>
          <w:tcPr>
            <w:tcW w:w="7300" w:type="dxa"/>
            <w:gridSpan w:val="29"/>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sz w:val="21"/>
              </w:rPr>
            </w:pPr>
            <w:r>
              <w:rPr>
                <w:rFonts w:hint="eastAsia" w:ascii="仿宋" w:hAnsi="仿宋" w:eastAsia="仿宋" w:cs="仿宋"/>
                <w:sz w:val="21"/>
              </w:rPr>
              <w:t>承包人提出的合理化建议降低了合同价格或者提高了工程经济效益的，发包</w:t>
            </w:r>
          </w:p>
        </w:tc>
      </w:tr>
      <w:tr>
        <w:tblPrEx>
          <w:tblLayout w:type="fixed"/>
          <w:tblCellMar>
            <w:top w:w="0" w:type="dxa"/>
            <w:left w:w="0" w:type="dxa"/>
            <w:bottom w:w="0" w:type="dxa"/>
            <w:right w:w="0" w:type="dxa"/>
          </w:tblCellMar>
        </w:tblPrEx>
        <w:trPr>
          <w:trHeight w:val="206" w:hRule="atLeast"/>
        </w:trPr>
        <w:tc>
          <w:tcPr>
            <w:tcW w:w="640" w:type="dxa"/>
            <w:vMerge w:val="continue"/>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120" w:type="dxa"/>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880" w:type="dxa"/>
            <w:gridSpan w:val="4"/>
            <w:vMerge w:val="restart"/>
            <w:noWrap w:val="0"/>
            <w:vAlign w:val="bottom"/>
          </w:tcPr>
          <w:p>
            <w:pPr>
              <w:keepNext w:val="0"/>
              <w:keepLines w:val="0"/>
              <w:pageBreakBefore w:val="0"/>
              <w:widowControl/>
              <w:kinsoku/>
              <w:wordWrap/>
              <w:overflowPunct/>
              <w:topLinePunct w:val="0"/>
              <w:autoSpaceDE/>
              <w:autoSpaceDN/>
              <w:bidi w:val="0"/>
              <w:spacing w:line="240" w:lineRule="auto"/>
              <w:ind w:left="80"/>
              <w:textAlignment w:val="auto"/>
              <w:rPr>
                <w:rFonts w:hint="eastAsia" w:ascii="仿宋" w:hAnsi="仿宋" w:eastAsia="仿宋" w:cs="仿宋"/>
                <w:sz w:val="21"/>
              </w:rPr>
            </w:pPr>
            <w:r>
              <w:rPr>
                <w:rFonts w:hint="eastAsia" w:ascii="仿宋" w:hAnsi="仿宋" w:eastAsia="仿宋" w:cs="仿宋"/>
                <w:sz w:val="21"/>
              </w:rPr>
              <w:t>人按所节约成本的</w:t>
            </w: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520" w:type="dxa"/>
            <w:gridSpan w:val="6"/>
            <w:vMerge w:val="restart"/>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rPr>
            </w:pPr>
            <w:r>
              <w:rPr>
                <w:rFonts w:hint="eastAsia" w:ascii="仿宋" w:hAnsi="仿宋" w:eastAsia="仿宋" w:cs="仿宋"/>
                <w:sz w:val="21"/>
              </w:rPr>
              <w:t>%或增加收益的</w:t>
            </w:r>
          </w:p>
        </w:tc>
        <w:tc>
          <w:tcPr>
            <w:tcW w:w="2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3260" w:type="dxa"/>
            <w:gridSpan w:val="12"/>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rPr>
            </w:pPr>
            <w:r>
              <w:rPr>
                <w:rFonts w:hint="eastAsia" w:ascii="仿宋" w:hAnsi="仿宋" w:eastAsia="仿宋" w:cs="仿宋"/>
                <w:sz w:val="21"/>
              </w:rPr>
              <w:t>%给予奖励</w:t>
            </w:r>
          </w:p>
        </w:tc>
      </w:tr>
      <w:tr>
        <w:tblPrEx>
          <w:tblLayout w:type="fixed"/>
          <w:tblCellMar>
            <w:top w:w="0" w:type="dxa"/>
            <w:left w:w="0" w:type="dxa"/>
            <w:bottom w:w="0" w:type="dxa"/>
            <w:right w:w="0" w:type="dxa"/>
          </w:tblCellMar>
        </w:tblPrEx>
        <w:trPr>
          <w:trHeight w:val="150" w:hRule="atLeast"/>
        </w:trPr>
        <w:tc>
          <w:tcPr>
            <w:tcW w:w="640" w:type="dxa"/>
            <w:tcBorders>
              <w:left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880" w:type="dxa"/>
            <w:gridSpan w:val="4"/>
            <w:vMerge w:val="continue"/>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520" w:type="dxa"/>
            <w:gridSpan w:val="6"/>
            <w:vMerge w:val="continue"/>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3260" w:type="dxa"/>
            <w:gridSpan w:val="12"/>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r>
      <w:tr>
        <w:tblPrEx>
          <w:tblLayout w:type="fixed"/>
          <w:tblCellMar>
            <w:top w:w="0" w:type="dxa"/>
            <w:left w:w="0" w:type="dxa"/>
            <w:bottom w:w="0" w:type="dxa"/>
            <w:right w:w="0" w:type="dxa"/>
          </w:tblCellMar>
        </w:tblPrEx>
        <w:trPr>
          <w:trHeight w:val="43" w:hRule="atLeast"/>
        </w:trPr>
        <w:tc>
          <w:tcPr>
            <w:tcW w:w="640" w:type="dxa"/>
            <w:tcBorders>
              <w:left w:val="single" w:color="auto" w:sz="8" w:space="0"/>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76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4"/>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40" w:type="dxa"/>
            <w:gridSpan w:val="5"/>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5"/>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60" w:type="dxa"/>
            <w:gridSpan w:val="1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bl>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100"/>
        <w:textAlignment w:val="auto"/>
        <w:rPr>
          <w:rFonts w:hint="eastAsia" w:ascii="仿宋" w:hAnsi="仿宋" w:eastAsia="仿宋" w:cs="仿宋"/>
          <w:sz w:val="18"/>
        </w:rPr>
        <w:sectPr>
          <w:pgSz w:w="11900" w:h="16841"/>
          <w:pgMar w:top="851" w:right="1320" w:bottom="579" w:left="1540" w:header="567" w:footer="567" w:gutter="0"/>
          <w:cols w:space="720" w:num="1"/>
          <w:docGrid w:linePitch="360" w:charSpace="0"/>
        </w:sect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sectPr>
          <w:type w:val="continuous"/>
          <w:pgSz w:w="11900" w:h="16841"/>
          <w:pgMar w:top="851" w:right="9980" w:bottom="579" w:left="1640" w:header="0" w:footer="0" w:gutter="0"/>
          <w:cols w:space="720" w:num="1"/>
          <w:docGrid w:linePitch="360" w:charSpace="0"/>
        </w:sectPr>
      </w:pPr>
    </w:p>
    <w:tbl>
      <w:tblPr>
        <w:tblStyle w:val="13"/>
        <w:tblW w:w="9122" w:type="dxa"/>
        <w:tblInd w:w="-10" w:type="dxa"/>
        <w:tblLayout w:type="fixed"/>
        <w:tblCellMar>
          <w:top w:w="0" w:type="dxa"/>
          <w:left w:w="0" w:type="dxa"/>
          <w:bottom w:w="0" w:type="dxa"/>
          <w:right w:w="0" w:type="dxa"/>
        </w:tblCellMar>
      </w:tblPr>
      <w:tblGrid>
        <w:gridCol w:w="142"/>
        <w:gridCol w:w="20"/>
        <w:gridCol w:w="100"/>
        <w:gridCol w:w="380"/>
        <w:gridCol w:w="60"/>
        <w:gridCol w:w="1068"/>
        <w:gridCol w:w="52"/>
        <w:gridCol w:w="270"/>
        <w:gridCol w:w="50"/>
        <w:gridCol w:w="373"/>
        <w:gridCol w:w="47"/>
        <w:gridCol w:w="175"/>
        <w:gridCol w:w="45"/>
        <w:gridCol w:w="217"/>
        <w:gridCol w:w="43"/>
        <w:gridCol w:w="118"/>
        <w:gridCol w:w="42"/>
        <w:gridCol w:w="381"/>
        <w:gridCol w:w="39"/>
        <w:gridCol w:w="142"/>
        <w:gridCol w:w="20"/>
        <w:gridCol w:w="18"/>
        <w:gridCol w:w="20"/>
        <w:gridCol w:w="184"/>
        <w:gridCol w:w="36"/>
        <w:gridCol w:w="145"/>
        <w:gridCol w:w="35"/>
        <w:gridCol w:w="66"/>
        <w:gridCol w:w="34"/>
        <w:gridCol w:w="107"/>
        <w:gridCol w:w="33"/>
        <w:gridCol w:w="68"/>
        <w:gridCol w:w="32"/>
        <w:gridCol w:w="190"/>
        <w:gridCol w:w="30"/>
        <w:gridCol w:w="71"/>
        <w:gridCol w:w="29"/>
        <w:gridCol w:w="100"/>
        <w:gridCol w:w="100"/>
        <w:gridCol w:w="220"/>
        <w:gridCol w:w="200"/>
        <w:gridCol w:w="120"/>
        <w:gridCol w:w="80"/>
        <w:gridCol w:w="340"/>
        <w:gridCol w:w="180"/>
        <w:gridCol w:w="120"/>
        <w:gridCol w:w="384"/>
        <w:gridCol w:w="16"/>
        <w:gridCol w:w="427"/>
        <w:gridCol w:w="13"/>
        <w:gridCol w:w="672"/>
        <w:gridCol w:w="8"/>
        <w:gridCol w:w="52"/>
        <w:gridCol w:w="8"/>
        <w:gridCol w:w="12"/>
        <w:gridCol w:w="8"/>
        <w:gridCol w:w="93"/>
        <w:gridCol w:w="7"/>
        <w:gridCol w:w="74"/>
        <w:gridCol w:w="6"/>
        <w:gridCol w:w="14"/>
        <w:gridCol w:w="6"/>
        <w:gridCol w:w="34"/>
        <w:gridCol w:w="6"/>
        <w:gridCol w:w="497"/>
        <w:gridCol w:w="3"/>
        <w:gridCol w:w="319"/>
        <w:gridCol w:w="1"/>
        <w:gridCol w:w="120"/>
      </w:tblGrid>
      <w:tr>
        <w:tblPrEx>
          <w:tblLayout w:type="fixed"/>
          <w:tblCellMar>
            <w:top w:w="0" w:type="dxa"/>
            <w:left w:w="0" w:type="dxa"/>
            <w:bottom w:w="0" w:type="dxa"/>
            <w:right w:w="0" w:type="dxa"/>
          </w:tblCellMar>
        </w:tblPrEx>
        <w:trPr>
          <w:trHeight w:val="54" w:hRule="atLeast"/>
        </w:trPr>
        <w:tc>
          <w:tcPr>
            <w:tcW w:w="142"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bookmarkStart w:id="74" w:name="page157"/>
            <w:bookmarkEnd w:id="74"/>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54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11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2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2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1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18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2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1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1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2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3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1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4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4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6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5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4"/>
              </w:rPr>
            </w:pPr>
          </w:p>
        </w:tc>
      </w:tr>
      <w:tr>
        <w:tblPrEx>
          <w:tblLayout w:type="fixed"/>
          <w:tblCellMar>
            <w:top w:w="0" w:type="dxa"/>
            <w:left w:w="0" w:type="dxa"/>
            <w:bottom w:w="0" w:type="dxa"/>
            <w:right w:w="0" w:type="dxa"/>
          </w:tblCellMar>
        </w:tblPrEx>
        <w:trPr>
          <w:trHeight w:val="318"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gridSpan w:val="3"/>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
                <w:w w:val="99"/>
                <w:sz w:val="21"/>
              </w:rPr>
            </w:pPr>
            <w:r>
              <w:rPr>
                <w:rFonts w:hint="eastAsia" w:ascii="仿宋" w:hAnsi="仿宋" w:eastAsia="仿宋" w:cs="仿宋"/>
                <w:b/>
                <w:w w:val="99"/>
                <w:sz w:val="21"/>
              </w:rPr>
              <w:t>序号</w:t>
            </w:r>
          </w:p>
        </w:tc>
        <w:tc>
          <w:tcPr>
            <w:tcW w:w="1128"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b/>
                <w:sz w:val="21"/>
              </w:rPr>
            </w:pPr>
            <w:r>
              <w:rPr>
                <w:rFonts w:hint="eastAsia" w:ascii="仿宋" w:hAnsi="仿宋" w:eastAsia="仿宋" w:cs="仿宋"/>
                <w:b/>
                <w:sz w:val="21"/>
              </w:rPr>
              <w:t>条目号</w:t>
            </w:r>
          </w:p>
        </w:tc>
        <w:tc>
          <w:tcPr>
            <w:tcW w:w="322"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3"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2"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62"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61"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3"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81"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2" w:type="dxa"/>
            <w:gridSpan w:val="3"/>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81"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1"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41"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1"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2"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1"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873" w:type="dxa"/>
            <w:gridSpan w:val="11"/>
            <w:noWrap w:val="0"/>
            <w:vAlign w:val="bottom"/>
          </w:tcPr>
          <w:p>
            <w:pPr>
              <w:keepNext w:val="0"/>
              <w:keepLines w:val="0"/>
              <w:pageBreakBefore w:val="0"/>
              <w:widowControl/>
              <w:kinsoku/>
              <w:wordWrap/>
              <w:overflowPunct/>
              <w:topLinePunct w:val="0"/>
              <w:autoSpaceDE/>
              <w:autoSpaceDN/>
              <w:bidi w:val="0"/>
              <w:spacing w:line="240" w:lineRule="auto"/>
              <w:ind w:left="40"/>
              <w:textAlignment w:val="auto"/>
              <w:rPr>
                <w:rFonts w:hint="eastAsia" w:ascii="仿宋" w:hAnsi="仿宋" w:eastAsia="仿宋" w:cs="仿宋"/>
                <w:b/>
                <w:sz w:val="21"/>
              </w:rPr>
            </w:pPr>
            <w:r>
              <w:rPr>
                <w:rFonts w:hint="eastAsia" w:ascii="仿宋" w:hAnsi="仿宋" w:eastAsia="仿宋" w:cs="仿宋"/>
                <w:b/>
                <w:sz w:val="21"/>
              </w:rPr>
              <w:t>信息或数据</w:t>
            </w:r>
          </w:p>
        </w:tc>
        <w:tc>
          <w:tcPr>
            <w:tcW w:w="443"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85"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1"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1"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3"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2"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1"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32" w:hRule="atLeast"/>
        </w:trPr>
        <w:tc>
          <w:tcPr>
            <w:tcW w:w="142"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4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12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2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2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8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2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2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2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2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3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6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5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
              </w:rPr>
            </w:pPr>
          </w:p>
        </w:tc>
      </w:tr>
      <w:tr>
        <w:tblPrEx>
          <w:tblLayout w:type="fixed"/>
          <w:tblCellMar>
            <w:top w:w="0" w:type="dxa"/>
            <w:left w:w="0" w:type="dxa"/>
            <w:bottom w:w="0" w:type="dxa"/>
            <w:right w:w="0" w:type="dxa"/>
          </w:tblCellMar>
        </w:tblPrEx>
        <w:trPr>
          <w:trHeight w:val="352" w:hRule="atLeast"/>
        </w:trPr>
        <w:tc>
          <w:tcPr>
            <w:tcW w:w="142"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p>
        </w:tc>
        <w:tc>
          <w:tcPr>
            <w:tcW w:w="44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14</w:t>
            </w:r>
          </w:p>
        </w:tc>
        <w:tc>
          <w:tcPr>
            <w:tcW w:w="112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16.1</w:t>
            </w: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180" w:type="dxa"/>
            <w:gridSpan w:val="20"/>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120"/>
              <w:textAlignment w:val="auto"/>
              <w:rPr>
                <w:rFonts w:hint="eastAsia" w:ascii="仿宋" w:hAnsi="仿宋" w:eastAsia="仿宋" w:cs="仿宋"/>
                <w:sz w:val="22"/>
                <w:vertAlign w:val="superscript"/>
              </w:rPr>
            </w:pPr>
            <w:r>
              <w:rPr>
                <w:rFonts w:hint="eastAsia" w:ascii="仿宋" w:hAnsi="仿宋" w:eastAsia="仿宋" w:cs="仿宋"/>
                <w:sz w:val="21"/>
              </w:rPr>
              <w:t>合同期内不调价</w:t>
            </w:r>
          </w:p>
        </w:tc>
        <w:tc>
          <w:tcPr>
            <w:tcW w:w="1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318"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15</w:t>
            </w:r>
          </w:p>
        </w:tc>
        <w:tc>
          <w:tcPr>
            <w:tcW w:w="112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100"/>
              <w:textAlignment w:val="auto"/>
              <w:rPr>
                <w:rFonts w:hint="eastAsia" w:ascii="仿宋" w:hAnsi="仿宋" w:eastAsia="仿宋" w:cs="仿宋"/>
                <w:w w:val="93"/>
                <w:sz w:val="21"/>
              </w:rPr>
            </w:pPr>
            <w:r>
              <w:rPr>
                <w:rFonts w:hint="eastAsia" w:ascii="仿宋" w:hAnsi="仿宋" w:eastAsia="仿宋" w:cs="仿宋"/>
                <w:w w:val="93"/>
                <w:sz w:val="21"/>
              </w:rPr>
              <w:t>17.2.1（1）</w:t>
            </w: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600" w:type="dxa"/>
            <w:gridSpan w:val="39"/>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vertAlign w:val="superscript"/>
              </w:rPr>
            </w:pPr>
            <w:r>
              <w:rPr>
                <w:rFonts w:hint="eastAsia" w:ascii="仿宋" w:hAnsi="仿宋" w:eastAsia="仿宋" w:cs="仿宋"/>
                <w:sz w:val="21"/>
              </w:rPr>
              <w:t>开工预付款金额：  %签约合同价</w:t>
            </w: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142"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4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2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2"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16</w:t>
            </w:r>
          </w:p>
        </w:tc>
        <w:tc>
          <w:tcPr>
            <w:tcW w:w="112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100"/>
              <w:textAlignment w:val="auto"/>
              <w:rPr>
                <w:rFonts w:hint="eastAsia" w:ascii="仿宋" w:hAnsi="仿宋" w:eastAsia="仿宋" w:cs="仿宋"/>
                <w:w w:val="93"/>
                <w:sz w:val="21"/>
              </w:rPr>
            </w:pPr>
            <w:r>
              <w:rPr>
                <w:rFonts w:hint="eastAsia" w:ascii="仿宋" w:hAnsi="仿宋" w:eastAsia="仿宋" w:cs="仿宋"/>
                <w:w w:val="93"/>
                <w:sz w:val="21"/>
              </w:rPr>
              <w:t>17.2.1（2）</w:t>
            </w: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320" w:type="dxa"/>
            <w:gridSpan w:val="2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9"/>
                <w:sz w:val="21"/>
              </w:rPr>
            </w:pPr>
            <w:r>
              <w:rPr>
                <w:rFonts w:hint="eastAsia" w:ascii="仿宋" w:hAnsi="仿宋" w:eastAsia="仿宋" w:cs="仿宋"/>
                <w:w w:val="99"/>
                <w:sz w:val="21"/>
              </w:rPr>
              <w:t>材料、设备预付款比例：</w:t>
            </w:r>
          </w:p>
        </w:tc>
        <w:tc>
          <w:tcPr>
            <w:tcW w:w="320" w:type="dxa"/>
            <w:gridSpan w:val="4"/>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340" w:type="dxa"/>
            <w:gridSpan w:val="34"/>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vertAlign w:val="superscript"/>
              </w:rPr>
            </w:pPr>
            <w:r>
              <w:rPr>
                <w:rFonts w:hint="eastAsia" w:ascii="仿宋" w:hAnsi="仿宋" w:eastAsia="仿宋" w:cs="仿宋"/>
                <w:sz w:val="21"/>
              </w:rPr>
              <w:t xml:space="preserve">等主要材料、设备单据所列费用的  % </w:t>
            </w:r>
          </w:p>
        </w:tc>
      </w:tr>
      <w:tr>
        <w:tblPrEx>
          <w:tblLayout w:type="fixed"/>
          <w:tblCellMar>
            <w:top w:w="0" w:type="dxa"/>
            <w:left w:w="0" w:type="dxa"/>
            <w:bottom w:w="0" w:type="dxa"/>
            <w:right w:w="0" w:type="dxa"/>
          </w:tblCellMar>
        </w:tblPrEx>
        <w:trPr>
          <w:trHeight w:val="20" w:hRule="atLeast"/>
        </w:trPr>
        <w:tc>
          <w:tcPr>
            <w:tcW w:w="142"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5"/>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4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4"/>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2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0"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17</w:t>
            </w:r>
          </w:p>
        </w:tc>
        <w:tc>
          <w:tcPr>
            <w:tcW w:w="112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8"/>
                <w:sz w:val="21"/>
              </w:rPr>
            </w:pPr>
            <w:r>
              <w:rPr>
                <w:rFonts w:hint="eastAsia" w:ascii="仿宋" w:hAnsi="仿宋" w:eastAsia="仿宋" w:cs="仿宋"/>
                <w:w w:val="98"/>
                <w:sz w:val="21"/>
              </w:rPr>
              <w:t>17.3.2</w:t>
            </w:r>
          </w:p>
        </w:tc>
        <w:tc>
          <w:tcPr>
            <w:tcW w:w="7300" w:type="dxa"/>
            <w:gridSpan w:val="6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sz w:val="21"/>
              </w:rPr>
            </w:pPr>
            <w:r>
              <w:rPr>
                <w:rFonts w:hint="eastAsia" w:ascii="仿宋" w:hAnsi="仿宋" w:eastAsia="仿宋" w:cs="仿宋"/>
                <w:sz w:val="21"/>
              </w:rPr>
              <w:t>承包人在每个付款周期末向监理人提交进度付款申请单的份数：  份</w:t>
            </w:r>
          </w:p>
        </w:tc>
      </w:tr>
      <w:tr>
        <w:tblPrEx>
          <w:tblLayout w:type="fixed"/>
          <w:tblCellMar>
            <w:top w:w="0" w:type="dxa"/>
            <w:left w:w="0" w:type="dxa"/>
            <w:bottom w:w="0" w:type="dxa"/>
            <w:right w:w="0" w:type="dxa"/>
          </w:tblCellMar>
        </w:tblPrEx>
        <w:trPr>
          <w:trHeight w:val="20" w:hRule="atLeast"/>
        </w:trPr>
        <w:tc>
          <w:tcPr>
            <w:tcW w:w="142"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5"/>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gridSpan w:val="4"/>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0"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18</w:t>
            </w:r>
          </w:p>
        </w:tc>
        <w:tc>
          <w:tcPr>
            <w:tcW w:w="112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100"/>
              <w:textAlignment w:val="auto"/>
              <w:rPr>
                <w:rFonts w:hint="eastAsia" w:ascii="仿宋" w:hAnsi="仿宋" w:eastAsia="仿宋" w:cs="仿宋"/>
                <w:w w:val="93"/>
                <w:sz w:val="21"/>
              </w:rPr>
            </w:pPr>
            <w:r>
              <w:rPr>
                <w:rFonts w:hint="eastAsia" w:ascii="仿宋" w:hAnsi="仿宋" w:eastAsia="仿宋" w:cs="仿宋"/>
                <w:w w:val="93"/>
                <w:sz w:val="21"/>
              </w:rPr>
              <w:t>17.3.3（1）</w:t>
            </w: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320" w:type="dxa"/>
            <w:gridSpan w:val="2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9"/>
                <w:sz w:val="21"/>
              </w:rPr>
            </w:pPr>
            <w:r>
              <w:rPr>
                <w:rFonts w:hint="eastAsia" w:ascii="仿宋" w:hAnsi="仿宋" w:eastAsia="仿宋" w:cs="仿宋"/>
                <w:w w:val="99"/>
                <w:sz w:val="21"/>
              </w:rPr>
              <w:t>进度付款证书最低限额：</w:t>
            </w:r>
          </w:p>
        </w:tc>
        <w:tc>
          <w:tcPr>
            <w:tcW w:w="320" w:type="dxa"/>
            <w:gridSpan w:val="4"/>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960" w:type="dxa"/>
            <w:gridSpan w:val="13"/>
            <w:noWrap w:val="0"/>
            <w:vAlign w:val="bottom"/>
          </w:tcPr>
          <w:p>
            <w:pPr>
              <w:keepNext w:val="0"/>
              <w:keepLines w:val="0"/>
              <w:pageBreakBefore w:val="0"/>
              <w:widowControl/>
              <w:kinsoku/>
              <w:wordWrap/>
              <w:overflowPunct/>
              <w:topLinePunct w:val="0"/>
              <w:autoSpaceDE/>
              <w:autoSpaceDN/>
              <w:bidi w:val="0"/>
              <w:spacing w:line="240" w:lineRule="auto"/>
              <w:ind w:left="100"/>
              <w:textAlignment w:val="auto"/>
              <w:rPr>
                <w:rFonts w:hint="eastAsia" w:ascii="仿宋" w:hAnsi="仿宋" w:eastAsia="仿宋" w:cs="仿宋"/>
                <w:sz w:val="21"/>
              </w:rPr>
            </w:pPr>
            <w:r>
              <w:rPr>
                <w:rFonts w:hint="eastAsia" w:ascii="仿宋" w:hAnsi="仿宋" w:eastAsia="仿宋" w:cs="仿宋"/>
                <w:sz w:val="21"/>
              </w:rPr>
              <w:t>%签约合同价或</w:t>
            </w:r>
          </w:p>
        </w:tc>
        <w:tc>
          <w:tcPr>
            <w:tcW w:w="1400" w:type="dxa"/>
            <w:gridSpan w:val="14"/>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vertAlign w:val="superscript"/>
              </w:rPr>
            </w:pPr>
            <w:r>
              <w:rPr>
                <w:rFonts w:hint="eastAsia" w:ascii="仿宋" w:hAnsi="仿宋" w:eastAsia="仿宋" w:cs="仿宋"/>
                <w:sz w:val="21"/>
              </w:rPr>
              <w:t>万元</w:t>
            </w: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142"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5"/>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0"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19</w:t>
            </w:r>
          </w:p>
        </w:tc>
        <w:tc>
          <w:tcPr>
            <w:tcW w:w="112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100"/>
              <w:textAlignment w:val="auto"/>
              <w:rPr>
                <w:rFonts w:hint="eastAsia" w:ascii="仿宋" w:hAnsi="仿宋" w:eastAsia="仿宋" w:cs="仿宋"/>
                <w:w w:val="93"/>
                <w:sz w:val="21"/>
              </w:rPr>
            </w:pPr>
            <w:r>
              <w:rPr>
                <w:rFonts w:hint="eastAsia" w:ascii="仿宋" w:hAnsi="仿宋" w:eastAsia="仿宋" w:cs="仿宋"/>
                <w:w w:val="93"/>
                <w:sz w:val="21"/>
              </w:rPr>
              <w:t>17.3.3（2）</w:t>
            </w: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320" w:type="dxa"/>
            <w:gridSpan w:val="2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9"/>
                <w:sz w:val="21"/>
              </w:rPr>
            </w:pPr>
            <w:r>
              <w:rPr>
                <w:rFonts w:hint="eastAsia" w:ascii="仿宋" w:hAnsi="仿宋" w:eastAsia="仿宋" w:cs="仿宋"/>
                <w:w w:val="99"/>
                <w:sz w:val="21"/>
              </w:rPr>
              <w:t>逾期付款违约金的利率：</w:t>
            </w:r>
          </w:p>
        </w:tc>
        <w:tc>
          <w:tcPr>
            <w:tcW w:w="32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760" w:type="dxa"/>
            <w:gridSpan w:val="1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vertAlign w:val="superscript"/>
              </w:rPr>
            </w:pPr>
            <w:r>
              <w:rPr>
                <w:rFonts w:hint="eastAsia" w:ascii="仿宋" w:hAnsi="仿宋" w:eastAsia="仿宋" w:cs="仿宋"/>
                <w:sz w:val="21"/>
              </w:rPr>
              <w:t>‰/天</w:t>
            </w: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142"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5"/>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6"/>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4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4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60" w:type="dxa"/>
            <w:gridSpan w:val="10"/>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0"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12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180" w:type="dxa"/>
            <w:gridSpan w:val="2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rPr>
            </w:pPr>
            <w:r>
              <w:rPr>
                <w:rFonts w:hint="eastAsia" w:ascii="仿宋" w:hAnsi="仿宋" w:eastAsia="仿宋" w:cs="仿宋"/>
                <w:sz w:val="21"/>
              </w:rPr>
              <w:t>质量保证金金额：3</w:t>
            </w:r>
          </w:p>
        </w:tc>
        <w:tc>
          <w:tcPr>
            <w:tcW w:w="4800" w:type="dxa"/>
            <w:gridSpan w:val="40"/>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right="306"/>
              <w:jc w:val="right"/>
              <w:textAlignment w:val="auto"/>
              <w:rPr>
                <w:rFonts w:hint="eastAsia" w:ascii="仿宋" w:hAnsi="仿宋" w:eastAsia="仿宋" w:cs="仿宋"/>
                <w:w w:val="98"/>
                <w:sz w:val="21"/>
              </w:rPr>
            </w:pPr>
            <w:r>
              <w:rPr>
                <w:rFonts w:hint="eastAsia" w:ascii="仿宋" w:hAnsi="仿宋" w:eastAsia="仿宋" w:cs="仿宋"/>
                <w:w w:val="98"/>
                <w:sz w:val="21"/>
              </w:rPr>
              <w:t>%合同价格，若交工验收时承包人具备被招标项目</w:t>
            </w:r>
          </w:p>
        </w:tc>
      </w:tr>
      <w:tr>
        <w:tblPrEx>
          <w:tblLayout w:type="fixed"/>
          <w:tblCellMar>
            <w:top w:w="0" w:type="dxa"/>
            <w:left w:w="0" w:type="dxa"/>
            <w:bottom w:w="0" w:type="dxa"/>
            <w:right w:w="0" w:type="dxa"/>
          </w:tblCellMar>
        </w:tblPrEx>
        <w:trPr>
          <w:trHeight w:val="20" w:hRule="atLeast"/>
        </w:trPr>
        <w:tc>
          <w:tcPr>
            <w:tcW w:w="142" w:type="dxa"/>
            <w:tcBorders>
              <w:lef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righ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gridSpan w:val="2"/>
            <w:tcBorders>
              <w:righ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gridSpan w:val="3"/>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5"/>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4"/>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40" w:type="dxa"/>
            <w:gridSpan w:val="4"/>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gridSpan w:val="4"/>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4"/>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40" w:type="dxa"/>
            <w:gridSpan w:val="5"/>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9"/>
                <w:sz w:val="21"/>
              </w:rPr>
            </w:pPr>
            <w:r>
              <w:rPr>
                <w:rFonts w:hint="eastAsia" w:ascii="仿宋" w:hAnsi="仿宋" w:eastAsia="仿宋" w:cs="仿宋"/>
                <w:w w:val="99"/>
                <w:sz w:val="21"/>
              </w:rPr>
              <w:t>%合同价</w:t>
            </w:r>
          </w:p>
        </w:tc>
      </w:tr>
      <w:tr>
        <w:tblPrEx>
          <w:tblLayout w:type="fixed"/>
          <w:tblCellMar>
            <w:top w:w="0" w:type="dxa"/>
            <w:left w:w="0" w:type="dxa"/>
            <w:bottom w:w="0" w:type="dxa"/>
            <w:right w:w="0" w:type="dxa"/>
          </w:tblCellMar>
        </w:tblPrEx>
        <w:trPr>
          <w:trHeight w:val="341"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12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320" w:type="dxa"/>
            <w:gridSpan w:val="55"/>
            <w:noWrap w:val="0"/>
            <w:vAlign w:val="bottom"/>
          </w:tcPr>
          <w:p>
            <w:pPr>
              <w:keepNext w:val="0"/>
              <w:keepLines w:val="0"/>
              <w:pageBreakBefore w:val="0"/>
              <w:widowControl/>
              <w:kinsoku/>
              <w:wordWrap/>
              <w:overflowPunct/>
              <w:topLinePunct w:val="0"/>
              <w:autoSpaceDE/>
              <w:autoSpaceDN/>
              <w:bidi w:val="0"/>
              <w:spacing w:line="240" w:lineRule="auto"/>
              <w:ind w:left="80"/>
              <w:textAlignment w:val="auto"/>
              <w:rPr>
                <w:rFonts w:hint="eastAsia" w:ascii="仿宋" w:hAnsi="仿宋" w:eastAsia="仿宋" w:cs="仿宋"/>
                <w:sz w:val="21"/>
              </w:rPr>
            </w:pPr>
            <w:r>
              <w:rPr>
                <w:rFonts w:hint="eastAsia" w:ascii="仿宋" w:hAnsi="仿宋" w:eastAsia="仿宋" w:cs="仿宋"/>
                <w:sz w:val="21"/>
              </w:rPr>
              <w:t>所在地省级交通运输主管部门评定的最高信用等级，发包人给予</w:t>
            </w: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940" w:type="dxa"/>
            <w:gridSpan w:val="5"/>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348"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20</w:t>
            </w:r>
          </w:p>
        </w:tc>
        <w:tc>
          <w:tcPr>
            <w:tcW w:w="1120" w:type="dxa"/>
            <w:gridSpan w:val="2"/>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8"/>
                <w:sz w:val="21"/>
              </w:rPr>
            </w:pPr>
            <w:r>
              <w:rPr>
                <w:rFonts w:hint="eastAsia" w:ascii="仿宋" w:hAnsi="仿宋" w:eastAsia="仿宋" w:cs="仿宋"/>
                <w:w w:val="98"/>
                <w:sz w:val="21"/>
              </w:rPr>
              <w:t>17.4.1</w:t>
            </w:r>
          </w:p>
        </w:tc>
        <w:tc>
          <w:tcPr>
            <w:tcW w:w="2500" w:type="dxa"/>
            <w:gridSpan w:val="22"/>
            <w:noWrap w:val="0"/>
            <w:vAlign w:val="bottom"/>
          </w:tcPr>
          <w:p>
            <w:pPr>
              <w:keepNext w:val="0"/>
              <w:keepLines w:val="0"/>
              <w:pageBreakBefore w:val="0"/>
              <w:widowControl/>
              <w:kinsoku/>
              <w:wordWrap/>
              <w:overflowPunct/>
              <w:topLinePunct w:val="0"/>
              <w:autoSpaceDE/>
              <w:autoSpaceDN/>
              <w:bidi w:val="0"/>
              <w:spacing w:line="240" w:lineRule="auto"/>
              <w:ind w:left="80"/>
              <w:textAlignment w:val="auto"/>
              <w:rPr>
                <w:rFonts w:hint="eastAsia" w:ascii="仿宋" w:hAnsi="仿宋" w:eastAsia="仿宋" w:cs="仿宋"/>
                <w:sz w:val="21"/>
                <w:vertAlign w:val="superscript"/>
              </w:rPr>
            </w:pPr>
            <w:r>
              <w:rPr>
                <w:rFonts w:hint="eastAsia" w:ascii="仿宋" w:hAnsi="仿宋" w:eastAsia="仿宋" w:cs="仿宋"/>
                <w:sz w:val="21"/>
              </w:rPr>
              <w:t>格质量保证金的优惠。</w:t>
            </w:r>
          </w:p>
        </w:tc>
        <w:tc>
          <w:tcPr>
            <w:tcW w:w="1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gridSpan w:val="2"/>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gridSpan w:val="2"/>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gridSpan w:val="2"/>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gridSpan w:val="2"/>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11"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440" w:type="dxa"/>
            <w:gridSpan w:val="2"/>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1120" w:type="dxa"/>
            <w:gridSpan w:val="2"/>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2640" w:type="dxa"/>
            <w:gridSpan w:val="26"/>
            <w:vMerge w:val="restart"/>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rPr>
            </w:pPr>
            <w:r>
              <w:rPr>
                <w:rFonts w:hint="eastAsia" w:ascii="仿宋" w:hAnsi="仿宋" w:eastAsia="仿宋" w:cs="仿宋"/>
                <w:sz w:val="21"/>
              </w:rPr>
              <w:t>质量保证金是否计付利息：</w:t>
            </w: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2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2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3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4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tc>
      </w:tr>
      <w:tr>
        <w:tblPrEx>
          <w:tblLayout w:type="fixed"/>
          <w:tblCellMar>
            <w:top w:w="0" w:type="dxa"/>
            <w:left w:w="0" w:type="dxa"/>
            <w:bottom w:w="0" w:type="dxa"/>
            <w:right w:w="0" w:type="dxa"/>
          </w:tblCellMar>
        </w:tblPrEx>
        <w:trPr>
          <w:trHeight w:val="145"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44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112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2640" w:type="dxa"/>
            <w:gridSpan w:val="26"/>
            <w:vMerge w:val="continue"/>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2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2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3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4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2"/>
              </w:rPr>
            </w:pPr>
          </w:p>
        </w:tc>
      </w:tr>
      <w:tr>
        <w:tblPrEx>
          <w:tblLayout w:type="fixed"/>
          <w:tblCellMar>
            <w:top w:w="0" w:type="dxa"/>
            <w:left w:w="0" w:type="dxa"/>
            <w:bottom w:w="0" w:type="dxa"/>
            <w:right w:w="0" w:type="dxa"/>
          </w:tblCellMar>
        </w:tblPrEx>
        <w:trPr>
          <w:trHeight w:val="351"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12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640" w:type="dxa"/>
            <w:gridSpan w:val="26"/>
            <w:noWrap w:val="0"/>
            <w:vAlign w:val="bottom"/>
          </w:tcPr>
          <w:p>
            <w:pPr>
              <w:keepNext w:val="0"/>
              <w:keepLines w:val="0"/>
              <w:pageBreakBefore w:val="0"/>
              <w:widowControl/>
              <w:kinsoku/>
              <w:wordWrap/>
              <w:overflowPunct/>
              <w:topLinePunct w:val="0"/>
              <w:autoSpaceDE/>
              <w:autoSpaceDN/>
              <w:bidi w:val="0"/>
              <w:spacing w:line="240" w:lineRule="auto"/>
              <w:ind w:left="120"/>
              <w:textAlignment w:val="auto"/>
              <w:rPr>
                <w:rFonts w:hint="eastAsia" w:ascii="仿宋" w:hAnsi="仿宋" w:eastAsia="仿宋" w:cs="仿宋"/>
                <w:sz w:val="21"/>
              </w:rPr>
            </w:pPr>
            <w:r>
              <w:rPr>
                <w:rFonts w:hint="eastAsia" w:ascii="仿宋" w:hAnsi="仿宋" w:eastAsia="仿宋" w:cs="仿宋"/>
                <w:sz w:val="32"/>
              </w:rPr>
              <w:t>□</w:t>
            </w:r>
            <w:r>
              <w:rPr>
                <w:rFonts w:hint="eastAsia" w:ascii="仿宋" w:hAnsi="仿宋" w:eastAsia="仿宋" w:cs="仿宋"/>
                <w:sz w:val="21"/>
              </w:rPr>
              <w:t>是，利息的计算方式：</w:t>
            </w: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393" w:hRule="atLeast"/>
        </w:trPr>
        <w:tc>
          <w:tcPr>
            <w:tcW w:w="142"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12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180" w:type="dxa"/>
            <w:gridSpan w:val="20"/>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120"/>
              <w:textAlignment w:val="auto"/>
              <w:rPr>
                <w:rFonts w:hint="eastAsia" w:ascii="仿宋" w:hAnsi="仿宋" w:eastAsia="仿宋" w:cs="仿宋"/>
                <w:sz w:val="21"/>
              </w:rPr>
            </w:pPr>
            <w:r>
              <w:rPr>
                <w:rFonts w:hint="eastAsia" w:ascii="仿宋" w:hAnsi="仿宋" w:eastAsia="仿宋" w:cs="仿宋"/>
                <w:sz w:val="32"/>
              </w:rPr>
              <w:t>□</w:t>
            </w:r>
            <w:r>
              <w:rPr>
                <w:rFonts w:hint="eastAsia" w:ascii="仿宋" w:hAnsi="仿宋" w:eastAsia="仿宋" w:cs="仿宋"/>
                <w:sz w:val="21"/>
              </w:rPr>
              <w:t>否</w:t>
            </w:r>
          </w:p>
        </w:tc>
        <w:tc>
          <w:tcPr>
            <w:tcW w:w="1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4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322"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21</w:t>
            </w:r>
          </w:p>
        </w:tc>
        <w:tc>
          <w:tcPr>
            <w:tcW w:w="1120" w:type="dxa"/>
            <w:gridSpan w:val="2"/>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100"/>
              <w:textAlignment w:val="auto"/>
              <w:rPr>
                <w:rFonts w:hint="eastAsia" w:ascii="仿宋" w:hAnsi="仿宋" w:eastAsia="仿宋" w:cs="仿宋"/>
                <w:w w:val="93"/>
                <w:sz w:val="21"/>
              </w:rPr>
            </w:pPr>
            <w:r>
              <w:rPr>
                <w:rFonts w:hint="eastAsia" w:ascii="仿宋" w:hAnsi="仿宋" w:eastAsia="仿宋" w:cs="仿宋"/>
                <w:w w:val="93"/>
                <w:sz w:val="21"/>
              </w:rPr>
              <w:t>17.5.1（1）</w:t>
            </w: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980" w:type="dxa"/>
            <w:gridSpan w:val="60"/>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rPr>
            </w:pPr>
            <w:r>
              <w:rPr>
                <w:rFonts w:hint="eastAsia" w:ascii="仿宋" w:hAnsi="仿宋" w:eastAsia="仿宋" w:cs="仿宋"/>
                <w:sz w:val="21"/>
              </w:rPr>
              <w:t>承包人向监理人提交交工付款申请单（包括相关证明材料）的份数：</w:t>
            </w:r>
          </w:p>
        </w:tc>
      </w:tr>
      <w:tr>
        <w:tblPrEx>
          <w:tblLayout w:type="fixed"/>
          <w:tblCellMar>
            <w:top w:w="0" w:type="dxa"/>
            <w:left w:w="0" w:type="dxa"/>
            <w:bottom w:w="0" w:type="dxa"/>
            <w:right w:w="0" w:type="dxa"/>
          </w:tblCellMar>
        </w:tblPrEx>
        <w:trPr>
          <w:trHeight w:val="206"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440" w:type="dxa"/>
            <w:gridSpan w:val="2"/>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120" w:type="dxa"/>
            <w:gridSpan w:val="2"/>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4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760" w:type="dxa"/>
            <w:gridSpan w:val="18"/>
            <w:vMerge w:val="restart"/>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rPr>
            </w:pPr>
            <w:r>
              <w:rPr>
                <w:rFonts w:hint="eastAsia" w:ascii="仿宋" w:hAnsi="仿宋" w:eastAsia="仿宋" w:cs="仿宋"/>
                <w:sz w:val="21"/>
              </w:rPr>
              <w:t>份</w:t>
            </w:r>
          </w:p>
        </w:tc>
        <w:tc>
          <w:tcPr>
            <w:tcW w:w="1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2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2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2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3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4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r>
      <w:tr>
        <w:tblPrEx>
          <w:tblLayout w:type="fixed"/>
          <w:tblCellMar>
            <w:top w:w="0" w:type="dxa"/>
            <w:left w:w="0" w:type="dxa"/>
            <w:bottom w:w="0" w:type="dxa"/>
            <w:right w:w="0" w:type="dxa"/>
          </w:tblCellMar>
        </w:tblPrEx>
        <w:trPr>
          <w:trHeight w:val="150"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4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12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760" w:type="dxa"/>
            <w:gridSpan w:val="18"/>
            <w:vMerge w:val="continue"/>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3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r>
      <w:tr>
        <w:tblPrEx>
          <w:tblLayout w:type="fixed"/>
          <w:tblCellMar>
            <w:top w:w="0" w:type="dxa"/>
            <w:left w:w="0" w:type="dxa"/>
            <w:bottom w:w="0" w:type="dxa"/>
            <w:right w:w="0" w:type="dxa"/>
          </w:tblCellMar>
        </w:tblPrEx>
        <w:trPr>
          <w:trHeight w:val="20" w:hRule="atLeast"/>
        </w:trPr>
        <w:tc>
          <w:tcPr>
            <w:tcW w:w="142"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00" w:type="dxa"/>
            <w:gridSpan w:val="6"/>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5"/>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6"/>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4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4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60" w:type="dxa"/>
            <w:gridSpan w:val="10"/>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4"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22</w:t>
            </w:r>
          </w:p>
        </w:tc>
        <w:tc>
          <w:tcPr>
            <w:tcW w:w="1120" w:type="dxa"/>
            <w:gridSpan w:val="2"/>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100"/>
              <w:textAlignment w:val="auto"/>
              <w:rPr>
                <w:rFonts w:hint="eastAsia" w:ascii="仿宋" w:hAnsi="仿宋" w:eastAsia="仿宋" w:cs="仿宋"/>
                <w:w w:val="93"/>
                <w:sz w:val="21"/>
              </w:rPr>
            </w:pPr>
            <w:r>
              <w:rPr>
                <w:rFonts w:hint="eastAsia" w:ascii="仿宋" w:hAnsi="仿宋" w:eastAsia="仿宋" w:cs="仿宋"/>
                <w:w w:val="93"/>
                <w:sz w:val="21"/>
              </w:rPr>
              <w:t>17.6.1（1）</w:t>
            </w: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980" w:type="dxa"/>
            <w:gridSpan w:val="60"/>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rPr>
            </w:pPr>
            <w:r>
              <w:rPr>
                <w:rFonts w:hint="eastAsia" w:ascii="仿宋" w:hAnsi="仿宋" w:eastAsia="仿宋" w:cs="仿宋"/>
                <w:sz w:val="21"/>
              </w:rPr>
              <w:t>承包人向监理人提交最终结清申请单（包括相关证明材料）的份数：</w:t>
            </w:r>
          </w:p>
        </w:tc>
      </w:tr>
      <w:tr>
        <w:tblPrEx>
          <w:tblLayout w:type="fixed"/>
          <w:tblCellMar>
            <w:top w:w="0" w:type="dxa"/>
            <w:left w:w="0" w:type="dxa"/>
            <w:bottom w:w="0" w:type="dxa"/>
            <w:right w:w="0" w:type="dxa"/>
          </w:tblCellMar>
        </w:tblPrEx>
        <w:trPr>
          <w:trHeight w:val="206"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440" w:type="dxa"/>
            <w:gridSpan w:val="2"/>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120" w:type="dxa"/>
            <w:gridSpan w:val="2"/>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4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2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540" w:type="dxa"/>
            <w:gridSpan w:val="16"/>
            <w:vMerge w:val="restart"/>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rPr>
            </w:pPr>
            <w:r>
              <w:rPr>
                <w:rFonts w:hint="eastAsia" w:ascii="仿宋" w:hAnsi="仿宋" w:eastAsia="仿宋" w:cs="仿宋"/>
                <w:sz w:val="21"/>
              </w:rPr>
              <w:t>份</w:t>
            </w:r>
          </w:p>
        </w:tc>
        <w:tc>
          <w:tcPr>
            <w:tcW w:w="1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2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2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2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3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4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7"/>
              </w:rPr>
            </w:pPr>
          </w:p>
        </w:tc>
      </w:tr>
      <w:tr>
        <w:tblPrEx>
          <w:tblLayout w:type="fixed"/>
          <w:tblCellMar>
            <w:top w:w="0" w:type="dxa"/>
            <w:left w:w="0" w:type="dxa"/>
            <w:bottom w:w="0" w:type="dxa"/>
            <w:right w:w="0" w:type="dxa"/>
          </w:tblCellMar>
        </w:tblPrEx>
        <w:trPr>
          <w:trHeight w:val="151"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4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12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540" w:type="dxa"/>
            <w:gridSpan w:val="16"/>
            <w:vMerge w:val="continue"/>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3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r>
      <w:tr>
        <w:tblPrEx>
          <w:tblLayout w:type="fixed"/>
          <w:tblCellMar>
            <w:top w:w="0" w:type="dxa"/>
            <w:left w:w="0" w:type="dxa"/>
            <w:bottom w:w="0" w:type="dxa"/>
            <w:right w:w="0" w:type="dxa"/>
          </w:tblCellMar>
        </w:tblPrEx>
        <w:trPr>
          <w:trHeight w:val="20" w:hRule="atLeast"/>
        </w:trPr>
        <w:tc>
          <w:tcPr>
            <w:tcW w:w="142"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00" w:type="dxa"/>
            <w:gridSpan w:val="6"/>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5"/>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0"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23</w:t>
            </w:r>
          </w:p>
        </w:tc>
        <w:tc>
          <w:tcPr>
            <w:tcW w:w="112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8"/>
                <w:sz w:val="21"/>
              </w:rPr>
            </w:pPr>
            <w:r>
              <w:rPr>
                <w:rFonts w:hint="eastAsia" w:ascii="仿宋" w:hAnsi="仿宋" w:eastAsia="仿宋" w:cs="仿宋"/>
                <w:w w:val="98"/>
                <w:sz w:val="21"/>
              </w:rPr>
              <w:t>18.2（2）</w:t>
            </w: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180" w:type="dxa"/>
            <w:gridSpan w:val="2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rPr>
            </w:pPr>
            <w:r>
              <w:rPr>
                <w:rFonts w:hint="eastAsia" w:ascii="仿宋" w:hAnsi="仿宋" w:eastAsia="仿宋" w:cs="仿宋"/>
                <w:sz w:val="21"/>
              </w:rPr>
              <w:t>竣工资料的份数：</w:t>
            </w:r>
          </w:p>
        </w:tc>
        <w:tc>
          <w:tcPr>
            <w:tcW w:w="1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gridSpan w:val="4"/>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rPr>
            </w:pPr>
            <w:r>
              <w:rPr>
                <w:rFonts w:hint="eastAsia" w:ascii="仿宋" w:hAnsi="仿宋" w:eastAsia="仿宋" w:cs="仿宋"/>
                <w:sz w:val="21"/>
              </w:rPr>
              <w:t>份</w:t>
            </w: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142"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00" w:type="dxa"/>
            <w:gridSpan w:val="6"/>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0" w:type="dxa"/>
            <w:gridSpan w:val="4"/>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gridSpan w:val="4"/>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6"/>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4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580" w:type="dxa"/>
            <w:gridSpan w:val="8"/>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4"/>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6"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12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00" w:type="dxa"/>
            <w:gridSpan w:val="53"/>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rPr>
            </w:pPr>
            <w:r>
              <w:rPr>
                <w:rFonts w:hint="eastAsia" w:ascii="仿宋" w:hAnsi="仿宋" w:eastAsia="仿宋" w:cs="仿宋"/>
                <w:sz w:val="21"/>
              </w:rPr>
              <w:t>单位工程或工程设备是否需投入施工期运行： 是或否</w:t>
            </w: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142" w:type="dxa"/>
            <w:tcBorders>
              <w:lef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righ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gridSpan w:val="2"/>
            <w:tcBorders>
              <w:righ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00" w:type="dxa"/>
            <w:gridSpan w:val="6"/>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gridSpan w:val="3"/>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5"/>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60" w:type="dxa"/>
            <w:gridSpan w:val="10"/>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2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40" w:type="dxa"/>
            <w:gridSpan w:val="4"/>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40" w:type="dxa"/>
            <w:gridSpan w:val="4"/>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gridSpan w:val="4"/>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60" w:type="dxa"/>
            <w:gridSpan w:val="1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65"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24</w:t>
            </w:r>
          </w:p>
        </w:tc>
        <w:tc>
          <w:tcPr>
            <w:tcW w:w="112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8"/>
                <w:sz w:val="21"/>
              </w:rPr>
            </w:pPr>
            <w:r>
              <w:rPr>
                <w:rFonts w:hint="eastAsia" w:ascii="仿宋" w:hAnsi="仿宋" w:eastAsia="仿宋" w:cs="仿宋"/>
                <w:w w:val="98"/>
                <w:sz w:val="21"/>
              </w:rPr>
              <w:t>18.5.1</w:t>
            </w: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980" w:type="dxa"/>
            <w:gridSpan w:val="60"/>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rPr>
            </w:pPr>
            <w:r>
              <w:rPr>
                <w:rFonts w:hint="eastAsia" w:ascii="仿宋" w:hAnsi="仿宋" w:eastAsia="仿宋" w:cs="仿宋"/>
                <w:sz w:val="21"/>
              </w:rPr>
              <w:t>如单位工程或工程设备需要进行施工期运行，需要施工期运行的单位工程或</w:t>
            </w:r>
          </w:p>
        </w:tc>
      </w:tr>
      <w:tr>
        <w:tblPrEx>
          <w:tblLayout w:type="fixed"/>
          <w:tblCellMar>
            <w:top w:w="0" w:type="dxa"/>
            <w:left w:w="0" w:type="dxa"/>
            <w:bottom w:w="0" w:type="dxa"/>
            <w:right w:w="0" w:type="dxa"/>
          </w:tblCellMar>
        </w:tblPrEx>
        <w:trPr>
          <w:trHeight w:val="330"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12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980" w:type="dxa"/>
            <w:gridSpan w:val="15"/>
            <w:noWrap w:val="0"/>
            <w:vAlign w:val="bottom"/>
          </w:tcPr>
          <w:p>
            <w:pPr>
              <w:keepNext w:val="0"/>
              <w:keepLines w:val="0"/>
              <w:pageBreakBefore w:val="0"/>
              <w:widowControl/>
              <w:kinsoku/>
              <w:wordWrap/>
              <w:overflowPunct/>
              <w:topLinePunct w:val="0"/>
              <w:autoSpaceDE/>
              <w:autoSpaceDN/>
              <w:bidi w:val="0"/>
              <w:spacing w:line="240" w:lineRule="auto"/>
              <w:ind w:left="80"/>
              <w:textAlignment w:val="auto"/>
              <w:rPr>
                <w:rFonts w:hint="eastAsia" w:ascii="仿宋" w:hAnsi="仿宋" w:eastAsia="仿宋" w:cs="仿宋"/>
                <w:w w:val="99"/>
                <w:sz w:val="21"/>
              </w:rPr>
            </w:pPr>
            <w:r>
              <w:rPr>
                <w:rFonts w:hint="eastAsia" w:ascii="仿宋" w:hAnsi="仿宋" w:eastAsia="仿宋" w:cs="仿宋"/>
                <w:w w:val="99"/>
                <w:sz w:val="21"/>
              </w:rPr>
              <w:t>工程设备规定如下：</w:t>
            </w:r>
          </w:p>
        </w:tc>
        <w:tc>
          <w:tcPr>
            <w:tcW w:w="520" w:type="dxa"/>
            <w:gridSpan w:val="7"/>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142"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00" w:type="dxa"/>
            <w:gridSpan w:val="6"/>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gridSpan w:val="8"/>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60" w:type="dxa"/>
            <w:gridSpan w:val="10"/>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4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40" w:type="dxa"/>
            <w:gridSpan w:val="5"/>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4"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25</w:t>
            </w:r>
          </w:p>
        </w:tc>
        <w:tc>
          <w:tcPr>
            <w:tcW w:w="1120" w:type="dxa"/>
            <w:gridSpan w:val="2"/>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8"/>
                <w:sz w:val="21"/>
              </w:rPr>
            </w:pPr>
            <w:r>
              <w:rPr>
                <w:rFonts w:hint="eastAsia" w:ascii="仿宋" w:hAnsi="仿宋" w:eastAsia="仿宋" w:cs="仿宋"/>
                <w:w w:val="98"/>
                <w:sz w:val="21"/>
              </w:rPr>
              <w:t>18.6.1</w:t>
            </w: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600" w:type="dxa"/>
            <w:gridSpan w:val="39"/>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rPr>
            </w:pPr>
            <w:r>
              <w:rPr>
                <w:rFonts w:hint="eastAsia" w:ascii="仿宋" w:hAnsi="仿宋" w:eastAsia="仿宋" w:cs="仿宋"/>
                <w:sz w:val="21"/>
              </w:rPr>
              <w:t>本工程及工程设备是否进行试运行： 是或否</w:t>
            </w: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142" w:type="dxa"/>
            <w:tcBorders>
              <w:lef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vMerge w:val="continue"/>
            <w:tcBorders>
              <w:righ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gridSpan w:val="2"/>
            <w:vMerge w:val="continue"/>
            <w:tcBorders>
              <w:righ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gridSpan w:val="3"/>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right w:val="single" w:color="auto" w:sz="8" w:space="0"/>
            </w:tcBorders>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185"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440" w:type="dxa"/>
            <w:gridSpan w:val="2"/>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120" w:type="dxa"/>
            <w:gridSpan w:val="2"/>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6000" w:type="dxa"/>
            <w:gridSpan w:val="53"/>
            <w:vMerge w:val="restart"/>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rPr>
            </w:pPr>
            <w:r>
              <w:rPr>
                <w:rFonts w:hint="eastAsia" w:ascii="仿宋" w:hAnsi="仿宋" w:eastAsia="仿宋" w:cs="仿宋"/>
                <w:sz w:val="21"/>
              </w:rPr>
              <w:t>如本工程及工程设备需要进行试运行，试运行的具体规定如下：</w:t>
            </w: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r>
      <w:tr>
        <w:tblPrEx>
          <w:tblLayout w:type="fixed"/>
          <w:tblCellMar>
            <w:top w:w="0" w:type="dxa"/>
            <w:left w:w="0" w:type="dxa"/>
            <w:bottom w:w="0" w:type="dxa"/>
            <w:right w:w="0" w:type="dxa"/>
          </w:tblCellMar>
        </w:tblPrEx>
        <w:trPr>
          <w:trHeight w:val="150"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4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12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6000" w:type="dxa"/>
            <w:gridSpan w:val="53"/>
            <w:vMerge w:val="continue"/>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r>
      <w:tr>
        <w:tblPrEx>
          <w:tblLayout w:type="fixed"/>
          <w:tblCellMar>
            <w:top w:w="0" w:type="dxa"/>
            <w:left w:w="0" w:type="dxa"/>
            <w:bottom w:w="0" w:type="dxa"/>
            <w:right w:w="0" w:type="dxa"/>
          </w:tblCellMar>
        </w:tblPrEx>
        <w:trPr>
          <w:trHeight w:val="20" w:hRule="atLeast"/>
        </w:trPr>
        <w:tc>
          <w:tcPr>
            <w:tcW w:w="142"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00" w:type="dxa"/>
            <w:gridSpan w:val="6"/>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gridSpan w:val="8"/>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60" w:type="dxa"/>
            <w:gridSpan w:val="10"/>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40" w:type="dxa"/>
            <w:gridSpan w:val="5"/>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0"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26</w:t>
            </w:r>
          </w:p>
        </w:tc>
        <w:tc>
          <w:tcPr>
            <w:tcW w:w="112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8"/>
                <w:sz w:val="21"/>
              </w:rPr>
            </w:pPr>
            <w:r>
              <w:rPr>
                <w:rFonts w:hint="eastAsia" w:ascii="仿宋" w:hAnsi="仿宋" w:eastAsia="仿宋" w:cs="仿宋"/>
                <w:w w:val="98"/>
                <w:sz w:val="21"/>
              </w:rPr>
              <w:t>19.7（1）</w:t>
            </w: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160" w:type="dxa"/>
            <w:gridSpan w:val="31"/>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rPr>
            </w:pPr>
            <w:r>
              <w:rPr>
                <w:rFonts w:hint="eastAsia" w:ascii="仿宋" w:hAnsi="仿宋" w:eastAsia="仿宋" w:cs="仿宋"/>
                <w:sz w:val="21"/>
              </w:rPr>
              <w:t>保修期：自实际交工日期起计算</w:t>
            </w:r>
          </w:p>
        </w:tc>
        <w:tc>
          <w:tcPr>
            <w:tcW w:w="2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5</w:t>
            </w: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120" w:type="dxa"/>
            <w:gridSpan w:val="6"/>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0"/>
              </w:rPr>
            </w:pPr>
            <w:r>
              <w:rPr>
                <w:rFonts w:hint="eastAsia" w:ascii="仿宋" w:hAnsi="仿宋" w:eastAsia="仿宋" w:cs="仿宋"/>
                <w:sz w:val="36"/>
                <w:vertAlign w:val="subscript"/>
              </w:rPr>
              <w:t>年</w:t>
            </w: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142"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00" w:type="dxa"/>
            <w:gridSpan w:val="6"/>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gridSpan w:val="8"/>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60" w:type="dxa"/>
            <w:gridSpan w:val="1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40" w:type="dxa"/>
            <w:gridSpan w:val="5"/>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0"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27</w:t>
            </w:r>
          </w:p>
        </w:tc>
        <w:tc>
          <w:tcPr>
            <w:tcW w:w="112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7"/>
                <w:sz w:val="21"/>
              </w:rPr>
            </w:pPr>
            <w:r>
              <w:rPr>
                <w:rFonts w:hint="eastAsia" w:ascii="仿宋" w:hAnsi="仿宋" w:eastAsia="仿宋" w:cs="仿宋"/>
                <w:w w:val="97"/>
                <w:sz w:val="21"/>
              </w:rPr>
              <w:t>20.1</w:t>
            </w: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740" w:type="dxa"/>
            <w:gridSpan w:val="28"/>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9"/>
                <w:sz w:val="21"/>
              </w:rPr>
            </w:pPr>
            <w:r>
              <w:rPr>
                <w:rFonts w:hint="eastAsia" w:ascii="仿宋" w:hAnsi="仿宋" w:eastAsia="仿宋" w:cs="仿宋"/>
                <w:w w:val="99"/>
                <w:sz w:val="21"/>
              </w:rPr>
              <w:t>建筑工程一切险的保险费率：</w:t>
            </w:r>
          </w:p>
        </w:tc>
        <w:tc>
          <w:tcPr>
            <w:tcW w:w="42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440" w:type="dxa"/>
            <w:gridSpan w:val="8"/>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5"/>
                <w:sz w:val="21"/>
              </w:rPr>
            </w:pPr>
            <w:r>
              <w:rPr>
                <w:rFonts w:hint="eastAsia" w:ascii="仿宋" w:hAnsi="仿宋" w:eastAsia="仿宋" w:cs="仿宋"/>
                <w:w w:val="95"/>
                <w:sz w:val="21"/>
              </w:rPr>
              <w:t>‰</w:t>
            </w: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142"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20" w:type="dxa"/>
            <w:gridSpan w:val="8"/>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80" w:type="dxa"/>
            <w:gridSpan w:val="1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80" w:type="dxa"/>
            <w:gridSpan w:val="1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20" w:type="dxa"/>
            <w:gridSpan w:val="11"/>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0" w:type="dxa"/>
            <w:gridSpan w:val="15"/>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0"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28</w:t>
            </w:r>
          </w:p>
        </w:tc>
        <w:tc>
          <w:tcPr>
            <w:tcW w:w="1120" w:type="dxa"/>
            <w:gridSpan w:val="2"/>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8"/>
                <w:sz w:val="21"/>
              </w:rPr>
            </w:pPr>
            <w:r>
              <w:rPr>
                <w:rFonts w:hint="eastAsia" w:ascii="仿宋" w:hAnsi="仿宋" w:eastAsia="仿宋" w:cs="仿宋"/>
                <w:w w:val="98"/>
                <w:sz w:val="21"/>
              </w:rPr>
              <w:t>20.4.2</w:t>
            </w:r>
          </w:p>
        </w:tc>
        <w:tc>
          <w:tcPr>
            <w:tcW w:w="3480" w:type="dxa"/>
            <w:gridSpan w:val="33"/>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sz w:val="21"/>
              </w:rPr>
            </w:pPr>
            <w:r>
              <w:rPr>
                <w:rFonts w:hint="eastAsia" w:ascii="仿宋" w:hAnsi="仿宋" w:eastAsia="仿宋" w:cs="仿宋"/>
                <w:sz w:val="21"/>
              </w:rPr>
              <w:t>第三者责任险的最低投保金额：</w:t>
            </w:r>
          </w:p>
        </w:tc>
        <w:tc>
          <w:tcPr>
            <w:tcW w:w="2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500" w:type="dxa"/>
            <w:gridSpan w:val="27"/>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rPr>
            </w:pPr>
            <w:r>
              <w:rPr>
                <w:rFonts w:hint="eastAsia" w:ascii="仿宋" w:hAnsi="仿宋" w:eastAsia="仿宋" w:cs="仿宋"/>
                <w:sz w:val="21"/>
              </w:rPr>
              <w:t>万元，事故次数不限（不计免赔额）</w:t>
            </w:r>
          </w:p>
        </w:tc>
      </w:tr>
      <w:tr>
        <w:tblPrEx>
          <w:tblLayout w:type="fixed"/>
          <w:tblCellMar>
            <w:top w:w="0" w:type="dxa"/>
            <w:left w:w="0" w:type="dxa"/>
            <w:bottom w:w="0" w:type="dxa"/>
            <w:right w:w="0" w:type="dxa"/>
          </w:tblCellMar>
        </w:tblPrEx>
        <w:trPr>
          <w:trHeight w:val="190"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440" w:type="dxa"/>
            <w:gridSpan w:val="2"/>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120" w:type="dxa"/>
            <w:gridSpan w:val="2"/>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2500" w:type="dxa"/>
            <w:gridSpan w:val="22"/>
            <w:vMerge w:val="restart"/>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w w:val="95"/>
                <w:sz w:val="21"/>
              </w:rPr>
            </w:pPr>
            <w:r>
              <w:rPr>
                <w:rFonts w:hint="eastAsia" w:ascii="仿宋" w:hAnsi="仿宋" w:eastAsia="仿宋" w:cs="仿宋"/>
                <w:w w:val="95"/>
                <w:sz w:val="21"/>
              </w:rPr>
              <w:t>保险费率：‰</w:t>
            </w:r>
          </w:p>
        </w:tc>
        <w:tc>
          <w:tcPr>
            <w:tcW w:w="1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2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22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20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2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3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4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r>
      <w:tr>
        <w:tblPrEx>
          <w:tblLayout w:type="fixed"/>
          <w:tblCellMar>
            <w:top w:w="0" w:type="dxa"/>
            <w:left w:w="0" w:type="dxa"/>
            <w:bottom w:w="0" w:type="dxa"/>
            <w:right w:w="0" w:type="dxa"/>
          </w:tblCellMar>
        </w:tblPrEx>
        <w:trPr>
          <w:trHeight w:val="150"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4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12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500" w:type="dxa"/>
            <w:gridSpan w:val="22"/>
            <w:vMerge w:val="continue"/>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3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r>
      <w:tr>
        <w:tblPrEx>
          <w:tblLayout w:type="fixed"/>
          <w:tblCellMar>
            <w:top w:w="0" w:type="dxa"/>
            <w:left w:w="0" w:type="dxa"/>
            <w:bottom w:w="0" w:type="dxa"/>
            <w:right w:w="0" w:type="dxa"/>
          </w:tblCellMar>
        </w:tblPrEx>
        <w:trPr>
          <w:trHeight w:val="20" w:hRule="atLeast"/>
        </w:trPr>
        <w:tc>
          <w:tcPr>
            <w:tcW w:w="142"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20" w:type="dxa"/>
            <w:gridSpan w:val="8"/>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120" w:type="dxa"/>
            <w:gridSpan w:val="29"/>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2"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gridSpan w:val="2"/>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1"/>
              </w:rPr>
            </w:pPr>
            <w:r>
              <w:rPr>
                <w:rFonts w:hint="eastAsia" w:ascii="仿宋" w:hAnsi="仿宋" w:eastAsia="仿宋" w:cs="仿宋"/>
                <w:sz w:val="21"/>
              </w:rPr>
              <w:t>29</w:t>
            </w:r>
          </w:p>
        </w:tc>
        <w:tc>
          <w:tcPr>
            <w:tcW w:w="1120" w:type="dxa"/>
            <w:gridSpan w:val="2"/>
            <w:vMerge w:val="restart"/>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7"/>
                <w:sz w:val="21"/>
              </w:rPr>
            </w:pPr>
            <w:r>
              <w:rPr>
                <w:rFonts w:hint="eastAsia" w:ascii="仿宋" w:hAnsi="仿宋" w:eastAsia="仿宋" w:cs="仿宋"/>
                <w:w w:val="97"/>
                <w:sz w:val="21"/>
              </w:rPr>
              <w:t>24.1</w:t>
            </w:r>
          </w:p>
        </w:tc>
        <w:tc>
          <w:tcPr>
            <w:tcW w:w="4920" w:type="dxa"/>
            <w:gridSpan w:val="41"/>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sz w:val="21"/>
              </w:rPr>
            </w:pPr>
            <w:r>
              <w:rPr>
                <w:rFonts w:hint="eastAsia" w:ascii="仿宋" w:hAnsi="仿宋" w:eastAsia="仿宋" w:cs="仿宋"/>
                <w:sz w:val="21"/>
              </w:rPr>
              <w:t>争议的最终解决方式：  仲裁或诉讼</w:t>
            </w: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142" w:type="dxa"/>
            <w:tcBorders>
              <w:lef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vMerge w:val="continue"/>
            <w:tcBorders>
              <w:righ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gridSpan w:val="2"/>
            <w:vMerge w:val="continue"/>
            <w:tcBorders>
              <w:righ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gridSpan w:val="3"/>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187"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440" w:type="dxa"/>
            <w:gridSpan w:val="2"/>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120" w:type="dxa"/>
            <w:gridSpan w:val="2"/>
            <w:vMerge w:val="continue"/>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3480" w:type="dxa"/>
            <w:gridSpan w:val="33"/>
            <w:vMerge w:val="restart"/>
            <w:noWrap w:val="0"/>
            <w:vAlign w:val="bottom"/>
          </w:tcPr>
          <w:p>
            <w:pPr>
              <w:keepNext w:val="0"/>
              <w:keepLines w:val="0"/>
              <w:pageBreakBefore w:val="0"/>
              <w:widowControl/>
              <w:kinsoku/>
              <w:wordWrap/>
              <w:overflowPunct/>
              <w:topLinePunct w:val="0"/>
              <w:autoSpaceDE/>
              <w:autoSpaceDN/>
              <w:bidi w:val="0"/>
              <w:spacing w:line="240" w:lineRule="auto"/>
              <w:ind w:left="320"/>
              <w:textAlignment w:val="auto"/>
              <w:rPr>
                <w:rFonts w:hint="eastAsia" w:ascii="仿宋" w:hAnsi="仿宋" w:eastAsia="仿宋" w:cs="仿宋"/>
                <w:sz w:val="21"/>
              </w:rPr>
            </w:pPr>
            <w:r>
              <w:rPr>
                <w:rFonts w:hint="eastAsia" w:ascii="仿宋" w:hAnsi="仿宋" w:eastAsia="仿宋" w:cs="仿宋"/>
                <w:sz w:val="21"/>
              </w:rPr>
              <w:t>如采用仲裁，仲裁委员会名称：</w:t>
            </w:r>
          </w:p>
        </w:tc>
        <w:tc>
          <w:tcPr>
            <w:tcW w:w="2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3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4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6"/>
              </w:rPr>
            </w:pPr>
          </w:p>
        </w:tc>
      </w:tr>
      <w:tr>
        <w:tblPrEx>
          <w:tblLayout w:type="fixed"/>
          <w:tblCellMar>
            <w:top w:w="0" w:type="dxa"/>
            <w:left w:w="0" w:type="dxa"/>
            <w:bottom w:w="0" w:type="dxa"/>
            <w:right w:w="0" w:type="dxa"/>
          </w:tblCellMar>
        </w:tblPrEx>
        <w:trPr>
          <w:trHeight w:val="150" w:hRule="atLeast"/>
        </w:trPr>
        <w:tc>
          <w:tcPr>
            <w:tcW w:w="142"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4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120" w:type="dxa"/>
            <w:gridSpan w:val="2"/>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3480" w:type="dxa"/>
            <w:gridSpan w:val="33"/>
            <w:vMerge w:val="continue"/>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3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6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5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2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r>
      <w:tr>
        <w:tblPrEx>
          <w:tblLayout w:type="fixed"/>
          <w:tblCellMar>
            <w:top w:w="0" w:type="dxa"/>
            <w:left w:w="0" w:type="dxa"/>
            <w:bottom w:w="0" w:type="dxa"/>
            <w:right w:w="0" w:type="dxa"/>
          </w:tblCellMar>
        </w:tblPrEx>
        <w:trPr>
          <w:trHeight w:val="20" w:hRule="atLeast"/>
        </w:trPr>
        <w:tc>
          <w:tcPr>
            <w:tcW w:w="142"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gridSpan w:val="2"/>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4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8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gridSpan w:val="2"/>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bl>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8520"/>
        <w:textAlignment w:val="auto"/>
        <w:rPr>
          <w:rFonts w:hint="eastAsia" w:ascii="仿宋" w:hAnsi="仿宋" w:eastAsia="仿宋" w:cs="仿宋"/>
          <w:sz w:val="18"/>
        </w:rPr>
      </w:pPr>
    </w:p>
    <w:p>
      <w:pPr>
        <w:keepNext w:val="0"/>
        <w:keepLines w:val="0"/>
        <w:pageBreakBefore w:val="0"/>
        <w:widowControl/>
        <w:kinsoku/>
        <w:wordWrap/>
        <w:overflowPunct/>
        <w:topLinePunct w:val="0"/>
        <w:autoSpaceDE/>
        <w:autoSpaceDN/>
        <w:bidi w:val="0"/>
        <w:spacing w:line="240" w:lineRule="auto"/>
        <w:ind w:left="3060"/>
        <w:textAlignment w:val="auto"/>
        <w:rPr>
          <w:rFonts w:hint="eastAsia" w:ascii="仿宋" w:hAnsi="仿宋" w:eastAsia="仿宋" w:cs="仿宋"/>
          <w:sz w:val="18"/>
        </w:rPr>
      </w:pPr>
      <w:bookmarkStart w:id="75" w:name="page158"/>
      <w:bookmarkEnd w:id="75"/>
    </w:p>
    <w:p>
      <w:pPr>
        <w:keepNext w:val="0"/>
        <w:keepLines w:val="0"/>
        <w:pageBreakBefore w:val="0"/>
        <w:widowControl/>
        <w:kinsoku/>
        <w:wordWrap/>
        <w:overflowPunct/>
        <w:topLinePunct w:val="0"/>
        <w:autoSpaceDE/>
        <w:autoSpaceDN/>
        <w:bidi w:val="0"/>
        <w:spacing w:line="240" w:lineRule="auto"/>
        <w:ind w:left="3060"/>
        <w:textAlignment w:val="auto"/>
        <w:rPr>
          <w:rFonts w:hint="eastAsia" w:ascii="仿宋" w:hAnsi="仿宋" w:eastAsia="仿宋" w:cs="仿宋"/>
          <w:sz w:val="18"/>
        </w:rPr>
      </w:pPr>
    </w:p>
    <w:p>
      <w:pPr>
        <w:keepNext w:val="0"/>
        <w:keepLines w:val="0"/>
        <w:pageBreakBefore w:val="0"/>
        <w:widowControl/>
        <w:kinsoku/>
        <w:wordWrap/>
        <w:overflowPunct/>
        <w:topLinePunct w:val="0"/>
        <w:autoSpaceDE/>
        <w:autoSpaceDN/>
        <w:bidi w:val="0"/>
        <w:spacing w:line="240" w:lineRule="auto"/>
        <w:ind w:left="3060"/>
        <w:textAlignment w:val="auto"/>
        <w:rPr>
          <w:rFonts w:hint="eastAsia" w:ascii="仿宋" w:hAnsi="仿宋" w:eastAsia="仿宋" w:cs="仿宋"/>
          <w:sz w:val="18"/>
        </w:rPr>
      </w:pPr>
    </w:p>
    <w:p>
      <w:pPr>
        <w:pStyle w:val="2"/>
        <w:keepNext w:val="0"/>
        <w:keepLines w:val="0"/>
        <w:pageBreakBefore w:val="0"/>
        <w:widowControl/>
        <w:kinsoku/>
        <w:wordWrap/>
        <w:overflowPunct/>
        <w:topLinePunct w:val="0"/>
        <w:autoSpaceDE/>
        <w:autoSpaceDN/>
        <w:bidi w:val="0"/>
        <w:spacing w:line="240" w:lineRule="auto"/>
        <w:ind w:firstLine="340"/>
        <w:textAlignment w:val="auto"/>
        <w:rPr>
          <w:rFonts w:hint="eastAsia"/>
        </w:rPr>
      </w:pPr>
    </w:p>
    <w:p>
      <w:pPr>
        <w:pStyle w:val="2"/>
        <w:keepNext w:val="0"/>
        <w:keepLines w:val="0"/>
        <w:pageBreakBefore w:val="0"/>
        <w:widowControl/>
        <w:kinsoku/>
        <w:wordWrap/>
        <w:overflowPunct/>
        <w:topLinePunct w:val="0"/>
        <w:autoSpaceDE/>
        <w:autoSpaceDN/>
        <w:bidi w:val="0"/>
        <w:spacing w:line="240" w:lineRule="auto"/>
        <w:ind w:firstLine="340"/>
        <w:textAlignment w:val="auto"/>
        <w:rPr>
          <w:rFonts w:hint="eastAsia"/>
        </w:rPr>
      </w:pPr>
    </w:p>
    <w:p>
      <w:pPr>
        <w:pStyle w:val="2"/>
        <w:keepNext w:val="0"/>
        <w:keepLines w:val="0"/>
        <w:pageBreakBefore w:val="0"/>
        <w:widowControl/>
        <w:kinsoku/>
        <w:wordWrap/>
        <w:overflowPunct/>
        <w:topLinePunct w:val="0"/>
        <w:autoSpaceDE/>
        <w:autoSpaceDN/>
        <w:bidi w:val="0"/>
        <w:spacing w:line="240" w:lineRule="auto"/>
        <w:ind w:firstLine="340"/>
        <w:textAlignment w:val="auto"/>
        <w:rPr>
          <w:rFonts w:hint="eastAsia"/>
        </w:rPr>
      </w:pPr>
    </w:p>
    <w:p>
      <w:pPr>
        <w:keepNext w:val="0"/>
        <w:keepLines w:val="0"/>
        <w:pageBreakBefore w:val="0"/>
        <w:widowControl/>
        <w:kinsoku/>
        <w:wordWrap/>
        <w:overflowPunct/>
        <w:topLinePunct w:val="0"/>
        <w:autoSpaceDE/>
        <w:autoSpaceDN/>
        <w:bidi w:val="0"/>
        <w:spacing w:line="240" w:lineRule="auto"/>
        <w:ind w:left="3060"/>
        <w:textAlignment w:val="auto"/>
        <w:rPr>
          <w:rFonts w:hint="eastAsia" w:ascii="仿宋" w:hAnsi="仿宋" w:eastAsia="仿宋" w:cs="仿宋"/>
          <w:sz w:val="32"/>
        </w:rPr>
      </w:pPr>
    </w:p>
    <w:p>
      <w:pPr>
        <w:keepNext w:val="0"/>
        <w:keepLines w:val="0"/>
        <w:pageBreakBefore w:val="0"/>
        <w:widowControl/>
        <w:kinsoku/>
        <w:wordWrap/>
        <w:overflowPunct/>
        <w:topLinePunct w:val="0"/>
        <w:autoSpaceDE/>
        <w:autoSpaceDN/>
        <w:bidi w:val="0"/>
        <w:spacing w:line="240" w:lineRule="auto"/>
        <w:ind w:left="3060"/>
        <w:textAlignment w:val="auto"/>
        <w:rPr>
          <w:rFonts w:hint="eastAsia" w:ascii="仿宋" w:hAnsi="仿宋" w:eastAsia="仿宋" w:cs="仿宋"/>
          <w:sz w:val="32"/>
        </w:rPr>
      </w:pPr>
    </w:p>
    <w:p>
      <w:pPr>
        <w:keepNext w:val="0"/>
        <w:keepLines w:val="0"/>
        <w:pageBreakBefore w:val="0"/>
        <w:widowControl/>
        <w:kinsoku/>
        <w:wordWrap/>
        <w:overflowPunct/>
        <w:topLinePunct w:val="0"/>
        <w:autoSpaceDE/>
        <w:autoSpaceDN/>
        <w:bidi w:val="0"/>
        <w:spacing w:line="240" w:lineRule="auto"/>
        <w:ind w:left="3060"/>
        <w:textAlignment w:val="auto"/>
        <w:rPr>
          <w:rFonts w:hint="eastAsia" w:ascii="仿宋" w:hAnsi="仿宋" w:eastAsia="仿宋" w:cs="仿宋"/>
          <w:sz w:val="32"/>
        </w:rPr>
      </w:pPr>
      <w:r>
        <w:rPr>
          <w:rFonts w:hint="eastAsia" w:ascii="仿宋" w:hAnsi="仿宋" w:eastAsia="仿宋" w:cs="仿宋"/>
          <w:sz w:val="32"/>
        </w:rPr>
        <w:t>项目专用合同条款</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660" w:hanging="659"/>
        <w:jc w:val="both"/>
        <w:textAlignment w:val="auto"/>
        <w:rPr>
          <w:rFonts w:hint="eastAsia" w:ascii="仿宋" w:hAnsi="仿宋" w:eastAsia="仿宋" w:cs="仿宋"/>
          <w:sz w:val="24"/>
        </w:rPr>
      </w:pPr>
      <w:r>
        <w:rPr>
          <w:rFonts w:hint="eastAsia" w:ascii="仿宋" w:hAnsi="仿宋" w:eastAsia="仿宋" w:cs="仿宋"/>
          <w:sz w:val="24"/>
        </w:rPr>
        <w:t>说明：本部分所列的项目专用合同条款是对“公路工程专用合同条款”中规定必须在项目专用合同条款中明确的内容的集中，招标人编制的“项目专用合同条款”不限于本部分所列内容。</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4.1 承包人的一般义务</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00" w:firstLine="79"/>
        <w:textAlignment w:val="auto"/>
        <w:rPr>
          <w:rFonts w:hint="eastAsia" w:ascii="仿宋" w:hAnsi="仿宋" w:eastAsia="仿宋" w:cs="仿宋"/>
          <w:sz w:val="24"/>
        </w:rPr>
      </w:pPr>
      <w:r>
        <w:rPr>
          <w:rFonts w:hint="eastAsia" w:ascii="仿宋" w:hAnsi="仿宋" w:eastAsia="仿宋" w:cs="仿宋"/>
          <w:sz w:val="24"/>
        </w:rPr>
        <w:t>4.1.10 其他义务</w:t>
      </w:r>
    </w:p>
    <w:p>
      <w:pPr>
        <w:keepNext w:val="0"/>
        <w:keepLines w:val="0"/>
        <w:pageBreakBefore w:val="0"/>
        <w:widowControl/>
        <w:kinsoku/>
        <w:wordWrap/>
        <w:overflowPunct/>
        <w:topLinePunct w:val="0"/>
        <w:autoSpaceDE/>
        <w:autoSpaceDN/>
        <w:bidi w:val="0"/>
        <w:spacing w:line="240" w:lineRule="auto"/>
        <w:ind w:left="400" w:firstLine="79"/>
        <w:textAlignment w:val="auto"/>
        <w:rPr>
          <w:rFonts w:hint="eastAsia" w:ascii="仿宋" w:hAnsi="仿宋" w:eastAsia="仿宋" w:cs="仿宋"/>
          <w:sz w:val="24"/>
        </w:rPr>
      </w:pPr>
      <w:r>
        <w:rPr>
          <w:rFonts w:hint="eastAsia" w:ascii="仿宋" w:hAnsi="仿宋" w:eastAsia="仿宋" w:cs="仿宋"/>
          <w:sz w:val="24"/>
        </w:rPr>
        <w:t>（4）承包人应履行的其他义务：</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68"/>
        </w:numPr>
        <w:tabs>
          <w:tab w:val="left" w:pos="540"/>
        </w:tabs>
        <w:kinsoku/>
        <w:wordWrap/>
        <w:overflowPunct/>
        <w:topLinePunct w:val="0"/>
        <w:autoSpaceDE/>
        <w:autoSpaceDN/>
        <w:bidi w:val="0"/>
        <w:spacing w:line="240" w:lineRule="auto"/>
        <w:ind w:left="540" w:hanging="536"/>
        <w:jc w:val="both"/>
        <w:textAlignment w:val="auto"/>
        <w:rPr>
          <w:rFonts w:hint="eastAsia" w:ascii="仿宋" w:hAnsi="仿宋" w:eastAsia="仿宋" w:cs="仿宋"/>
          <w:sz w:val="24"/>
        </w:rPr>
      </w:pPr>
      <w:r>
        <w:rPr>
          <w:rFonts w:hint="eastAsia" w:ascii="仿宋" w:hAnsi="仿宋" w:eastAsia="仿宋" w:cs="仿宋"/>
          <w:sz w:val="24"/>
        </w:rPr>
        <w:t>不利物质条件</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68"/>
        </w:numPr>
        <w:tabs>
          <w:tab w:val="left" w:pos="1200"/>
        </w:tabs>
        <w:kinsoku/>
        <w:wordWrap/>
        <w:overflowPunct/>
        <w:topLinePunct w:val="0"/>
        <w:autoSpaceDE/>
        <w:autoSpaceDN/>
        <w:bidi w:val="0"/>
        <w:spacing w:line="240" w:lineRule="auto"/>
        <w:ind w:left="1200" w:hanging="716"/>
        <w:jc w:val="both"/>
        <w:textAlignment w:val="auto"/>
        <w:rPr>
          <w:rFonts w:hint="eastAsia" w:ascii="仿宋" w:hAnsi="仿宋" w:eastAsia="仿宋" w:cs="仿宋"/>
          <w:sz w:val="24"/>
        </w:rPr>
      </w:pPr>
      <w:r>
        <w:rPr>
          <w:rFonts w:hint="eastAsia" w:ascii="仿宋" w:hAnsi="仿宋" w:eastAsia="仿宋" w:cs="仿宋"/>
          <w:sz w:val="24"/>
        </w:rPr>
        <w:t>不利物质条件的范围：</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10.1 合同进度计划</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承包人编制施工方案的内容：</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11.4 异常恶劣的气候条件</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异常恶劣的气候条件的范围：</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12.1 承包人暂停施工的责任</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1"/>
          <w:numId w:val="69"/>
        </w:numPr>
        <w:tabs>
          <w:tab w:val="left" w:pos="1020"/>
        </w:tabs>
        <w:kinsoku/>
        <w:wordWrap/>
        <w:overflowPunct/>
        <w:topLinePunct w:val="0"/>
        <w:autoSpaceDE/>
        <w:autoSpaceDN/>
        <w:bidi w:val="0"/>
        <w:spacing w:line="240" w:lineRule="auto"/>
        <w:ind w:left="1020" w:hanging="536"/>
        <w:jc w:val="both"/>
        <w:textAlignment w:val="auto"/>
        <w:rPr>
          <w:rFonts w:hint="eastAsia" w:ascii="仿宋" w:hAnsi="仿宋" w:eastAsia="仿宋" w:cs="仿宋"/>
          <w:sz w:val="24"/>
        </w:rPr>
      </w:pPr>
      <w:r>
        <w:rPr>
          <w:rFonts w:hint="eastAsia" w:ascii="仿宋" w:hAnsi="仿宋" w:eastAsia="仿宋" w:cs="仿宋"/>
          <w:sz w:val="24"/>
        </w:rPr>
        <w:t>（6）由承包人承担的其他暂停施工：</w:t>
      </w:r>
    </w:p>
    <w:p>
      <w:pPr>
        <w:keepNext w:val="0"/>
        <w:keepLines w:val="0"/>
        <w:pageBreakBefore w:val="0"/>
        <w:widowControl/>
        <w:tabs>
          <w:tab w:val="left" w:pos="1020"/>
        </w:tabs>
        <w:kinsoku/>
        <w:wordWrap/>
        <w:overflowPunct/>
        <w:topLinePunct w:val="0"/>
        <w:autoSpaceDE/>
        <w:autoSpaceDN/>
        <w:bidi w:val="0"/>
        <w:spacing w:line="240" w:lineRule="auto"/>
        <w:ind w:left="1020"/>
        <w:jc w:val="both"/>
        <w:textAlignment w:val="auto"/>
        <w:rPr>
          <w:rFonts w:hint="eastAsia" w:ascii="仿宋" w:hAnsi="仿宋" w:eastAsia="仿宋" w:cs="仿宋"/>
          <w:sz w:val="24"/>
        </w:rPr>
      </w:pPr>
    </w:p>
    <w:p>
      <w:pPr>
        <w:keepNext w:val="0"/>
        <w:keepLines w:val="0"/>
        <w:pageBreakBefore w:val="0"/>
        <w:widowControl/>
        <w:tabs>
          <w:tab w:val="left" w:pos="0"/>
        </w:tabs>
        <w:kinsoku/>
        <w:wordWrap/>
        <w:overflowPunct/>
        <w:topLinePunct w:val="0"/>
        <w:autoSpaceDE/>
        <w:autoSpaceDN/>
        <w:bidi w:val="0"/>
        <w:spacing w:line="240" w:lineRule="auto"/>
        <w:jc w:val="both"/>
        <w:textAlignment w:val="auto"/>
        <w:rPr>
          <w:rFonts w:hint="eastAsia" w:ascii="仿宋" w:hAnsi="仿宋" w:eastAsia="仿宋" w:cs="仿宋"/>
          <w:sz w:val="24"/>
        </w:rPr>
      </w:pPr>
      <w:r>
        <w:rPr>
          <w:rFonts w:hint="eastAsia" w:ascii="仿宋" w:hAnsi="仿宋" w:eastAsia="仿宋" w:cs="仿宋"/>
          <w:sz w:val="24"/>
        </w:rPr>
        <w:t>17.1计量</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1"/>
          <w:numId w:val="70"/>
        </w:numPr>
        <w:tabs>
          <w:tab w:val="left" w:pos="1200"/>
        </w:tabs>
        <w:kinsoku/>
        <w:wordWrap/>
        <w:overflowPunct/>
        <w:topLinePunct w:val="0"/>
        <w:autoSpaceDE/>
        <w:autoSpaceDN/>
        <w:bidi w:val="0"/>
        <w:spacing w:line="240" w:lineRule="auto"/>
        <w:ind w:left="1200" w:hanging="716"/>
        <w:jc w:val="both"/>
        <w:textAlignment w:val="auto"/>
        <w:rPr>
          <w:rFonts w:hint="eastAsia" w:ascii="仿宋" w:hAnsi="仿宋" w:eastAsia="仿宋" w:cs="仿宋"/>
          <w:sz w:val="24"/>
        </w:rPr>
      </w:pPr>
      <w:r>
        <w:rPr>
          <w:rFonts w:hint="eastAsia" w:ascii="仿宋" w:hAnsi="仿宋" w:eastAsia="仿宋" w:cs="仿宋"/>
          <w:sz w:val="24"/>
        </w:rPr>
        <w:t>本项目工程量清单中总额价子目的支付原则和支付进度：</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71"/>
        </w:numPr>
        <w:tabs>
          <w:tab w:val="left" w:pos="540"/>
        </w:tabs>
        <w:kinsoku/>
        <w:wordWrap/>
        <w:overflowPunct/>
        <w:topLinePunct w:val="0"/>
        <w:autoSpaceDE/>
        <w:autoSpaceDN/>
        <w:bidi w:val="0"/>
        <w:spacing w:line="240" w:lineRule="auto"/>
        <w:ind w:left="540" w:hanging="536"/>
        <w:jc w:val="both"/>
        <w:textAlignment w:val="auto"/>
        <w:rPr>
          <w:rFonts w:hint="eastAsia" w:ascii="仿宋" w:hAnsi="仿宋" w:eastAsia="仿宋" w:cs="仿宋"/>
          <w:sz w:val="24"/>
        </w:rPr>
      </w:pPr>
      <w:r>
        <w:rPr>
          <w:rFonts w:hint="eastAsia" w:ascii="仿宋" w:hAnsi="仿宋" w:eastAsia="仿宋" w:cs="仿宋"/>
          <w:sz w:val="24"/>
        </w:rPr>
        <w:t>工程进度付款</w:t>
      </w:r>
    </w:p>
    <w:p>
      <w:pPr>
        <w:keepNext w:val="0"/>
        <w:keepLines w:val="0"/>
        <w:pageBreakBefore w:val="0"/>
        <w:widowControl/>
        <w:tabs>
          <w:tab w:val="left" w:pos="540"/>
        </w:tabs>
        <w:kinsoku/>
        <w:wordWrap/>
        <w:overflowPunct/>
        <w:topLinePunct w:val="0"/>
        <w:autoSpaceDE/>
        <w:autoSpaceDN/>
        <w:bidi w:val="0"/>
        <w:spacing w:line="240" w:lineRule="auto"/>
        <w:ind w:left="540"/>
        <w:jc w:val="both"/>
        <w:textAlignment w:val="auto"/>
        <w:rPr>
          <w:rFonts w:hint="eastAsia" w:ascii="仿宋" w:hAnsi="仿宋" w:eastAsia="仿宋" w:cs="仿宋"/>
          <w:sz w:val="24"/>
        </w:rPr>
      </w:pPr>
    </w:p>
    <w:p>
      <w:pPr>
        <w:keepNext w:val="0"/>
        <w:keepLines w:val="0"/>
        <w:pageBreakBefore w:val="0"/>
        <w:widowControl/>
        <w:numPr>
          <w:ilvl w:val="1"/>
          <w:numId w:val="71"/>
        </w:numPr>
        <w:tabs>
          <w:tab w:val="left" w:pos="1200"/>
        </w:tabs>
        <w:kinsoku/>
        <w:wordWrap/>
        <w:overflowPunct/>
        <w:topLinePunct w:val="0"/>
        <w:autoSpaceDE/>
        <w:autoSpaceDN/>
        <w:bidi w:val="0"/>
        <w:spacing w:line="240" w:lineRule="auto"/>
        <w:ind w:left="480" w:hanging="5"/>
        <w:jc w:val="both"/>
        <w:textAlignment w:val="auto"/>
        <w:rPr>
          <w:rFonts w:hint="eastAsia" w:ascii="仿宋" w:hAnsi="仿宋" w:eastAsia="仿宋" w:cs="仿宋"/>
          <w:sz w:val="24"/>
        </w:rPr>
      </w:pPr>
      <w:r>
        <w:rPr>
          <w:rFonts w:hint="eastAsia" w:ascii="仿宋" w:hAnsi="仿宋" w:eastAsia="仿宋" w:cs="仿宋"/>
          <w:sz w:val="24"/>
        </w:rPr>
        <w:t>农民工工资保证金的缴存时间：</w:t>
      </w:r>
    </w:p>
    <w:p>
      <w:pPr>
        <w:keepNext w:val="0"/>
        <w:keepLines w:val="0"/>
        <w:pageBreakBefore w:val="0"/>
        <w:widowControl/>
        <w:tabs>
          <w:tab w:val="left" w:pos="1200"/>
        </w:tabs>
        <w:kinsoku/>
        <w:wordWrap/>
        <w:overflowPunct/>
        <w:topLinePunct w:val="0"/>
        <w:autoSpaceDE/>
        <w:autoSpaceDN/>
        <w:bidi w:val="0"/>
        <w:spacing w:line="240" w:lineRule="auto"/>
        <w:ind w:left="480"/>
        <w:jc w:val="both"/>
        <w:textAlignment w:val="auto"/>
        <w:rPr>
          <w:rFonts w:hint="eastAsia" w:ascii="仿宋" w:hAnsi="仿宋" w:eastAsia="仿宋" w:cs="仿宋"/>
          <w:sz w:val="24"/>
        </w:rPr>
      </w:pPr>
      <w:r>
        <w:rPr>
          <w:rFonts w:hint="eastAsia" w:ascii="仿宋" w:hAnsi="仿宋" w:eastAsia="仿宋" w:cs="仿宋"/>
          <w:sz w:val="24"/>
        </w:rPr>
        <w:t>农民工工资保证金的缴存金额：</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kinsoku/>
        <w:wordWrap/>
        <w:overflowPunct/>
        <w:topLinePunct w:val="0"/>
        <w:autoSpaceDE/>
        <w:autoSpaceDN/>
        <w:bidi w:val="0"/>
        <w:spacing w:line="240" w:lineRule="auto"/>
        <w:ind w:left="480" w:hanging="10"/>
        <w:jc w:val="both"/>
        <w:textAlignment w:val="auto"/>
        <w:rPr>
          <w:rFonts w:hint="eastAsia" w:ascii="仿宋" w:hAnsi="仿宋" w:eastAsia="仿宋" w:cs="仿宋"/>
          <w:sz w:val="23"/>
        </w:rPr>
      </w:pPr>
      <w:r>
        <w:rPr>
          <w:rFonts w:hint="eastAsia" w:ascii="仿宋" w:hAnsi="仿宋" w:eastAsia="仿宋" w:cs="仿宋"/>
          <w:sz w:val="23"/>
        </w:rPr>
        <w:t>农民工工资保证金的扣留条件：</w:t>
      </w:r>
    </w:p>
    <w:p>
      <w:pPr>
        <w:keepNext w:val="0"/>
        <w:keepLines w:val="0"/>
        <w:pageBreakBefore w:val="0"/>
        <w:widowControl/>
        <w:kinsoku/>
        <w:wordWrap/>
        <w:overflowPunct/>
        <w:topLinePunct w:val="0"/>
        <w:autoSpaceDE/>
        <w:autoSpaceDN/>
        <w:bidi w:val="0"/>
        <w:spacing w:line="240" w:lineRule="auto"/>
        <w:ind w:left="480" w:hanging="10"/>
        <w:jc w:val="both"/>
        <w:textAlignment w:val="auto"/>
        <w:rPr>
          <w:rFonts w:hint="eastAsia" w:ascii="仿宋" w:hAnsi="仿宋" w:eastAsia="仿宋" w:cs="仿宋"/>
          <w:sz w:val="23"/>
        </w:rPr>
      </w:pPr>
      <w:r>
        <w:rPr>
          <w:rFonts w:hint="eastAsia" w:ascii="仿宋" w:hAnsi="仿宋" w:eastAsia="仿宋" w:cs="仿宋"/>
          <w:sz w:val="23"/>
        </w:rPr>
        <w:t>农民工工资保证金的返还时间：</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bookmarkStart w:id="76" w:name="page159"/>
      <w:bookmarkEnd w:id="76"/>
      <w:r>
        <w:rPr>
          <w:rFonts w:hint="eastAsia" w:ascii="仿宋" w:hAnsi="仿宋" w:eastAsia="仿宋" w:cs="仿宋"/>
          <w:sz w:val="24"/>
        </w:rPr>
        <w:t>21.1 不可抗力的确认</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1"/>
          <w:numId w:val="72"/>
        </w:numPr>
        <w:tabs>
          <w:tab w:val="left" w:pos="1200"/>
        </w:tabs>
        <w:kinsoku/>
        <w:wordWrap/>
        <w:overflowPunct/>
        <w:topLinePunct w:val="0"/>
        <w:autoSpaceDE/>
        <w:autoSpaceDN/>
        <w:bidi w:val="0"/>
        <w:spacing w:line="240" w:lineRule="auto"/>
        <w:ind w:left="1200" w:hanging="716"/>
        <w:jc w:val="both"/>
        <w:textAlignment w:val="auto"/>
        <w:rPr>
          <w:rFonts w:hint="eastAsia" w:ascii="仿宋" w:hAnsi="仿宋" w:eastAsia="仿宋" w:cs="仿宋"/>
          <w:sz w:val="24"/>
        </w:rPr>
      </w:pPr>
      <w:r>
        <w:rPr>
          <w:rFonts w:hint="eastAsia" w:ascii="仿宋" w:hAnsi="仿宋" w:eastAsia="仿宋" w:cs="仿宋"/>
          <w:sz w:val="24"/>
        </w:rPr>
        <w:t>（6）不可抗力的其他情形：</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73"/>
        </w:numPr>
        <w:tabs>
          <w:tab w:val="left" w:pos="540"/>
        </w:tabs>
        <w:kinsoku/>
        <w:wordWrap/>
        <w:overflowPunct/>
        <w:topLinePunct w:val="0"/>
        <w:autoSpaceDE/>
        <w:autoSpaceDN/>
        <w:bidi w:val="0"/>
        <w:spacing w:line="240" w:lineRule="auto"/>
        <w:ind w:left="540" w:hanging="536"/>
        <w:jc w:val="both"/>
        <w:textAlignment w:val="auto"/>
        <w:rPr>
          <w:rFonts w:hint="eastAsia" w:ascii="仿宋" w:hAnsi="仿宋" w:eastAsia="仿宋" w:cs="仿宋"/>
          <w:sz w:val="24"/>
        </w:rPr>
      </w:pPr>
      <w:r>
        <w:rPr>
          <w:rFonts w:hint="eastAsia" w:ascii="仿宋" w:hAnsi="仿宋" w:eastAsia="仿宋" w:cs="仿宋"/>
          <w:sz w:val="24"/>
        </w:rPr>
        <w:t>承包人违约</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73"/>
        </w:numPr>
        <w:tabs>
          <w:tab w:val="left" w:pos="1200"/>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当承包人发生第 22.1.1 项约定的违约情况时，发包人有权向承包人课以违约金，具体约定如下：</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73"/>
        </w:numPr>
        <w:tabs>
          <w:tab w:val="left" w:pos="540"/>
        </w:tabs>
        <w:kinsoku/>
        <w:wordWrap/>
        <w:overflowPunct/>
        <w:topLinePunct w:val="0"/>
        <w:autoSpaceDE/>
        <w:autoSpaceDN/>
        <w:bidi w:val="0"/>
        <w:spacing w:line="240" w:lineRule="auto"/>
        <w:ind w:left="540" w:hanging="536"/>
        <w:jc w:val="both"/>
        <w:textAlignment w:val="auto"/>
        <w:rPr>
          <w:rFonts w:hint="eastAsia" w:ascii="仿宋" w:hAnsi="仿宋" w:eastAsia="仿宋" w:cs="仿宋"/>
          <w:sz w:val="24"/>
        </w:rPr>
      </w:pPr>
      <w:r>
        <w:rPr>
          <w:rFonts w:hint="eastAsia" w:ascii="仿宋" w:hAnsi="仿宋" w:eastAsia="仿宋" w:cs="仿宋"/>
          <w:sz w:val="24"/>
        </w:rPr>
        <w:t>发包人违约</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1"/>
          <w:numId w:val="74"/>
        </w:numPr>
        <w:tabs>
          <w:tab w:val="left" w:pos="1200"/>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发包人无正当理由不按时返还履约保证金、质量保证金或农民工工资保证金的，发包人应向承包人支付的违约金如下：</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r>
        <w:rPr>
          <w:rFonts w:hint="eastAsia" w:ascii="仿宋" w:hAnsi="仿宋" w:eastAsia="仿宋" w:cs="仿宋"/>
          <w:sz w:val="24"/>
        </w:rPr>
        <mc:AlternateContent>
          <mc:Choice Requires="wps">
            <w:drawing>
              <wp:anchor distT="0" distB="0" distL="114300" distR="114300" simplePos="0" relativeHeight="252147712" behindDoc="1" locked="0" layoutInCell="0" allowOverlap="1">
                <wp:simplePos x="0" y="0"/>
                <wp:positionH relativeFrom="column">
                  <wp:posOffset>1679575</wp:posOffset>
                </wp:positionH>
                <wp:positionV relativeFrom="paragraph">
                  <wp:posOffset>-1098550</wp:posOffset>
                </wp:positionV>
                <wp:extent cx="2362200" cy="0"/>
                <wp:effectExtent l="0" t="0" r="0" b="0"/>
                <wp:wrapNone/>
                <wp:docPr id="51" name="直接连接符 51"/>
                <wp:cNvGraphicFramePr/>
                <a:graphic xmlns:a="http://schemas.openxmlformats.org/drawingml/2006/main">
                  <a:graphicData uri="http://schemas.microsoft.com/office/word/2010/wordprocessingShape">
                    <wps:wsp>
                      <wps:cNvCnPr/>
                      <wps:spPr>
                        <a:xfrm>
                          <a:off x="0" y="0"/>
                          <a:ext cx="23622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2.25pt;margin-top:-86.5pt;height:0pt;width:186pt;z-index:-251168768;mso-width-relative:page;mso-height-relative:page;" filled="f" stroked="t" coordsize="21600,21600" o:allowincell="f" o:gfxdata="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yx3cjXAAAADQEAAA8AAAAAAAAA&#10;AQAgAAAAIgAAAGRycy9kb3ducmV2LnhtbFBLAQIUABQAAAAIAIdO4kDVOVHQ2QEAAJgDAAAOAAAA&#10;AAAAAAEAIAAAACYBAABkcnMvZTJvRG9jLnhtbFBLBQYAAAAABgAGAFkBAABxBQAAAAA=&#10;">
                <v:fill on="f" focussize="0,0"/>
                <v:stroke weight="0.6pt" color="#000000" joinstyle="round"/>
                <v:imagedata o:title=""/>
                <o:lock v:ext="edit" aspectratio="f"/>
              </v:line>
            </w:pict>
          </mc:Fallback>
        </mc:AlternateContent>
      </w:r>
      <w:r>
        <w:rPr>
          <w:rFonts w:hint="eastAsia" w:ascii="仿宋" w:hAnsi="仿宋" w:eastAsia="仿宋" w:cs="仿宋"/>
          <w:sz w:val="24"/>
        </w:rPr>
        <mc:AlternateContent>
          <mc:Choice Requires="wps">
            <w:drawing>
              <wp:anchor distT="0" distB="0" distL="114300" distR="114300" simplePos="0" relativeHeight="252148736" behindDoc="1" locked="0" layoutInCell="0" allowOverlap="1">
                <wp:simplePos x="0" y="0"/>
                <wp:positionH relativeFrom="column">
                  <wp:posOffset>3203575</wp:posOffset>
                </wp:positionH>
                <wp:positionV relativeFrom="paragraph">
                  <wp:posOffset>-45085</wp:posOffset>
                </wp:positionV>
                <wp:extent cx="2308860" cy="0"/>
                <wp:effectExtent l="0" t="0" r="0" b="0"/>
                <wp:wrapNone/>
                <wp:docPr id="59" name="直接连接符 59"/>
                <wp:cNvGraphicFramePr/>
                <a:graphic xmlns:a="http://schemas.openxmlformats.org/drawingml/2006/main">
                  <a:graphicData uri="http://schemas.microsoft.com/office/word/2010/wordprocessingShape">
                    <wps:wsp>
                      <wps:cNvCnPr/>
                      <wps:spPr>
                        <a:xfrm>
                          <a:off x="0" y="0"/>
                          <a:ext cx="2308860" cy="0"/>
                        </a:xfrm>
                        <a:prstGeom prst="line">
                          <a:avLst/>
                        </a:prstGeom>
                        <a:ln w="761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25pt;margin-top:-3.55pt;height:0pt;width:181.8pt;z-index:-251167744;mso-width-relative:page;mso-height-relative:page;" filled="f" stroked="t" coordsize="21600,21600" o:allowincell="f" o:gfxdata="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pg/92AAAAAkBAAAPAAAA&#10;AAAAAAEAIAAAACIAAABkcnMvZG93bnJldi54bWxQSwECFAAUAAAACACHTuJASc4u4twBAACYAwAA&#10;DgAAAAAAAAABACAAAAAnAQAAZHJzL2Uyb0RvYy54bWxQSwUGAAAAAAYABgBZAQAAdQUAAAAA&#10;">
                <v:fill on="f" focussize="0,0"/>
                <v:stroke weight="0.59992125984252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1"/>
        </w:rPr>
        <w:sectPr>
          <w:pgSz w:w="11900" w:h="16841"/>
          <w:pgMar w:top="863" w:right="1410" w:bottom="579" w:left="1640" w:header="567" w:footer="567" w:gutter="0"/>
          <w:cols w:space="720" w:num="1"/>
          <w:docGrid w:linePitch="360" w:charSpace="0"/>
        </w:sectPr>
      </w:pPr>
      <w:bookmarkStart w:id="77" w:name="page160"/>
      <w:bookmarkEnd w:id="77"/>
    </w:p>
    <w:p>
      <w:pPr>
        <w:keepNext w:val="0"/>
        <w:keepLines w:val="0"/>
        <w:pageBreakBefore w:val="0"/>
        <w:widowControl/>
        <w:tabs>
          <w:tab w:val="left" w:pos="1660"/>
        </w:tabs>
        <w:kinsoku/>
        <w:wordWrap/>
        <w:overflowPunct/>
        <w:topLinePunct w:val="0"/>
        <w:autoSpaceDE/>
        <w:autoSpaceDN/>
        <w:bidi w:val="0"/>
        <w:spacing w:line="240" w:lineRule="auto"/>
        <w:textAlignment w:val="auto"/>
        <w:rPr>
          <w:rFonts w:hint="eastAsia" w:ascii="仿宋" w:hAnsi="仿宋" w:eastAsia="仿宋" w:cs="仿宋"/>
          <w:sz w:val="41"/>
        </w:rPr>
      </w:pPr>
    </w:p>
    <w:p>
      <w:pPr>
        <w:keepNext w:val="0"/>
        <w:keepLines w:val="0"/>
        <w:pageBreakBefore w:val="0"/>
        <w:widowControl/>
        <w:tabs>
          <w:tab w:val="left" w:pos="1660"/>
        </w:tabs>
        <w:kinsoku/>
        <w:wordWrap/>
        <w:overflowPunct/>
        <w:topLinePunct w:val="0"/>
        <w:autoSpaceDE/>
        <w:autoSpaceDN/>
        <w:bidi w:val="0"/>
        <w:spacing w:line="240" w:lineRule="auto"/>
        <w:jc w:val="center"/>
        <w:textAlignment w:val="auto"/>
        <w:rPr>
          <w:rFonts w:hint="eastAsia" w:ascii="仿宋" w:hAnsi="仿宋" w:eastAsia="仿宋" w:cs="仿宋"/>
          <w:sz w:val="41"/>
        </w:rPr>
      </w:pPr>
      <w:r>
        <w:rPr>
          <w:rFonts w:hint="eastAsia" w:ascii="仿宋" w:hAnsi="仿宋" w:eastAsia="仿宋" w:cs="仿宋"/>
          <w:sz w:val="41"/>
        </w:rPr>
        <w:t>第三节</w:t>
      </w:r>
      <w:r>
        <w:rPr>
          <w:rFonts w:hint="eastAsia" w:ascii="仿宋" w:hAnsi="仿宋" w:eastAsia="仿宋" w:cs="仿宋"/>
        </w:rPr>
        <w:tab/>
      </w:r>
      <w:r>
        <w:rPr>
          <w:rFonts w:hint="eastAsia" w:ascii="仿宋" w:hAnsi="仿宋" w:eastAsia="仿宋" w:cs="仿宋"/>
          <w:sz w:val="41"/>
        </w:rPr>
        <w:t>合同附件格式</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bookmarkStart w:id="78" w:name="page161"/>
      <w:bookmarkEnd w:id="78"/>
      <w:r>
        <w:rPr>
          <w:rFonts w:hint="eastAsia" w:ascii="仿宋" w:hAnsi="仿宋" w:eastAsia="仿宋" w:cs="仿宋"/>
          <w:sz w:val="24"/>
        </w:rPr>
        <w:t>附件一 合同协议书</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3360"/>
        <w:textAlignment w:val="auto"/>
        <w:rPr>
          <w:rFonts w:hint="eastAsia" w:ascii="仿宋" w:hAnsi="仿宋" w:eastAsia="仿宋" w:cs="仿宋"/>
          <w:sz w:val="28"/>
        </w:rPr>
      </w:pPr>
      <w:r>
        <w:rPr>
          <w:rFonts w:hint="eastAsia" w:ascii="仿宋" w:hAnsi="仿宋" w:eastAsia="仿宋" w:cs="仿宋"/>
          <w:sz w:val="28"/>
        </w:rPr>
        <w:t>合 同 协 议 书</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tbl>
      <w:tblPr>
        <w:tblStyle w:val="13"/>
        <w:tblW w:w="8680" w:type="dxa"/>
        <w:tblInd w:w="0" w:type="dxa"/>
        <w:tblLayout w:type="fixed"/>
        <w:tblCellMar>
          <w:top w:w="0" w:type="dxa"/>
          <w:left w:w="0" w:type="dxa"/>
          <w:bottom w:w="0" w:type="dxa"/>
          <w:right w:w="0" w:type="dxa"/>
        </w:tblCellMar>
      </w:tblPr>
      <w:tblGrid>
        <w:gridCol w:w="240"/>
        <w:gridCol w:w="240"/>
        <w:gridCol w:w="120"/>
        <w:gridCol w:w="360"/>
        <w:gridCol w:w="200"/>
        <w:gridCol w:w="360"/>
        <w:gridCol w:w="40"/>
        <w:gridCol w:w="120"/>
        <w:gridCol w:w="140"/>
        <w:gridCol w:w="100"/>
        <w:gridCol w:w="120"/>
        <w:gridCol w:w="440"/>
        <w:gridCol w:w="160"/>
        <w:gridCol w:w="100"/>
        <w:gridCol w:w="120"/>
        <w:gridCol w:w="220"/>
        <w:gridCol w:w="120"/>
        <w:gridCol w:w="240"/>
        <w:gridCol w:w="160"/>
        <w:gridCol w:w="360"/>
        <w:gridCol w:w="200"/>
        <w:gridCol w:w="140"/>
        <w:gridCol w:w="140"/>
        <w:gridCol w:w="80"/>
        <w:gridCol w:w="20"/>
        <w:gridCol w:w="260"/>
        <w:gridCol w:w="100"/>
        <w:gridCol w:w="720"/>
        <w:gridCol w:w="360"/>
        <w:gridCol w:w="120"/>
        <w:gridCol w:w="360"/>
        <w:gridCol w:w="960"/>
        <w:gridCol w:w="60"/>
        <w:gridCol w:w="300"/>
        <w:gridCol w:w="420"/>
        <w:gridCol w:w="240"/>
        <w:gridCol w:w="240"/>
      </w:tblGrid>
      <w:tr>
        <w:tblPrEx>
          <w:tblLayout w:type="fixed"/>
          <w:tblCellMar>
            <w:top w:w="0" w:type="dxa"/>
            <w:left w:w="0" w:type="dxa"/>
            <w:bottom w:w="0" w:type="dxa"/>
            <w:right w:w="0" w:type="dxa"/>
          </w:tblCellMar>
        </w:tblPrEx>
        <w:trPr>
          <w:trHeight w:val="292" w:hRule="atLeast"/>
        </w:trPr>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20" w:type="dxa"/>
            <w:gridSpan w:val="2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7"/>
                <w:sz w:val="24"/>
              </w:rPr>
            </w:pPr>
            <w:r>
              <w:rPr>
                <w:rFonts w:hint="eastAsia" w:ascii="仿宋" w:hAnsi="仿宋" w:eastAsia="仿宋" w:cs="仿宋"/>
                <w:w w:val="97"/>
                <w:sz w:val="24"/>
              </w:rPr>
              <w:t>（发包人名称，以下简称“发包人”）为实施</w:t>
            </w: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9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80" w:type="dxa"/>
            <w:gridSpan w:val="2"/>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5"/>
                <w:sz w:val="24"/>
              </w:rPr>
            </w:pPr>
            <w:r>
              <w:rPr>
                <w:rFonts w:hint="eastAsia" w:ascii="仿宋" w:hAnsi="仿宋" w:eastAsia="仿宋" w:cs="仿宋"/>
                <w:w w:val="95"/>
                <w:sz w:val="24"/>
              </w:rPr>
              <w:t>（项</w:t>
            </w:r>
          </w:p>
        </w:tc>
      </w:tr>
      <w:tr>
        <w:tblPrEx>
          <w:tblLayout w:type="fixed"/>
          <w:tblCellMar>
            <w:top w:w="0" w:type="dxa"/>
            <w:left w:w="0" w:type="dxa"/>
            <w:bottom w:w="0" w:type="dxa"/>
            <w:right w:w="0" w:type="dxa"/>
          </w:tblCellMar>
        </w:tblPrEx>
        <w:trPr>
          <w:trHeight w:val="20" w:hRule="atLeast"/>
        </w:trPr>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6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4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8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8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8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00" w:type="dxa"/>
            <w:tcBorders>
              <w:right w:val="single" w:color="auto" w:sz="8" w:space="0"/>
            </w:tcBorders>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tcBorders>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419" w:hRule="atLeast"/>
        </w:trPr>
        <w:tc>
          <w:tcPr>
            <w:tcW w:w="1820" w:type="dxa"/>
            <w:gridSpan w:val="9"/>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2"/>
                <w:sz w:val="24"/>
              </w:rPr>
            </w:pPr>
            <w:r>
              <w:rPr>
                <w:rFonts w:hint="eastAsia" w:ascii="仿宋" w:hAnsi="仿宋" w:eastAsia="仿宋" w:cs="仿宋"/>
                <w:w w:val="92"/>
                <w:sz w:val="24"/>
              </w:rPr>
              <w:t>目名称），已接受</w:t>
            </w: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40" w:type="dxa"/>
            <w:gridSpan w:val="2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（承包人名称，以下简称“承包人”）对该项目</w:t>
            </w: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1"/>
                <w:sz w:val="24"/>
              </w:rPr>
            </w:pPr>
            <w:r>
              <w:rPr>
                <w:rFonts w:hint="eastAsia" w:ascii="仿宋" w:hAnsi="仿宋" w:eastAsia="仿宋" w:cs="仿宋"/>
                <w:w w:val="91"/>
                <w:sz w:val="24"/>
              </w:rPr>
              <w:t>标</w:t>
            </w:r>
          </w:p>
        </w:tc>
      </w:tr>
      <w:tr>
        <w:tblPrEx>
          <w:tblLayout w:type="fixed"/>
          <w:tblCellMar>
            <w:top w:w="0" w:type="dxa"/>
            <w:left w:w="0" w:type="dxa"/>
            <w:bottom w:w="0" w:type="dxa"/>
            <w:right w:w="0" w:type="dxa"/>
          </w:tblCellMar>
        </w:tblPrEx>
        <w:trPr>
          <w:trHeight w:val="20" w:hRule="atLeast"/>
        </w:trPr>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6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gridSpan w:val="2"/>
            <w:tcBorders>
              <w:righ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4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8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8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00" w:type="dxa"/>
            <w:tcBorders>
              <w:right w:val="single" w:color="auto" w:sz="8" w:space="0"/>
            </w:tcBorders>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tcBorders>
              <w:left w:val="single" w:color="auto" w:sz="8" w:space="0"/>
            </w:tcBorders>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425" w:hRule="atLeast"/>
        </w:trPr>
        <w:tc>
          <w:tcPr>
            <w:tcW w:w="5620" w:type="dxa"/>
            <w:gridSpan w:val="28"/>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段施工的投标。发包人和承包人共同达成如下协议。</w:t>
            </w: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9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436" w:hRule="atLeast"/>
        </w:trPr>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60" w:type="dxa"/>
            <w:gridSpan w:val="2"/>
            <w:noWrap w:val="0"/>
            <w:vAlign w:val="bottom"/>
          </w:tcPr>
          <w:p>
            <w:pPr>
              <w:keepNext w:val="0"/>
              <w:keepLines w:val="0"/>
              <w:pageBreakBefore w:val="0"/>
              <w:widowControl/>
              <w:kinsoku/>
              <w:wordWrap/>
              <w:overflowPunct/>
              <w:topLinePunct w:val="0"/>
              <w:autoSpaceDE/>
              <w:autoSpaceDN/>
              <w:bidi w:val="0"/>
              <w:spacing w:line="240" w:lineRule="auto"/>
              <w:ind w:left="20"/>
              <w:textAlignment w:val="auto"/>
              <w:rPr>
                <w:rFonts w:hint="eastAsia" w:ascii="仿宋" w:hAnsi="仿宋" w:eastAsia="仿宋" w:cs="仿宋"/>
                <w:sz w:val="24"/>
              </w:rPr>
            </w:pPr>
            <w:r>
              <w:rPr>
                <w:rFonts w:hint="eastAsia" w:ascii="仿宋" w:hAnsi="仿宋" w:eastAsia="仿宋" w:cs="仿宋"/>
                <w:sz w:val="24"/>
              </w:rPr>
              <w:t>1. 第</w:t>
            </w: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120" w:type="dxa"/>
            <w:gridSpan w:val="7"/>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标段由 K</w:t>
            </w: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83"/>
                <w:sz w:val="24"/>
              </w:rPr>
            </w:pPr>
            <w:r>
              <w:rPr>
                <w:rFonts w:hint="eastAsia" w:ascii="仿宋" w:hAnsi="仿宋" w:eastAsia="仿宋" w:cs="仿宋"/>
                <w:w w:val="83"/>
                <w:sz w:val="24"/>
              </w:rPr>
              <w:t>＋</w:t>
            </w: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20" w:type="dxa"/>
            <w:gridSpan w:val="2"/>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3"/>
                <w:sz w:val="24"/>
              </w:rPr>
            </w:pPr>
            <w:r>
              <w:rPr>
                <w:rFonts w:hint="eastAsia" w:ascii="仿宋" w:hAnsi="仿宋" w:eastAsia="仿宋" w:cs="仿宋"/>
                <w:w w:val="93"/>
                <w:sz w:val="24"/>
              </w:rPr>
              <w:t>至 K</w:t>
            </w:r>
          </w:p>
        </w:tc>
        <w:tc>
          <w:tcPr>
            <w:tcW w:w="2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gridSpan w:val="3"/>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1"/>
                <w:sz w:val="24"/>
              </w:rPr>
            </w:pPr>
            <w:r>
              <w:rPr>
                <w:rFonts w:hint="eastAsia" w:ascii="仿宋" w:hAnsi="仿宋" w:eastAsia="仿宋" w:cs="仿宋"/>
                <w:w w:val="91"/>
                <w:sz w:val="24"/>
              </w:rPr>
              <w:t>＋</w:t>
            </w:r>
          </w:p>
        </w:tc>
        <w:tc>
          <w:tcPr>
            <w:tcW w:w="2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20" w:type="dxa"/>
            <w:gridSpan w:val="2"/>
            <w:noWrap w:val="0"/>
            <w:vAlign w:val="bottom"/>
          </w:tcPr>
          <w:p>
            <w:pPr>
              <w:keepNext w:val="0"/>
              <w:keepLines w:val="0"/>
              <w:pageBreakBefore w:val="0"/>
              <w:widowControl/>
              <w:kinsoku/>
              <w:wordWrap/>
              <w:overflowPunct/>
              <w:topLinePunct w:val="0"/>
              <w:autoSpaceDE/>
              <w:autoSpaceDN/>
              <w:bidi w:val="0"/>
              <w:spacing w:line="240" w:lineRule="auto"/>
              <w:ind w:left="100"/>
              <w:textAlignment w:val="auto"/>
              <w:rPr>
                <w:rFonts w:hint="eastAsia" w:ascii="仿宋" w:hAnsi="仿宋" w:eastAsia="仿宋" w:cs="仿宋"/>
                <w:w w:val="97"/>
                <w:sz w:val="24"/>
              </w:rPr>
            </w:pPr>
            <w:r>
              <w:rPr>
                <w:rFonts w:hint="eastAsia" w:ascii="仿宋" w:hAnsi="仿宋" w:eastAsia="仿宋" w:cs="仿宋"/>
                <w:w w:val="97"/>
                <w:sz w:val="24"/>
              </w:rPr>
              <w:t>，长约</w:t>
            </w: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800" w:type="dxa"/>
            <w:gridSpan w:val="5"/>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km，公路等级为</w:t>
            </w: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80" w:type="dxa"/>
            <w:gridSpan w:val="2"/>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5"/>
                <w:sz w:val="24"/>
              </w:rPr>
            </w:pPr>
            <w:r>
              <w:rPr>
                <w:rFonts w:hint="eastAsia" w:ascii="仿宋" w:hAnsi="仿宋" w:eastAsia="仿宋" w:cs="仿宋"/>
                <w:w w:val="95"/>
                <w:sz w:val="24"/>
              </w:rPr>
              <w:t>，设</w:t>
            </w:r>
          </w:p>
        </w:tc>
      </w:tr>
      <w:tr>
        <w:tblPrEx>
          <w:tblLayout w:type="fixed"/>
          <w:tblCellMar>
            <w:top w:w="0" w:type="dxa"/>
            <w:left w:w="0" w:type="dxa"/>
            <w:bottom w:w="0" w:type="dxa"/>
            <w:right w:w="0" w:type="dxa"/>
          </w:tblCellMar>
        </w:tblPrEx>
        <w:trPr>
          <w:trHeight w:val="20" w:hRule="atLeast"/>
        </w:trPr>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tcBorders>
              <w:right w:val="single" w:color="auto" w:sz="8" w:space="0"/>
            </w:tcBorders>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tcBorders>
              <w:righ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gridSpan w:val="2"/>
            <w:tcBorders>
              <w:righ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420" w:hRule="atLeast"/>
        </w:trPr>
        <w:tc>
          <w:tcPr>
            <w:tcW w:w="1160" w:type="dxa"/>
            <w:gridSpan w:val="5"/>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计速度为</w:t>
            </w: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60" w:type="dxa"/>
            <w:gridSpan w:val="3"/>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w:t>
            </w:r>
          </w:p>
        </w:tc>
        <w:tc>
          <w:tcPr>
            <w:tcW w:w="1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20" w:type="dxa"/>
            <w:gridSpan w:val="7"/>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路面，有</w:t>
            </w:r>
          </w:p>
        </w:tc>
        <w:tc>
          <w:tcPr>
            <w:tcW w:w="580" w:type="dxa"/>
            <w:gridSpan w:val="5"/>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立交</w:t>
            </w:r>
          </w:p>
        </w:tc>
        <w:tc>
          <w:tcPr>
            <w:tcW w:w="1560" w:type="dxa"/>
            <w:gridSpan w:val="5"/>
            <w:noWrap w:val="0"/>
            <w:vAlign w:val="bottom"/>
          </w:tcPr>
          <w:p>
            <w:pPr>
              <w:keepNext w:val="0"/>
              <w:keepLines w:val="0"/>
              <w:pageBreakBefore w:val="0"/>
              <w:widowControl/>
              <w:kinsoku/>
              <w:wordWrap/>
              <w:overflowPunct/>
              <w:topLinePunct w:val="0"/>
              <w:autoSpaceDE/>
              <w:autoSpaceDN/>
              <w:bidi w:val="0"/>
              <w:spacing w:line="240" w:lineRule="auto"/>
              <w:ind w:left="260"/>
              <w:textAlignment w:val="auto"/>
              <w:rPr>
                <w:rFonts w:hint="eastAsia" w:ascii="仿宋" w:hAnsi="仿宋" w:eastAsia="仿宋" w:cs="仿宋"/>
                <w:sz w:val="24"/>
              </w:rPr>
            </w:pPr>
            <w:r>
              <w:rPr>
                <w:rFonts w:hint="eastAsia" w:ascii="仿宋" w:hAnsi="仿宋" w:eastAsia="仿宋" w:cs="仿宋"/>
                <w:sz w:val="24"/>
              </w:rPr>
              <w:t>处；特大桥</w:t>
            </w: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20" w:type="dxa"/>
            <w:gridSpan w:val="3"/>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座，计长</w:t>
            </w:r>
          </w:p>
        </w:tc>
        <w:tc>
          <w:tcPr>
            <w:tcW w:w="900" w:type="dxa"/>
            <w:gridSpan w:val="3"/>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7"/>
                <w:sz w:val="24"/>
              </w:rPr>
            </w:pPr>
            <w:r>
              <w:rPr>
                <w:rFonts w:hint="eastAsia" w:ascii="仿宋" w:hAnsi="仿宋" w:eastAsia="仿宋" w:cs="仿宋"/>
                <w:w w:val="97"/>
                <w:sz w:val="24"/>
              </w:rPr>
              <w:t>m；大中</w:t>
            </w:r>
          </w:p>
        </w:tc>
      </w:tr>
      <w:tr>
        <w:tblPrEx>
          <w:tblLayout w:type="fixed"/>
          <w:tblCellMar>
            <w:top w:w="0" w:type="dxa"/>
            <w:left w:w="0" w:type="dxa"/>
            <w:bottom w:w="0" w:type="dxa"/>
            <w:right w:w="0" w:type="dxa"/>
          </w:tblCellMar>
        </w:tblPrEx>
        <w:trPr>
          <w:trHeight w:val="20" w:hRule="atLeast"/>
        </w:trPr>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gridSpan w:val="3"/>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gridSpan w:val="2"/>
            <w:tcBorders>
              <w:right w:val="single" w:color="auto" w:sz="8" w:space="0"/>
            </w:tcBorders>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tcBorders>
              <w:right w:val="single" w:color="auto" w:sz="8" w:space="0"/>
            </w:tcBorders>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8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80" w:type="dxa"/>
            <w:gridSpan w:val="3"/>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8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gridSpan w:val="2"/>
            <w:tcBorders>
              <w:right w:val="single" w:color="auto" w:sz="8" w:space="0"/>
            </w:tcBorders>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419" w:hRule="atLeast"/>
        </w:trPr>
        <w:tc>
          <w:tcPr>
            <w:tcW w:w="4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桥</w:t>
            </w: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20" w:type="dxa"/>
            <w:gridSpan w:val="6"/>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座，计长</w:t>
            </w: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160" w:type="dxa"/>
            <w:gridSpan w:val="6"/>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m；隧道</w:t>
            </w: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100" w:type="dxa"/>
            <w:gridSpan w:val="5"/>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9"/>
                <w:sz w:val="24"/>
              </w:rPr>
            </w:pPr>
            <w:r>
              <w:rPr>
                <w:rFonts w:hint="eastAsia" w:ascii="仿宋" w:hAnsi="仿宋" w:eastAsia="仿宋" w:cs="仿宋"/>
                <w:w w:val="99"/>
                <w:sz w:val="24"/>
              </w:rPr>
              <w:t>座，计长</w:t>
            </w:r>
          </w:p>
        </w:tc>
        <w:tc>
          <w:tcPr>
            <w:tcW w:w="1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60" w:type="dxa"/>
            <w:gridSpan w:val="1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m 以及其他构造物工程等。</w:t>
            </w: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0" w:type="dxa"/>
            <w:tcBorders>
              <w:right w:val="single" w:color="auto" w:sz="8" w:space="0"/>
            </w:tcBorders>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tcBorders>
              <w:righ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bl>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sz w:val="24"/>
        </w:rPr>
      </w:pPr>
      <w:r>
        <w:rPr>
          <w:rFonts w:hint="eastAsia" w:ascii="仿宋" w:hAnsi="仿宋" w:eastAsia="仿宋" w:cs="仿宋"/>
          <w:sz w:val="24"/>
        </w:rPr>
        <w:t>2. 下列文件应视为构成合同文件的组成部分：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sz w:val="24"/>
        </w:rPr>
      </w:pPr>
      <w:r>
        <w:rPr>
          <w:rFonts w:hint="eastAsia" w:ascii="仿宋" w:hAnsi="仿宋" w:eastAsia="仿宋" w:cs="仿宋"/>
          <w:sz w:val="24"/>
        </w:rPr>
        <w:t>（1）本协议书及各种合同附件（含评标期间和合同谈判过程中的澄清文件和</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补充资料）；</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sz w:val="24"/>
        </w:rPr>
      </w:pPr>
      <w:r>
        <w:rPr>
          <w:rFonts w:hint="eastAsia" w:ascii="仿宋" w:hAnsi="仿宋" w:eastAsia="仿宋" w:cs="仿宋"/>
          <w:sz w:val="24"/>
        </w:rPr>
        <w:t>（2）中标通知书；（3）投标函及投标函附录；</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sz w:val="24"/>
        </w:rPr>
      </w:pPr>
      <w:r>
        <w:rPr>
          <w:rFonts w:hint="eastAsia" w:ascii="仿宋" w:hAnsi="仿宋" w:eastAsia="仿宋" w:cs="仿宋"/>
          <w:sz w:val="24"/>
        </w:rPr>
        <w:t>（4）项目专用合同条款；（5）公路工程专用合同条款；（6）通用合同条款；（7）工程量清单计量规则；（8）技术规范；（9）图纸；</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sz w:val="24"/>
        </w:rPr>
      </w:pPr>
      <w:r>
        <w:rPr>
          <w:rFonts w:hint="eastAsia" w:ascii="仿宋" w:hAnsi="仿宋" w:eastAsia="仿宋" w:cs="仿宋"/>
          <w:sz w:val="24"/>
        </w:rPr>
        <w:t>（10）已标价工程量清单；</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sz w:val="24"/>
        </w:rPr>
      </w:pPr>
      <w:r>
        <w:rPr>
          <w:rFonts w:hint="eastAsia" w:ascii="仿宋" w:hAnsi="仿宋" w:eastAsia="仿宋" w:cs="仿宋"/>
          <w:sz w:val="24"/>
        </w:rPr>
        <w:t>（11）承包人有关人员、设备投入的承诺及投标文件中的施工组织设计；（12）其他合同文件。</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textAlignment w:val="auto"/>
        <w:rPr>
          <w:rFonts w:hint="eastAsia" w:ascii="仿宋" w:hAnsi="仿宋" w:eastAsia="仿宋" w:cs="仿宋"/>
          <w:sz w:val="24"/>
        </w:rPr>
      </w:pPr>
      <w:r>
        <w:rPr>
          <w:rFonts w:hint="eastAsia" w:ascii="仿宋" w:hAnsi="仿宋" w:eastAsia="仿宋" w:cs="仿宋"/>
          <w:sz w:val="24"/>
        </w:rPr>
        <w:t>上述合同文件互相补充和解释。如果合同文件之间存在矛盾或不一致之处，以上述文件的排列顺序在先者为准。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sz w:val="24"/>
        </w:rPr>
      </w:pPr>
      <w:r>
        <w:rPr>
          <w:rFonts w:hint="eastAsia" w:ascii="仿宋" w:hAnsi="仿宋" w:eastAsia="仿宋" w:cs="仿宋"/>
          <w:sz w:val="24"/>
        </w:rPr>
        <w:t>3.  根据工程量清单所列的预计数量和单价或总额价计算的签约合同价：人民</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币（大写）________元（¥________）。</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tbl>
      <w:tblPr>
        <w:tblStyle w:val="13"/>
        <w:tblW w:w="7980" w:type="dxa"/>
        <w:tblInd w:w="620" w:type="dxa"/>
        <w:tblLayout w:type="fixed"/>
        <w:tblCellMar>
          <w:top w:w="0" w:type="dxa"/>
          <w:left w:w="0" w:type="dxa"/>
          <w:bottom w:w="0" w:type="dxa"/>
          <w:right w:w="0" w:type="dxa"/>
        </w:tblCellMar>
      </w:tblPr>
      <w:tblGrid>
        <w:gridCol w:w="240"/>
        <w:gridCol w:w="1500"/>
        <w:gridCol w:w="480"/>
        <w:gridCol w:w="1080"/>
        <w:gridCol w:w="360"/>
        <w:gridCol w:w="2040"/>
        <w:gridCol w:w="120"/>
        <w:gridCol w:w="1800"/>
        <w:gridCol w:w="120"/>
        <w:gridCol w:w="240"/>
      </w:tblGrid>
      <w:tr>
        <w:tblPrEx>
          <w:tblLayout w:type="fixed"/>
          <w:tblCellMar>
            <w:top w:w="0" w:type="dxa"/>
            <w:left w:w="0" w:type="dxa"/>
            <w:bottom w:w="0" w:type="dxa"/>
            <w:right w:w="0" w:type="dxa"/>
          </w:tblCellMar>
        </w:tblPrEx>
        <w:trPr>
          <w:trHeight w:val="276" w:hRule="atLeast"/>
        </w:trPr>
        <w:tc>
          <w:tcPr>
            <w:tcW w:w="240" w:type="dxa"/>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88"/>
                <w:sz w:val="24"/>
              </w:rPr>
            </w:pPr>
            <w:r>
              <w:rPr>
                <w:rFonts w:hint="eastAsia" w:ascii="仿宋" w:hAnsi="仿宋" w:eastAsia="仿宋" w:cs="仿宋"/>
                <w:w w:val="88"/>
                <w:sz w:val="24"/>
              </w:rPr>
              <w:t>4.</w:t>
            </w:r>
          </w:p>
        </w:tc>
        <w:tc>
          <w:tcPr>
            <w:tcW w:w="1980" w:type="dxa"/>
            <w:gridSpan w:val="2"/>
            <w:noWrap w:val="0"/>
            <w:vAlign w:val="bottom"/>
          </w:tcPr>
          <w:p>
            <w:pPr>
              <w:keepNext w:val="0"/>
              <w:keepLines w:val="0"/>
              <w:pageBreakBefore w:val="0"/>
              <w:widowControl/>
              <w:kinsoku/>
              <w:wordWrap/>
              <w:overflowPunct/>
              <w:topLinePunct w:val="0"/>
              <w:autoSpaceDE/>
              <w:autoSpaceDN/>
              <w:bidi w:val="0"/>
              <w:spacing w:line="240" w:lineRule="auto"/>
              <w:ind w:left="60"/>
              <w:textAlignment w:val="auto"/>
              <w:rPr>
                <w:rFonts w:hint="eastAsia" w:ascii="仿宋" w:hAnsi="仿宋" w:eastAsia="仿宋" w:cs="仿宋"/>
                <w:w w:val="98"/>
                <w:sz w:val="24"/>
              </w:rPr>
            </w:pPr>
            <w:r>
              <w:rPr>
                <w:rFonts w:hint="eastAsia" w:ascii="仿宋" w:hAnsi="仿宋" w:eastAsia="仿宋" w:cs="仿宋"/>
                <w:w w:val="98"/>
                <w:sz w:val="24"/>
              </w:rPr>
              <w:t>承包人项目经理：</w:t>
            </w:r>
          </w:p>
        </w:tc>
        <w:tc>
          <w:tcPr>
            <w:tcW w:w="108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3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21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9"/>
                <w:sz w:val="24"/>
              </w:rPr>
            </w:pPr>
            <w:r>
              <w:rPr>
                <w:rFonts w:hint="eastAsia" w:ascii="仿宋" w:hAnsi="仿宋" w:eastAsia="仿宋" w:cs="仿宋"/>
                <w:w w:val="99"/>
                <w:sz w:val="24"/>
              </w:rPr>
              <w:t>。承包人项目总工：</w:t>
            </w:r>
          </w:p>
        </w:tc>
        <w:tc>
          <w:tcPr>
            <w:tcW w:w="18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1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1"/>
                <w:sz w:val="24"/>
              </w:rPr>
            </w:pPr>
            <w:r>
              <w:rPr>
                <w:rFonts w:hint="eastAsia" w:ascii="仿宋" w:hAnsi="仿宋" w:eastAsia="仿宋" w:cs="仿宋"/>
                <w:w w:val="91"/>
                <w:sz w:val="24"/>
              </w:rPr>
              <w:t>。</w:t>
            </w:r>
          </w:p>
        </w:tc>
      </w:tr>
      <w:tr>
        <w:tblPrEx>
          <w:tblLayout w:type="fixed"/>
          <w:tblCellMar>
            <w:top w:w="0" w:type="dxa"/>
            <w:left w:w="0" w:type="dxa"/>
            <w:bottom w:w="0" w:type="dxa"/>
            <w:right w:w="0" w:type="dxa"/>
          </w:tblCellMar>
        </w:tblPrEx>
        <w:trPr>
          <w:trHeight w:val="420" w:hRule="atLeast"/>
        </w:trPr>
        <w:tc>
          <w:tcPr>
            <w:tcW w:w="240" w:type="dxa"/>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88"/>
                <w:sz w:val="24"/>
              </w:rPr>
            </w:pPr>
            <w:r>
              <w:rPr>
                <w:rFonts w:hint="eastAsia" w:ascii="仿宋" w:hAnsi="仿宋" w:eastAsia="仿宋" w:cs="仿宋"/>
                <w:w w:val="88"/>
                <w:sz w:val="24"/>
              </w:rPr>
              <w:t>5.</w:t>
            </w:r>
          </w:p>
        </w:tc>
        <w:tc>
          <w:tcPr>
            <w:tcW w:w="1980" w:type="dxa"/>
            <w:gridSpan w:val="2"/>
            <w:noWrap w:val="0"/>
            <w:vAlign w:val="bottom"/>
          </w:tcPr>
          <w:p>
            <w:pPr>
              <w:keepNext w:val="0"/>
              <w:keepLines w:val="0"/>
              <w:pageBreakBefore w:val="0"/>
              <w:widowControl/>
              <w:kinsoku/>
              <w:wordWrap/>
              <w:overflowPunct/>
              <w:topLinePunct w:val="0"/>
              <w:autoSpaceDE/>
              <w:autoSpaceDN/>
              <w:bidi w:val="0"/>
              <w:spacing w:line="240" w:lineRule="auto"/>
              <w:ind w:left="60"/>
              <w:textAlignment w:val="auto"/>
              <w:rPr>
                <w:rFonts w:hint="eastAsia" w:ascii="仿宋" w:hAnsi="仿宋" w:eastAsia="仿宋" w:cs="仿宋"/>
                <w:sz w:val="24"/>
              </w:rPr>
            </w:pPr>
            <w:r>
              <w:rPr>
                <w:rFonts w:hint="eastAsia" w:ascii="仿宋" w:hAnsi="仿宋" w:eastAsia="仿宋" w:cs="仿宋"/>
                <w:sz w:val="24"/>
              </w:rPr>
              <w:t>工程质量符合</w:t>
            </w:r>
          </w:p>
        </w:tc>
        <w:tc>
          <w:tcPr>
            <w:tcW w:w="10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520" w:type="dxa"/>
            <w:gridSpan w:val="3"/>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标准。工程安全目标：</w:t>
            </w:r>
          </w:p>
        </w:tc>
        <w:tc>
          <w:tcPr>
            <w:tcW w:w="18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w:t>
            </w:r>
          </w:p>
        </w:tc>
      </w:tr>
      <w:tr>
        <w:tblPrEx>
          <w:tblLayout w:type="fixed"/>
          <w:tblCellMar>
            <w:top w:w="0" w:type="dxa"/>
            <w:left w:w="0" w:type="dxa"/>
            <w:bottom w:w="0" w:type="dxa"/>
            <w:right w:w="0" w:type="dxa"/>
          </w:tblCellMar>
        </w:tblPrEx>
        <w:trPr>
          <w:trHeight w:val="20" w:hRule="atLeast"/>
        </w:trPr>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5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bl>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75"/>
        </w:numPr>
        <w:tabs>
          <w:tab w:val="left" w:pos="920"/>
        </w:tabs>
        <w:kinsoku/>
        <w:wordWrap/>
        <w:overflowPunct/>
        <w:topLinePunct w:val="0"/>
        <w:autoSpaceDE/>
        <w:autoSpaceDN/>
        <w:bidi w:val="0"/>
        <w:spacing w:line="240" w:lineRule="auto"/>
        <w:ind w:left="920" w:hanging="299"/>
        <w:jc w:val="both"/>
        <w:textAlignment w:val="auto"/>
        <w:rPr>
          <w:rFonts w:hint="eastAsia" w:ascii="仿宋" w:hAnsi="仿宋" w:eastAsia="仿宋" w:cs="仿宋"/>
          <w:sz w:val="24"/>
        </w:rPr>
      </w:pPr>
      <w:r>
        <w:rPr>
          <w:rFonts w:hint="eastAsia" w:ascii="仿宋" w:hAnsi="仿宋" w:eastAsia="仿宋" w:cs="仿宋"/>
          <w:sz w:val="24"/>
        </w:rPr>
        <w:t>承包人承诺按合同约定承担工程的实施、完成及缺陷修复。</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75"/>
        </w:numPr>
        <w:tabs>
          <w:tab w:val="left" w:pos="920"/>
        </w:tabs>
        <w:kinsoku/>
        <w:wordWrap/>
        <w:overflowPunct/>
        <w:topLinePunct w:val="0"/>
        <w:autoSpaceDE/>
        <w:autoSpaceDN/>
        <w:bidi w:val="0"/>
        <w:spacing w:line="240" w:lineRule="auto"/>
        <w:ind w:left="920" w:hanging="299"/>
        <w:jc w:val="both"/>
        <w:textAlignment w:val="auto"/>
        <w:rPr>
          <w:rFonts w:hint="eastAsia" w:ascii="仿宋" w:hAnsi="仿宋" w:eastAsia="仿宋" w:cs="仿宋"/>
          <w:sz w:val="24"/>
        </w:rPr>
      </w:pPr>
      <w:r>
        <w:rPr>
          <w:rFonts w:hint="eastAsia" w:ascii="仿宋" w:hAnsi="仿宋" w:eastAsia="仿宋" w:cs="仿宋"/>
          <w:sz w:val="24"/>
        </w:rPr>
        <w:t>发包人承诺按合同约定的条件、时间和方式向承包人支付合同价款。</w:t>
      </w:r>
      <w:bookmarkStart w:id="79" w:name="page162"/>
      <w:bookmarkEnd w:id="79"/>
    </w:p>
    <w:p>
      <w:pPr>
        <w:keepNext w:val="0"/>
        <w:keepLines w:val="0"/>
        <w:pageBreakBefore w:val="0"/>
        <w:widowControl/>
        <w:tabs>
          <w:tab w:val="left" w:pos="5460"/>
        </w:tabs>
        <w:kinsoku/>
        <w:wordWrap/>
        <w:overflowPunct/>
        <w:topLinePunct w:val="0"/>
        <w:autoSpaceDE/>
        <w:autoSpaceDN/>
        <w:bidi w:val="0"/>
        <w:spacing w:line="240" w:lineRule="auto"/>
        <w:ind w:left="620"/>
        <w:textAlignment w:val="auto"/>
        <w:rPr>
          <w:rFonts w:hint="eastAsia" w:ascii="仿宋" w:hAnsi="仿宋" w:eastAsia="仿宋" w:cs="仿宋"/>
          <w:sz w:val="23"/>
        </w:rPr>
      </w:pPr>
      <w:r>
        <w:rPr>
          <w:rFonts w:hint="eastAsia" w:ascii="仿宋" w:hAnsi="仿宋" w:eastAsia="仿宋" w:cs="仿宋"/>
          <w:sz w:val="24"/>
        </w:rPr>
        <w:t>8. 承包人应按照监理人指示开工，工期为</w:t>
      </w:r>
      <w:r>
        <w:rPr>
          <w:rFonts w:hint="eastAsia" w:ascii="仿宋" w:hAnsi="仿宋" w:eastAsia="仿宋" w:cs="仿宋"/>
        </w:rPr>
        <w:tab/>
      </w:r>
      <w:r>
        <w:rPr>
          <w:rFonts w:hint="eastAsia" w:ascii="仿宋" w:hAnsi="仿宋" w:eastAsia="仿宋" w:cs="仿宋"/>
          <w:sz w:val="23"/>
        </w:rPr>
        <w:t>日历天。</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r>
        <w:rPr>
          <w:rFonts w:hint="eastAsia" w:ascii="仿宋" w:hAnsi="仿宋" w:eastAsia="仿宋" w:cs="仿宋"/>
          <w:sz w:val="23"/>
        </w:rPr>
        <mc:AlternateContent>
          <mc:Choice Requires="wps">
            <w:drawing>
              <wp:anchor distT="0" distB="0" distL="114300" distR="114300" simplePos="0" relativeHeight="252149760" behindDoc="1" locked="0" layoutInCell="0" allowOverlap="1">
                <wp:simplePos x="0" y="0"/>
                <wp:positionH relativeFrom="column">
                  <wp:posOffset>3176270</wp:posOffset>
                </wp:positionH>
                <wp:positionV relativeFrom="paragraph">
                  <wp:posOffset>-10795</wp:posOffset>
                </wp:positionV>
                <wp:extent cx="304800" cy="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304800" cy="0"/>
                        </a:xfrm>
                        <a:prstGeom prst="line">
                          <a:avLst/>
                        </a:prstGeom>
                        <a:ln w="761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0.1pt;margin-top:-0.85pt;height:0pt;width:24pt;z-index:-251166720;mso-width-relative:page;mso-height-relative:page;" filled="f" stroked="t" coordsize="21600,21600" o:allowincell="f" o:gfxdata="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1XvLNcAAAAJAQAADwAAAAAA&#10;AAABACAAAAAiAAAAZHJzL2Rvd25yZXYueG1sUEsBAhQAFAAAAAgAh07iQJJ/YX/bAQAAlwMAAA4A&#10;AAAAAAAAAQAgAAAAJgEAAGRycy9lMm9Eb2MueG1sUEsFBgAAAAAGAAYAWQEAAHMFAAAAAA==&#10;">
                <v:fill on="f" focussize="0,0"/>
                <v:stroke weight="0.59992125984252pt" color="#000000" joinstyle="round"/>
                <v:imagedata o:title=""/>
                <o:lock v:ext="edit" aspectratio="f"/>
              </v:line>
            </w:pict>
          </mc:Fallback>
        </mc:AlternateContent>
      </w:r>
    </w:p>
    <w:p>
      <w:pPr>
        <w:keepNext w:val="0"/>
        <w:keepLines w:val="0"/>
        <w:pageBreakBefore w:val="0"/>
        <w:widowControl/>
        <w:numPr>
          <w:ilvl w:val="0"/>
          <w:numId w:val="76"/>
        </w:numPr>
        <w:tabs>
          <w:tab w:val="left" w:pos="919"/>
        </w:tabs>
        <w:kinsoku/>
        <w:wordWrap/>
        <w:overflowPunct/>
        <w:topLinePunct w:val="0"/>
        <w:autoSpaceDE/>
        <w:autoSpaceDN/>
        <w:bidi w:val="0"/>
        <w:spacing w:line="240" w:lineRule="auto"/>
        <w:ind w:firstLine="621"/>
        <w:jc w:val="both"/>
        <w:textAlignment w:val="auto"/>
        <w:rPr>
          <w:rFonts w:hint="eastAsia" w:ascii="仿宋" w:hAnsi="仿宋" w:eastAsia="仿宋" w:cs="仿宋"/>
          <w:sz w:val="24"/>
        </w:rPr>
      </w:pPr>
      <w:r>
        <w:rPr>
          <w:rFonts w:hint="eastAsia" w:ascii="仿宋" w:hAnsi="仿宋" w:eastAsia="仿宋" w:cs="仿宋"/>
          <w:sz w:val="24"/>
        </w:rPr>
        <w:t>本协议书在承包人提供履约保证金后，由双方法定代表人或其委托代理人签署并加盖单位章后生效。全部工程完工后经交工验收合格、缺陷责任期满签发缺陷责任终止证书后失效。</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76"/>
        </w:numPr>
        <w:tabs>
          <w:tab w:val="left" w:pos="1037"/>
        </w:tabs>
        <w:kinsoku/>
        <w:wordWrap/>
        <w:overflowPunct/>
        <w:topLinePunct w:val="0"/>
        <w:autoSpaceDE/>
        <w:autoSpaceDN/>
        <w:bidi w:val="0"/>
        <w:spacing w:line="240" w:lineRule="auto"/>
        <w:ind w:firstLine="621"/>
        <w:jc w:val="both"/>
        <w:textAlignment w:val="auto"/>
        <w:rPr>
          <w:rFonts w:hint="eastAsia" w:ascii="仿宋" w:hAnsi="仿宋" w:eastAsia="仿宋" w:cs="仿宋"/>
          <w:sz w:val="24"/>
        </w:rPr>
      </w:pPr>
      <w:r>
        <w:rPr>
          <w:rFonts w:hint="eastAsia" w:ascii="仿宋" w:hAnsi="仿宋" w:eastAsia="仿宋" w:cs="仿宋"/>
          <w:sz w:val="24"/>
        </w:rPr>
        <w:t>本协议书正本二份、副本____份，合同双方各执正本一份，副本____份，当正本与副本的内容不一致时，以正本为准。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76"/>
        </w:numPr>
        <w:tabs>
          <w:tab w:val="left" w:pos="1040"/>
        </w:tabs>
        <w:kinsoku/>
        <w:wordWrap/>
        <w:overflowPunct/>
        <w:topLinePunct w:val="0"/>
        <w:autoSpaceDE/>
        <w:autoSpaceDN/>
        <w:bidi w:val="0"/>
        <w:spacing w:line="240" w:lineRule="auto"/>
        <w:ind w:left="1040" w:hanging="419"/>
        <w:jc w:val="both"/>
        <w:textAlignment w:val="auto"/>
        <w:rPr>
          <w:rFonts w:hint="eastAsia" w:ascii="仿宋" w:hAnsi="仿宋" w:eastAsia="仿宋" w:cs="仿宋"/>
          <w:sz w:val="24"/>
        </w:rPr>
      </w:pPr>
      <w:r>
        <w:rPr>
          <w:rFonts w:hint="eastAsia" w:ascii="仿宋" w:hAnsi="仿宋" w:eastAsia="仿宋" w:cs="仿宋"/>
          <w:sz w:val="24"/>
        </w:rPr>
        <w:t>合同未尽事宜，双方另行签订补充协议。补充协议是合同的组成部分。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tbl>
      <w:tblPr>
        <w:tblStyle w:val="13"/>
        <w:tblW w:w="8800" w:type="dxa"/>
        <w:tblInd w:w="0" w:type="dxa"/>
        <w:tblLayout w:type="fixed"/>
        <w:tblCellMar>
          <w:top w:w="0" w:type="dxa"/>
          <w:left w:w="0" w:type="dxa"/>
          <w:bottom w:w="0" w:type="dxa"/>
          <w:right w:w="0" w:type="dxa"/>
        </w:tblCellMar>
      </w:tblPr>
      <w:tblGrid>
        <w:gridCol w:w="840"/>
        <w:gridCol w:w="120"/>
        <w:gridCol w:w="960"/>
        <w:gridCol w:w="240"/>
        <w:gridCol w:w="580"/>
        <w:gridCol w:w="260"/>
        <w:gridCol w:w="100"/>
        <w:gridCol w:w="240"/>
        <w:gridCol w:w="260"/>
        <w:gridCol w:w="800"/>
        <w:gridCol w:w="1120"/>
        <w:gridCol w:w="180"/>
        <w:gridCol w:w="900"/>
        <w:gridCol w:w="240"/>
        <w:gridCol w:w="540"/>
        <w:gridCol w:w="300"/>
        <w:gridCol w:w="180"/>
        <w:gridCol w:w="420"/>
        <w:gridCol w:w="520"/>
      </w:tblGrid>
      <w:tr>
        <w:tblPrEx>
          <w:tblLayout w:type="fixed"/>
          <w:tblCellMar>
            <w:top w:w="0" w:type="dxa"/>
            <w:left w:w="0" w:type="dxa"/>
            <w:bottom w:w="0" w:type="dxa"/>
            <w:right w:w="0" w:type="dxa"/>
          </w:tblCellMar>
        </w:tblPrEx>
        <w:trPr>
          <w:trHeight w:val="274" w:hRule="atLeast"/>
        </w:trPr>
        <w:tc>
          <w:tcPr>
            <w:tcW w:w="2740" w:type="dxa"/>
            <w:gridSpan w:val="5"/>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发包人：</w:t>
            </w:r>
          </w:p>
        </w:tc>
        <w:tc>
          <w:tcPr>
            <w:tcW w:w="1660" w:type="dxa"/>
            <w:gridSpan w:val="5"/>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（盖单位章）</w:t>
            </w:r>
          </w:p>
        </w:tc>
        <w:tc>
          <w:tcPr>
            <w:tcW w:w="2440" w:type="dxa"/>
            <w:gridSpan w:val="4"/>
            <w:noWrap w:val="0"/>
            <w:vAlign w:val="bottom"/>
          </w:tcPr>
          <w:p>
            <w:pPr>
              <w:keepNext w:val="0"/>
              <w:keepLines w:val="0"/>
              <w:pageBreakBefore w:val="0"/>
              <w:widowControl/>
              <w:kinsoku/>
              <w:wordWrap/>
              <w:overflowPunct/>
              <w:topLinePunct w:val="0"/>
              <w:autoSpaceDE/>
              <w:autoSpaceDN/>
              <w:bidi w:val="0"/>
              <w:spacing w:line="240" w:lineRule="auto"/>
              <w:ind w:left="360"/>
              <w:textAlignment w:val="auto"/>
              <w:rPr>
                <w:rFonts w:hint="eastAsia" w:ascii="仿宋" w:hAnsi="仿宋" w:eastAsia="仿宋" w:cs="仿宋"/>
                <w:sz w:val="24"/>
              </w:rPr>
            </w:pPr>
            <w:r>
              <w:rPr>
                <w:rFonts w:hint="eastAsia" w:ascii="仿宋" w:hAnsi="仿宋" w:eastAsia="仿宋" w:cs="仿宋"/>
                <w:sz w:val="24"/>
              </w:rPr>
              <w:t>承包人：</w:t>
            </w:r>
          </w:p>
        </w:tc>
        <w:tc>
          <w:tcPr>
            <w:tcW w:w="1960" w:type="dxa"/>
            <w:gridSpan w:val="5"/>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sz w:val="24"/>
              </w:rPr>
            </w:pPr>
            <w:r>
              <w:rPr>
                <w:rFonts w:hint="eastAsia" w:ascii="仿宋" w:hAnsi="仿宋" w:eastAsia="仿宋" w:cs="仿宋"/>
                <w:sz w:val="24"/>
              </w:rPr>
              <w:t>（盖单位章）</w:t>
            </w:r>
          </w:p>
        </w:tc>
      </w:tr>
      <w:tr>
        <w:tblPrEx>
          <w:tblLayout w:type="fixed"/>
          <w:tblCellMar>
            <w:top w:w="0" w:type="dxa"/>
            <w:left w:w="0" w:type="dxa"/>
            <w:bottom w:w="0" w:type="dxa"/>
            <w:right w:w="0" w:type="dxa"/>
          </w:tblCellMar>
        </w:tblPrEx>
        <w:trPr>
          <w:trHeight w:val="20" w:hRule="atLeast"/>
        </w:trPr>
        <w:tc>
          <w:tcPr>
            <w:tcW w:w="8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4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8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422" w:hRule="atLeast"/>
        </w:trPr>
        <w:tc>
          <w:tcPr>
            <w:tcW w:w="4400" w:type="dxa"/>
            <w:gridSpan w:val="1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法定代表人或其委托代理人：  （签字）</w:t>
            </w:r>
          </w:p>
        </w:tc>
        <w:tc>
          <w:tcPr>
            <w:tcW w:w="4400" w:type="dxa"/>
            <w:gridSpan w:val="9"/>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sz w:val="24"/>
              </w:rPr>
            </w:pPr>
            <w:r>
              <w:rPr>
                <w:rFonts w:hint="eastAsia" w:ascii="仿宋" w:hAnsi="仿宋" w:eastAsia="仿宋" w:cs="仿宋"/>
                <w:sz w:val="24"/>
              </w:rPr>
              <w:t>法定代表人或其委托代理人：  （签字）</w:t>
            </w:r>
          </w:p>
        </w:tc>
      </w:tr>
      <w:tr>
        <w:tblPrEx>
          <w:tblLayout w:type="fixed"/>
          <w:tblCellMar>
            <w:top w:w="0" w:type="dxa"/>
            <w:left w:w="0" w:type="dxa"/>
            <w:bottom w:w="0" w:type="dxa"/>
            <w:right w:w="0" w:type="dxa"/>
          </w:tblCellMar>
        </w:tblPrEx>
        <w:trPr>
          <w:trHeight w:val="20" w:hRule="atLeast"/>
        </w:trPr>
        <w:tc>
          <w:tcPr>
            <w:tcW w:w="8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00" w:type="dxa"/>
            <w:tcBorders>
              <w:righ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419" w:hRule="atLeast"/>
        </w:trPr>
        <w:tc>
          <w:tcPr>
            <w:tcW w:w="8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9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年</w:t>
            </w:r>
          </w:p>
        </w:tc>
        <w:tc>
          <w:tcPr>
            <w:tcW w:w="360" w:type="dxa"/>
            <w:gridSpan w:val="2"/>
            <w:noWrap w:val="0"/>
            <w:vAlign w:val="bottom"/>
          </w:tcPr>
          <w:p>
            <w:pPr>
              <w:keepNext w:val="0"/>
              <w:keepLines w:val="0"/>
              <w:pageBreakBefore w:val="0"/>
              <w:widowControl/>
              <w:kinsoku/>
              <w:wordWrap/>
              <w:overflowPunct/>
              <w:topLinePunct w:val="0"/>
              <w:autoSpaceDE/>
              <w:autoSpaceDN/>
              <w:bidi w:val="0"/>
              <w:spacing w:line="240" w:lineRule="auto"/>
              <w:ind w:left="20"/>
              <w:textAlignment w:val="auto"/>
              <w:rPr>
                <w:rFonts w:hint="eastAsia" w:ascii="仿宋" w:hAnsi="仿宋" w:eastAsia="仿宋" w:cs="仿宋"/>
                <w:sz w:val="24"/>
              </w:rPr>
            </w:pPr>
            <w:r>
              <w:rPr>
                <w:rFonts w:hint="eastAsia" w:ascii="仿宋" w:hAnsi="仿宋" w:eastAsia="仿宋" w:cs="仿宋"/>
                <w:sz w:val="24"/>
              </w:rPr>
              <w:t>月</w:t>
            </w: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日</w:t>
            </w:r>
          </w:p>
        </w:tc>
        <w:tc>
          <w:tcPr>
            <w:tcW w:w="1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9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1"/>
                <w:sz w:val="24"/>
              </w:rPr>
            </w:pPr>
            <w:r>
              <w:rPr>
                <w:rFonts w:hint="eastAsia" w:ascii="仿宋" w:hAnsi="仿宋" w:eastAsia="仿宋" w:cs="仿宋"/>
                <w:w w:val="91"/>
                <w:sz w:val="24"/>
              </w:rPr>
              <w:t>年</w:t>
            </w:r>
          </w:p>
        </w:tc>
        <w:tc>
          <w:tcPr>
            <w:tcW w:w="5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80" w:type="dxa"/>
            <w:gridSpan w:val="2"/>
            <w:noWrap w:val="0"/>
            <w:vAlign w:val="bottom"/>
          </w:tcPr>
          <w:p>
            <w:pPr>
              <w:keepNext w:val="0"/>
              <w:keepLines w:val="0"/>
              <w:pageBreakBefore w:val="0"/>
              <w:widowControl/>
              <w:kinsoku/>
              <w:wordWrap/>
              <w:overflowPunct/>
              <w:topLinePunct w:val="0"/>
              <w:autoSpaceDE/>
              <w:autoSpaceDN/>
              <w:bidi w:val="0"/>
              <w:spacing w:line="240" w:lineRule="auto"/>
              <w:ind w:left="60"/>
              <w:textAlignment w:val="auto"/>
              <w:rPr>
                <w:rFonts w:hint="eastAsia" w:ascii="仿宋" w:hAnsi="仿宋" w:eastAsia="仿宋" w:cs="仿宋"/>
                <w:sz w:val="24"/>
              </w:rPr>
            </w:pPr>
            <w:r>
              <w:rPr>
                <w:rFonts w:hint="eastAsia" w:ascii="仿宋" w:hAnsi="仿宋" w:eastAsia="仿宋" w:cs="仿宋"/>
                <w:sz w:val="24"/>
              </w:rPr>
              <w:t>月</w:t>
            </w:r>
          </w:p>
        </w:tc>
        <w:tc>
          <w:tcPr>
            <w:tcW w:w="4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20" w:type="dxa"/>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1"/>
                <w:sz w:val="24"/>
              </w:rPr>
            </w:pPr>
            <w:r>
              <w:rPr>
                <w:rFonts w:hint="eastAsia" w:ascii="仿宋" w:hAnsi="仿宋" w:eastAsia="仿宋" w:cs="仿宋"/>
                <w:w w:val="91"/>
                <w:sz w:val="24"/>
              </w:rPr>
              <w:t>日</w:t>
            </w:r>
          </w:p>
        </w:tc>
      </w:tr>
      <w:tr>
        <w:tblPrEx>
          <w:tblLayout w:type="fixed"/>
          <w:tblCellMar>
            <w:top w:w="0" w:type="dxa"/>
            <w:left w:w="0" w:type="dxa"/>
            <w:bottom w:w="0" w:type="dxa"/>
            <w:right w:w="0" w:type="dxa"/>
          </w:tblCellMar>
        </w:tblPrEx>
        <w:trPr>
          <w:trHeight w:val="20" w:hRule="atLeast"/>
        </w:trPr>
        <w:tc>
          <w:tcPr>
            <w:tcW w:w="8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tcBorders>
              <w:lef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00" w:type="dxa"/>
            <w:tcBorders>
              <w:left w:val="single" w:color="auto" w:sz="8" w:space="0"/>
            </w:tcBorders>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bl>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sectPr>
          <w:pgSz w:w="11900" w:h="16841"/>
          <w:pgMar w:top="851" w:right="1460" w:bottom="579" w:left="1640" w:header="567" w:footer="567" w:gutter="0"/>
          <w:cols w:space="720" w:num="1"/>
          <w:docGrid w:linePitch="360" w:charSpace="0"/>
        </w:sect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bookmarkStart w:id="80" w:name="page163"/>
      <w:bookmarkEnd w:id="80"/>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附件二 廉政合同</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3580"/>
        <w:textAlignment w:val="auto"/>
        <w:rPr>
          <w:rFonts w:hint="eastAsia" w:ascii="仿宋" w:hAnsi="仿宋" w:eastAsia="仿宋" w:cs="仿宋"/>
          <w:sz w:val="28"/>
        </w:rPr>
      </w:pPr>
      <w:r>
        <w:rPr>
          <w:rFonts w:hint="eastAsia" w:ascii="仿宋" w:hAnsi="仿宋" w:eastAsia="仿宋" w:cs="仿宋"/>
          <w:sz w:val="28"/>
        </w:rPr>
        <w:t>廉 政 合 同</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sz w:val="24"/>
        </w:rPr>
      </w:pPr>
      <w:r>
        <w:rPr>
          <w:rFonts w:hint="eastAsia" w:ascii="仿宋" w:hAnsi="仿宋" w:eastAsia="仿宋" w:cs="仿宋"/>
          <w:sz w:val="24"/>
        </w:rPr>
        <w:t>根据《关于在交通基础设施建设中加强廉政建设的若干意见》以及有关工程建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r>
        <w:rPr>
          <w:rFonts w:hint="eastAsia" w:ascii="仿宋" w:hAnsi="仿宋" w:eastAsia="仿宋" w:cs="仿宋"/>
          <w:sz w:val="23"/>
        </w:rPr>
        <w:t>设、廉政建设的规定，为做好工程建设中的党风廉政建设，保证工程建设高效优质，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tbl>
      <w:tblPr>
        <w:tblStyle w:val="13"/>
        <w:tblW w:w="8680" w:type="dxa"/>
        <w:tblInd w:w="0" w:type="dxa"/>
        <w:tblLayout w:type="fixed"/>
        <w:tblCellMar>
          <w:top w:w="0" w:type="dxa"/>
          <w:left w:w="0" w:type="dxa"/>
          <w:bottom w:w="0" w:type="dxa"/>
          <w:right w:w="0" w:type="dxa"/>
        </w:tblCellMar>
      </w:tblPr>
      <w:tblGrid>
        <w:gridCol w:w="720"/>
        <w:gridCol w:w="1340"/>
        <w:gridCol w:w="340"/>
        <w:gridCol w:w="2660"/>
        <w:gridCol w:w="1700"/>
        <w:gridCol w:w="340"/>
        <w:gridCol w:w="620"/>
        <w:gridCol w:w="960"/>
      </w:tblGrid>
      <w:tr>
        <w:tblPrEx>
          <w:tblLayout w:type="fixed"/>
          <w:tblCellMar>
            <w:top w:w="0" w:type="dxa"/>
            <w:left w:w="0" w:type="dxa"/>
            <w:bottom w:w="0" w:type="dxa"/>
            <w:right w:w="0" w:type="dxa"/>
          </w:tblCellMar>
        </w:tblPrEx>
        <w:trPr>
          <w:trHeight w:val="274" w:hRule="atLeast"/>
        </w:trPr>
        <w:tc>
          <w:tcPr>
            <w:tcW w:w="5060" w:type="dxa"/>
            <w:gridSpan w:val="4"/>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9"/>
                <w:sz w:val="24"/>
              </w:rPr>
            </w:pPr>
            <w:r>
              <w:rPr>
                <w:rFonts w:hint="eastAsia" w:ascii="仿宋" w:hAnsi="仿宋" w:eastAsia="仿宋" w:cs="仿宋"/>
                <w:w w:val="99"/>
                <w:sz w:val="24"/>
              </w:rPr>
              <w:t>保证建设资金的安全和有效使用以及投资效益，</w:t>
            </w:r>
          </w:p>
        </w:tc>
        <w:tc>
          <w:tcPr>
            <w:tcW w:w="17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1920" w:type="dxa"/>
            <w:gridSpan w:val="3"/>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8"/>
                <w:sz w:val="24"/>
              </w:rPr>
            </w:pPr>
            <w:r>
              <w:rPr>
                <w:rFonts w:hint="eastAsia" w:ascii="仿宋" w:hAnsi="仿宋" w:eastAsia="仿宋" w:cs="仿宋"/>
                <w:w w:val="98"/>
                <w:sz w:val="24"/>
              </w:rPr>
              <w:t>（项目名称）的项</w:t>
            </w:r>
          </w:p>
        </w:tc>
      </w:tr>
      <w:tr>
        <w:tblPrEx>
          <w:tblLayout w:type="fixed"/>
          <w:tblCellMar>
            <w:top w:w="0" w:type="dxa"/>
            <w:left w:w="0" w:type="dxa"/>
            <w:bottom w:w="0" w:type="dxa"/>
            <w:right w:w="0" w:type="dxa"/>
          </w:tblCellMar>
        </w:tblPrEx>
        <w:trPr>
          <w:trHeight w:val="381" w:hRule="atLeast"/>
        </w:trPr>
        <w:tc>
          <w:tcPr>
            <w:tcW w:w="7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7"/>
                <w:sz w:val="24"/>
              </w:rPr>
            </w:pPr>
            <w:r>
              <w:rPr>
                <w:rFonts w:hint="eastAsia" w:ascii="仿宋" w:hAnsi="仿宋" w:eastAsia="仿宋" w:cs="仿宋"/>
                <w:w w:val="97"/>
                <w:sz w:val="24"/>
              </w:rPr>
              <w:t>目法人</w:t>
            </w:r>
          </w:p>
        </w:tc>
        <w:tc>
          <w:tcPr>
            <w:tcW w:w="13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40" w:type="dxa"/>
            <w:gridSpan w:val="4"/>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（项目法人名称，以下简称“发包人”）与该项目</w:t>
            </w:r>
          </w:p>
        </w:tc>
        <w:tc>
          <w:tcPr>
            <w:tcW w:w="6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960" w:type="dxa"/>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7"/>
                <w:sz w:val="24"/>
              </w:rPr>
            </w:pPr>
            <w:r>
              <w:rPr>
                <w:rFonts w:hint="eastAsia" w:ascii="仿宋" w:hAnsi="仿宋" w:eastAsia="仿宋" w:cs="仿宋"/>
                <w:w w:val="97"/>
                <w:sz w:val="24"/>
              </w:rPr>
              <w:t>标段的施</w:t>
            </w:r>
          </w:p>
        </w:tc>
      </w:tr>
      <w:tr>
        <w:tblPrEx>
          <w:tblLayout w:type="fixed"/>
          <w:tblCellMar>
            <w:top w:w="0" w:type="dxa"/>
            <w:left w:w="0" w:type="dxa"/>
            <w:bottom w:w="0" w:type="dxa"/>
            <w:right w:w="0" w:type="dxa"/>
          </w:tblCellMar>
        </w:tblPrEx>
        <w:trPr>
          <w:trHeight w:val="381" w:hRule="atLeast"/>
        </w:trPr>
        <w:tc>
          <w:tcPr>
            <w:tcW w:w="7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7"/>
                <w:sz w:val="24"/>
              </w:rPr>
            </w:pPr>
            <w:r>
              <w:rPr>
                <w:rFonts w:hint="eastAsia" w:ascii="仿宋" w:hAnsi="仿宋" w:eastAsia="仿宋" w:cs="仿宋"/>
                <w:w w:val="97"/>
                <w:sz w:val="24"/>
              </w:rPr>
              <w:t>工单位</w:t>
            </w:r>
          </w:p>
        </w:tc>
        <w:tc>
          <w:tcPr>
            <w:tcW w:w="13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280" w:type="dxa"/>
            <w:gridSpan w:val="5"/>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7"/>
                <w:sz w:val="24"/>
              </w:rPr>
            </w:pPr>
            <w:r>
              <w:rPr>
                <w:rFonts w:hint="eastAsia" w:ascii="仿宋" w:hAnsi="仿宋" w:eastAsia="仿宋" w:cs="仿宋"/>
                <w:w w:val="97"/>
                <w:sz w:val="24"/>
              </w:rPr>
              <w:t>（施工单位名称，以下简称“承包人”），特订立如下合同。</w:t>
            </w:r>
          </w:p>
        </w:tc>
      </w:tr>
    </w:tbl>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sz w:val="24"/>
        </w:rPr>
      </w:pPr>
      <w:r>
        <w:rPr>
          <w:rFonts w:hint="eastAsia" w:ascii="仿宋" w:hAnsi="仿宋" w:eastAsia="仿宋" w:cs="仿宋"/>
          <w:sz w:val="24"/>
        </w:rPr>
        <w:t>1. 发包人和承包人双方的权利和义务</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sz w:val="24"/>
        </w:rPr>
      </w:pPr>
      <w:r>
        <w:rPr>
          <w:rFonts w:hint="eastAsia" w:ascii="仿宋" w:hAnsi="仿宋" w:eastAsia="仿宋" w:cs="仿宋"/>
          <w:sz w:val="24"/>
        </w:rPr>
        <w:t>（1）严格遵守党的政策规定和国家有关法律法规及交通运输部的有关规定。（2）严格执行</w:t>
      </w:r>
      <w:r>
        <w:rPr>
          <w:rFonts w:hint="eastAsia" w:ascii="仿宋" w:hAnsi="仿宋" w:eastAsia="仿宋" w:cs="仿宋"/>
          <w:sz w:val="24"/>
          <w:u w:val="single"/>
        </w:rPr>
        <w:t xml:space="preserve">   （项目名称）    </w:t>
      </w:r>
      <w:r>
        <w:rPr>
          <w:rFonts w:hint="eastAsia" w:ascii="仿宋" w:hAnsi="仿宋" w:eastAsia="仿宋" w:cs="仿宋"/>
          <w:sz w:val="24"/>
        </w:rPr>
        <w:t>标段施工合同文件，自觉按合同</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办事。</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（3）双方的业务活动坚持公开、公正、诚信、透明的原则（法律认定的商业秘密和合同文件另有规定除外），不得损害国家和集体利益，不得违反工程建设管理规章制度。</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（4）建立健全廉政制度，开展廉政教育，设立廉政告示牌，公布举报电话，监督并认真查处违法违纪行为。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（5）发现对方在业务活动中有违反廉政规定的行为，有及时提醒对方纠正的权利和义务。</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（6）发现对方严重违反本合同义务条款的行为，有向其上级有关部门举报、建议给予处理并要求告知处理结果的权利。</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sz w:val="24"/>
        </w:rPr>
      </w:pPr>
      <w:r>
        <w:rPr>
          <w:rFonts w:hint="eastAsia" w:ascii="仿宋" w:hAnsi="仿宋" w:eastAsia="仿宋" w:cs="仿宋"/>
          <w:sz w:val="24"/>
        </w:rPr>
        <w:t>2. 发包人的义务</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（1）发包人及其工作人员不得索要或接受承包人的礼金、有价证券和贵重物品，不得让承包人报销任何应由发包人或发包人工作人员个人支付的费用等。</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（2）发包人工作人员不得参加承包人安排的超标准宴请和娱乐活动；不得接受承包人提供的通信工具、交通工具和高档办公用品等。</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（3）发包人及其工作人员不得要求或者接受承包人为其住房装修、婚丧嫁娶活动、配偶子女的工作安排以及出国出境、旅游等提供方便等。</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（4）发包人工作人员及其配偶、子女不得从事与发包人工程有关的材料设备供应、工程分包、劳务等经济活动等。</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textAlignment w:val="auto"/>
        <w:rPr>
          <w:rFonts w:hint="eastAsia" w:ascii="仿宋" w:hAnsi="仿宋" w:eastAsia="仿宋" w:cs="仿宋"/>
          <w:sz w:val="24"/>
        </w:rPr>
      </w:pPr>
      <w:r>
        <w:rPr>
          <w:rFonts w:hint="eastAsia" w:ascii="仿宋" w:hAnsi="仿宋" w:eastAsia="仿宋" w:cs="仿宋"/>
          <w:sz w:val="24"/>
        </w:rPr>
        <w:t>（5）发包人及其工作人员不得以任何理由向承包人推荐分包单位或推销材料，不得要求承包人购买合同规定外的材料和设备。</w:t>
      </w:r>
    </w:p>
    <w:p>
      <w:pPr>
        <w:keepNext w:val="0"/>
        <w:keepLines w:val="0"/>
        <w:pageBreakBefore w:val="0"/>
        <w:widowControl/>
        <w:kinsoku/>
        <w:wordWrap/>
        <w:overflowPunct/>
        <w:topLinePunct w:val="0"/>
        <w:autoSpaceDE/>
        <w:autoSpaceDN/>
        <w:bidi w:val="0"/>
        <w:spacing w:line="240" w:lineRule="auto"/>
        <w:ind w:firstLine="617"/>
        <w:textAlignment w:val="auto"/>
        <w:rPr>
          <w:rFonts w:hint="eastAsia" w:ascii="仿宋" w:hAnsi="仿宋" w:eastAsia="仿宋" w:cs="仿宋"/>
          <w:sz w:val="24"/>
        </w:rPr>
      </w:pPr>
      <w:r>
        <w:rPr>
          <w:rFonts w:hint="eastAsia" w:ascii="仿宋" w:hAnsi="仿宋" w:eastAsia="仿宋" w:cs="仿宋"/>
          <w:sz w:val="24"/>
        </w:rPr>
        <w:t>（6）发包人工作人员要秉公办事，不准营私舞弊，不准利用职权从事各种个人有偿中介活动和安排个人施工队伍。</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bookmarkStart w:id="81" w:name="page164"/>
      <w:bookmarkEnd w:id="81"/>
      <w:r>
        <w:rPr>
          <w:rFonts w:hint="eastAsia" w:ascii="仿宋" w:hAnsi="仿宋" w:eastAsia="仿宋" w:cs="仿宋"/>
          <w:sz w:val="24"/>
        </w:rPr>
        <w:t>3. 承包人的义务</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（1）承包人不得以任何理由向发包人及其工作人员行贿或馈赠礼金、有价证券、贵重礼品。</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（2）承包人不得以任何名义为发包人及其工作人员报销应由发包人单位或个人支付的任何费用。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sz w:val="23"/>
        </w:rPr>
      </w:pPr>
      <w:r>
        <w:rPr>
          <w:rFonts w:hint="eastAsia" w:ascii="仿宋" w:hAnsi="仿宋" w:eastAsia="仿宋" w:cs="仿宋"/>
          <w:sz w:val="23"/>
        </w:rPr>
        <w:t>（3）承包人不得以任何理由安排发包人工作人员参加超标准宴请及娱乐活动。（4）承包人不得为发包人单位和个人购置或提供通信工具、交通工具和高档</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办公用品等。</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sz w:val="24"/>
        </w:rPr>
      </w:pPr>
      <w:r>
        <w:rPr>
          <w:rFonts w:hint="eastAsia" w:ascii="仿宋" w:hAnsi="仿宋" w:eastAsia="仿宋" w:cs="仿宋"/>
          <w:sz w:val="24"/>
        </w:rPr>
        <w:t>4. 违约责任</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（1）发包人及其工作人员违反本合同第 1、2 条，按管理权限，依据有关规定给予党纪、政纪或组织处理；涉嫌犯罪的，移交司法机关追究刑事责任；给承包人单位造成经济损失的，应予以赔偿。</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77"/>
        </w:numPr>
        <w:tabs>
          <w:tab w:val="left" w:pos="919"/>
        </w:tabs>
        <w:kinsoku/>
        <w:wordWrap/>
        <w:overflowPunct/>
        <w:topLinePunct w:val="0"/>
        <w:autoSpaceDE/>
        <w:autoSpaceDN/>
        <w:bidi w:val="0"/>
        <w:spacing w:line="240" w:lineRule="auto"/>
        <w:ind w:firstLine="621"/>
        <w:jc w:val="both"/>
        <w:textAlignment w:val="auto"/>
        <w:rPr>
          <w:rFonts w:hint="eastAsia" w:ascii="仿宋" w:hAnsi="仿宋" w:eastAsia="仿宋" w:cs="仿宋"/>
          <w:sz w:val="24"/>
        </w:rPr>
      </w:pPr>
      <w:r>
        <w:rPr>
          <w:rFonts w:hint="eastAsia" w:ascii="仿宋" w:hAnsi="仿宋" w:eastAsia="仿宋" w:cs="仿宋"/>
          <w:sz w:val="24"/>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77"/>
        </w:numPr>
        <w:tabs>
          <w:tab w:val="left" w:pos="920"/>
        </w:tabs>
        <w:kinsoku/>
        <w:wordWrap/>
        <w:overflowPunct/>
        <w:topLinePunct w:val="0"/>
        <w:autoSpaceDE/>
        <w:autoSpaceDN/>
        <w:bidi w:val="0"/>
        <w:spacing w:line="240" w:lineRule="auto"/>
        <w:ind w:left="920" w:hanging="299"/>
        <w:jc w:val="both"/>
        <w:textAlignment w:val="auto"/>
        <w:rPr>
          <w:rFonts w:hint="eastAsia" w:ascii="仿宋" w:hAnsi="仿宋" w:eastAsia="仿宋" w:cs="仿宋"/>
          <w:sz w:val="24"/>
        </w:rPr>
      </w:pPr>
      <w:r>
        <w:rPr>
          <w:rFonts w:hint="eastAsia" w:ascii="仿宋" w:hAnsi="仿宋" w:eastAsia="仿宋" w:cs="仿宋"/>
          <w:sz w:val="24"/>
        </w:rPr>
        <w:t>本合同有效期为发包人和承包人签署之日起至该工程项目竣工验收后止。</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tabs>
          <w:tab w:val="left" w:pos="3220"/>
          <w:tab w:val="left" w:pos="5280"/>
        </w:tabs>
        <w:kinsoku/>
        <w:wordWrap/>
        <w:overflowPunct/>
        <w:topLinePunct w:val="0"/>
        <w:autoSpaceDE/>
        <w:autoSpaceDN/>
        <w:bidi w:val="0"/>
        <w:spacing w:line="240" w:lineRule="auto"/>
        <w:ind w:left="620"/>
        <w:textAlignment w:val="auto"/>
        <w:rPr>
          <w:rFonts w:hint="eastAsia" w:ascii="仿宋" w:hAnsi="仿宋" w:eastAsia="仿宋" w:cs="仿宋"/>
          <w:sz w:val="24"/>
        </w:rPr>
      </w:pPr>
      <w:r>
        <w:rPr>
          <w:rFonts w:hint="eastAsia" w:ascii="仿宋" w:hAnsi="仿宋" w:eastAsia="仿宋" w:cs="仿宋"/>
          <w:sz w:val="24"/>
        </w:rPr>
        <w:t>7.  本合同作为</w:t>
      </w:r>
      <w:r>
        <w:rPr>
          <w:rFonts w:hint="eastAsia" w:ascii="仿宋" w:hAnsi="仿宋" w:eastAsia="仿宋" w:cs="仿宋"/>
        </w:rPr>
        <w:tab/>
      </w:r>
      <w:r>
        <w:rPr>
          <w:rFonts w:hint="eastAsia" w:ascii="仿宋" w:hAnsi="仿宋" w:eastAsia="仿宋" w:cs="仿宋"/>
          <w:sz w:val="24"/>
        </w:rPr>
        <w:t>（项目名称）</w:t>
      </w:r>
      <w:r>
        <w:rPr>
          <w:rFonts w:hint="eastAsia" w:ascii="仿宋" w:hAnsi="仿宋" w:eastAsia="仿宋" w:cs="仿宋"/>
        </w:rPr>
        <w:tab/>
      </w:r>
      <w:r>
        <w:rPr>
          <w:rFonts w:hint="eastAsia" w:ascii="仿宋" w:hAnsi="仿宋" w:eastAsia="仿宋" w:cs="仿宋"/>
          <w:sz w:val="24"/>
        </w:rPr>
        <w:t>标段施工合同的附件，与工程施</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r>
        <w:rPr>
          <w:rFonts w:hint="eastAsia" w:ascii="仿宋" w:hAnsi="仿宋" w:eastAsia="仿宋" w:cs="仿宋"/>
          <w:sz w:val="24"/>
        </w:rPr>
        <mc:AlternateContent>
          <mc:Choice Requires="wps">
            <w:drawing>
              <wp:anchor distT="0" distB="0" distL="114300" distR="114300" simplePos="0" relativeHeight="252150784" behindDoc="1" locked="0" layoutInCell="0" allowOverlap="1">
                <wp:simplePos x="0" y="0"/>
                <wp:positionH relativeFrom="column">
                  <wp:posOffset>1355725</wp:posOffset>
                </wp:positionH>
                <wp:positionV relativeFrom="paragraph">
                  <wp:posOffset>-10795</wp:posOffset>
                </wp:positionV>
                <wp:extent cx="696595" cy="0"/>
                <wp:effectExtent l="0" t="0" r="0" b="0"/>
                <wp:wrapNone/>
                <wp:docPr id="64" name="直接连接符 64"/>
                <wp:cNvGraphicFramePr/>
                <a:graphic xmlns:a="http://schemas.openxmlformats.org/drawingml/2006/main">
                  <a:graphicData uri="http://schemas.microsoft.com/office/word/2010/wordprocessingShape">
                    <wps:wsp>
                      <wps:cNvCnPr/>
                      <wps:spPr>
                        <a:xfrm>
                          <a:off x="0" y="0"/>
                          <a:ext cx="69659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6.75pt;margin-top:-0.85pt;height:0pt;width:54.85pt;z-index:-251165696;mso-width-relative:page;mso-height-relative:page;" filled="f" stroked="t" coordsize="21600,21600" o:allowincell="f" o:gfxdata="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jIttLXAAAACQEAAA8AAAAA&#10;AAAAAQAgAAAAIgAAAGRycy9kb3ducmV2LnhtbFBLAQIUABQAAAAIAIdO4kA4rdV83AEAAJcDAAAO&#10;AAAAAAAAAAEAIAAAACYBAABkcnMvZTJvRG9jLnhtbFBLBQYAAAAABgAGAFkBAAB0BQAAAAA=&#10;">
                <v:fill on="f" focussize="0,0"/>
                <v:stroke weight="0.6pt" color="#000000" joinstyle="round"/>
                <v:imagedata o:title=""/>
                <o:lock v:ext="edit" aspectratio="f"/>
              </v:line>
            </w:pict>
          </mc:Fallback>
        </mc:AlternateContent>
      </w:r>
      <w:r>
        <w:rPr>
          <w:rFonts w:hint="eastAsia" w:ascii="仿宋" w:hAnsi="仿宋" w:eastAsia="仿宋" w:cs="仿宋"/>
          <w:sz w:val="24"/>
        </w:rPr>
        <mc:AlternateContent>
          <mc:Choice Requires="wps">
            <w:drawing>
              <wp:anchor distT="0" distB="0" distL="114300" distR="114300" simplePos="0" relativeHeight="252151808" behindDoc="1" locked="0" layoutInCell="0" allowOverlap="1">
                <wp:simplePos x="0" y="0"/>
                <wp:positionH relativeFrom="column">
                  <wp:posOffset>2976245</wp:posOffset>
                </wp:positionH>
                <wp:positionV relativeFrom="paragraph">
                  <wp:posOffset>-10795</wp:posOffset>
                </wp:positionV>
                <wp:extent cx="386080" cy="0"/>
                <wp:effectExtent l="0" t="0" r="0" b="0"/>
                <wp:wrapNone/>
                <wp:docPr id="70" name="直接连接符 70"/>
                <wp:cNvGraphicFramePr/>
                <a:graphic xmlns:a="http://schemas.openxmlformats.org/drawingml/2006/main">
                  <a:graphicData uri="http://schemas.microsoft.com/office/word/2010/wordprocessingShape">
                    <wps:wsp>
                      <wps:cNvCnPr/>
                      <wps:spPr>
                        <a:xfrm>
                          <a:off x="0" y="0"/>
                          <a:ext cx="38608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4.35pt;margin-top:-0.85pt;height:0pt;width:30.4pt;z-index:-251164672;mso-width-relative:page;mso-height-relative:page;" filled="f" stroked="t" coordsize="21600,21600" o:allowincell="f" o:gfxdata="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1w8vjXAAAACQEAAA8AAAAAAAAA&#10;AQAgAAAAIgAAAGRycy9kb3ducmV2LnhtbFBLAQIUABQAAAAIAIdO4kCQeqU82QEAAJcDAAAOAAAA&#10;AAAAAAEAIAAAACYBAABkcnMvZTJvRG9jLnhtbFBLBQYAAAAABgAGAFkBAABxBQAAAAA=&#10;">
                <v:fill on="f" focussize="0,0"/>
                <v:stroke weight="0.6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工合同具有同等的法律效力，经合同双方签署后立即生效。</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sz w:val="24"/>
        </w:rPr>
      </w:pPr>
      <w:r>
        <w:rPr>
          <w:rFonts w:hint="eastAsia" w:ascii="仿宋" w:hAnsi="仿宋" w:eastAsia="仿宋" w:cs="仿宋"/>
          <w:sz w:val="24"/>
        </w:rPr>
        <w:t>8.  本合同一式四份，由发包人和承包人各执一份，送交发包人和承包人的监</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督单位各一份。</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tbl>
      <w:tblPr>
        <w:tblStyle w:val="13"/>
        <w:tblW w:w="8800" w:type="dxa"/>
        <w:tblInd w:w="0" w:type="dxa"/>
        <w:tblLayout w:type="fixed"/>
        <w:tblCellMar>
          <w:top w:w="0" w:type="dxa"/>
          <w:left w:w="0" w:type="dxa"/>
          <w:bottom w:w="0" w:type="dxa"/>
          <w:right w:w="0" w:type="dxa"/>
        </w:tblCellMar>
      </w:tblPr>
      <w:tblGrid>
        <w:gridCol w:w="840"/>
        <w:gridCol w:w="120"/>
        <w:gridCol w:w="960"/>
        <w:gridCol w:w="240"/>
        <w:gridCol w:w="580"/>
        <w:gridCol w:w="20"/>
        <w:gridCol w:w="240"/>
        <w:gridCol w:w="80"/>
        <w:gridCol w:w="240"/>
        <w:gridCol w:w="280"/>
        <w:gridCol w:w="740"/>
        <w:gridCol w:w="1180"/>
        <w:gridCol w:w="180"/>
        <w:gridCol w:w="900"/>
        <w:gridCol w:w="240"/>
        <w:gridCol w:w="540"/>
        <w:gridCol w:w="60"/>
        <w:gridCol w:w="80"/>
        <w:gridCol w:w="160"/>
        <w:gridCol w:w="200"/>
        <w:gridCol w:w="400"/>
        <w:gridCol w:w="520"/>
      </w:tblGrid>
      <w:tr>
        <w:tblPrEx>
          <w:tblLayout w:type="fixed"/>
          <w:tblCellMar>
            <w:top w:w="0" w:type="dxa"/>
            <w:left w:w="0" w:type="dxa"/>
            <w:bottom w:w="0" w:type="dxa"/>
            <w:right w:w="0" w:type="dxa"/>
          </w:tblCellMar>
        </w:tblPrEx>
        <w:trPr>
          <w:trHeight w:val="274" w:hRule="atLeast"/>
        </w:trPr>
        <w:tc>
          <w:tcPr>
            <w:tcW w:w="2740" w:type="dxa"/>
            <w:gridSpan w:val="5"/>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发包人：</w:t>
            </w:r>
          </w:p>
        </w:tc>
        <w:tc>
          <w:tcPr>
            <w:tcW w:w="1600" w:type="dxa"/>
            <w:gridSpan w:val="6"/>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（盖单位章）</w:t>
            </w:r>
          </w:p>
        </w:tc>
        <w:tc>
          <w:tcPr>
            <w:tcW w:w="2500" w:type="dxa"/>
            <w:gridSpan w:val="4"/>
            <w:noWrap w:val="0"/>
            <w:vAlign w:val="bottom"/>
          </w:tcPr>
          <w:p>
            <w:pPr>
              <w:keepNext w:val="0"/>
              <w:keepLines w:val="0"/>
              <w:pageBreakBefore w:val="0"/>
              <w:widowControl/>
              <w:kinsoku/>
              <w:wordWrap/>
              <w:overflowPunct/>
              <w:topLinePunct w:val="0"/>
              <w:autoSpaceDE/>
              <w:autoSpaceDN/>
              <w:bidi w:val="0"/>
              <w:spacing w:line="240" w:lineRule="auto"/>
              <w:ind w:left="420"/>
              <w:textAlignment w:val="auto"/>
              <w:rPr>
                <w:rFonts w:hint="eastAsia" w:ascii="仿宋" w:hAnsi="仿宋" w:eastAsia="仿宋" w:cs="仿宋"/>
                <w:sz w:val="24"/>
              </w:rPr>
            </w:pPr>
            <w:r>
              <w:rPr>
                <w:rFonts w:hint="eastAsia" w:ascii="仿宋" w:hAnsi="仿宋" w:eastAsia="仿宋" w:cs="仿宋"/>
                <w:sz w:val="24"/>
              </w:rPr>
              <w:t>承包人：</w:t>
            </w:r>
          </w:p>
        </w:tc>
        <w:tc>
          <w:tcPr>
            <w:tcW w:w="1960" w:type="dxa"/>
            <w:gridSpan w:val="7"/>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sz w:val="24"/>
              </w:rPr>
            </w:pPr>
            <w:r>
              <w:rPr>
                <w:rFonts w:hint="eastAsia" w:ascii="仿宋" w:hAnsi="仿宋" w:eastAsia="仿宋" w:cs="仿宋"/>
                <w:sz w:val="24"/>
              </w:rPr>
              <w:t>（盖单位章）</w:t>
            </w:r>
          </w:p>
        </w:tc>
      </w:tr>
      <w:tr>
        <w:tblPrEx>
          <w:tblLayout w:type="fixed"/>
          <w:tblCellMar>
            <w:top w:w="0" w:type="dxa"/>
            <w:left w:w="0" w:type="dxa"/>
            <w:bottom w:w="0" w:type="dxa"/>
            <w:right w:w="0" w:type="dxa"/>
          </w:tblCellMar>
        </w:tblPrEx>
        <w:trPr>
          <w:trHeight w:val="20" w:hRule="atLeast"/>
        </w:trPr>
        <w:tc>
          <w:tcPr>
            <w:tcW w:w="8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8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422" w:hRule="atLeast"/>
        </w:trPr>
        <w:tc>
          <w:tcPr>
            <w:tcW w:w="4340" w:type="dxa"/>
            <w:gridSpan w:val="11"/>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法定代表人或其委托代理人： （签字）</w:t>
            </w:r>
          </w:p>
        </w:tc>
        <w:tc>
          <w:tcPr>
            <w:tcW w:w="3340" w:type="dxa"/>
            <w:gridSpan w:val="8"/>
            <w:noWrap w:val="0"/>
            <w:vAlign w:val="bottom"/>
          </w:tcPr>
          <w:p>
            <w:pPr>
              <w:keepNext w:val="0"/>
              <w:keepLines w:val="0"/>
              <w:pageBreakBefore w:val="0"/>
              <w:widowControl/>
              <w:kinsoku/>
              <w:wordWrap/>
              <w:overflowPunct/>
              <w:topLinePunct w:val="0"/>
              <w:autoSpaceDE/>
              <w:autoSpaceDN/>
              <w:bidi w:val="0"/>
              <w:spacing w:line="240" w:lineRule="auto"/>
              <w:ind w:left="100"/>
              <w:textAlignment w:val="auto"/>
              <w:rPr>
                <w:rFonts w:hint="eastAsia" w:ascii="仿宋" w:hAnsi="仿宋" w:eastAsia="仿宋" w:cs="仿宋"/>
                <w:sz w:val="24"/>
              </w:rPr>
            </w:pPr>
            <w:r>
              <w:rPr>
                <w:rFonts w:hint="eastAsia" w:ascii="仿宋" w:hAnsi="仿宋" w:eastAsia="仿宋" w:cs="仿宋"/>
                <w:sz w:val="24"/>
              </w:rPr>
              <w:t>法定代表人或其委托代理人：</w:t>
            </w:r>
          </w:p>
        </w:tc>
        <w:tc>
          <w:tcPr>
            <w:tcW w:w="1120" w:type="dxa"/>
            <w:gridSpan w:val="3"/>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sz w:val="24"/>
              </w:rPr>
            </w:pPr>
            <w:r>
              <w:rPr>
                <w:rFonts w:hint="eastAsia" w:ascii="仿宋" w:hAnsi="仿宋" w:eastAsia="仿宋" w:cs="仿宋"/>
                <w:sz w:val="24"/>
              </w:rPr>
              <w:t>（签字）</w:t>
            </w:r>
          </w:p>
        </w:tc>
      </w:tr>
      <w:tr>
        <w:tblPrEx>
          <w:tblLayout w:type="fixed"/>
          <w:tblCellMar>
            <w:top w:w="0" w:type="dxa"/>
            <w:left w:w="0" w:type="dxa"/>
            <w:bottom w:w="0" w:type="dxa"/>
            <w:right w:w="0" w:type="dxa"/>
          </w:tblCellMar>
        </w:tblPrEx>
        <w:trPr>
          <w:trHeight w:val="20" w:hRule="atLeast"/>
        </w:trPr>
        <w:tc>
          <w:tcPr>
            <w:tcW w:w="8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419" w:hRule="atLeast"/>
        </w:trPr>
        <w:tc>
          <w:tcPr>
            <w:tcW w:w="8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9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年</w:t>
            </w:r>
          </w:p>
        </w:tc>
        <w:tc>
          <w:tcPr>
            <w:tcW w:w="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月</w:t>
            </w: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7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日</w:t>
            </w:r>
          </w:p>
        </w:tc>
        <w:tc>
          <w:tcPr>
            <w:tcW w:w="1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9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9"/>
                <w:sz w:val="24"/>
              </w:rPr>
            </w:pPr>
            <w:r>
              <w:rPr>
                <w:rFonts w:hint="eastAsia" w:ascii="仿宋" w:hAnsi="仿宋" w:eastAsia="仿宋" w:cs="仿宋"/>
                <w:w w:val="99"/>
                <w:sz w:val="24"/>
              </w:rPr>
              <w:t>年</w:t>
            </w:r>
          </w:p>
        </w:tc>
        <w:tc>
          <w:tcPr>
            <w:tcW w:w="5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1"/>
                <w:sz w:val="24"/>
              </w:rPr>
            </w:pPr>
            <w:r>
              <w:rPr>
                <w:rFonts w:hint="eastAsia" w:ascii="仿宋" w:hAnsi="仿宋" w:eastAsia="仿宋" w:cs="仿宋"/>
                <w:w w:val="91"/>
                <w:sz w:val="24"/>
              </w:rPr>
              <w:t>月</w:t>
            </w:r>
          </w:p>
        </w:tc>
        <w:tc>
          <w:tcPr>
            <w:tcW w:w="2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20" w:type="dxa"/>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1"/>
                <w:sz w:val="24"/>
              </w:rPr>
            </w:pPr>
            <w:r>
              <w:rPr>
                <w:rFonts w:hint="eastAsia" w:ascii="仿宋" w:hAnsi="仿宋" w:eastAsia="仿宋" w:cs="仿宋"/>
                <w:w w:val="91"/>
                <w:sz w:val="24"/>
              </w:rPr>
              <w:t>日</w:t>
            </w:r>
          </w:p>
        </w:tc>
      </w:tr>
      <w:tr>
        <w:tblPrEx>
          <w:tblLayout w:type="fixed"/>
          <w:tblCellMar>
            <w:top w:w="0" w:type="dxa"/>
            <w:left w:w="0" w:type="dxa"/>
            <w:bottom w:w="0" w:type="dxa"/>
            <w:right w:w="0" w:type="dxa"/>
          </w:tblCellMar>
        </w:tblPrEx>
        <w:trPr>
          <w:trHeight w:val="20" w:hRule="atLeast"/>
        </w:trPr>
        <w:tc>
          <w:tcPr>
            <w:tcW w:w="8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8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gridSpan w:val="3"/>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1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8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842" w:hRule="atLeast"/>
        </w:trPr>
        <w:tc>
          <w:tcPr>
            <w:tcW w:w="4340" w:type="dxa"/>
            <w:gridSpan w:val="11"/>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9"/>
                <w:sz w:val="24"/>
                <w:u w:val="single"/>
              </w:rPr>
            </w:pPr>
            <w:r>
              <w:rPr>
                <w:rFonts w:hint="eastAsia" w:ascii="仿宋" w:hAnsi="仿宋" w:eastAsia="仿宋" w:cs="仿宋"/>
                <w:w w:val="99"/>
                <w:sz w:val="24"/>
              </w:rPr>
              <w:t>发包人监督单位：</w:t>
            </w:r>
            <w:r>
              <w:rPr>
                <w:rFonts w:hint="eastAsia" w:ascii="仿宋" w:hAnsi="仿宋" w:eastAsia="仿宋" w:cs="仿宋"/>
                <w:w w:val="99"/>
                <w:sz w:val="24"/>
                <w:u w:val="single"/>
              </w:rPr>
              <w:t>（全称）（盖单位章）</w:t>
            </w:r>
          </w:p>
        </w:tc>
        <w:tc>
          <w:tcPr>
            <w:tcW w:w="4460" w:type="dxa"/>
            <w:gridSpan w:val="11"/>
            <w:noWrap w:val="0"/>
            <w:vAlign w:val="bottom"/>
          </w:tcPr>
          <w:p>
            <w:pPr>
              <w:keepNext w:val="0"/>
              <w:keepLines w:val="0"/>
              <w:pageBreakBefore w:val="0"/>
              <w:widowControl/>
              <w:kinsoku/>
              <w:wordWrap/>
              <w:overflowPunct/>
              <w:topLinePunct w:val="0"/>
              <w:autoSpaceDE/>
              <w:autoSpaceDN/>
              <w:bidi w:val="0"/>
              <w:spacing w:line="240" w:lineRule="auto"/>
              <w:ind w:left="180"/>
              <w:jc w:val="center"/>
              <w:textAlignment w:val="auto"/>
              <w:rPr>
                <w:rFonts w:hint="eastAsia" w:ascii="仿宋" w:hAnsi="仿宋" w:eastAsia="仿宋" w:cs="仿宋"/>
                <w:w w:val="94"/>
                <w:sz w:val="24"/>
                <w:u w:val="single"/>
              </w:rPr>
            </w:pPr>
            <w:r>
              <w:rPr>
                <w:rFonts w:hint="eastAsia" w:ascii="仿宋" w:hAnsi="仿宋" w:eastAsia="仿宋" w:cs="仿宋"/>
                <w:w w:val="94"/>
                <w:sz w:val="24"/>
              </w:rPr>
              <w:t>承包人监督单位：</w:t>
            </w:r>
            <w:r>
              <w:rPr>
                <w:rFonts w:hint="eastAsia" w:ascii="仿宋" w:hAnsi="仿宋" w:eastAsia="仿宋" w:cs="仿宋"/>
                <w:w w:val="94"/>
                <w:sz w:val="24"/>
                <w:u w:val="single"/>
              </w:rPr>
              <w:t>（全称）（盖单位章）</w:t>
            </w:r>
          </w:p>
        </w:tc>
      </w:tr>
    </w:tbl>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4"/>
          <w:sz w:val="24"/>
          <w:u w:val="single"/>
        </w:rPr>
        <w:sectPr>
          <w:pgSz w:w="11900" w:h="16841"/>
          <w:pgMar w:top="851" w:right="1460" w:bottom="579" w:left="1640" w:header="567" w:footer="567" w:gutter="0"/>
          <w:cols w:space="720" w:num="1"/>
          <w:docGrid w:linePitch="360" w:charSpace="0"/>
        </w:sect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sectPr>
          <w:type w:val="continuous"/>
          <w:pgSz w:w="11900" w:h="16841"/>
          <w:pgMar w:top="851" w:right="9980" w:bottom="579" w:left="1640" w:header="0" w:footer="0" w:gutter="0"/>
          <w:cols w:space="720" w:num="1"/>
          <w:docGrid w:linePitch="360" w:charSpace="0"/>
        </w:sect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bookmarkStart w:id="82" w:name="page165"/>
      <w:bookmarkEnd w:id="82"/>
      <w:r>
        <w:rPr>
          <w:rFonts w:hint="eastAsia" w:ascii="仿宋" w:hAnsi="仿宋" w:eastAsia="仿宋" w:cs="仿宋"/>
          <w:sz w:val="24"/>
        </w:rPr>
        <w:t>附件三 安全生产合同</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3500"/>
        <w:textAlignment w:val="auto"/>
        <w:rPr>
          <w:rFonts w:hint="eastAsia" w:ascii="仿宋" w:hAnsi="仿宋" w:eastAsia="仿宋" w:cs="仿宋"/>
          <w:sz w:val="28"/>
        </w:rPr>
      </w:pPr>
      <w:r>
        <w:rPr>
          <w:rFonts w:hint="eastAsia" w:ascii="仿宋" w:hAnsi="仿宋" w:eastAsia="仿宋" w:cs="仿宋"/>
          <w:sz w:val="28"/>
        </w:rPr>
        <w:t>安全生产合同</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tbl>
      <w:tblPr>
        <w:tblStyle w:val="13"/>
        <w:tblW w:w="8780" w:type="dxa"/>
        <w:tblInd w:w="0" w:type="dxa"/>
        <w:tblLayout w:type="fixed"/>
        <w:tblCellMar>
          <w:top w:w="0" w:type="dxa"/>
          <w:left w:w="0" w:type="dxa"/>
          <w:bottom w:w="0" w:type="dxa"/>
          <w:right w:w="0" w:type="dxa"/>
        </w:tblCellMar>
      </w:tblPr>
      <w:tblGrid>
        <w:gridCol w:w="1100"/>
        <w:gridCol w:w="1560"/>
        <w:gridCol w:w="1440"/>
        <w:gridCol w:w="180"/>
        <w:gridCol w:w="420"/>
        <w:gridCol w:w="1000"/>
        <w:gridCol w:w="1200"/>
        <w:gridCol w:w="1320"/>
        <w:gridCol w:w="560"/>
      </w:tblGrid>
      <w:tr>
        <w:tblPrEx>
          <w:tblLayout w:type="fixed"/>
          <w:tblCellMar>
            <w:top w:w="0" w:type="dxa"/>
            <w:left w:w="0" w:type="dxa"/>
            <w:bottom w:w="0" w:type="dxa"/>
            <w:right w:w="0" w:type="dxa"/>
          </w:tblCellMar>
        </w:tblPrEx>
        <w:trPr>
          <w:trHeight w:val="274" w:hRule="atLeast"/>
        </w:trPr>
        <w:tc>
          <w:tcPr>
            <w:tcW w:w="1100" w:type="dxa"/>
            <w:noWrap w:val="0"/>
            <w:vAlign w:val="bottom"/>
          </w:tcPr>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w w:val="95"/>
                <w:sz w:val="24"/>
              </w:rPr>
            </w:pPr>
            <w:r>
              <w:rPr>
                <w:rFonts w:hint="eastAsia" w:ascii="仿宋" w:hAnsi="仿宋" w:eastAsia="仿宋" w:cs="仿宋"/>
                <w:w w:val="95"/>
                <w:sz w:val="24"/>
              </w:rPr>
              <w:t>为在</w:t>
            </w:r>
          </w:p>
        </w:tc>
        <w:tc>
          <w:tcPr>
            <w:tcW w:w="15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16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（项目名称）</w:t>
            </w:r>
          </w:p>
        </w:tc>
        <w:tc>
          <w:tcPr>
            <w:tcW w:w="4500" w:type="dxa"/>
            <w:gridSpan w:val="5"/>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sz w:val="24"/>
              </w:rPr>
            </w:pPr>
            <w:r>
              <w:rPr>
                <w:rFonts w:hint="eastAsia" w:ascii="仿宋" w:hAnsi="仿宋" w:eastAsia="仿宋" w:cs="仿宋"/>
                <w:sz w:val="24"/>
              </w:rPr>
              <w:t>标段施工合同的实施过程中创造安全、</w:t>
            </w:r>
          </w:p>
        </w:tc>
      </w:tr>
      <w:tr>
        <w:tblPrEx>
          <w:tblLayout w:type="fixed"/>
          <w:tblCellMar>
            <w:top w:w="0" w:type="dxa"/>
            <w:left w:w="0" w:type="dxa"/>
            <w:bottom w:w="0" w:type="dxa"/>
            <w:right w:w="0" w:type="dxa"/>
          </w:tblCellMar>
        </w:tblPrEx>
        <w:trPr>
          <w:trHeight w:val="20" w:hRule="atLeast"/>
        </w:trPr>
        <w:tc>
          <w:tcPr>
            <w:tcW w:w="11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5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3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69" w:hRule="atLeast"/>
        </w:trPr>
        <w:tc>
          <w:tcPr>
            <w:tcW w:w="6900" w:type="dxa"/>
            <w:gridSpan w:val="7"/>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8"/>
                <w:sz w:val="24"/>
              </w:rPr>
            </w:pPr>
            <w:r>
              <w:rPr>
                <w:rFonts w:hint="eastAsia" w:ascii="仿宋" w:hAnsi="仿宋" w:eastAsia="仿宋" w:cs="仿宋"/>
                <w:w w:val="98"/>
                <w:sz w:val="24"/>
              </w:rPr>
              <w:t>高效的施工环境，切实搞好本项目的安全管理工作，本项目发包人</w:t>
            </w:r>
          </w:p>
        </w:tc>
        <w:tc>
          <w:tcPr>
            <w:tcW w:w="1880" w:type="dxa"/>
            <w:gridSpan w:val="2"/>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sz w:val="24"/>
              </w:rPr>
            </w:pPr>
            <w:r>
              <w:rPr>
                <w:rFonts w:hint="eastAsia" w:ascii="仿宋" w:hAnsi="仿宋" w:eastAsia="仿宋" w:cs="仿宋"/>
                <w:sz w:val="24"/>
              </w:rPr>
              <w:t>（发</w:t>
            </w:r>
          </w:p>
        </w:tc>
      </w:tr>
      <w:tr>
        <w:tblPrEx>
          <w:tblLayout w:type="fixed"/>
          <w:tblCellMar>
            <w:top w:w="0" w:type="dxa"/>
            <w:left w:w="0" w:type="dxa"/>
            <w:bottom w:w="0" w:type="dxa"/>
            <w:right w:w="0" w:type="dxa"/>
          </w:tblCellMar>
        </w:tblPrEx>
        <w:trPr>
          <w:trHeight w:val="20" w:hRule="atLeast"/>
        </w:trPr>
        <w:tc>
          <w:tcPr>
            <w:tcW w:w="4280" w:type="dxa"/>
            <w:gridSpan w:val="4"/>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3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71" w:hRule="atLeast"/>
        </w:trPr>
        <w:tc>
          <w:tcPr>
            <w:tcW w:w="4280" w:type="dxa"/>
            <w:gridSpan w:val="4"/>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9"/>
                <w:sz w:val="24"/>
              </w:rPr>
            </w:pPr>
            <w:r>
              <w:rPr>
                <w:rFonts w:hint="eastAsia" w:ascii="仿宋" w:hAnsi="仿宋" w:eastAsia="仿宋" w:cs="仿宋"/>
                <w:w w:val="99"/>
                <w:sz w:val="24"/>
              </w:rPr>
              <w:t>包人名称，以下简称“发包人”）与承包人</w:t>
            </w:r>
          </w:p>
        </w:tc>
        <w:tc>
          <w:tcPr>
            <w:tcW w:w="4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080" w:type="dxa"/>
            <w:gridSpan w:val="3"/>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9"/>
                <w:sz w:val="24"/>
              </w:rPr>
            </w:pPr>
            <w:r>
              <w:rPr>
                <w:rFonts w:hint="eastAsia" w:ascii="仿宋" w:hAnsi="仿宋" w:eastAsia="仿宋" w:cs="仿宋"/>
                <w:w w:val="99"/>
                <w:sz w:val="24"/>
              </w:rPr>
              <w:t>（承包人名称，以下简称“承</w:t>
            </w:r>
          </w:p>
        </w:tc>
      </w:tr>
    </w:tbl>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包人”）特此签订安全生产合同。</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sz w:val="24"/>
        </w:rPr>
      </w:pPr>
      <w:r>
        <w:rPr>
          <w:rFonts w:hint="eastAsia" w:ascii="仿宋" w:hAnsi="仿宋" w:eastAsia="仿宋" w:cs="仿宋"/>
          <w:sz w:val="24"/>
        </w:rPr>
        <w:t>1.发包人职责</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（1）严格遵守国家有关安全生产的法律法规，认真执行工程承包合同中的有关安全要求。</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（2）按照“安全第一、预防为主、综合治理”和坚持“管生产必须管安全”的原则进行安全生产管理，做到生产与安全工作同时计划、布置、检查、总结和评比。</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（3）重要的安全设施必须坚持与主体工程“三同时”的原则，即：同时设计、审批，同时施工，同时验收，投入使用。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sz w:val="24"/>
        </w:rPr>
      </w:pPr>
      <w:r>
        <w:rPr>
          <w:rFonts w:hint="eastAsia" w:ascii="仿宋" w:hAnsi="仿宋" w:eastAsia="仿宋" w:cs="仿宋"/>
          <w:sz w:val="24"/>
        </w:rPr>
        <w:t>（4）定期召开安全生产调度会，及时传达中央及地方有关安全生产的精神。（5）组织对承包人施工现场进行安全生产检查，监督承包人及时处理发现的</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各种安全隐患。</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sz w:val="24"/>
        </w:rPr>
      </w:pPr>
      <w:r>
        <w:rPr>
          <w:rFonts w:hint="eastAsia" w:ascii="仿宋" w:hAnsi="仿宋" w:eastAsia="仿宋" w:cs="仿宋"/>
          <w:sz w:val="24"/>
        </w:rPr>
        <w:t>2.承包人职责</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textAlignment w:val="auto"/>
        <w:rPr>
          <w:rFonts w:hint="eastAsia" w:ascii="仿宋" w:hAnsi="仿宋" w:eastAsia="仿宋" w:cs="仿宋"/>
          <w:sz w:val="23"/>
        </w:rPr>
      </w:pPr>
      <w:r>
        <w:rPr>
          <w:rFonts w:hint="eastAsia" w:ascii="仿宋" w:hAnsi="仿宋" w:eastAsia="仿宋" w:cs="仿宋"/>
          <w:sz w:val="23"/>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sz w:val="24"/>
        </w:rPr>
      </w:pPr>
      <w:r>
        <w:rPr>
          <w:rFonts w:hint="eastAsia" w:ascii="仿宋" w:hAnsi="仿宋" w:eastAsia="仿宋" w:cs="仿宋"/>
          <w:sz w:val="24"/>
        </w:rPr>
        <w:t>（4）承包人在任何时候都应采取各种合理的预防措施，防止其员工发生任何</w:t>
      </w:r>
      <w:bookmarkStart w:id="83" w:name="page166"/>
      <w:bookmarkEnd w:id="83"/>
      <w:r>
        <w:rPr>
          <w:rFonts w:hint="eastAsia" w:ascii="仿宋" w:hAnsi="仿宋" w:eastAsia="仿宋" w:cs="仿宋"/>
          <w:sz w:val="24"/>
        </w:rPr>
        <w:t>违法、违禁、暴力或妨碍治安的行为。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textAlignment w:val="auto"/>
        <w:rPr>
          <w:rFonts w:hint="eastAsia" w:ascii="仿宋" w:hAnsi="仿宋" w:eastAsia="仿宋" w:cs="仿宋"/>
          <w:sz w:val="24"/>
        </w:rPr>
      </w:pPr>
      <w:r>
        <w:rPr>
          <w:rFonts w:hint="eastAsia" w:ascii="仿宋" w:hAnsi="仿宋" w:eastAsia="仿宋" w:cs="仿宋"/>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（7）操作人员上岗，必须按规定穿戴防护用品。施工负责人和安全检查员应随时检查劳动防护用品的穿戴情况，不按规定穿戴防护用品的人员不得上岗。</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（8）所有施工机具设备和高空作业的设备均应定期检查，并有安全员的签字记录，保证其经常处于完好状态；不合格的机具、设备和劳动保护用品严禁使用。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（9）施工中采用新技术、新工艺、新设备、新材料时，必须制定相应的安全技术措施，施工现场必须具有相关的安全标志牌。</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3"/>
        </w:rPr>
      </w:pPr>
      <w:r>
        <w:rPr>
          <w:rFonts w:hint="eastAsia" w:ascii="仿宋" w:hAnsi="仿宋" w:eastAsia="仿宋" w:cs="仿宋"/>
          <w:sz w:val="23"/>
        </w:rPr>
        <w:t>（10）承包人必须按照本工程项目特点，组织制定本工程实施中的生产安全事故应急救援预案；如果发生安全事故，应按照《国务院关于特大安全事故行政责任</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jc w:val="both"/>
        <w:textAlignment w:val="auto"/>
        <w:rPr>
          <w:rFonts w:hint="eastAsia" w:ascii="仿宋" w:hAnsi="仿宋" w:eastAsia="仿宋" w:cs="仿宋"/>
          <w:sz w:val="24"/>
        </w:rPr>
      </w:pPr>
      <w:r>
        <w:rPr>
          <w:rFonts w:hint="eastAsia" w:ascii="仿宋" w:hAnsi="仿宋" w:eastAsia="仿宋" w:cs="仿宋"/>
          <w:sz w:val="24"/>
        </w:rPr>
        <w:t>追究的规定》以及其他有关规定，及时上报有关部门，并坚持“四不放过”的原则，严肃处理相关责任人。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617"/>
        <w:jc w:val="both"/>
        <w:textAlignment w:val="auto"/>
        <w:rPr>
          <w:rFonts w:hint="eastAsia" w:ascii="仿宋" w:hAnsi="仿宋" w:eastAsia="仿宋" w:cs="仿宋"/>
          <w:sz w:val="24"/>
        </w:rPr>
      </w:pPr>
      <w:r>
        <w:rPr>
          <w:rFonts w:hint="eastAsia" w:ascii="仿宋" w:hAnsi="仿宋" w:eastAsia="仿宋" w:cs="仿宋"/>
          <w:sz w:val="24"/>
        </w:rPr>
        <w:t>（11）安全生产费用按照《公路水运工程安全生产监督管理办法》的相关规定使用和管理。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sz w:val="24"/>
        </w:rPr>
      </w:pPr>
      <w:r>
        <w:rPr>
          <w:rFonts w:hint="eastAsia" w:ascii="仿宋" w:hAnsi="仿宋" w:eastAsia="仿宋" w:cs="仿宋"/>
          <w:sz w:val="24"/>
        </w:rPr>
        <w:t>3.违约责任</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sz w:val="24"/>
        </w:rPr>
      </w:pPr>
      <w:r>
        <w:rPr>
          <w:rFonts w:hint="eastAsia" w:ascii="仿宋" w:hAnsi="仿宋" w:eastAsia="仿宋" w:cs="仿宋"/>
          <w:sz w:val="24"/>
        </w:rPr>
        <w:t>如因发包人或承包人违约造成安全事故，将依法追究责任。</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78"/>
        </w:numPr>
        <w:tabs>
          <w:tab w:val="left" w:pos="919"/>
        </w:tabs>
        <w:kinsoku/>
        <w:wordWrap/>
        <w:overflowPunct/>
        <w:topLinePunct w:val="0"/>
        <w:autoSpaceDE/>
        <w:autoSpaceDN/>
        <w:bidi w:val="0"/>
        <w:spacing w:line="240" w:lineRule="auto"/>
        <w:ind w:firstLine="621"/>
        <w:jc w:val="both"/>
        <w:textAlignment w:val="auto"/>
        <w:rPr>
          <w:rFonts w:hint="eastAsia" w:ascii="仿宋" w:hAnsi="仿宋" w:eastAsia="仿宋" w:cs="仿宋"/>
          <w:sz w:val="24"/>
        </w:rPr>
      </w:pPr>
      <w:r>
        <w:rPr>
          <w:rFonts w:hint="eastAsia" w:ascii="仿宋" w:hAnsi="仿宋" w:eastAsia="仿宋" w:cs="仿宋"/>
          <w:sz w:val="24"/>
        </w:rPr>
        <w:t>本合同由双方法定代表人或其授权的代理人签署并加盖单位章后生效，全部工程竣工验收后失效。</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78"/>
        </w:numPr>
        <w:tabs>
          <w:tab w:val="left" w:pos="919"/>
        </w:tabs>
        <w:kinsoku/>
        <w:wordWrap/>
        <w:overflowPunct/>
        <w:topLinePunct w:val="0"/>
        <w:autoSpaceDE/>
        <w:autoSpaceDN/>
        <w:bidi w:val="0"/>
        <w:spacing w:line="240" w:lineRule="auto"/>
        <w:ind w:firstLine="621"/>
        <w:jc w:val="both"/>
        <w:textAlignment w:val="auto"/>
        <w:rPr>
          <w:rFonts w:hint="eastAsia" w:ascii="仿宋" w:hAnsi="仿宋" w:eastAsia="仿宋" w:cs="仿宋"/>
          <w:sz w:val="24"/>
        </w:rPr>
      </w:pPr>
      <w:r>
        <w:rPr>
          <w:rFonts w:hint="eastAsia" w:ascii="仿宋" w:hAnsi="仿宋" w:eastAsia="仿宋" w:cs="仿宋"/>
          <w:sz w:val="24"/>
        </w:rPr>
        <w:t>本合同正本二份、副本____份，合同双方各执正本一份，副本____份，当正本与副本的内容不一致时，以正本为准。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tabs>
          <w:tab w:val="left" w:pos="2720"/>
          <w:tab w:val="left" w:pos="4740"/>
          <w:tab w:val="left" w:pos="7340"/>
        </w:tabs>
        <w:kinsoku/>
        <w:wordWrap/>
        <w:overflowPunct/>
        <w:topLinePunct w:val="0"/>
        <w:autoSpaceDE/>
        <w:autoSpaceDN/>
        <w:bidi w:val="0"/>
        <w:spacing w:line="240" w:lineRule="auto"/>
        <w:textAlignment w:val="auto"/>
        <w:rPr>
          <w:rFonts w:hint="eastAsia" w:ascii="仿宋" w:hAnsi="仿宋" w:eastAsia="仿宋" w:cs="仿宋"/>
          <w:sz w:val="23"/>
        </w:rPr>
      </w:pPr>
      <w:r>
        <w:rPr>
          <w:rFonts w:hint="eastAsia" w:ascii="仿宋" w:hAnsi="仿宋" w:eastAsia="仿宋" w:cs="仿宋"/>
          <w:sz w:val="24"/>
        </w:rPr>
        <w:t>发包人：</w:t>
      </w:r>
      <w:r>
        <w:rPr>
          <w:rFonts w:hint="eastAsia" w:ascii="仿宋" w:hAnsi="仿宋" w:eastAsia="仿宋" w:cs="仿宋"/>
        </w:rPr>
        <w:tab/>
      </w:r>
      <w:r>
        <w:rPr>
          <w:rFonts w:hint="eastAsia" w:ascii="仿宋" w:hAnsi="仿宋" w:eastAsia="仿宋" w:cs="仿宋"/>
          <w:sz w:val="24"/>
        </w:rPr>
        <w:t>（盖单位章）</w:t>
      </w:r>
      <w:r>
        <w:rPr>
          <w:rFonts w:hint="eastAsia" w:ascii="仿宋" w:hAnsi="仿宋" w:eastAsia="仿宋" w:cs="仿宋"/>
        </w:rPr>
        <w:tab/>
      </w:r>
      <w:r>
        <w:rPr>
          <w:rFonts w:hint="eastAsia" w:ascii="仿宋" w:hAnsi="仿宋" w:eastAsia="仿宋" w:cs="仿宋"/>
          <w:sz w:val="24"/>
        </w:rPr>
        <w:t>承包人：</w:t>
      </w:r>
      <w:r>
        <w:rPr>
          <w:rFonts w:hint="eastAsia" w:ascii="仿宋" w:hAnsi="仿宋" w:eastAsia="仿宋" w:cs="仿宋"/>
        </w:rPr>
        <w:tab/>
      </w:r>
      <w:r>
        <w:rPr>
          <w:rFonts w:hint="eastAsia" w:ascii="仿宋" w:hAnsi="仿宋" w:eastAsia="仿宋" w:cs="仿宋"/>
          <w:sz w:val="23"/>
        </w:rPr>
        <w:t>（盖单位章）</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r>
        <w:rPr>
          <w:rFonts w:hint="eastAsia" w:ascii="仿宋" w:hAnsi="仿宋" w:eastAsia="仿宋" w:cs="仿宋"/>
          <w:sz w:val="23"/>
        </w:rPr>
        <mc:AlternateContent>
          <mc:Choice Requires="wps">
            <w:drawing>
              <wp:anchor distT="0" distB="0" distL="114300" distR="114300" simplePos="0" relativeHeight="252152832" behindDoc="1" locked="0" layoutInCell="0" allowOverlap="1">
                <wp:simplePos x="0" y="0"/>
                <wp:positionH relativeFrom="column">
                  <wp:posOffset>601345</wp:posOffset>
                </wp:positionH>
                <wp:positionV relativeFrom="paragraph">
                  <wp:posOffset>0</wp:posOffset>
                </wp:positionV>
                <wp:extent cx="1143635" cy="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114363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35pt;margin-top:0pt;height:0pt;width:90.05pt;z-index:-251163648;mso-width-relative:page;mso-height-relative:page;" filled="f" stroked="t" coordsize="21600,21600" o:allowincell="f" o:gfxdata="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a5gItMAAAAEAQAADwAAAAAAAAAB&#10;ACAAAAAiAAAAZHJzL2Rvd25yZXYueG1sUEsBAhQAFAAAAAgAh07iQHSJ4L7cAQAAmAMAAA4AAAAA&#10;AAAAAQAgAAAAIgEAAGRycy9lMm9Eb2MueG1sUEsFBgAAAAAGAAYAWQEAAHAFAAAAAA==&#10;">
                <v:fill on="f" focussize="0,0"/>
                <v:stroke weight="0.6pt" color="#000000" joinstyle="round"/>
                <v:imagedata o:title=""/>
                <o:lock v:ext="edit" aspectratio="f"/>
              </v:line>
            </w:pict>
          </mc:Fallback>
        </mc:AlternateContent>
      </w:r>
      <w:r>
        <w:rPr>
          <w:rFonts w:hint="eastAsia" w:ascii="仿宋" w:hAnsi="仿宋" w:eastAsia="仿宋" w:cs="仿宋"/>
          <w:sz w:val="23"/>
        </w:rPr>
        <mc:AlternateContent>
          <mc:Choice Requires="wps">
            <w:drawing>
              <wp:anchor distT="0" distB="0" distL="114300" distR="114300" simplePos="0" relativeHeight="252153856" behindDoc="1" locked="0" layoutInCell="0" allowOverlap="1">
                <wp:simplePos x="0" y="0"/>
                <wp:positionH relativeFrom="column">
                  <wp:posOffset>3618230</wp:posOffset>
                </wp:positionH>
                <wp:positionV relativeFrom="paragraph">
                  <wp:posOffset>0</wp:posOffset>
                </wp:positionV>
                <wp:extent cx="1066800" cy="0"/>
                <wp:effectExtent l="0" t="0" r="0" b="0"/>
                <wp:wrapNone/>
                <wp:docPr id="81" name="直接连接符 81"/>
                <wp:cNvGraphicFramePr/>
                <a:graphic xmlns:a="http://schemas.openxmlformats.org/drawingml/2006/main">
                  <a:graphicData uri="http://schemas.microsoft.com/office/word/2010/wordprocessingShape">
                    <wps:wsp>
                      <wps:cNvCnPr/>
                      <wps:spPr>
                        <a:xfrm>
                          <a:off x="0" y="0"/>
                          <a:ext cx="10668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4.9pt;margin-top:0pt;height:0pt;width:84pt;z-index:-251162624;mso-width-relative:page;mso-height-relative:page;" filled="f" stroked="t" coordsize="21600,21600" o:allowincell="f" o:gfxdata="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T0xh3TAAAABQEAAA8AAAAAAAAAAQAg&#10;AAAAIgAAAGRycy9kb3ducmV2LnhtbFBLAQIUABQAAAAIAIdO4kDrXBPe2gEAAJgDAAAOAAAAAAAA&#10;AAEAIAAAACIBAABkcnMvZTJvRG9jLnhtbFBLBQYAAAAABgAGAFkBAABuBQAAAAA=&#10;">
                <v:fill on="f" focussize="0,0"/>
                <v:stroke weight="0.6pt" color="#000000" joinstyle="round"/>
                <v:imagedata o:title=""/>
                <o:lock v:ext="edit" aspectratio="f"/>
              </v:line>
            </w:pict>
          </mc:Fallback>
        </mc:AlternateContent>
      </w:r>
    </w:p>
    <w:p>
      <w:pPr>
        <w:keepNext w:val="0"/>
        <w:keepLines w:val="0"/>
        <w:pageBreakBefore w:val="0"/>
        <w:widowControl/>
        <w:tabs>
          <w:tab w:val="left" w:pos="3320"/>
          <w:tab w:val="left" w:pos="4500"/>
          <w:tab w:val="left" w:pos="7820"/>
        </w:tabs>
        <w:kinsoku/>
        <w:wordWrap/>
        <w:overflowPunct/>
        <w:topLinePunct w:val="0"/>
        <w:autoSpaceDE/>
        <w:autoSpaceDN/>
        <w:bidi w:val="0"/>
        <w:spacing w:line="240" w:lineRule="auto"/>
        <w:textAlignment w:val="auto"/>
        <w:rPr>
          <w:rFonts w:hint="eastAsia" w:ascii="仿宋" w:hAnsi="仿宋" w:eastAsia="仿宋" w:cs="仿宋"/>
          <w:sz w:val="23"/>
        </w:rPr>
      </w:pPr>
      <w:r>
        <w:rPr>
          <w:rFonts w:hint="eastAsia" w:ascii="仿宋" w:hAnsi="仿宋" w:eastAsia="仿宋" w:cs="仿宋"/>
          <w:sz w:val="24"/>
        </w:rPr>
        <w:t>法定代表人或其委托代理人：</w:t>
      </w:r>
      <w:r>
        <w:rPr>
          <w:rFonts w:hint="eastAsia" w:ascii="仿宋" w:hAnsi="仿宋" w:eastAsia="仿宋" w:cs="仿宋"/>
        </w:rPr>
        <w:tab/>
      </w:r>
      <w:r>
        <w:rPr>
          <w:rFonts w:hint="eastAsia" w:ascii="仿宋" w:hAnsi="仿宋" w:eastAsia="仿宋" w:cs="仿宋"/>
          <w:i/>
          <w:sz w:val="24"/>
        </w:rPr>
        <w:t>（</w:t>
      </w:r>
      <w:r>
        <w:rPr>
          <w:rFonts w:hint="eastAsia" w:ascii="仿宋" w:hAnsi="仿宋" w:eastAsia="仿宋" w:cs="仿宋"/>
          <w:sz w:val="24"/>
        </w:rPr>
        <w:t>签字）</w:t>
      </w:r>
      <w:r>
        <w:rPr>
          <w:rFonts w:hint="eastAsia" w:ascii="仿宋" w:hAnsi="仿宋" w:eastAsia="仿宋" w:cs="仿宋"/>
        </w:rPr>
        <w:tab/>
      </w:r>
      <w:r>
        <w:rPr>
          <w:rFonts w:hint="eastAsia" w:ascii="仿宋" w:hAnsi="仿宋" w:eastAsia="仿宋" w:cs="仿宋"/>
          <w:sz w:val="24"/>
        </w:rPr>
        <w:t>法定代表人或其委托代理人：</w:t>
      </w:r>
      <w:r>
        <w:rPr>
          <w:rFonts w:hint="eastAsia" w:ascii="仿宋" w:hAnsi="仿宋" w:eastAsia="仿宋" w:cs="仿宋"/>
        </w:rPr>
        <w:tab/>
      </w:r>
      <w:r>
        <w:rPr>
          <w:rFonts w:hint="eastAsia" w:ascii="仿宋" w:hAnsi="仿宋" w:eastAsia="仿宋" w:cs="仿宋"/>
          <w:sz w:val="23"/>
        </w:rPr>
        <w:t>（签字）</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r>
        <w:rPr>
          <w:rFonts w:hint="eastAsia" w:ascii="仿宋" w:hAnsi="仿宋" w:eastAsia="仿宋" w:cs="仿宋"/>
          <w:sz w:val="23"/>
        </w:rPr>
        <mc:AlternateContent>
          <mc:Choice Requires="wps">
            <w:drawing>
              <wp:anchor distT="0" distB="0" distL="114300" distR="114300" simplePos="0" relativeHeight="252154880" behindDoc="1" locked="0" layoutInCell="0" allowOverlap="1">
                <wp:simplePos x="0" y="0"/>
                <wp:positionH relativeFrom="column">
                  <wp:posOffset>1973580</wp:posOffset>
                </wp:positionH>
                <wp:positionV relativeFrom="paragraph">
                  <wp:posOffset>0</wp:posOffset>
                </wp:positionV>
                <wp:extent cx="152400" cy="0"/>
                <wp:effectExtent l="0" t="0" r="0" b="0"/>
                <wp:wrapNone/>
                <wp:docPr id="69" name="直接连接符 69"/>
                <wp:cNvGraphicFramePr/>
                <a:graphic xmlns:a="http://schemas.openxmlformats.org/drawingml/2006/main">
                  <a:graphicData uri="http://schemas.microsoft.com/office/word/2010/wordprocessingShape">
                    <wps:wsp>
                      <wps:cNvCnPr/>
                      <wps:spPr>
                        <a:xfrm>
                          <a:off x="0" y="0"/>
                          <a:ext cx="152400" cy="0"/>
                        </a:xfrm>
                        <a:prstGeom prst="line">
                          <a:avLst/>
                        </a:prstGeom>
                        <a:ln w="761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4pt;margin-top:0pt;height:0pt;width:12pt;z-index:-251161600;mso-width-relative:page;mso-height-relative:page;" filled="f" stroked="t" coordsize="21600,21600" o:allowincell="f" o:gfxdata="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BOVfl0wAAAAUBAAAPAAAAAAAAAAEA&#10;IAAAACIAAABkcnMvZG93bnJldi54bWxQSwECFAAUAAAACACHTuJA5LmZWdsBAACXAwAADgAAAAAA&#10;AAABACAAAAAiAQAAZHJzL2Uyb0RvYy54bWxQSwUGAAAAAAYABgBZAQAAbwUAAAAA&#10;">
                <v:fill on="f" focussize="0,0"/>
                <v:stroke weight="0.59992125984252pt" color="#000000" joinstyle="round"/>
                <v:imagedata o:title=""/>
                <o:lock v:ext="edit" aspectratio="f"/>
              </v:line>
            </w:pict>
          </mc:Fallback>
        </mc:AlternateContent>
      </w:r>
      <w:r>
        <w:rPr>
          <w:rFonts w:hint="eastAsia" w:ascii="仿宋" w:hAnsi="仿宋" w:eastAsia="仿宋" w:cs="仿宋"/>
          <w:sz w:val="23"/>
        </w:rPr>
        <mc:AlternateContent>
          <mc:Choice Requires="wps">
            <w:drawing>
              <wp:anchor distT="0" distB="0" distL="114300" distR="114300" simplePos="0" relativeHeight="252155904" behindDoc="1" locked="0" layoutInCell="0" allowOverlap="1">
                <wp:simplePos x="0" y="0"/>
                <wp:positionH relativeFrom="column">
                  <wp:posOffset>4837430</wp:posOffset>
                </wp:positionH>
                <wp:positionV relativeFrom="paragraph">
                  <wp:posOffset>0</wp:posOffset>
                </wp:positionV>
                <wp:extent cx="152400" cy="0"/>
                <wp:effectExtent l="0" t="0" r="0" b="0"/>
                <wp:wrapNone/>
                <wp:docPr id="65" name="直接连接符 65"/>
                <wp:cNvGraphicFramePr/>
                <a:graphic xmlns:a="http://schemas.openxmlformats.org/drawingml/2006/main">
                  <a:graphicData uri="http://schemas.microsoft.com/office/word/2010/wordprocessingShape">
                    <wps:wsp>
                      <wps:cNvCnPr/>
                      <wps:spPr>
                        <a:xfrm>
                          <a:off x="0" y="0"/>
                          <a:ext cx="152400" cy="0"/>
                        </a:xfrm>
                        <a:prstGeom prst="line">
                          <a:avLst/>
                        </a:prstGeom>
                        <a:ln w="761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0.9pt;margin-top:0pt;height:0pt;width:12pt;z-index:-251160576;mso-width-relative:page;mso-height-relative:page;" filled="f" stroked="t" coordsize="21600,21600" o:allowincell="f" o:gfxdata="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0/si9MAAAAFAQAADwAAAAAAAAAB&#10;ACAAAAAiAAAAZHJzL2Rvd25yZXYueG1sUEsBAhQAFAAAAAgAh07iQGbu7orcAQAAlwMAAA4AAAAA&#10;AAAAAQAgAAAAIgEAAGRycy9lMm9Eb2MueG1sUEsFBgAAAAAGAAYAWQEAAHAFAAAAAA==&#10;">
                <v:fill on="f" focussize="0,0"/>
                <v:stroke weight="0.59992125984252pt" color="#000000" joinstyle="round"/>
                <v:imagedata o:title=""/>
                <o:lock v:ext="edit" aspectratio="f"/>
              </v:line>
            </w:pict>
          </mc:Fallback>
        </mc:AlternateContent>
      </w:r>
    </w:p>
    <w:p>
      <w:pPr>
        <w:keepNext w:val="0"/>
        <w:keepLines w:val="0"/>
        <w:pageBreakBefore w:val="0"/>
        <w:widowControl/>
        <w:tabs>
          <w:tab w:val="left" w:pos="2740"/>
          <w:tab w:val="left" w:pos="3580"/>
          <w:tab w:val="left" w:pos="6580"/>
          <w:tab w:val="left" w:pos="7420"/>
          <w:tab w:val="left" w:pos="8260"/>
        </w:tabs>
        <w:kinsoku/>
        <w:wordWrap/>
        <w:overflowPunct/>
        <w:topLinePunct w:val="0"/>
        <w:autoSpaceDE/>
        <w:autoSpaceDN/>
        <w:bidi w:val="0"/>
        <w:spacing w:line="240" w:lineRule="auto"/>
        <w:ind w:left="1920"/>
        <w:textAlignment w:val="auto"/>
        <w:rPr>
          <w:rFonts w:hint="eastAsia" w:ascii="仿宋" w:hAnsi="仿宋" w:eastAsia="仿宋" w:cs="仿宋"/>
          <w:sz w:val="24"/>
        </w:rPr>
      </w:pPr>
      <w:r>
        <w:rPr>
          <w:rFonts w:hint="eastAsia" w:ascii="仿宋" w:hAnsi="仿宋" w:eastAsia="仿宋" w:cs="仿宋"/>
          <w:sz w:val="24"/>
        </w:rPr>
        <w:t>年</w:t>
      </w:r>
      <w:r>
        <w:rPr>
          <w:rFonts w:hint="eastAsia" w:ascii="仿宋" w:hAnsi="仿宋" w:eastAsia="仿宋" w:cs="仿宋"/>
        </w:rPr>
        <w:tab/>
      </w:r>
      <w:r>
        <w:rPr>
          <w:rFonts w:hint="eastAsia" w:ascii="仿宋" w:hAnsi="仿宋" w:eastAsia="仿宋" w:cs="仿宋"/>
          <w:sz w:val="24"/>
        </w:rPr>
        <w:t>月</w:t>
      </w:r>
      <w:r>
        <w:rPr>
          <w:rFonts w:hint="eastAsia" w:ascii="仿宋" w:hAnsi="仿宋" w:eastAsia="仿宋" w:cs="仿宋"/>
        </w:rPr>
        <w:tab/>
      </w:r>
      <w:r>
        <w:rPr>
          <w:rFonts w:hint="eastAsia" w:ascii="仿宋" w:hAnsi="仿宋" w:eastAsia="仿宋" w:cs="仿宋"/>
          <w:sz w:val="24"/>
        </w:rPr>
        <w:t>日</w:t>
      </w:r>
      <w:r>
        <w:rPr>
          <w:rFonts w:hint="eastAsia" w:ascii="仿宋" w:hAnsi="仿宋" w:eastAsia="仿宋" w:cs="仿宋"/>
        </w:rPr>
        <w:tab/>
      </w:r>
      <w:r>
        <w:rPr>
          <w:rFonts w:hint="eastAsia" w:ascii="仿宋" w:hAnsi="仿宋" w:eastAsia="仿宋" w:cs="仿宋"/>
          <w:sz w:val="24"/>
        </w:rPr>
        <w:t>年</w:t>
      </w:r>
      <w:r>
        <w:rPr>
          <w:rFonts w:hint="eastAsia" w:ascii="仿宋" w:hAnsi="仿宋" w:eastAsia="仿宋" w:cs="仿宋"/>
        </w:rPr>
        <w:tab/>
      </w:r>
      <w:r>
        <w:rPr>
          <w:rFonts w:hint="eastAsia" w:ascii="仿宋" w:hAnsi="仿宋" w:eastAsia="仿宋" w:cs="仿宋"/>
          <w:sz w:val="24"/>
        </w:rPr>
        <w:t>月</w:t>
      </w:r>
      <w:r>
        <w:rPr>
          <w:rFonts w:hint="eastAsia" w:ascii="仿宋" w:hAnsi="仿宋" w:eastAsia="仿宋" w:cs="仿宋"/>
        </w:rPr>
        <w:tab/>
      </w:r>
      <w:r>
        <w:rPr>
          <w:rFonts w:hint="eastAsia" w:ascii="仿宋" w:hAnsi="仿宋" w:eastAsia="仿宋" w:cs="仿宋"/>
          <w:sz w:val="24"/>
        </w:rPr>
        <w:t>日</w:t>
      </w:r>
    </w:p>
    <w:p>
      <w:pPr>
        <w:keepNext w:val="0"/>
        <w:keepLines w:val="0"/>
        <w:pageBreakBefore w:val="0"/>
        <w:widowControl/>
        <w:tabs>
          <w:tab w:val="left" w:pos="2740"/>
          <w:tab w:val="left" w:pos="3580"/>
          <w:tab w:val="left" w:pos="6580"/>
          <w:tab w:val="left" w:pos="7420"/>
          <w:tab w:val="left" w:pos="8260"/>
        </w:tabs>
        <w:kinsoku/>
        <w:wordWrap/>
        <w:overflowPunct/>
        <w:topLinePunct w:val="0"/>
        <w:autoSpaceDE/>
        <w:autoSpaceDN/>
        <w:bidi w:val="0"/>
        <w:spacing w:line="240" w:lineRule="auto"/>
        <w:ind w:left="1920"/>
        <w:textAlignment w:val="auto"/>
        <w:rPr>
          <w:rFonts w:hint="eastAsia" w:ascii="仿宋" w:hAnsi="仿宋" w:eastAsia="仿宋" w:cs="仿宋"/>
          <w:sz w:val="24"/>
        </w:rPr>
        <w:sectPr>
          <w:pgSz w:w="11900" w:h="16841"/>
          <w:pgMar w:top="851" w:right="1460" w:bottom="579" w:left="1640" w:header="567" w:footer="567" w:gutter="0"/>
          <w:cols w:space="720" w:num="1"/>
          <w:docGrid w:linePitch="360" w:charSpace="0"/>
        </w:sectPr>
      </w:pPr>
      <w:r>
        <w:rPr>
          <w:rFonts w:hint="eastAsia" w:ascii="仿宋" w:hAnsi="仿宋" w:eastAsia="仿宋" w:cs="仿宋"/>
          <w:sz w:val="24"/>
        </w:rPr>
        <mc:AlternateContent>
          <mc:Choice Requires="wps">
            <w:drawing>
              <wp:anchor distT="0" distB="0" distL="114300" distR="114300" simplePos="0" relativeHeight="252156928" behindDoc="1" locked="0" layoutInCell="0" allowOverlap="1">
                <wp:simplePos x="0" y="0"/>
                <wp:positionH relativeFrom="column">
                  <wp:posOffset>535940</wp:posOffset>
                </wp:positionH>
                <wp:positionV relativeFrom="paragraph">
                  <wp:posOffset>0</wp:posOffset>
                </wp:positionV>
                <wp:extent cx="685800" cy="0"/>
                <wp:effectExtent l="0" t="0" r="0" b="0"/>
                <wp:wrapNone/>
                <wp:docPr id="74" name="直接连接符 74"/>
                <wp:cNvGraphicFramePr/>
                <a:graphic xmlns:a="http://schemas.openxmlformats.org/drawingml/2006/main">
                  <a:graphicData uri="http://schemas.microsoft.com/office/word/2010/wordprocessingShape">
                    <wps:wsp>
                      <wps:cNvCnPr/>
                      <wps:spPr>
                        <a:xfrm>
                          <a:off x="0" y="0"/>
                          <a:ext cx="685800" cy="0"/>
                        </a:xfrm>
                        <a:prstGeom prst="line">
                          <a:avLst/>
                        </a:prstGeom>
                        <a:ln w="761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2pt;margin-top:0pt;height:0pt;width:54pt;z-index:-251159552;mso-width-relative:page;mso-height-relative:page;" filled="f" stroked="t" coordsize="21600,21600" o:allowincell="f" o:gfxdata="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8srSAAAABAEAAA8AAAAAAAAAAQAg&#10;AAAAIgAAAGRycy9kb3ducmV2LnhtbFBLAQIUABQAAAAIAIdO4kAKB8Ex2wEAAJcDAAAOAAAAAAAA&#10;AAEAIAAAACEBAABkcnMvZTJvRG9jLnhtbFBLBQYAAAAABgAGAFkBAABuBQAAAAA=&#10;">
                <v:fill on="f" focussize="0,0"/>
                <v:stroke weight="0.59992125984252pt" color="#000000" joinstyle="round"/>
                <v:imagedata o:title=""/>
                <o:lock v:ext="edit" aspectratio="f"/>
              </v:line>
            </w:pict>
          </mc:Fallback>
        </mc:AlternateContent>
      </w:r>
      <w:r>
        <w:rPr>
          <w:rFonts w:hint="eastAsia" w:ascii="仿宋" w:hAnsi="仿宋" w:eastAsia="仿宋" w:cs="仿宋"/>
          <w:sz w:val="24"/>
        </w:rPr>
        <mc:AlternateContent>
          <mc:Choice Requires="wps">
            <w:drawing>
              <wp:anchor distT="0" distB="0" distL="114300" distR="114300" simplePos="0" relativeHeight="252157952" behindDoc="1" locked="0" layoutInCell="0" allowOverlap="1">
                <wp:simplePos x="0" y="0"/>
                <wp:positionH relativeFrom="column">
                  <wp:posOffset>1374775</wp:posOffset>
                </wp:positionH>
                <wp:positionV relativeFrom="paragraph">
                  <wp:posOffset>0</wp:posOffset>
                </wp:positionV>
                <wp:extent cx="381000" cy="0"/>
                <wp:effectExtent l="0" t="0" r="0" b="0"/>
                <wp:wrapNone/>
                <wp:docPr id="72" name="直接连接符 72"/>
                <wp:cNvGraphicFramePr/>
                <a:graphic xmlns:a="http://schemas.openxmlformats.org/drawingml/2006/main">
                  <a:graphicData uri="http://schemas.microsoft.com/office/word/2010/wordprocessingShape">
                    <wps:wsp>
                      <wps:cNvCnPr/>
                      <wps:spPr>
                        <a:xfrm>
                          <a:off x="0" y="0"/>
                          <a:ext cx="381000" cy="0"/>
                        </a:xfrm>
                        <a:prstGeom prst="line">
                          <a:avLst/>
                        </a:prstGeom>
                        <a:ln w="761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25pt;margin-top:0pt;height:0pt;width:30pt;z-index:-251158528;mso-width-relative:page;mso-height-relative:page;" filled="f" stroked="t" coordsize="21600,21600" o:allowincell="f" o:gfxdata="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tYpO90wAAAAUBAAAPAAAAAAAAAAEA&#10;IAAAACIAAABkcnMvZG93bnJldi54bWxQSwECFAAUAAAACACHTuJAHqFzJ9sBAACXAwAADgAAAAAA&#10;AAABACAAAAAiAQAAZHJzL2Uyb0RvYy54bWxQSwUGAAAAAAYABgBZAQAAbwUAAAAA&#10;">
                <v:fill on="f" focussize="0,0"/>
                <v:stroke weight="0.59992125984252pt" color="#000000" joinstyle="round"/>
                <v:imagedata o:title=""/>
                <o:lock v:ext="edit" aspectratio="f"/>
              </v:line>
            </w:pict>
          </mc:Fallback>
        </mc:AlternateContent>
      </w:r>
      <w:r>
        <w:rPr>
          <w:rFonts w:hint="eastAsia" w:ascii="仿宋" w:hAnsi="仿宋" w:eastAsia="仿宋" w:cs="仿宋"/>
          <w:sz w:val="24"/>
        </w:rPr>
        <mc:AlternateContent>
          <mc:Choice Requires="wps">
            <w:drawing>
              <wp:anchor distT="0" distB="0" distL="114300" distR="114300" simplePos="0" relativeHeight="252158976" behindDoc="1" locked="0" layoutInCell="0" allowOverlap="1">
                <wp:simplePos x="0" y="0"/>
                <wp:positionH relativeFrom="column">
                  <wp:posOffset>1908175</wp:posOffset>
                </wp:positionH>
                <wp:positionV relativeFrom="paragraph">
                  <wp:posOffset>0</wp:posOffset>
                </wp:positionV>
                <wp:extent cx="381000" cy="0"/>
                <wp:effectExtent l="0" t="0" r="0" b="0"/>
                <wp:wrapNone/>
                <wp:docPr id="66" name="直接连接符 66"/>
                <wp:cNvGraphicFramePr/>
                <a:graphic xmlns:a="http://schemas.openxmlformats.org/drawingml/2006/main">
                  <a:graphicData uri="http://schemas.microsoft.com/office/word/2010/wordprocessingShape">
                    <wps:wsp>
                      <wps:cNvCnPr/>
                      <wps:spPr>
                        <a:xfrm>
                          <a:off x="0" y="0"/>
                          <a:ext cx="381000" cy="0"/>
                        </a:xfrm>
                        <a:prstGeom prst="line">
                          <a:avLst/>
                        </a:prstGeom>
                        <a:ln w="761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0.25pt;margin-top:0pt;height:0pt;width:30pt;z-index:-251157504;mso-width-relative:page;mso-height-relative:page;" filled="f" stroked="t" coordsize="21600,21600" o:allowincell="f" o:gfxdata="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QrwW0wAAAAUBAAAPAAAAAAAAAAEA&#10;IAAAACIAAABkcnMvZG93bnJldi54bWxQSwECFAAUAAAACACHTuJA/QzlqdsBAACXAwAADgAAAAAA&#10;AAABACAAAAAiAQAAZHJzL2Uyb0RvYy54bWxQSwUGAAAAAAYABgBZAQAAbwUAAAAA&#10;">
                <v:fill on="f" focussize="0,0"/>
                <v:stroke weight="0.59992125984252pt" color="#000000" joinstyle="round"/>
                <v:imagedata o:title=""/>
                <o:lock v:ext="edit" aspectratio="f"/>
              </v:line>
            </w:pict>
          </mc:Fallback>
        </mc:AlternateContent>
      </w:r>
      <w:r>
        <w:rPr>
          <w:rFonts w:hint="eastAsia" w:ascii="仿宋" w:hAnsi="仿宋" w:eastAsia="仿宋" w:cs="仿宋"/>
          <w:sz w:val="24"/>
        </w:rPr>
        <mc:AlternateContent>
          <mc:Choice Requires="wps">
            <w:drawing>
              <wp:anchor distT="0" distB="0" distL="114300" distR="114300" simplePos="0" relativeHeight="252160000" behindDoc="1" locked="0" layoutInCell="0" allowOverlap="1">
                <wp:simplePos x="0" y="0"/>
                <wp:positionH relativeFrom="column">
                  <wp:posOffset>3508375</wp:posOffset>
                </wp:positionH>
                <wp:positionV relativeFrom="paragraph">
                  <wp:posOffset>0</wp:posOffset>
                </wp:positionV>
                <wp:extent cx="685800" cy="0"/>
                <wp:effectExtent l="0" t="0" r="0" b="0"/>
                <wp:wrapNone/>
                <wp:docPr id="73" name="直接连接符 73"/>
                <wp:cNvGraphicFramePr/>
                <a:graphic xmlns:a="http://schemas.openxmlformats.org/drawingml/2006/main">
                  <a:graphicData uri="http://schemas.microsoft.com/office/word/2010/wordprocessingShape">
                    <wps:wsp>
                      <wps:cNvCnPr/>
                      <wps:spPr>
                        <a:xfrm>
                          <a:off x="0" y="0"/>
                          <a:ext cx="685800" cy="0"/>
                        </a:xfrm>
                        <a:prstGeom prst="line">
                          <a:avLst/>
                        </a:prstGeom>
                        <a:ln w="761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6.25pt;margin-top:0pt;height:0pt;width:54pt;z-index:-251156480;mso-width-relative:page;mso-height-relative:page;" filled="f" stroked="t" coordsize="21600,21600" o:allowincell="f" o:gfxdata="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0wdUb0wAAAAUBAAAPAAAAAAAAAAEA&#10;IAAAACIAAABkcnMvZG93bnJldi54bWxQSwECFAAUAAAACACHTuJAtJx2ptsBAACXAwAADgAAAAAA&#10;AAABACAAAAAiAQAAZHJzL2Uyb0RvYy54bWxQSwUGAAAAAAYABgBZAQAAbwUAAAAA&#10;">
                <v:fill on="f" focussize="0,0"/>
                <v:stroke weight="0.59992125984252pt" color="#000000" joinstyle="round"/>
                <v:imagedata o:title=""/>
                <o:lock v:ext="edit" aspectratio="f"/>
              </v:line>
            </w:pict>
          </mc:Fallback>
        </mc:AlternateContent>
      </w:r>
      <w:r>
        <w:rPr>
          <w:rFonts w:hint="eastAsia" w:ascii="仿宋" w:hAnsi="仿宋" w:eastAsia="仿宋" w:cs="仿宋"/>
          <w:sz w:val="24"/>
        </w:rPr>
        <mc:AlternateContent>
          <mc:Choice Requires="wps">
            <w:drawing>
              <wp:anchor distT="0" distB="0" distL="114300" distR="114300" simplePos="0" relativeHeight="252161024" behindDoc="1" locked="0" layoutInCell="0" allowOverlap="1">
                <wp:simplePos x="0" y="0"/>
                <wp:positionH relativeFrom="column">
                  <wp:posOffset>4346575</wp:posOffset>
                </wp:positionH>
                <wp:positionV relativeFrom="paragraph">
                  <wp:posOffset>0</wp:posOffset>
                </wp:positionV>
                <wp:extent cx="381000" cy="0"/>
                <wp:effectExtent l="0" t="0" r="0" b="0"/>
                <wp:wrapNone/>
                <wp:docPr id="68" name="直接连接符 68"/>
                <wp:cNvGraphicFramePr/>
                <a:graphic xmlns:a="http://schemas.openxmlformats.org/drawingml/2006/main">
                  <a:graphicData uri="http://schemas.microsoft.com/office/word/2010/wordprocessingShape">
                    <wps:wsp>
                      <wps:cNvCnPr/>
                      <wps:spPr>
                        <a:xfrm>
                          <a:off x="0" y="0"/>
                          <a:ext cx="381000" cy="0"/>
                        </a:xfrm>
                        <a:prstGeom prst="line">
                          <a:avLst/>
                        </a:prstGeom>
                        <a:ln w="761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2.25pt;margin-top:0pt;height:0pt;width:30pt;z-index:-251155456;mso-width-relative:page;mso-height-relative:page;" filled="f" stroked="t" coordsize="21600,21600" o:allowincell="f" o:gfxdata="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R+140wAAAAUBAAAPAAAAAAAAAAEA&#10;IAAAACIAAABkcnMvZG93bnJldi54bWxQSwECFAAUAAAACACHTuJAwD37XdsBAACXAwAADgAAAAAA&#10;AAABACAAAAAiAQAAZHJzL2Uyb0RvYy54bWxQSwUGAAAAAAYABgBZAQAAbwUAAAAA&#10;">
                <v:fill on="f" focussize="0,0"/>
                <v:stroke weight="0.59992125984252pt" color="#000000" joinstyle="round"/>
                <v:imagedata o:title=""/>
                <o:lock v:ext="edit" aspectratio="f"/>
              </v:line>
            </w:pict>
          </mc:Fallback>
        </mc:AlternateContent>
      </w:r>
      <w:r>
        <w:rPr>
          <w:rFonts w:hint="eastAsia" w:ascii="仿宋" w:hAnsi="仿宋" w:eastAsia="仿宋" w:cs="仿宋"/>
          <w:sz w:val="24"/>
        </w:rPr>
        <mc:AlternateContent>
          <mc:Choice Requires="wps">
            <w:drawing>
              <wp:anchor distT="0" distB="0" distL="114300" distR="114300" simplePos="0" relativeHeight="252162048" behindDoc="1" locked="0" layoutInCell="0" allowOverlap="1">
                <wp:simplePos x="0" y="0"/>
                <wp:positionH relativeFrom="column">
                  <wp:posOffset>4879975</wp:posOffset>
                </wp:positionH>
                <wp:positionV relativeFrom="paragraph">
                  <wp:posOffset>0</wp:posOffset>
                </wp:positionV>
                <wp:extent cx="381000" cy="0"/>
                <wp:effectExtent l="0" t="0" r="0" b="0"/>
                <wp:wrapNone/>
                <wp:docPr id="84" name="直接连接符 84"/>
                <wp:cNvGraphicFramePr/>
                <a:graphic xmlns:a="http://schemas.openxmlformats.org/drawingml/2006/main">
                  <a:graphicData uri="http://schemas.microsoft.com/office/word/2010/wordprocessingShape">
                    <wps:wsp>
                      <wps:cNvCnPr/>
                      <wps:spPr>
                        <a:xfrm>
                          <a:off x="0" y="0"/>
                          <a:ext cx="381000" cy="0"/>
                        </a:xfrm>
                        <a:prstGeom prst="line">
                          <a:avLst/>
                        </a:prstGeom>
                        <a:ln w="761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4.25pt;margin-top:0pt;height:0pt;width:30pt;z-index:-251154432;mso-width-relative:page;mso-height-relative:page;" filled="f" stroked="t" coordsize="21600,21600" o:allowincell="f" o:gfxdata="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hvJS30wAAAAUBAAAPAAAAAAAAAAEA&#10;IAAAACIAAABkcnMvZG93bnJldi54bWxQSwECFAAUAAAACACHTuJAYjgQ1tsBAACXAwAADgAAAAAA&#10;AAABACAAAAAiAQAAZHJzL2Uyb0RvYy54bWxQSwUGAAAAAAYABgBZAQAAbwUAAAAA&#10;">
                <v:fill on="f" focussize="0,0"/>
                <v:stroke weight="0.59992125984252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sectPr>
          <w:type w:val="continuous"/>
          <w:pgSz w:w="11900" w:h="16841"/>
          <w:pgMar w:top="851" w:right="9980" w:bottom="579" w:left="1640" w:header="0" w:footer="0" w:gutter="0"/>
          <w:cols w:space="720" w:num="1"/>
          <w:docGrid w:linePitch="360" w:charSpace="0"/>
        </w:sect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bookmarkStart w:id="84" w:name="page167"/>
      <w:bookmarkEnd w:id="84"/>
    </w:p>
    <w:p>
      <w:pPr>
        <w:keepNext w:val="0"/>
        <w:keepLines w:val="0"/>
        <w:pageBreakBefore w:val="0"/>
        <w:widowControl/>
        <w:kinsoku/>
        <w:wordWrap/>
        <w:overflowPunct/>
        <w:topLinePunct w:val="0"/>
        <w:autoSpaceDE/>
        <w:autoSpaceDN/>
        <w:bidi w:val="0"/>
        <w:spacing w:line="240" w:lineRule="auto"/>
        <w:ind w:left="100"/>
        <w:textAlignment w:val="auto"/>
        <w:rPr>
          <w:rFonts w:hint="eastAsia" w:ascii="仿宋" w:hAnsi="仿宋" w:eastAsia="仿宋" w:cs="仿宋"/>
          <w:b/>
          <w:sz w:val="24"/>
          <w:vertAlign w:val="superscript"/>
        </w:rPr>
      </w:pPr>
      <w:r>
        <w:rPr>
          <w:rFonts w:hint="eastAsia" w:ascii="仿宋" w:hAnsi="仿宋" w:eastAsia="仿宋" w:cs="仿宋"/>
          <w:sz w:val="24"/>
        </w:rPr>
        <w:t xml:space="preserve">附件四 其他管理和技术人员最低要求 </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tbl>
      <w:tblPr>
        <w:tblStyle w:val="13"/>
        <w:tblW w:w="8900" w:type="dxa"/>
        <w:tblInd w:w="0" w:type="dxa"/>
        <w:tblLayout w:type="fixed"/>
        <w:tblCellMar>
          <w:top w:w="0" w:type="dxa"/>
          <w:left w:w="0" w:type="dxa"/>
          <w:bottom w:w="0" w:type="dxa"/>
          <w:right w:w="0" w:type="dxa"/>
        </w:tblCellMar>
      </w:tblPr>
      <w:tblGrid>
        <w:gridCol w:w="100"/>
        <w:gridCol w:w="2360"/>
        <w:gridCol w:w="520"/>
        <w:gridCol w:w="1640"/>
        <w:gridCol w:w="4280"/>
      </w:tblGrid>
      <w:tr>
        <w:tblPrEx>
          <w:tblLayout w:type="fixed"/>
          <w:tblCellMar>
            <w:top w:w="0" w:type="dxa"/>
            <w:left w:w="0" w:type="dxa"/>
            <w:bottom w:w="0" w:type="dxa"/>
            <w:right w:w="0" w:type="dxa"/>
          </w:tblCellMar>
        </w:tblPrEx>
        <w:trPr>
          <w:trHeight w:val="596" w:hRule="atLeast"/>
        </w:trPr>
        <w:tc>
          <w:tcPr>
            <w:tcW w:w="100" w:type="dxa"/>
            <w:tcBorders>
              <w:top w:val="single" w:color="auto" w:sz="8" w:space="0"/>
              <w:lef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360" w:type="dxa"/>
            <w:tcBorders>
              <w:top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760"/>
              <w:textAlignment w:val="auto"/>
              <w:rPr>
                <w:rFonts w:hint="eastAsia" w:ascii="仿宋" w:hAnsi="仿宋" w:eastAsia="仿宋" w:cs="仿宋"/>
                <w:sz w:val="24"/>
              </w:rPr>
            </w:pPr>
            <w:r>
              <w:rPr>
                <w:rFonts w:hint="eastAsia" w:ascii="仿宋" w:hAnsi="仿宋" w:eastAsia="仿宋" w:cs="仿宋"/>
                <w:sz w:val="24"/>
              </w:rPr>
              <w:t>人  员</w:t>
            </w:r>
          </w:p>
        </w:tc>
        <w:tc>
          <w:tcPr>
            <w:tcW w:w="52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640" w:type="dxa"/>
            <w:tcBorders>
              <w:top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180"/>
              <w:textAlignment w:val="auto"/>
              <w:rPr>
                <w:rFonts w:hint="eastAsia" w:ascii="仿宋" w:hAnsi="仿宋" w:eastAsia="仿宋" w:cs="仿宋"/>
                <w:sz w:val="24"/>
              </w:rPr>
            </w:pPr>
            <w:r>
              <w:rPr>
                <w:rFonts w:hint="eastAsia" w:ascii="仿宋" w:hAnsi="仿宋" w:eastAsia="仿宋" w:cs="仿宋"/>
                <w:sz w:val="24"/>
              </w:rPr>
              <w:t>数  量</w:t>
            </w:r>
          </w:p>
        </w:tc>
        <w:tc>
          <w:tcPr>
            <w:tcW w:w="4280" w:type="dxa"/>
            <w:tcBorders>
              <w:top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1460"/>
              <w:textAlignment w:val="auto"/>
              <w:rPr>
                <w:rFonts w:hint="eastAsia" w:ascii="仿宋" w:hAnsi="仿宋" w:eastAsia="仿宋" w:cs="仿宋"/>
                <w:sz w:val="24"/>
              </w:rPr>
            </w:pPr>
            <w:r>
              <w:rPr>
                <w:rFonts w:hint="eastAsia" w:ascii="仿宋" w:hAnsi="仿宋" w:eastAsia="仿宋" w:cs="仿宋"/>
                <w:sz w:val="24"/>
              </w:rPr>
              <w:t>资 格 要 求</w:t>
            </w:r>
          </w:p>
        </w:tc>
      </w:tr>
      <w:tr>
        <w:tblPrEx>
          <w:tblLayout w:type="fixed"/>
          <w:tblCellMar>
            <w:top w:w="0" w:type="dxa"/>
            <w:left w:w="0" w:type="dxa"/>
            <w:bottom w:w="0" w:type="dxa"/>
            <w:right w:w="0" w:type="dxa"/>
          </w:tblCellMar>
        </w:tblPrEx>
        <w:trPr>
          <w:trHeight w:val="263" w:hRule="atLeast"/>
        </w:trPr>
        <w:tc>
          <w:tcPr>
            <w:tcW w:w="100"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2"/>
              </w:rPr>
            </w:pPr>
          </w:p>
        </w:tc>
        <w:tc>
          <w:tcPr>
            <w:tcW w:w="236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2"/>
              </w:rPr>
            </w:pPr>
          </w:p>
        </w:tc>
        <w:tc>
          <w:tcPr>
            <w:tcW w:w="5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2"/>
              </w:rPr>
            </w:pPr>
          </w:p>
        </w:tc>
        <w:tc>
          <w:tcPr>
            <w:tcW w:w="16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2"/>
              </w:rPr>
            </w:pPr>
          </w:p>
        </w:tc>
        <w:tc>
          <w:tcPr>
            <w:tcW w:w="42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2"/>
              </w:rPr>
            </w:pPr>
          </w:p>
        </w:tc>
      </w:tr>
      <w:tr>
        <w:tblPrEx>
          <w:tblLayout w:type="fixed"/>
          <w:tblCellMar>
            <w:top w:w="0" w:type="dxa"/>
            <w:left w:w="0" w:type="dxa"/>
            <w:bottom w:w="0" w:type="dxa"/>
            <w:right w:w="0" w:type="dxa"/>
          </w:tblCellMar>
        </w:tblPrEx>
        <w:trPr>
          <w:trHeight w:val="616" w:hRule="atLeast"/>
        </w:trPr>
        <w:tc>
          <w:tcPr>
            <w:tcW w:w="100"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36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6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36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6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36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6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36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6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36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6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36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6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6" w:hRule="atLeast"/>
        </w:trPr>
        <w:tc>
          <w:tcPr>
            <w:tcW w:w="100"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36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6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36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6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36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6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36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6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36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6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36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6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6" w:hRule="atLeast"/>
        </w:trPr>
        <w:tc>
          <w:tcPr>
            <w:tcW w:w="100"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36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6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36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6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36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6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2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bl>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bookmarkStart w:id="85" w:name="page168"/>
      <w:bookmarkEnd w:id="85"/>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p>
      <w:pPr>
        <w:pStyle w:val="2"/>
        <w:keepNext w:val="0"/>
        <w:keepLines w:val="0"/>
        <w:pageBreakBefore w:val="0"/>
        <w:widowControl/>
        <w:kinsoku/>
        <w:wordWrap/>
        <w:overflowPunct/>
        <w:topLinePunct w:val="0"/>
        <w:autoSpaceDE/>
        <w:autoSpaceDN/>
        <w:bidi w:val="0"/>
        <w:spacing w:line="240" w:lineRule="auto"/>
        <w:ind w:firstLine="340"/>
        <w:textAlignment w:val="auto"/>
        <w:rPr>
          <w:rFonts w:hint="eastAsia"/>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b/>
          <w:sz w:val="24"/>
          <w:vertAlign w:val="superscript"/>
        </w:rPr>
      </w:pPr>
      <w:r>
        <w:rPr>
          <w:rFonts w:hint="eastAsia" w:ascii="仿宋" w:hAnsi="仿宋" w:eastAsia="仿宋" w:cs="仿宋"/>
          <w:sz w:val="24"/>
        </w:rPr>
        <w:t>附件五 主要机械设备和试验检测设备最低要求</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tbl>
      <w:tblPr>
        <w:tblStyle w:val="13"/>
        <w:tblW w:w="8640" w:type="dxa"/>
        <w:tblInd w:w="0" w:type="dxa"/>
        <w:tblLayout w:type="fixed"/>
        <w:tblCellMar>
          <w:top w:w="0" w:type="dxa"/>
          <w:left w:w="0" w:type="dxa"/>
          <w:bottom w:w="0" w:type="dxa"/>
          <w:right w:w="0" w:type="dxa"/>
        </w:tblCellMar>
      </w:tblPr>
      <w:tblGrid>
        <w:gridCol w:w="80"/>
        <w:gridCol w:w="2240"/>
        <w:gridCol w:w="560"/>
        <w:gridCol w:w="2180"/>
        <w:gridCol w:w="1380"/>
        <w:gridCol w:w="2200"/>
      </w:tblGrid>
      <w:tr>
        <w:tblPrEx>
          <w:tblLayout w:type="fixed"/>
          <w:tblCellMar>
            <w:top w:w="0" w:type="dxa"/>
            <w:left w:w="0" w:type="dxa"/>
            <w:bottom w:w="0" w:type="dxa"/>
            <w:right w:w="0" w:type="dxa"/>
          </w:tblCellMar>
        </w:tblPrEx>
        <w:trPr>
          <w:trHeight w:val="481" w:hRule="atLeast"/>
        </w:trPr>
        <w:tc>
          <w:tcPr>
            <w:tcW w:w="8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40" w:type="dxa"/>
            <w:tcBorders>
              <w:top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620"/>
              <w:textAlignment w:val="auto"/>
              <w:rPr>
                <w:rFonts w:hint="eastAsia" w:ascii="仿宋" w:hAnsi="仿宋" w:eastAsia="仿宋" w:cs="仿宋"/>
                <w:sz w:val="24"/>
              </w:rPr>
            </w:pPr>
            <w:r>
              <w:rPr>
                <w:rFonts w:hint="eastAsia" w:ascii="仿宋" w:hAnsi="仿宋" w:eastAsia="仿宋" w:cs="仿宋"/>
                <w:sz w:val="24"/>
              </w:rPr>
              <w:t>设备名称</w:t>
            </w:r>
          </w:p>
        </w:tc>
        <w:tc>
          <w:tcPr>
            <w:tcW w:w="2740" w:type="dxa"/>
            <w:gridSpan w:val="2"/>
            <w:tcBorders>
              <w:top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380"/>
              <w:textAlignment w:val="auto"/>
              <w:rPr>
                <w:rFonts w:hint="eastAsia" w:ascii="仿宋" w:hAnsi="仿宋" w:eastAsia="仿宋" w:cs="仿宋"/>
                <w:sz w:val="24"/>
              </w:rPr>
            </w:pPr>
            <w:r>
              <w:rPr>
                <w:rFonts w:hint="eastAsia" w:ascii="仿宋" w:hAnsi="仿宋" w:eastAsia="仿宋" w:cs="仿宋"/>
                <w:sz w:val="24"/>
              </w:rPr>
              <w:t>规格、功率及容量</w:t>
            </w:r>
          </w:p>
        </w:tc>
        <w:tc>
          <w:tcPr>
            <w:tcW w:w="1380" w:type="dxa"/>
            <w:tcBorders>
              <w:top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440"/>
              <w:textAlignment w:val="auto"/>
              <w:rPr>
                <w:rFonts w:hint="eastAsia" w:ascii="仿宋" w:hAnsi="仿宋" w:eastAsia="仿宋" w:cs="仿宋"/>
                <w:sz w:val="24"/>
              </w:rPr>
            </w:pPr>
            <w:r>
              <w:rPr>
                <w:rFonts w:hint="eastAsia" w:ascii="仿宋" w:hAnsi="仿宋" w:eastAsia="仿宋" w:cs="仿宋"/>
                <w:sz w:val="24"/>
              </w:rPr>
              <w:t>单位</w:t>
            </w:r>
          </w:p>
        </w:tc>
        <w:tc>
          <w:tcPr>
            <w:tcW w:w="2200" w:type="dxa"/>
            <w:tcBorders>
              <w:top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ind w:left="360"/>
              <w:textAlignment w:val="auto"/>
              <w:rPr>
                <w:rFonts w:hint="eastAsia" w:ascii="仿宋" w:hAnsi="仿宋" w:eastAsia="仿宋" w:cs="仿宋"/>
                <w:sz w:val="24"/>
              </w:rPr>
            </w:pPr>
            <w:r>
              <w:rPr>
                <w:rFonts w:hint="eastAsia" w:ascii="仿宋" w:hAnsi="仿宋" w:eastAsia="仿宋" w:cs="仿宋"/>
                <w:sz w:val="24"/>
              </w:rPr>
              <w:t>最低数量要求</w:t>
            </w:r>
          </w:p>
        </w:tc>
      </w:tr>
      <w:tr>
        <w:tblPrEx>
          <w:tblLayout w:type="fixed"/>
          <w:tblCellMar>
            <w:top w:w="0" w:type="dxa"/>
            <w:left w:w="0" w:type="dxa"/>
            <w:bottom w:w="0" w:type="dxa"/>
            <w:right w:w="0" w:type="dxa"/>
          </w:tblCellMar>
        </w:tblPrEx>
        <w:trPr>
          <w:trHeight w:val="153" w:hRule="atLeast"/>
        </w:trPr>
        <w:tc>
          <w:tcPr>
            <w:tcW w:w="8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2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5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1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13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c>
          <w:tcPr>
            <w:tcW w:w="220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3"/>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1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1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1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1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6" w:hRule="atLeast"/>
        </w:trPr>
        <w:tc>
          <w:tcPr>
            <w:tcW w:w="8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1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1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1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1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1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1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6" w:hRule="atLeast"/>
        </w:trPr>
        <w:tc>
          <w:tcPr>
            <w:tcW w:w="8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1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1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1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1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4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1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8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0" w:type="dxa"/>
            <w:tcBorders>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bl>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2"/>
        </w:rPr>
      </w:pPr>
      <w:bookmarkStart w:id="86" w:name="page169"/>
      <w:bookmarkEnd w:id="86"/>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2"/>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2"/>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2"/>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2"/>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2"/>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2"/>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2"/>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2"/>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2"/>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2"/>
        </w:rPr>
      </w:pPr>
    </w:p>
    <w:p>
      <w:pPr>
        <w:pStyle w:val="2"/>
        <w:keepNext w:val="0"/>
        <w:keepLines w:val="0"/>
        <w:pageBreakBefore w:val="0"/>
        <w:widowControl/>
        <w:kinsoku/>
        <w:wordWrap/>
        <w:overflowPunct/>
        <w:topLinePunct w:val="0"/>
        <w:autoSpaceDE/>
        <w:autoSpaceDN/>
        <w:bidi w:val="0"/>
        <w:spacing w:line="240" w:lineRule="auto"/>
        <w:ind w:firstLine="220"/>
        <w:textAlignment w:val="auto"/>
        <w:rPr>
          <w:rFonts w:hint="eastAsia" w:ascii="仿宋" w:hAnsi="仿宋" w:eastAsia="仿宋" w:cs="仿宋"/>
          <w:sz w:val="22"/>
        </w:rPr>
      </w:pPr>
    </w:p>
    <w:p>
      <w:pPr>
        <w:pStyle w:val="2"/>
        <w:keepNext w:val="0"/>
        <w:keepLines w:val="0"/>
        <w:pageBreakBefore w:val="0"/>
        <w:widowControl/>
        <w:kinsoku/>
        <w:wordWrap/>
        <w:overflowPunct/>
        <w:topLinePunct w:val="0"/>
        <w:autoSpaceDE/>
        <w:autoSpaceDN/>
        <w:bidi w:val="0"/>
        <w:spacing w:line="240" w:lineRule="auto"/>
        <w:ind w:firstLine="220"/>
        <w:textAlignment w:val="auto"/>
        <w:rPr>
          <w:rFonts w:hint="eastAsia" w:ascii="仿宋" w:hAnsi="仿宋" w:eastAsia="仿宋" w:cs="仿宋"/>
          <w:sz w:val="22"/>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2"/>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附件六 项目经理委任书</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3360"/>
        <w:textAlignment w:val="auto"/>
        <w:rPr>
          <w:rFonts w:hint="eastAsia" w:ascii="仿宋" w:hAnsi="仿宋" w:eastAsia="仿宋" w:cs="仿宋"/>
          <w:sz w:val="28"/>
          <w:u w:val="single"/>
        </w:rPr>
      </w:pPr>
      <w:r>
        <w:rPr>
          <w:rFonts w:hint="eastAsia" w:ascii="仿宋" w:hAnsi="仿宋" w:eastAsia="仿宋" w:cs="仿宋"/>
          <w:sz w:val="28"/>
          <w:u w:val="single"/>
        </w:rPr>
        <w:t>（承包人全称）</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2180"/>
        <w:textAlignment w:val="auto"/>
        <w:rPr>
          <w:rFonts w:hint="eastAsia" w:ascii="仿宋" w:hAnsi="仿宋" w:eastAsia="仿宋" w:cs="仿宋"/>
          <w:sz w:val="28"/>
        </w:rPr>
      </w:pPr>
      <w:r>
        <w:rPr>
          <w:rFonts w:hint="eastAsia" w:ascii="仿宋" w:hAnsi="仿宋" w:eastAsia="仿宋" w:cs="仿宋"/>
          <w:sz w:val="28"/>
          <w:u w:val="single"/>
        </w:rPr>
        <w:t>（合同工程名称）</w:t>
      </w:r>
      <w:r>
        <w:rPr>
          <w:rFonts w:hint="eastAsia" w:ascii="仿宋" w:hAnsi="仿宋" w:eastAsia="仿宋" w:cs="仿宋"/>
          <w:sz w:val="28"/>
        </w:rPr>
        <w:t xml:space="preserve"> 项目经理委任书</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（发包人全称）</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857"/>
        <w:jc w:val="both"/>
        <w:textAlignment w:val="auto"/>
        <w:rPr>
          <w:rFonts w:hint="eastAsia" w:ascii="仿宋" w:hAnsi="仿宋" w:eastAsia="仿宋" w:cs="仿宋"/>
          <w:sz w:val="23"/>
        </w:rPr>
      </w:pPr>
      <w:r>
        <w:rPr>
          <w:rFonts w:hint="eastAsia" w:ascii="仿宋" w:hAnsi="仿宋" w:eastAsia="仿宋" w:cs="仿宋"/>
          <w:sz w:val="23"/>
        </w:rPr>
        <w:t>（承包人全称） 法定代表人 （职务、姓名） 代表本单位委任 （职务、姓</w:t>
      </w:r>
      <w:r>
        <w:rPr>
          <w:rFonts w:hint="eastAsia" w:ascii="仿宋" w:hAnsi="仿宋" w:eastAsia="仿宋" w:cs="仿宋"/>
          <w:sz w:val="23"/>
          <w:u w:val="single"/>
        </w:rPr>
        <w:t>名）</w:t>
      </w:r>
      <w:r>
        <w:rPr>
          <w:rFonts w:hint="eastAsia" w:ascii="仿宋" w:hAnsi="仿宋" w:eastAsia="仿宋" w:cs="仿宋"/>
          <w:sz w:val="23"/>
        </w:rPr>
        <w:t xml:space="preserve"> 为</w:t>
      </w:r>
      <w:r>
        <w:rPr>
          <w:rFonts w:hint="eastAsia" w:ascii="仿宋" w:hAnsi="仿宋" w:eastAsia="仿宋" w:cs="仿宋"/>
          <w:sz w:val="23"/>
          <w:u w:val="single"/>
        </w:rPr>
        <w:t>（合同工程名称）</w:t>
      </w:r>
      <w:r>
        <w:rPr>
          <w:rFonts w:hint="eastAsia" w:ascii="仿宋" w:hAnsi="仿宋" w:eastAsia="仿宋" w:cs="仿宋"/>
          <w:sz w:val="23"/>
        </w:rPr>
        <w:t>的项目经理。凡本合同执行中的有关技术、工程进度、现场管理、质量检验、结算与支付等方面工作，由 （姓名） 代表本单位全面负责。</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r>
        <w:rPr>
          <w:rFonts w:hint="eastAsia" w:ascii="仿宋" w:hAnsi="仿宋" w:eastAsia="仿宋" w:cs="仿宋"/>
          <w:sz w:val="23"/>
        </w:rPr>
        <mc:AlternateContent>
          <mc:Choice Requires="wps">
            <w:drawing>
              <wp:anchor distT="0" distB="0" distL="114300" distR="114300" simplePos="0" relativeHeight="252163072" behindDoc="1" locked="0" layoutInCell="0" allowOverlap="1">
                <wp:simplePos x="0" y="0"/>
                <wp:positionH relativeFrom="column">
                  <wp:posOffset>394335</wp:posOffset>
                </wp:positionH>
                <wp:positionV relativeFrom="paragraph">
                  <wp:posOffset>-581660</wp:posOffset>
                </wp:positionV>
                <wp:extent cx="1284605" cy="0"/>
                <wp:effectExtent l="0" t="0" r="0" b="0"/>
                <wp:wrapNone/>
                <wp:docPr id="67" name="直接连接符 67"/>
                <wp:cNvGraphicFramePr/>
                <a:graphic xmlns:a="http://schemas.openxmlformats.org/drawingml/2006/main">
                  <a:graphicData uri="http://schemas.microsoft.com/office/word/2010/wordprocessingShape">
                    <wps:wsp>
                      <wps:cNvCnPr/>
                      <wps:spPr>
                        <a:xfrm>
                          <a:off x="0" y="0"/>
                          <a:ext cx="128460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05pt;margin-top:-45.8pt;height:0pt;width:101.15pt;z-index:-251153408;mso-width-relative:page;mso-height-relative:page;" filled="f" stroked="t" coordsize="21600,21600" o:allowincell="f" o:gfxdata="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uUJog1wAAAAoBAAAPAAAA&#10;AAAAAAEAIAAAACIAAABkcnMvZG93bnJldi54bWxQSwECFAAUAAAACACHTuJAOAYKK90BAACYAwAA&#10;DgAAAAAAAAABACAAAAAmAQAAZHJzL2Uyb0RvYy54bWxQSwUGAAAAAAYABgBZAQAAdQUAAAAA&#10;">
                <v:fill on="f" focussize="0,0"/>
                <v:stroke weight="0.6pt" color="#000000" joinstyle="round"/>
                <v:imagedata o:title=""/>
                <o:lock v:ext="edit" aspectratio="f"/>
              </v:line>
            </w:pict>
          </mc:Fallback>
        </mc:AlternateContent>
      </w:r>
      <w:r>
        <w:rPr>
          <w:rFonts w:hint="eastAsia" w:ascii="仿宋" w:hAnsi="仿宋" w:eastAsia="仿宋" w:cs="仿宋"/>
          <w:sz w:val="23"/>
        </w:rPr>
        <mc:AlternateContent>
          <mc:Choice Requires="wps">
            <w:drawing>
              <wp:anchor distT="0" distB="0" distL="114300" distR="114300" simplePos="0" relativeHeight="252164096" behindDoc="1" locked="0" layoutInCell="0" allowOverlap="1">
                <wp:simplePos x="0" y="0"/>
                <wp:positionH relativeFrom="column">
                  <wp:posOffset>2441575</wp:posOffset>
                </wp:positionH>
                <wp:positionV relativeFrom="paragraph">
                  <wp:posOffset>-579755</wp:posOffset>
                </wp:positionV>
                <wp:extent cx="1187450" cy="0"/>
                <wp:effectExtent l="0" t="0" r="0" b="0"/>
                <wp:wrapNone/>
                <wp:docPr id="75" name="直接连接符 75"/>
                <wp:cNvGraphicFramePr/>
                <a:graphic xmlns:a="http://schemas.openxmlformats.org/drawingml/2006/main">
                  <a:graphicData uri="http://schemas.microsoft.com/office/word/2010/wordprocessingShape">
                    <wps:wsp>
                      <wps:cNvCnPr/>
                      <wps:spPr>
                        <a:xfrm>
                          <a:off x="0" y="0"/>
                          <a:ext cx="1187450" cy="0"/>
                        </a:xfrm>
                        <a:prstGeom prst="line">
                          <a:avLst/>
                        </a:prstGeom>
                        <a:ln w="761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2.25pt;margin-top:-45.65pt;height:0pt;width:93.5pt;z-index:-251152384;mso-width-relative:page;mso-height-relative:page;" filled="f" stroked="t" coordsize="21600,21600" o:allowincell="f" o:gfxdata="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ZRa63ZAAAACwEAAA8A&#10;AAAAAAAAAQAgAAAAIgAAAGRycy9kb3ducmV2LnhtbFBLAQIUABQAAAAIAIdO4kBhif4U3QEAAJgD&#10;AAAOAAAAAAAAAAEAIAAAACgBAABkcnMvZTJvRG9jLnhtbFBLBQYAAAAABgAGAFkBAAB3BQAAAAA=&#10;">
                <v:fill on="f" focussize="0,0"/>
                <v:stroke weight="0.59992125984252pt" color="#000000" joinstyle="round"/>
                <v:imagedata o:title=""/>
                <o:lock v:ext="edit" aspectratio="f"/>
              </v:line>
            </w:pict>
          </mc:Fallback>
        </mc:AlternateContent>
      </w:r>
      <w:r>
        <w:rPr>
          <w:rFonts w:hint="eastAsia" w:ascii="仿宋" w:hAnsi="仿宋" w:eastAsia="仿宋" w:cs="仿宋"/>
          <w:sz w:val="23"/>
        </w:rPr>
        <mc:AlternateContent>
          <mc:Choice Requires="wps">
            <w:drawing>
              <wp:anchor distT="0" distB="0" distL="114300" distR="114300" simplePos="0" relativeHeight="252165120" behindDoc="1" locked="0" layoutInCell="0" allowOverlap="1">
                <wp:simplePos x="0" y="0"/>
                <wp:positionH relativeFrom="column">
                  <wp:posOffset>4695825</wp:posOffset>
                </wp:positionH>
                <wp:positionV relativeFrom="paragraph">
                  <wp:posOffset>-579755</wp:posOffset>
                </wp:positionV>
                <wp:extent cx="816610" cy="0"/>
                <wp:effectExtent l="0" t="0" r="0" b="0"/>
                <wp:wrapNone/>
                <wp:docPr id="71" name="直接连接符 71"/>
                <wp:cNvGraphicFramePr/>
                <a:graphic xmlns:a="http://schemas.openxmlformats.org/drawingml/2006/main">
                  <a:graphicData uri="http://schemas.microsoft.com/office/word/2010/wordprocessingShape">
                    <wps:wsp>
                      <wps:cNvCnPr/>
                      <wps:spPr>
                        <a:xfrm>
                          <a:off x="0" y="0"/>
                          <a:ext cx="816610" cy="0"/>
                        </a:xfrm>
                        <a:prstGeom prst="line">
                          <a:avLst/>
                        </a:prstGeom>
                        <a:ln w="761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9.75pt;margin-top:-45.65pt;height:0pt;width:64.3pt;z-index:-251151360;mso-width-relative:page;mso-height-relative:page;" filled="f" stroked="t" coordsize="21600,21600" o:allowincell="f" o:gfxdata="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cNZ0tkAAAALAQAADwAAAAAA&#10;AAABACAAAAAiAAAAZHJzL2Rvd25yZXYueG1sUEsBAhQAFAAAAAgAh07iQKJdoNrZAQAAlwMAAA4A&#10;AAAAAAAAAQAgAAAAKAEAAGRycy9lMm9Eb2MueG1sUEsFBgAAAAAGAAYAWQEAAHMFAAAAAA==&#10;">
                <v:fill on="f" focussize="0,0"/>
                <v:stroke weight="0.59992125984252pt" color="#000000" joinstyle="round"/>
                <v:imagedata o:title=""/>
                <o:lock v:ext="edit" aspectratio="f"/>
              </v:line>
            </w:pict>
          </mc:Fallback>
        </mc:AlternateContent>
      </w:r>
      <w:r>
        <w:rPr>
          <w:rFonts w:hint="eastAsia" w:ascii="仿宋" w:hAnsi="仿宋" w:eastAsia="仿宋" w:cs="仿宋"/>
          <w:sz w:val="23"/>
        </w:rPr>
        <mc:AlternateContent>
          <mc:Choice Requires="wps">
            <w:drawing>
              <wp:anchor distT="0" distB="0" distL="114300" distR="114300" simplePos="0" relativeHeight="252166144" behindDoc="1" locked="0" layoutInCell="0" allowOverlap="1">
                <wp:simplePos x="0" y="0"/>
                <wp:positionH relativeFrom="column">
                  <wp:posOffset>3203575</wp:posOffset>
                </wp:positionH>
                <wp:positionV relativeFrom="paragraph">
                  <wp:posOffset>-73660</wp:posOffset>
                </wp:positionV>
                <wp:extent cx="838200" cy="0"/>
                <wp:effectExtent l="0" t="0" r="0" b="0"/>
                <wp:wrapNone/>
                <wp:docPr id="83" name="直接连接符 83"/>
                <wp:cNvGraphicFramePr/>
                <a:graphic xmlns:a="http://schemas.openxmlformats.org/drawingml/2006/main">
                  <a:graphicData uri="http://schemas.microsoft.com/office/word/2010/wordprocessingShape">
                    <wps:wsp>
                      <wps:cNvCnPr/>
                      <wps:spPr>
                        <a:xfrm>
                          <a:off x="0" y="0"/>
                          <a:ext cx="838200" cy="0"/>
                        </a:xfrm>
                        <a:prstGeom prst="line">
                          <a:avLst/>
                        </a:prstGeom>
                        <a:ln w="761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25pt;margin-top:-5.8pt;height:0pt;width:66pt;z-index:-251150336;mso-width-relative:page;mso-height-relative:page;" filled="f" stroked="t" coordsize="21600,21600" o:allowincell="f" o:gfxdata="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vFq8tgAAAALAQAADwAAAAAA&#10;AAABACAAAAAiAAAAZHJzL2Rvd25yZXYueG1sUEsBAhQAFAAAAAgAh07iQKGR3EPaAQAAlwMAAA4A&#10;AAAAAAAAAQAgAAAAJwEAAGRycy9lMm9Eb2MueG1sUEsFBgAAAAAGAAYAWQEAAHMFAAAAAA==&#10;">
                <v:fill on="f" focussize="0,0"/>
                <v:stroke weight="0.59992125984252pt" color="#000000" joinstyle="round"/>
                <v:imagedata o:title=""/>
                <o:lock v:ext="edit" aspectratio="f"/>
              </v:line>
            </w:pict>
          </mc:Fallback>
        </mc:AlternateContent>
      </w:r>
    </w:p>
    <w:tbl>
      <w:tblPr>
        <w:tblStyle w:val="13"/>
        <w:tblW w:w="4920" w:type="dxa"/>
        <w:tblInd w:w="3840" w:type="dxa"/>
        <w:tblLayout w:type="fixed"/>
        <w:tblCellMar>
          <w:top w:w="0" w:type="dxa"/>
          <w:left w:w="0" w:type="dxa"/>
          <w:bottom w:w="0" w:type="dxa"/>
          <w:right w:w="0" w:type="dxa"/>
        </w:tblCellMar>
      </w:tblPr>
      <w:tblGrid>
        <w:gridCol w:w="960"/>
        <w:gridCol w:w="840"/>
        <w:gridCol w:w="400"/>
        <w:gridCol w:w="80"/>
        <w:gridCol w:w="360"/>
        <w:gridCol w:w="240"/>
        <w:gridCol w:w="600"/>
        <w:gridCol w:w="240"/>
        <w:gridCol w:w="600"/>
        <w:gridCol w:w="520"/>
        <w:gridCol w:w="80"/>
      </w:tblGrid>
      <w:tr>
        <w:tblPrEx>
          <w:tblLayout w:type="fixed"/>
          <w:tblCellMar>
            <w:top w:w="0" w:type="dxa"/>
            <w:left w:w="0" w:type="dxa"/>
            <w:bottom w:w="0" w:type="dxa"/>
            <w:right w:w="0" w:type="dxa"/>
          </w:tblCellMar>
        </w:tblPrEx>
        <w:trPr>
          <w:trHeight w:val="274" w:hRule="atLeast"/>
        </w:trPr>
        <w:tc>
          <w:tcPr>
            <w:tcW w:w="2880" w:type="dxa"/>
            <w:gridSpan w:val="6"/>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承包人：</w:t>
            </w:r>
          </w:p>
        </w:tc>
        <w:tc>
          <w:tcPr>
            <w:tcW w:w="6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1440" w:type="dxa"/>
            <w:gridSpan w:val="4"/>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8"/>
                <w:sz w:val="24"/>
              </w:rPr>
            </w:pPr>
            <w:r>
              <w:rPr>
                <w:rFonts w:hint="eastAsia" w:ascii="仿宋" w:hAnsi="仿宋" w:eastAsia="仿宋" w:cs="仿宋"/>
                <w:w w:val="98"/>
                <w:sz w:val="24"/>
              </w:rPr>
              <w:t>（盖单位章）</w:t>
            </w:r>
          </w:p>
        </w:tc>
      </w:tr>
      <w:tr>
        <w:tblPrEx>
          <w:tblLayout w:type="fixed"/>
          <w:tblCellMar>
            <w:top w:w="0" w:type="dxa"/>
            <w:left w:w="0" w:type="dxa"/>
            <w:bottom w:w="0" w:type="dxa"/>
            <w:right w:w="0" w:type="dxa"/>
          </w:tblCellMar>
        </w:tblPrEx>
        <w:trPr>
          <w:trHeight w:val="20" w:hRule="atLeast"/>
        </w:trPr>
        <w:tc>
          <w:tcPr>
            <w:tcW w:w="9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81" w:hRule="atLeast"/>
        </w:trPr>
        <w:tc>
          <w:tcPr>
            <w:tcW w:w="2880" w:type="dxa"/>
            <w:gridSpan w:val="6"/>
            <w:noWrap w:val="0"/>
            <w:vAlign w:val="bottom"/>
          </w:tcPr>
          <w:p>
            <w:pPr>
              <w:keepNext w:val="0"/>
              <w:keepLines w:val="0"/>
              <w:pageBreakBefore w:val="0"/>
              <w:widowControl/>
              <w:kinsoku/>
              <w:wordWrap/>
              <w:overflowPunct/>
              <w:topLinePunct w:val="0"/>
              <w:autoSpaceDE/>
              <w:autoSpaceDN/>
              <w:bidi w:val="0"/>
              <w:spacing w:line="240" w:lineRule="auto"/>
              <w:ind w:left="760"/>
              <w:textAlignment w:val="auto"/>
              <w:rPr>
                <w:rFonts w:hint="eastAsia" w:ascii="仿宋" w:hAnsi="仿宋" w:eastAsia="仿宋" w:cs="仿宋"/>
                <w:sz w:val="24"/>
              </w:rPr>
            </w:pPr>
            <w:r>
              <w:rPr>
                <w:rFonts w:hint="eastAsia" w:ascii="仿宋" w:hAnsi="仿宋" w:eastAsia="仿宋" w:cs="仿宋"/>
                <w:sz w:val="24"/>
              </w:rPr>
              <w:t>法定代表人：</w:t>
            </w:r>
          </w:p>
        </w:tc>
        <w:tc>
          <w:tcPr>
            <w:tcW w:w="1440" w:type="dxa"/>
            <w:gridSpan w:val="3"/>
            <w:noWrap w:val="0"/>
            <w:vAlign w:val="bottom"/>
          </w:tcPr>
          <w:p>
            <w:pPr>
              <w:keepNext w:val="0"/>
              <w:keepLines w:val="0"/>
              <w:pageBreakBefore w:val="0"/>
              <w:widowControl/>
              <w:kinsoku/>
              <w:wordWrap/>
              <w:overflowPunct/>
              <w:topLinePunct w:val="0"/>
              <w:autoSpaceDE/>
              <w:autoSpaceDN/>
              <w:bidi w:val="0"/>
              <w:spacing w:line="240" w:lineRule="auto"/>
              <w:ind w:left="160"/>
              <w:textAlignment w:val="auto"/>
              <w:rPr>
                <w:rFonts w:hint="eastAsia" w:ascii="仿宋" w:hAnsi="仿宋" w:eastAsia="仿宋" w:cs="仿宋"/>
                <w:sz w:val="24"/>
              </w:rPr>
            </w:pPr>
            <w:r>
              <w:rPr>
                <w:rFonts w:hint="eastAsia" w:ascii="仿宋" w:hAnsi="仿宋" w:eastAsia="仿宋" w:cs="仿宋"/>
                <w:sz w:val="24"/>
              </w:rPr>
              <w:t>（职务）</w:t>
            </w:r>
          </w:p>
        </w:tc>
        <w:tc>
          <w:tcPr>
            <w:tcW w:w="5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381" w:hRule="atLeast"/>
        </w:trPr>
        <w:tc>
          <w:tcPr>
            <w:tcW w:w="9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6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440" w:type="dxa"/>
            <w:gridSpan w:val="3"/>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9"/>
                <w:sz w:val="24"/>
              </w:rPr>
            </w:pPr>
            <w:r>
              <w:rPr>
                <w:rFonts w:hint="eastAsia" w:ascii="仿宋" w:hAnsi="仿宋" w:eastAsia="仿宋" w:cs="仿宋"/>
                <w:w w:val="99"/>
                <w:sz w:val="24"/>
              </w:rPr>
              <w:t>（姓名）</w:t>
            </w:r>
          </w:p>
        </w:tc>
        <w:tc>
          <w:tcPr>
            <w:tcW w:w="520" w:type="dxa"/>
            <w:tcBorders>
              <w:top w:val="single" w:color="auto" w:sz="8" w:space="0"/>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381" w:hRule="atLeast"/>
        </w:trPr>
        <w:tc>
          <w:tcPr>
            <w:tcW w:w="9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440" w:type="dxa"/>
            <w:gridSpan w:val="3"/>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9"/>
                <w:sz w:val="24"/>
              </w:rPr>
            </w:pPr>
            <w:r>
              <w:rPr>
                <w:rFonts w:hint="eastAsia" w:ascii="仿宋" w:hAnsi="仿宋" w:eastAsia="仿宋" w:cs="仿宋"/>
                <w:w w:val="99"/>
                <w:sz w:val="24"/>
              </w:rPr>
              <w:t>（签字）</w:t>
            </w:r>
          </w:p>
        </w:tc>
        <w:tc>
          <w:tcPr>
            <w:tcW w:w="5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376" w:hRule="atLeast"/>
        </w:trPr>
        <w:tc>
          <w:tcPr>
            <w:tcW w:w="9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1"/>
                <w:sz w:val="24"/>
              </w:rPr>
            </w:pPr>
            <w:r>
              <w:rPr>
                <w:rFonts w:hint="eastAsia" w:ascii="仿宋" w:hAnsi="仿宋" w:eastAsia="仿宋" w:cs="仿宋"/>
                <w:w w:val="91"/>
                <w:sz w:val="24"/>
              </w:rPr>
              <w:t>年</w:t>
            </w:r>
          </w:p>
        </w:tc>
        <w:tc>
          <w:tcPr>
            <w:tcW w:w="6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40" w:type="dxa"/>
            <w:gridSpan w:val="2"/>
            <w:noWrap w:val="0"/>
            <w:vAlign w:val="bottom"/>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w w:val="99"/>
                <w:sz w:val="24"/>
              </w:rPr>
            </w:pPr>
            <w:r>
              <w:rPr>
                <w:rFonts w:hint="eastAsia" w:ascii="仿宋" w:hAnsi="仿宋" w:eastAsia="仿宋" w:cs="仿宋"/>
                <w:w w:val="99"/>
                <w:sz w:val="24"/>
              </w:rPr>
              <w:t>月</w:t>
            </w:r>
          </w:p>
        </w:tc>
        <w:tc>
          <w:tcPr>
            <w:tcW w:w="60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日</w:t>
            </w:r>
          </w:p>
        </w:tc>
      </w:tr>
      <w:tr>
        <w:tblPrEx>
          <w:tblLayout w:type="fixed"/>
          <w:tblCellMar>
            <w:top w:w="0" w:type="dxa"/>
            <w:left w:w="0" w:type="dxa"/>
            <w:bottom w:w="0" w:type="dxa"/>
            <w:right w:w="0" w:type="dxa"/>
          </w:tblCellMar>
        </w:tblPrEx>
        <w:trPr>
          <w:trHeight w:val="20" w:hRule="atLeast"/>
        </w:trPr>
        <w:tc>
          <w:tcPr>
            <w:tcW w:w="9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bl>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tabs>
          <w:tab w:val="left" w:pos="940"/>
        </w:tabs>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抄送：</w:t>
      </w:r>
      <w:r>
        <w:rPr>
          <w:rFonts w:hint="eastAsia" w:ascii="仿宋" w:hAnsi="仿宋" w:eastAsia="仿宋" w:cs="仿宋"/>
        </w:rPr>
        <w:tab/>
      </w:r>
      <w:r>
        <w:rPr>
          <w:rFonts w:hint="eastAsia" w:ascii="仿宋" w:hAnsi="仿宋" w:eastAsia="仿宋" w:cs="仿宋"/>
          <w:sz w:val="24"/>
        </w:rPr>
        <w:t>（监理人）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r>
        <w:rPr>
          <w:rFonts w:hint="eastAsia" w:ascii="仿宋" w:hAnsi="仿宋" w:eastAsia="仿宋" w:cs="仿宋"/>
          <w:sz w:val="24"/>
        </w:rPr>
        <mc:AlternateContent>
          <mc:Choice Requires="wps">
            <w:drawing>
              <wp:anchor distT="0" distB="0" distL="114300" distR="114300" simplePos="0" relativeHeight="252167168" behindDoc="1" locked="0" layoutInCell="0" allowOverlap="1">
                <wp:simplePos x="0" y="0"/>
                <wp:positionH relativeFrom="column">
                  <wp:posOffset>459740</wp:posOffset>
                </wp:positionH>
                <wp:positionV relativeFrom="paragraph">
                  <wp:posOffset>3175</wp:posOffset>
                </wp:positionV>
                <wp:extent cx="1066800" cy="0"/>
                <wp:effectExtent l="0" t="0" r="0" b="0"/>
                <wp:wrapNone/>
                <wp:docPr id="82" name="直接连接符 82"/>
                <wp:cNvGraphicFramePr/>
                <a:graphic xmlns:a="http://schemas.openxmlformats.org/drawingml/2006/main">
                  <a:graphicData uri="http://schemas.microsoft.com/office/word/2010/wordprocessingShape">
                    <wps:wsp>
                      <wps:cNvCnPr/>
                      <wps:spPr>
                        <a:xfrm>
                          <a:off x="0" y="0"/>
                          <a:ext cx="1066800" cy="0"/>
                        </a:xfrm>
                        <a:prstGeom prst="line">
                          <a:avLst/>
                        </a:prstGeom>
                        <a:ln w="761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2pt;margin-top:0.25pt;height:0pt;width:84pt;z-index:-251149312;mso-width-relative:page;mso-height-relative:page;" filled="f" stroked="t" coordsize="21600,21600" o:allowincell="f" o:gfxdata="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1CH13SAAAABAEAAA8AAAAAAAAAAQAg&#10;AAAAIgAAAGRycy9kb3ducmV2LnhtbFBLAQIUABQAAAAIAIdO4kCQnC1E2wEAAJgDAAAOAAAAAAAA&#10;AAEAIAAAACEBAABkcnMvZTJvRG9jLnhtbFBLBQYAAAAABgAGAFkBAABuBQAAAAA=&#10;">
                <v:fill on="f" focussize="0,0"/>
                <v:stroke weight="0.59992125984252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8"/>
        </w:rPr>
        <w:sectPr>
          <w:pgSz w:w="11900" w:h="16841"/>
          <w:pgMar w:top="851" w:right="1500" w:bottom="610" w:left="1640" w:header="567" w:footer="567" w:gutter="0"/>
          <w:cols w:space="720" w:num="1"/>
          <w:docGrid w:linePitch="360" w:charSpace="0"/>
        </w:sect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bookmarkStart w:id="87" w:name="page170"/>
      <w:bookmarkEnd w:id="87"/>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附件七 履约保证金格式如采用银行保函，格式如下。</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3640"/>
        <w:textAlignment w:val="auto"/>
        <w:rPr>
          <w:rFonts w:hint="eastAsia" w:ascii="仿宋" w:hAnsi="仿宋" w:eastAsia="仿宋" w:cs="仿宋"/>
          <w:sz w:val="28"/>
        </w:rPr>
      </w:pPr>
      <w:r>
        <w:rPr>
          <w:rFonts w:hint="eastAsia" w:ascii="仿宋" w:hAnsi="仿宋" w:eastAsia="仿宋" w:cs="仿宋"/>
          <w:sz w:val="28"/>
        </w:rPr>
        <w:t>履约保证金</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tbl>
      <w:tblPr>
        <w:tblStyle w:val="13"/>
        <w:tblW w:w="8680" w:type="dxa"/>
        <w:tblInd w:w="0" w:type="dxa"/>
        <w:tblLayout w:type="fixed"/>
        <w:tblCellMar>
          <w:top w:w="0" w:type="dxa"/>
          <w:left w:w="0" w:type="dxa"/>
          <w:bottom w:w="0" w:type="dxa"/>
          <w:right w:w="0" w:type="dxa"/>
        </w:tblCellMar>
      </w:tblPr>
      <w:tblGrid>
        <w:gridCol w:w="120"/>
        <w:gridCol w:w="360"/>
        <w:gridCol w:w="600"/>
        <w:gridCol w:w="620"/>
        <w:gridCol w:w="640"/>
        <w:gridCol w:w="660"/>
        <w:gridCol w:w="420"/>
        <w:gridCol w:w="180"/>
        <w:gridCol w:w="600"/>
        <w:gridCol w:w="240"/>
        <w:gridCol w:w="500"/>
        <w:gridCol w:w="240"/>
        <w:gridCol w:w="160"/>
        <w:gridCol w:w="320"/>
        <w:gridCol w:w="400"/>
        <w:gridCol w:w="320"/>
        <w:gridCol w:w="880"/>
        <w:gridCol w:w="360"/>
        <w:gridCol w:w="100"/>
        <w:gridCol w:w="500"/>
        <w:gridCol w:w="460"/>
      </w:tblGrid>
      <w:tr>
        <w:tblPrEx>
          <w:tblLayout w:type="fixed"/>
          <w:tblCellMar>
            <w:top w:w="0" w:type="dxa"/>
            <w:left w:w="0" w:type="dxa"/>
            <w:bottom w:w="0" w:type="dxa"/>
            <w:right w:w="0" w:type="dxa"/>
          </w:tblCellMar>
        </w:tblPrEx>
        <w:trPr>
          <w:trHeight w:val="274" w:hRule="atLeast"/>
        </w:trPr>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3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6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6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6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1860" w:type="dxa"/>
            <w:gridSpan w:val="4"/>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5"/>
                <w:sz w:val="24"/>
              </w:rPr>
            </w:pPr>
            <w:r>
              <w:rPr>
                <w:rFonts w:hint="eastAsia" w:ascii="仿宋" w:hAnsi="仿宋" w:eastAsia="仿宋" w:cs="仿宋"/>
                <w:w w:val="95"/>
                <w:sz w:val="24"/>
              </w:rPr>
              <w:t>（发包人名称）：</w:t>
            </w: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5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1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3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4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3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8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5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c>
          <w:tcPr>
            <w:tcW w:w="4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3"/>
              </w:rPr>
            </w:pPr>
          </w:p>
        </w:tc>
      </w:tr>
      <w:tr>
        <w:tblPrEx>
          <w:tblLayout w:type="fixed"/>
          <w:tblCellMar>
            <w:top w:w="0" w:type="dxa"/>
            <w:left w:w="0" w:type="dxa"/>
            <w:bottom w:w="0" w:type="dxa"/>
            <w:right w:w="0" w:type="dxa"/>
          </w:tblCellMar>
        </w:tblPrEx>
        <w:trPr>
          <w:trHeight w:val="780" w:hRule="atLeast"/>
        </w:trPr>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0" w:type="dxa"/>
            <w:noWrap w:val="0"/>
            <w:vAlign w:val="bottom"/>
          </w:tcPr>
          <w:p>
            <w:pPr>
              <w:keepNext w:val="0"/>
              <w:keepLines w:val="0"/>
              <w:pageBreakBefore w:val="0"/>
              <w:widowControl/>
              <w:kinsoku/>
              <w:wordWrap/>
              <w:overflowPunct/>
              <w:topLinePunct w:val="0"/>
              <w:autoSpaceDE/>
              <w:autoSpaceDN/>
              <w:bidi w:val="0"/>
              <w:spacing w:line="240" w:lineRule="auto"/>
              <w:ind w:left="120"/>
              <w:textAlignment w:val="auto"/>
              <w:rPr>
                <w:rFonts w:hint="eastAsia" w:ascii="仿宋" w:hAnsi="仿宋" w:eastAsia="仿宋" w:cs="仿宋"/>
                <w:w w:val="95"/>
                <w:sz w:val="24"/>
              </w:rPr>
            </w:pPr>
            <w:r>
              <w:rPr>
                <w:rFonts w:hint="eastAsia" w:ascii="仿宋" w:hAnsi="仿宋" w:eastAsia="仿宋" w:cs="仿宋"/>
                <w:w w:val="95"/>
                <w:sz w:val="24"/>
              </w:rPr>
              <w:t>鉴于</w:t>
            </w:r>
          </w:p>
        </w:tc>
        <w:tc>
          <w:tcPr>
            <w:tcW w:w="6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920" w:type="dxa"/>
            <w:gridSpan w:val="12"/>
            <w:noWrap w:val="0"/>
            <w:vAlign w:val="bottom"/>
          </w:tcPr>
          <w:p>
            <w:pPr>
              <w:keepNext w:val="0"/>
              <w:keepLines w:val="0"/>
              <w:pageBreakBefore w:val="0"/>
              <w:widowControl/>
              <w:kinsoku/>
              <w:wordWrap/>
              <w:overflowPunct/>
              <w:topLinePunct w:val="0"/>
              <w:autoSpaceDE/>
              <w:autoSpaceDN/>
              <w:bidi w:val="0"/>
              <w:spacing w:line="240" w:lineRule="auto"/>
              <w:ind w:left="660"/>
              <w:textAlignment w:val="auto"/>
              <w:rPr>
                <w:rFonts w:hint="eastAsia" w:ascii="仿宋" w:hAnsi="仿宋" w:eastAsia="仿宋" w:cs="仿宋"/>
                <w:w w:val="98"/>
                <w:sz w:val="24"/>
              </w:rPr>
            </w:pPr>
            <w:r>
              <w:rPr>
                <w:rFonts w:hint="eastAsia" w:ascii="仿宋" w:hAnsi="仿宋" w:eastAsia="仿宋" w:cs="仿宋"/>
                <w:w w:val="98"/>
                <w:sz w:val="24"/>
              </w:rPr>
              <w:t>（发包人名称，以下简称“发包人”）接受</w:t>
            </w: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960" w:type="dxa"/>
            <w:gridSpan w:val="2"/>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sz w:val="24"/>
              </w:rPr>
            </w:pPr>
            <w:r>
              <w:rPr>
                <w:rFonts w:hint="eastAsia" w:ascii="仿宋" w:hAnsi="仿宋" w:eastAsia="仿宋" w:cs="仿宋"/>
                <w:sz w:val="24"/>
              </w:rPr>
              <w:t>（承</w:t>
            </w:r>
          </w:p>
        </w:tc>
      </w:tr>
      <w:tr>
        <w:tblPrEx>
          <w:tblLayout w:type="fixed"/>
          <w:tblCellMar>
            <w:top w:w="0" w:type="dxa"/>
            <w:left w:w="0" w:type="dxa"/>
            <w:bottom w:w="0" w:type="dxa"/>
            <w:right w:w="0" w:type="dxa"/>
          </w:tblCellMar>
        </w:tblPrEx>
        <w:trPr>
          <w:trHeight w:val="20" w:hRule="atLeast"/>
        </w:trPr>
        <w:tc>
          <w:tcPr>
            <w:tcW w:w="48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30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81" w:hRule="atLeast"/>
        </w:trPr>
        <w:tc>
          <w:tcPr>
            <w:tcW w:w="4200" w:type="dxa"/>
            <w:gridSpan w:val="9"/>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包人名称，以下简称“承包人”）于</w:t>
            </w: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1"/>
                <w:sz w:val="24"/>
              </w:rPr>
            </w:pPr>
            <w:r>
              <w:rPr>
                <w:rFonts w:hint="eastAsia" w:ascii="仿宋" w:hAnsi="仿宋" w:eastAsia="仿宋" w:cs="仿宋"/>
                <w:w w:val="91"/>
                <w:sz w:val="24"/>
              </w:rPr>
              <w:t>年</w:t>
            </w:r>
          </w:p>
        </w:tc>
        <w:tc>
          <w:tcPr>
            <w:tcW w:w="740" w:type="dxa"/>
            <w:gridSpan w:val="2"/>
            <w:noWrap w:val="0"/>
            <w:vAlign w:val="bottom"/>
          </w:tcPr>
          <w:p>
            <w:pPr>
              <w:keepNext w:val="0"/>
              <w:keepLines w:val="0"/>
              <w:pageBreakBefore w:val="0"/>
              <w:widowControl/>
              <w:kinsoku/>
              <w:wordWrap/>
              <w:overflowPunct/>
              <w:topLinePunct w:val="0"/>
              <w:autoSpaceDE/>
              <w:autoSpaceDN/>
              <w:bidi w:val="0"/>
              <w:spacing w:line="240" w:lineRule="auto"/>
              <w:ind w:left="500"/>
              <w:textAlignment w:val="auto"/>
              <w:rPr>
                <w:rFonts w:hint="eastAsia" w:ascii="仿宋" w:hAnsi="仿宋" w:eastAsia="仿宋" w:cs="仿宋"/>
                <w:w w:val="91"/>
                <w:sz w:val="24"/>
              </w:rPr>
            </w:pPr>
            <w:r>
              <w:rPr>
                <w:rFonts w:hint="eastAsia" w:ascii="仿宋" w:hAnsi="仿宋" w:eastAsia="仿宋" w:cs="仿宋"/>
                <w:w w:val="91"/>
                <w:sz w:val="24"/>
              </w:rPr>
              <w:t>月</w:t>
            </w:r>
          </w:p>
        </w:tc>
        <w:tc>
          <w:tcPr>
            <w:tcW w:w="1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600" w:type="dxa"/>
            <w:gridSpan w:val="3"/>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日参加</w:t>
            </w: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960" w:type="dxa"/>
            <w:gridSpan w:val="2"/>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7"/>
                <w:sz w:val="24"/>
              </w:rPr>
            </w:pPr>
            <w:r>
              <w:rPr>
                <w:rFonts w:hint="eastAsia" w:ascii="仿宋" w:hAnsi="仿宋" w:eastAsia="仿宋" w:cs="仿宋"/>
                <w:w w:val="97"/>
                <w:sz w:val="24"/>
              </w:rPr>
              <w:t>（项目名</w:t>
            </w:r>
          </w:p>
        </w:tc>
      </w:tr>
      <w:tr>
        <w:tblPrEx>
          <w:tblLayout w:type="fixed"/>
          <w:tblCellMar>
            <w:top w:w="0" w:type="dxa"/>
            <w:left w:w="0" w:type="dxa"/>
            <w:bottom w:w="0" w:type="dxa"/>
            <w:right w:w="0" w:type="dxa"/>
          </w:tblCellMar>
        </w:tblPrEx>
        <w:trPr>
          <w:trHeight w:val="20" w:hRule="atLeast"/>
        </w:trPr>
        <w:tc>
          <w:tcPr>
            <w:tcW w:w="48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720" w:type="dxa"/>
            <w:gridSpan w:val="3"/>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4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81" w:hRule="atLeast"/>
        </w:trPr>
        <w:tc>
          <w:tcPr>
            <w:tcW w:w="1080" w:type="dxa"/>
            <w:gridSpan w:val="3"/>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称）</w:t>
            </w:r>
          </w:p>
        </w:tc>
        <w:tc>
          <w:tcPr>
            <w:tcW w:w="6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980" w:type="dxa"/>
            <w:gridSpan w:val="17"/>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9"/>
                <w:sz w:val="24"/>
              </w:rPr>
            </w:pPr>
            <w:r>
              <w:rPr>
                <w:rFonts w:hint="eastAsia" w:ascii="仿宋" w:hAnsi="仿宋" w:eastAsia="仿宋" w:cs="仿宋"/>
                <w:w w:val="99"/>
                <w:sz w:val="24"/>
              </w:rPr>
              <w:t>标段施工的投标。我方愿意无条件地、不可撤销地就承包人履行与</w:t>
            </w:r>
          </w:p>
        </w:tc>
      </w:tr>
      <w:tr>
        <w:tblPrEx>
          <w:tblLayout w:type="fixed"/>
          <w:tblCellMar>
            <w:top w:w="0" w:type="dxa"/>
            <w:left w:w="0" w:type="dxa"/>
            <w:bottom w:w="0" w:type="dxa"/>
            <w:right w:w="0" w:type="dxa"/>
          </w:tblCellMar>
        </w:tblPrEx>
        <w:trPr>
          <w:trHeight w:val="20" w:hRule="atLeast"/>
        </w:trPr>
        <w:tc>
          <w:tcPr>
            <w:tcW w:w="48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2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720" w:type="dxa"/>
            <w:gridSpan w:val="3"/>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84" w:hRule="atLeast"/>
        </w:trPr>
        <w:tc>
          <w:tcPr>
            <w:tcW w:w="4200" w:type="dxa"/>
            <w:gridSpan w:val="9"/>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你方订立的合同，向你方提供担保。</w:t>
            </w: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395" w:hRule="atLeast"/>
        </w:trPr>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720" w:type="dxa"/>
            <w:gridSpan w:val="7"/>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1. 担保金额人民币（大写）</w:t>
            </w: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920" w:type="dxa"/>
            <w:gridSpan w:val="4"/>
            <w:noWrap w:val="0"/>
            <w:vAlign w:val="bottom"/>
          </w:tcPr>
          <w:p>
            <w:pPr>
              <w:keepNext w:val="0"/>
              <w:keepLines w:val="0"/>
              <w:pageBreakBefore w:val="0"/>
              <w:widowControl/>
              <w:kinsoku/>
              <w:wordWrap/>
              <w:overflowPunct/>
              <w:topLinePunct w:val="0"/>
              <w:autoSpaceDE/>
              <w:autoSpaceDN/>
              <w:bidi w:val="0"/>
              <w:spacing w:line="240" w:lineRule="auto"/>
              <w:ind w:left="120"/>
              <w:textAlignment w:val="auto"/>
              <w:rPr>
                <w:rFonts w:hint="eastAsia" w:ascii="仿宋" w:hAnsi="仿宋" w:eastAsia="仿宋" w:cs="仿宋"/>
                <w:sz w:val="24"/>
              </w:rPr>
            </w:pPr>
            <w:r>
              <w:rPr>
                <w:rFonts w:hint="eastAsia" w:ascii="仿宋" w:hAnsi="仿宋" w:eastAsia="仿宋" w:cs="仿宋"/>
                <w:sz w:val="24"/>
              </w:rPr>
              <w:t>元（¥</w:t>
            </w: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60" w:type="dxa"/>
            <w:gridSpan w:val="3"/>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70"/>
                <w:sz w:val="24"/>
              </w:rPr>
            </w:pPr>
            <w:r>
              <w:rPr>
                <w:rFonts w:hint="eastAsia" w:ascii="仿宋" w:hAnsi="仿宋" w:eastAsia="仿宋" w:cs="仿宋"/>
                <w:w w:val="70"/>
                <w:sz w:val="24"/>
              </w:rPr>
              <w:t>）。</w:t>
            </w:r>
          </w:p>
        </w:tc>
      </w:tr>
      <w:tr>
        <w:tblPrEx>
          <w:tblLayout w:type="fixed"/>
          <w:tblCellMar>
            <w:top w:w="0" w:type="dxa"/>
            <w:left w:w="0" w:type="dxa"/>
            <w:bottom w:w="0" w:type="dxa"/>
            <w:right w:w="0" w:type="dxa"/>
          </w:tblCellMar>
        </w:tblPrEx>
        <w:trPr>
          <w:trHeight w:val="20" w:hRule="atLeast"/>
        </w:trPr>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bl>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79"/>
        </w:numPr>
        <w:tabs>
          <w:tab w:val="left" w:pos="787"/>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担保有效期自发包人与承包人签订的合同生效之日起至发包人签发交工验收证书且承包人按照合同约定缴纳质量保证金之日止。</w:t>
      </w:r>
      <w:r>
        <w:rPr>
          <w:rFonts w:hint="eastAsia" w:ascii="仿宋" w:hAnsi="仿宋" w:eastAsia="仿宋" w:cs="仿宋"/>
          <w:sz w:val="27"/>
          <w:vertAlign w:val="superscript"/>
        </w:rPr>
        <w:t>①</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79"/>
        </w:numPr>
        <w:tabs>
          <w:tab w:val="left" w:pos="780"/>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在本担保有效期内，因承包人违反合同约定的义务给你方造成经济损失时，我方在收到你方以书面形式提出的在担保金额内的赔偿要求后，在 7 日内无条件支付，无须你方出具证明或陈述理由。</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79"/>
        </w:numPr>
        <w:tabs>
          <w:tab w:val="left" w:pos="780"/>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发包人和承包人按合同条款第 15 条变更合同时，无论我方是否收到该变更，我方承担本担保规定的义务不变。</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tbl>
      <w:tblPr>
        <w:tblStyle w:val="13"/>
        <w:tblW w:w="5300" w:type="dxa"/>
        <w:tblInd w:w="3500" w:type="dxa"/>
        <w:tblLayout w:type="fixed"/>
        <w:tblCellMar>
          <w:top w:w="0" w:type="dxa"/>
          <w:left w:w="0" w:type="dxa"/>
          <w:bottom w:w="0" w:type="dxa"/>
          <w:right w:w="0" w:type="dxa"/>
        </w:tblCellMar>
      </w:tblPr>
      <w:tblGrid>
        <w:gridCol w:w="480"/>
        <w:gridCol w:w="720"/>
        <w:gridCol w:w="140"/>
        <w:gridCol w:w="720"/>
        <w:gridCol w:w="840"/>
        <w:gridCol w:w="180"/>
        <w:gridCol w:w="180"/>
        <w:gridCol w:w="720"/>
        <w:gridCol w:w="360"/>
        <w:gridCol w:w="60"/>
        <w:gridCol w:w="500"/>
        <w:gridCol w:w="40"/>
        <w:gridCol w:w="100"/>
        <w:gridCol w:w="260"/>
      </w:tblGrid>
      <w:tr>
        <w:tblPrEx>
          <w:tblLayout w:type="fixed"/>
          <w:tblCellMar>
            <w:top w:w="0" w:type="dxa"/>
            <w:left w:w="0" w:type="dxa"/>
            <w:bottom w:w="0" w:type="dxa"/>
            <w:right w:w="0" w:type="dxa"/>
          </w:tblCellMar>
        </w:tblPrEx>
        <w:trPr>
          <w:trHeight w:val="274" w:hRule="atLeast"/>
        </w:trPr>
        <w:tc>
          <w:tcPr>
            <w:tcW w:w="3260" w:type="dxa"/>
            <w:gridSpan w:val="7"/>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担保人名称：</w:t>
            </w:r>
          </w:p>
        </w:tc>
        <w:tc>
          <w:tcPr>
            <w:tcW w:w="2040" w:type="dxa"/>
            <w:gridSpan w:val="7"/>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sz w:val="24"/>
              </w:rPr>
            </w:pPr>
            <w:r>
              <w:rPr>
                <w:rFonts w:hint="eastAsia" w:ascii="仿宋" w:hAnsi="仿宋" w:eastAsia="仿宋" w:cs="仿宋"/>
                <w:sz w:val="24"/>
              </w:rPr>
              <w:t>（盖单位章）</w:t>
            </w:r>
          </w:p>
        </w:tc>
      </w:tr>
      <w:tr>
        <w:tblPrEx>
          <w:tblLayout w:type="fixed"/>
          <w:tblCellMar>
            <w:top w:w="0" w:type="dxa"/>
            <w:left w:w="0" w:type="dxa"/>
            <w:bottom w:w="0" w:type="dxa"/>
            <w:right w:w="0" w:type="dxa"/>
          </w:tblCellMar>
        </w:tblPrEx>
        <w:trPr>
          <w:trHeight w:val="20" w:hRule="atLeast"/>
        </w:trPr>
        <w:tc>
          <w:tcPr>
            <w:tcW w:w="120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78" w:hRule="atLeast"/>
        </w:trPr>
        <w:tc>
          <w:tcPr>
            <w:tcW w:w="3260" w:type="dxa"/>
            <w:gridSpan w:val="7"/>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法定代表人或其委托代理人：</w:t>
            </w:r>
          </w:p>
        </w:tc>
        <w:tc>
          <w:tcPr>
            <w:tcW w:w="7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960" w:type="dxa"/>
            <w:gridSpan w:val="5"/>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7"/>
                <w:sz w:val="24"/>
              </w:rPr>
            </w:pPr>
            <w:r>
              <w:rPr>
                <w:rFonts w:hint="eastAsia" w:ascii="仿宋" w:hAnsi="仿宋" w:eastAsia="仿宋" w:cs="仿宋"/>
                <w:w w:val="97"/>
                <w:sz w:val="24"/>
              </w:rPr>
              <w:t>（签字）</w:t>
            </w:r>
          </w:p>
        </w:tc>
      </w:tr>
      <w:tr>
        <w:tblPrEx>
          <w:tblLayout w:type="fixed"/>
          <w:tblCellMar>
            <w:top w:w="0" w:type="dxa"/>
            <w:left w:w="0" w:type="dxa"/>
            <w:bottom w:w="0" w:type="dxa"/>
            <w:right w:w="0" w:type="dxa"/>
          </w:tblCellMar>
        </w:tblPrEx>
        <w:trPr>
          <w:trHeight w:val="381" w:hRule="atLeast"/>
        </w:trPr>
        <w:tc>
          <w:tcPr>
            <w:tcW w:w="4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地</w:t>
            </w:r>
          </w:p>
        </w:tc>
        <w:tc>
          <w:tcPr>
            <w:tcW w:w="2600" w:type="dxa"/>
            <w:gridSpan w:val="5"/>
            <w:noWrap w:val="0"/>
            <w:vAlign w:val="bottom"/>
          </w:tcPr>
          <w:p>
            <w:pPr>
              <w:keepNext w:val="0"/>
              <w:keepLines w:val="0"/>
              <w:pageBreakBefore w:val="0"/>
              <w:widowControl/>
              <w:kinsoku/>
              <w:wordWrap/>
              <w:overflowPunct/>
              <w:topLinePunct w:val="0"/>
              <w:autoSpaceDE/>
              <w:autoSpaceDN/>
              <w:bidi w:val="0"/>
              <w:spacing w:line="240" w:lineRule="auto"/>
              <w:ind w:left="240"/>
              <w:textAlignment w:val="auto"/>
              <w:rPr>
                <w:rFonts w:hint="eastAsia" w:ascii="仿宋" w:hAnsi="仿宋" w:eastAsia="仿宋" w:cs="仿宋"/>
                <w:sz w:val="24"/>
              </w:rPr>
            </w:pPr>
            <w:r>
              <w:rPr>
                <w:rFonts w:hint="eastAsia" w:ascii="仿宋" w:hAnsi="仿宋" w:eastAsia="仿宋" w:cs="仿宋"/>
                <w:sz w:val="24"/>
              </w:rPr>
              <w:t>址：</w:t>
            </w:r>
          </w:p>
        </w:tc>
        <w:tc>
          <w:tcPr>
            <w:tcW w:w="18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72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6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120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6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81" w:hRule="atLeast"/>
        </w:trPr>
        <w:tc>
          <w:tcPr>
            <w:tcW w:w="3260" w:type="dxa"/>
            <w:gridSpan w:val="7"/>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邮政编码：</w:t>
            </w:r>
          </w:p>
        </w:tc>
        <w:tc>
          <w:tcPr>
            <w:tcW w:w="7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4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6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78" w:hRule="atLeast"/>
        </w:trPr>
        <w:tc>
          <w:tcPr>
            <w:tcW w:w="4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电</w:t>
            </w:r>
          </w:p>
        </w:tc>
        <w:tc>
          <w:tcPr>
            <w:tcW w:w="2780" w:type="dxa"/>
            <w:gridSpan w:val="6"/>
            <w:noWrap w:val="0"/>
            <w:vAlign w:val="bottom"/>
          </w:tcPr>
          <w:p>
            <w:pPr>
              <w:keepNext w:val="0"/>
              <w:keepLines w:val="0"/>
              <w:pageBreakBefore w:val="0"/>
              <w:widowControl/>
              <w:kinsoku/>
              <w:wordWrap/>
              <w:overflowPunct/>
              <w:topLinePunct w:val="0"/>
              <w:autoSpaceDE/>
              <w:autoSpaceDN/>
              <w:bidi w:val="0"/>
              <w:spacing w:line="240" w:lineRule="auto"/>
              <w:ind w:left="240"/>
              <w:textAlignment w:val="auto"/>
              <w:rPr>
                <w:rFonts w:hint="eastAsia" w:ascii="仿宋" w:hAnsi="仿宋" w:eastAsia="仿宋" w:cs="仿宋"/>
                <w:sz w:val="24"/>
              </w:rPr>
            </w:pPr>
            <w:r>
              <w:rPr>
                <w:rFonts w:hint="eastAsia" w:ascii="仿宋" w:hAnsi="仿宋" w:eastAsia="仿宋" w:cs="仿宋"/>
                <w:sz w:val="24"/>
              </w:rPr>
              <w:t>话：</w:t>
            </w:r>
          </w:p>
        </w:tc>
        <w:tc>
          <w:tcPr>
            <w:tcW w:w="7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4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6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81" w:hRule="atLeast"/>
        </w:trPr>
        <w:tc>
          <w:tcPr>
            <w:tcW w:w="4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传</w:t>
            </w:r>
          </w:p>
        </w:tc>
        <w:tc>
          <w:tcPr>
            <w:tcW w:w="2780" w:type="dxa"/>
            <w:gridSpan w:val="6"/>
            <w:noWrap w:val="0"/>
            <w:vAlign w:val="bottom"/>
          </w:tcPr>
          <w:p>
            <w:pPr>
              <w:keepNext w:val="0"/>
              <w:keepLines w:val="0"/>
              <w:pageBreakBefore w:val="0"/>
              <w:widowControl/>
              <w:kinsoku/>
              <w:wordWrap/>
              <w:overflowPunct/>
              <w:topLinePunct w:val="0"/>
              <w:autoSpaceDE/>
              <w:autoSpaceDN/>
              <w:bidi w:val="0"/>
              <w:spacing w:line="240" w:lineRule="auto"/>
              <w:ind w:left="240"/>
              <w:textAlignment w:val="auto"/>
              <w:rPr>
                <w:rFonts w:hint="eastAsia" w:ascii="仿宋" w:hAnsi="仿宋" w:eastAsia="仿宋" w:cs="仿宋"/>
                <w:sz w:val="24"/>
              </w:rPr>
            </w:pPr>
            <w:r>
              <w:rPr>
                <w:rFonts w:hint="eastAsia" w:ascii="仿宋" w:hAnsi="仿宋" w:eastAsia="仿宋" w:cs="仿宋"/>
                <w:sz w:val="24"/>
              </w:rPr>
              <w:t>真：</w:t>
            </w:r>
          </w:p>
        </w:tc>
        <w:tc>
          <w:tcPr>
            <w:tcW w:w="7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4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81" w:hRule="atLeast"/>
        </w:trPr>
        <w:tc>
          <w:tcPr>
            <w:tcW w:w="4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7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7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60" w:type="dxa"/>
            <w:gridSpan w:val="2"/>
            <w:noWrap w:val="0"/>
            <w:vAlign w:val="bottom"/>
          </w:tcPr>
          <w:p>
            <w:pPr>
              <w:keepNext w:val="0"/>
              <w:keepLines w:val="0"/>
              <w:pageBreakBefore w:val="0"/>
              <w:widowControl/>
              <w:kinsoku/>
              <w:wordWrap/>
              <w:overflowPunct/>
              <w:topLinePunct w:val="0"/>
              <w:autoSpaceDE/>
              <w:autoSpaceDN/>
              <w:bidi w:val="0"/>
              <w:spacing w:line="240" w:lineRule="auto"/>
              <w:ind w:left="120"/>
              <w:textAlignment w:val="auto"/>
              <w:rPr>
                <w:rFonts w:hint="eastAsia" w:ascii="仿宋" w:hAnsi="仿宋" w:eastAsia="仿宋" w:cs="仿宋"/>
                <w:w w:val="91"/>
                <w:sz w:val="24"/>
              </w:rPr>
            </w:pPr>
            <w:r>
              <w:rPr>
                <w:rFonts w:hint="eastAsia" w:ascii="仿宋" w:hAnsi="仿宋" w:eastAsia="仿宋" w:cs="仿宋"/>
                <w:w w:val="91"/>
                <w:sz w:val="24"/>
              </w:rPr>
              <w:t>年</w:t>
            </w:r>
          </w:p>
        </w:tc>
        <w:tc>
          <w:tcPr>
            <w:tcW w:w="72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月</w:t>
            </w:r>
          </w:p>
        </w:tc>
        <w:tc>
          <w:tcPr>
            <w:tcW w:w="6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0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0" w:type="dxa"/>
            <w:tcBorders>
              <w:bottom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60" w:type="dxa"/>
            <w:gridSpan w:val="2"/>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1"/>
                <w:sz w:val="24"/>
              </w:rPr>
            </w:pPr>
            <w:r>
              <w:rPr>
                <w:rFonts w:hint="eastAsia" w:ascii="仿宋" w:hAnsi="仿宋" w:eastAsia="仿宋" w:cs="仿宋"/>
                <w:w w:val="91"/>
                <w:sz w:val="24"/>
              </w:rPr>
              <w:t>日</w:t>
            </w:r>
          </w:p>
        </w:tc>
      </w:tr>
    </w:tbl>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r>
        <w:rPr>
          <w:rFonts w:hint="eastAsia" w:ascii="仿宋" w:hAnsi="仿宋" w:eastAsia="仿宋" w:cs="仿宋"/>
          <w:w w:val="91"/>
          <w:sz w:val="24"/>
        </w:rPr>
        <mc:AlternateContent>
          <mc:Choice Requires="wps">
            <w:drawing>
              <wp:anchor distT="0" distB="0" distL="114300" distR="114300" simplePos="0" relativeHeight="252168192" behindDoc="1" locked="0" layoutInCell="0" allowOverlap="1">
                <wp:simplePos x="0" y="0"/>
                <wp:positionH relativeFrom="column">
                  <wp:posOffset>2540</wp:posOffset>
                </wp:positionH>
                <wp:positionV relativeFrom="paragraph">
                  <wp:posOffset>732790</wp:posOffset>
                </wp:positionV>
                <wp:extent cx="1828800" cy="0"/>
                <wp:effectExtent l="0" t="0" r="0" b="0"/>
                <wp:wrapNone/>
                <wp:docPr id="76" name="直接连接符 76"/>
                <wp:cNvGraphicFramePr/>
                <a:graphic xmlns:a="http://schemas.openxmlformats.org/drawingml/2006/main">
                  <a:graphicData uri="http://schemas.microsoft.com/office/word/2010/wordprocessingShape">
                    <wps:wsp>
                      <wps:cNvCnPr/>
                      <wps:spPr>
                        <a:xfrm>
                          <a:off x="0" y="0"/>
                          <a:ext cx="1828800" cy="0"/>
                        </a:xfrm>
                        <a:prstGeom prst="line">
                          <a:avLst/>
                        </a:prstGeom>
                        <a:ln w="6401"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57.7pt;height:0pt;width:144pt;z-index:-251148288;mso-width-relative:page;mso-height-relative:page;" filled="f" stroked="t" coordsize="21600,21600" o:allowincell="f" o:gfxdata="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WULOzwAAAAgBAAAPAAAAAAAAAAEAIAAA&#10;ACIAAABkcnMvZG93bnJldi54bWxQSwECFAAUAAAACACHTuJAEmw7r9wBAACYAwAADgAAAAAAAAAB&#10;ACAAAAAeAQAAZHJzL2Uyb0RvYy54bWxQSwUGAAAAAAYABgBZAQAAbAUAAAAA&#10;">
                <v:fill on="f" focussize="0,0"/>
                <v:stroke weight="0.504015748031496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tabs>
          <w:tab w:val="left" w:pos="3400"/>
          <w:tab w:val="left" w:pos="6520"/>
        </w:tabs>
        <w:kinsoku/>
        <w:wordWrap/>
        <w:overflowPunct/>
        <w:topLinePunct w:val="0"/>
        <w:autoSpaceDE/>
        <w:autoSpaceDN/>
        <w:bidi w:val="0"/>
        <w:spacing w:line="240" w:lineRule="auto"/>
        <w:textAlignment w:val="auto"/>
        <w:rPr>
          <w:rFonts w:hint="eastAsia" w:ascii="仿宋" w:hAnsi="仿宋" w:eastAsia="仿宋" w:cs="仿宋"/>
          <w:color w:val="4F81BD"/>
          <w:sz w:val="18"/>
        </w:rPr>
      </w:pPr>
      <w:r>
        <w:rPr>
          <w:rFonts w:hint="eastAsia" w:ascii="仿宋" w:hAnsi="仿宋" w:eastAsia="仿宋" w:cs="仿宋"/>
          <w:sz w:val="18"/>
          <w:vertAlign w:val="superscript"/>
        </w:rPr>
        <w:t>①</w:t>
      </w:r>
      <w:r>
        <w:rPr>
          <w:rFonts w:hint="eastAsia" w:ascii="仿宋" w:hAnsi="仿宋" w:eastAsia="仿宋" w:cs="仿宋"/>
          <w:color w:val="4F81BD"/>
          <w:sz w:val="18"/>
        </w:rPr>
        <w:t>本条内容可修改为：“本担保自</w:t>
      </w:r>
      <w:r>
        <w:rPr>
          <w:rFonts w:hint="eastAsia" w:ascii="仿宋" w:hAnsi="仿宋" w:eastAsia="仿宋" w:cs="仿宋"/>
          <w:color w:val="4F81BD"/>
        </w:rPr>
        <w:tab/>
      </w:r>
      <w:r>
        <w:rPr>
          <w:rFonts w:hint="eastAsia" w:ascii="仿宋" w:hAnsi="仿宋" w:eastAsia="仿宋" w:cs="仿宋"/>
          <w:color w:val="4F81BD"/>
          <w:sz w:val="18"/>
        </w:rPr>
        <w:t>（生效日期）之日起生效，至</w:t>
      </w:r>
      <w:r>
        <w:rPr>
          <w:rFonts w:hint="eastAsia" w:ascii="仿宋" w:hAnsi="仿宋" w:eastAsia="仿宋" w:cs="仿宋"/>
          <w:color w:val="4F81BD"/>
        </w:rPr>
        <w:tab/>
      </w:r>
      <w:r>
        <w:rPr>
          <w:rFonts w:hint="eastAsia" w:ascii="仿宋" w:hAnsi="仿宋" w:eastAsia="仿宋" w:cs="仿宋"/>
          <w:color w:val="4F81BD"/>
          <w:sz w:val="18"/>
        </w:rPr>
        <w:t>（失效日期）之日失效。”</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color w:val="4F81BD"/>
        </w:rPr>
      </w:pPr>
      <w:r>
        <w:rPr>
          <w:rFonts w:hint="eastAsia" w:ascii="仿宋" w:hAnsi="仿宋" w:eastAsia="仿宋" w:cs="仿宋"/>
          <w:color w:val="4F81BD"/>
          <w:sz w:val="18"/>
        </w:rPr>
        <mc:AlternateContent>
          <mc:Choice Requires="wps">
            <w:drawing>
              <wp:anchor distT="0" distB="0" distL="114300" distR="114300" simplePos="0" relativeHeight="252169216" behindDoc="1" locked="0" layoutInCell="0" allowOverlap="1">
                <wp:simplePos x="0" y="0"/>
                <wp:positionH relativeFrom="column">
                  <wp:posOffset>1661160</wp:posOffset>
                </wp:positionH>
                <wp:positionV relativeFrom="paragraph">
                  <wp:posOffset>-4445</wp:posOffset>
                </wp:positionV>
                <wp:extent cx="516255" cy="0"/>
                <wp:effectExtent l="0" t="0" r="0" b="0"/>
                <wp:wrapNone/>
                <wp:docPr id="77" name="直接连接符 77"/>
                <wp:cNvGraphicFramePr/>
                <a:graphic xmlns:a="http://schemas.openxmlformats.org/drawingml/2006/main">
                  <a:graphicData uri="http://schemas.microsoft.com/office/word/2010/wordprocessingShape">
                    <wps:wsp>
                      <wps:cNvCnPr/>
                      <wps:spPr>
                        <a:xfrm>
                          <a:off x="0" y="0"/>
                          <a:ext cx="51625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0.8pt;margin-top:-0.35pt;height:0pt;width:40.65pt;z-index:-251147264;mso-width-relative:page;mso-height-relative:page;" filled="f" stroked="t" coordsize="21600,21600" o:allowincell="f" o:gfxdata="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fBtONYAAAAHAQAADwAAAAAA&#10;AAABACAAAAAiAAAAZHJzL2Rvd25yZXYueG1sUEsBAhQAFAAAAAgAh07iQKNsnnjcAQAAlwMAAA4A&#10;AAAAAAAAAQAgAAAAJQEAAGRycy9lMm9Eb2MueG1sUEsFBgAAAAAGAAYAWQEAAHMFAAAAAA==&#10;">
                <v:fill on="f" focussize="0,0"/>
                <v:stroke weight="0.48pt" color="#000000" joinstyle="round"/>
                <v:imagedata o:title=""/>
                <o:lock v:ext="edit" aspectratio="f"/>
              </v:line>
            </w:pict>
          </mc:Fallback>
        </mc:AlternateContent>
      </w:r>
      <w:r>
        <w:rPr>
          <w:rFonts w:hint="eastAsia" w:ascii="仿宋" w:hAnsi="仿宋" w:eastAsia="仿宋" w:cs="仿宋"/>
          <w:color w:val="4F81BD"/>
          <w:sz w:val="18"/>
        </w:rPr>
        <mc:AlternateContent>
          <mc:Choice Requires="wps">
            <w:drawing>
              <wp:anchor distT="0" distB="0" distL="114300" distR="114300" simplePos="0" relativeHeight="252170240" behindDoc="1" locked="0" layoutInCell="0" allowOverlap="1">
                <wp:simplePos x="0" y="0"/>
                <wp:positionH relativeFrom="column">
                  <wp:posOffset>3644265</wp:posOffset>
                </wp:positionH>
                <wp:positionV relativeFrom="paragraph">
                  <wp:posOffset>-4445</wp:posOffset>
                </wp:positionV>
                <wp:extent cx="516255" cy="0"/>
                <wp:effectExtent l="0" t="0" r="0" b="0"/>
                <wp:wrapNone/>
                <wp:docPr id="78" name="直接连接符 78"/>
                <wp:cNvGraphicFramePr/>
                <a:graphic xmlns:a="http://schemas.openxmlformats.org/drawingml/2006/main">
                  <a:graphicData uri="http://schemas.microsoft.com/office/word/2010/wordprocessingShape">
                    <wps:wsp>
                      <wps:cNvCnPr/>
                      <wps:spPr>
                        <a:xfrm>
                          <a:off x="0" y="0"/>
                          <a:ext cx="51625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6.95pt;margin-top:-0.35pt;height:0pt;width:40.65pt;z-index:-251146240;mso-width-relative:page;mso-height-relative:page;" filled="f" stroked="t" coordsize="21600,21600" o:allowincell="f" o:gfxdata="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ylsDY1gAAAAcBAAAPAAAAAAAA&#10;AAEAIAAAACIAAABkcnMvZG93bnJldi54bWxQSwECFAAUAAAACACHTuJA4W2MctsBAACXAwAADgAA&#10;AAAAAAABACAAAAAlAQAAZHJzL2Uyb0RvYy54bWxQSwUGAAAAAAYABgBZAQAAcgUAAAAA&#10;">
                <v:fill on="f" focussize="0,0"/>
                <v:stroke weight="0.48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spacing w:line="240" w:lineRule="auto"/>
        <w:ind w:left="220"/>
        <w:textAlignment w:val="auto"/>
        <w:rPr>
          <w:rFonts w:hint="eastAsia" w:ascii="仿宋" w:hAnsi="仿宋" w:eastAsia="仿宋" w:cs="仿宋"/>
          <w:color w:val="4F81BD"/>
          <w:sz w:val="18"/>
        </w:rPr>
      </w:pPr>
      <w:r>
        <w:rPr>
          <w:rFonts w:hint="eastAsia" w:ascii="仿宋" w:hAnsi="仿宋" w:eastAsia="仿宋" w:cs="仿宋"/>
          <w:color w:val="4F81BD"/>
          <w:sz w:val="18"/>
        </w:rPr>
        <w:t>如发包人接受履约保函采用固定有效期，在项目专用合同条款中应增加保证承包人在履约保函失效日前向发</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color w:val="4F81BD"/>
        </w:rPr>
      </w:pPr>
    </w:p>
    <w:p>
      <w:pPr>
        <w:keepNext w:val="0"/>
        <w:keepLines w:val="0"/>
        <w:pageBreakBefore w:val="0"/>
        <w:widowControl/>
        <w:kinsoku/>
        <w:wordWrap/>
        <w:overflowPunct/>
        <w:topLinePunct w:val="0"/>
        <w:autoSpaceDE/>
        <w:autoSpaceDN/>
        <w:bidi w:val="0"/>
        <w:spacing w:line="240" w:lineRule="auto"/>
        <w:ind w:left="220"/>
        <w:textAlignment w:val="auto"/>
        <w:rPr>
          <w:rFonts w:hint="eastAsia" w:ascii="仿宋" w:hAnsi="仿宋" w:eastAsia="仿宋" w:cs="仿宋"/>
          <w:color w:val="4F81BD"/>
          <w:sz w:val="18"/>
        </w:rPr>
      </w:pPr>
      <w:r>
        <w:rPr>
          <w:rFonts w:hint="eastAsia" w:ascii="仿宋" w:hAnsi="仿宋" w:eastAsia="仿宋" w:cs="仿宋"/>
          <w:color w:val="4F81BD"/>
          <w:sz w:val="18"/>
        </w:rPr>
        <w:t>包人出具后续阶段履约保函的约束性条款，直至发包人签发交工验收证书且承包人按照合同约定缴纳质量保</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color w:val="4F81BD"/>
        </w:rPr>
      </w:pPr>
    </w:p>
    <w:p>
      <w:pPr>
        <w:keepNext w:val="0"/>
        <w:keepLines w:val="0"/>
        <w:pageBreakBefore w:val="0"/>
        <w:widowControl/>
        <w:kinsoku/>
        <w:wordWrap/>
        <w:overflowPunct/>
        <w:topLinePunct w:val="0"/>
        <w:autoSpaceDE/>
        <w:autoSpaceDN/>
        <w:bidi w:val="0"/>
        <w:spacing w:line="240" w:lineRule="auto"/>
        <w:ind w:left="220"/>
        <w:textAlignment w:val="auto"/>
        <w:rPr>
          <w:rFonts w:hint="eastAsia" w:ascii="仿宋" w:hAnsi="仿宋" w:eastAsia="仿宋" w:cs="仿宋"/>
          <w:color w:val="4F81BD"/>
          <w:sz w:val="18"/>
        </w:rPr>
      </w:pPr>
      <w:r>
        <w:rPr>
          <w:rFonts w:hint="eastAsia" w:ascii="仿宋" w:hAnsi="仿宋" w:eastAsia="仿宋" w:cs="仿宋"/>
          <w:color w:val="4F81BD"/>
          <w:sz w:val="18"/>
        </w:rPr>
        <w:t>证金之日为止。</w:t>
      </w:r>
    </w:p>
    <w:p>
      <w:pPr>
        <w:keepNext w:val="0"/>
        <w:keepLines w:val="0"/>
        <w:pageBreakBefore w:val="0"/>
        <w:widowControl/>
        <w:kinsoku/>
        <w:wordWrap/>
        <w:overflowPunct/>
        <w:topLinePunct w:val="0"/>
        <w:autoSpaceDE/>
        <w:autoSpaceDN/>
        <w:bidi w:val="0"/>
        <w:spacing w:line="240" w:lineRule="auto"/>
        <w:ind w:left="220"/>
        <w:textAlignment w:val="auto"/>
        <w:rPr>
          <w:rFonts w:hint="eastAsia" w:ascii="仿宋" w:hAnsi="仿宋" w:eastAsia="仿宋" w:cs="仿宋"/>
          <w:color w:val="4F81BD"/>
          <w:sz w:val="18"/>
        </w:rPr>
        <w:sectPr>
          <w:pgSz w:w="11900" w:h="16841"/>
          <w:pgMar w:top="851" w:right="1460" w:bottom="579" w:left="1640" w:header="567" w:footer="567" w:gutter="0"/>
          <w:cols w:space="720" w:num="1"/>
          <w:docGrid w:linePitch="360" w:charSpace="0"/>
        </w:sect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color w:val="4F81BD"/>
          <w:sz w:val="18"/>
        </w:rPr>
        <w:sectPr>
          <w:type w:val="continuous"/>
          <w:pgSz w:w="11900" w:h="16841"/>
          <w:pgMar w:top="851" w:right="9980" w:bottom="579" w:left="1640" w:header="0" w:footer="0" w:gutter="0"/>
          <w:cols w:space="720" w:num="1"/>
          <w:docGrid w:linePitch="360" w:charSpace="0"/>
        </w:sect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bookmarkStart w:id="88" w:name="page171"/>
      <w:bookmarkEnd w:id="88"/>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附件八 工程资金监管协议格式</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3"/>
        </w:rPr>
      </w:pPr>
      <w:r>
        <w:rPr>
          <w:rFonts w:hint="eastAsia" w:ascii="仿宋" w:hAnsi="仿宋" w:eastAsia="仿宋" w:cs="仿宋"/>
          <w:sz w:val="23"/>
        </w:rPr>
        <w:t>（发包人与承包人签订合同协议书时应与发包人指定的银行签署工程资金监管协议，工程资金监管协议内容在保证本项目资金有效监管的前提下由三方共同商定）</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3220"/>
        <w:textAlignment w:val="auto"/>
        <w:rPr>
          <w:rFonts w:hint="eastAsia" w:ascii="仿宋" w:hAnsi="仿宋" w:eastAsia="仿宋" w:cs="仿宋"/>
          <w:sz w:val="28"/>
        </w:rPr>
      </w:pPr>
      <w:r>
        <w:rPr>
          <w:rFonts w:hint="eastAsia" w:ascii="仿宋" w:hAnsi="仿宋" w:eastAsia="仿宋" w:cs="仿宋"/>
          <w:sz w:val="28"/>
        </w:rPr>
        <w:t>工程资金监管协议</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tbl>
      <w:tblPr>
        <w:tblStyle w:val="13"/>
        <w:tblW w:w="8800" w:type="dxa"/>
        <w:tblInd w:w="0" w:type="dxa"/>
        <w:tblLayout w:type="fixed"/>
        <w:tblCellMar>
          <w:top w:w="0" w:type="dxa"/>
          <w:left w:w="0" w:type="dxa"/>
          <w:bottom w:w="0" w:type="dxa"/>
          <w:right w:w="0" w:type="dxa"/>
        </w:tblCellMar>
      </w:tblPr>
      <w:tblGrid>
        <w:gridCol w:w="960"/>
        <w:gridCol w:w="240"/>
        <w:gridCol w:w="240"/>
        <w:gridCol w:w="820"/>
        <w:gridCol w:w="160"/>
        <w:gridCol w:w="460"/>
        <w:gridCol w:w="120"/>
        <w:gridCol w:w="220"/>
        <w:gridCol w:w="3380"/>
        <w:gridCol w:w="840"/>
        <w:gridCol w:w="1360"/>
      </w:tblGrid>
      <w:tr>
        <w:tblPrEx>
          <w:tblLayout w:type="fixed"/>
          <w:tblCellMar>
            <w:top w:w="0" w:type="dxa"/>
            <w:left w:w="0" w:type="dxa"/>
            <w:bottom w:w="0" w:type="dxa"/>
            <w:right w:w="0" w:type="dxa"/>
          </w:tblCellMar>
        </w:tblPrEx>
        <w:trPr>
          <w:trHeight w:val="292" w:hRule="atLeast"/>
        </w:trPr>
        <w:tc>
          <w:tcPr>
            <w:tcW w:w="2420" w:type="dxa"/>
            <w:gridSpan w:val="5"/>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发包人：</w:t>
            </w:r>
          </w:p>
        </w:tc>
        <w:tc>
          <w:tcPr>
            <w:tcW w:w="4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720" w:type="dxa"/>
            <w:gridSpan w:val="3"/>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（以下简称“甲方”）</w:t>
            </w:r>
          </w:p>
        </w:tc>
        <w:tc>
          <w:tcPr>
            <w:tcW w:w="8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9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720" w:type="dxa"/>
            <w:gridSpan w:val="3"/>
            <w:vMerge w:val="restart"/>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（以下简称“乙方”）</w:t>
            </w:r>
          </w:p>
        </w:tc>
        <w:tc>
          <w:tcPr>
            <w:tcW w:w="8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59" w:hRule="atLeast"/>
        </w:trPr>
        <w:tc>
          <w:tcPr>
            <w:tcW w:w="2420" w:type="dxa"/>
            <w:gridSpan w:val="5"/>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承包人：</w:t>
            </w:r>
          </w:p>
        </w:tc>
        <w:tc>
          <w:tcPr>
            <w:tcW w:w="4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720" w:type="dxa"/>
            <w:gridSpan w:val="3"/>
            <w:vMerge w:val="continue"/>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9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0" w:type="dxa"/>
            <w:gridSpan w:val="2"/>
            <w:vMerge w:val="restart"/>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（以下简称“丙方”）</w:t>
            </w:r>
          </w:p>
        </w:tc>
        <w:tc>
          <w:tcPr>
            <w:tcW w:w="8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60" w:hRule="atLeast"/>
        </w:trPr>
        <w:tc>
          <w:tcPr>
            <w:tcW w:w="2420" w:type="dxa"/>
            <w:gridSpan w:val="5"/>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经办银行：</w:t>
            </w:r>
          </w:p>
        </w:tc>
        <w:tc>
          <w:tcPr>
            <w:tcW w:w="4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600" w:type="dxa"/>
            <w:gridSpan w:val="2"/>
            <w:vMerge w:val="continue"/>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120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58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22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741" w:hRule="atLeast"/>
        </w:trPr>
        <w:tc>
          <w:tcPr>
            <w:tcW w:w="2420" w:type="dxa"/>
            <w:gridSpan w:val="5"/>
            <w:noWrap w:val="0"/>
            <w:vAlign w:val="bottom"/>
          </w:tcPr>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为了促进</w:t>
            </w:r>
          </w:p>
        </w:tc>
        <w:tc>
          <w:tcPr>
            <w:tcW w:w="6380" w:type="dxa"/>
            <w:gridSpan w:val="6"/>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9"/>
                <w:sz w:val="24"/>
              </w:rPr>
            </w:pPr>
            <w:r>
              <w:rPr>
                <w:rFonts w:hint="eastAsia" w:ascii="仿宋" w:hAnsi="仿宋" w:eastAsia="仿宋" w:cs="仿宋"/>
                <w:w w:val="99"/>
                <w:sz w:val="24"/>
              </w:rPr>
              <w:t>（项目名称）的顺利实施，管好用好建设资金，确保工程资</w:t>
            </w:r>
          </w:p>
        </w:tc>
      </w:tr>
      <w:tr>
        <w:tblPrEx>
          <w:tblLayout w:type="fixed"/>
          <w:tblCellMar>
            <w:top w:w="0" w:type="dxa"/>
            <w:left w:w="0" w:type="dxa"/>
            <w:bottom w:w="0" w:type="dxa"/>
            <w:right w:w="0" w:type="dxa"/>
          </w:tblCellMar>
        </w:tblPrEx>
        <w:trPr>
          <w:trHeight w:val="20" w:hRule="atLeast"/>
        </w:trPr>
        <w:tc>
          <w:tcPr>
            <w:tcW w:w="1440" w:type="dxa"/>
            <w:gridSpan w:val="3"/>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00" w:type="dxa"/>
            <w:gridSpan w:val="3"/>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3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59" w:hRule="atLeast"/>
        </w:trPr>
        <w:tc>
          <w:tcPr>
            <w:tcW w:w="6600" w:type="dxa"/>
            <w:gridSpan w:val="9"/>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w w:val="97"/>
                <w:sz w:val="24"/>
              </w:rPr>
            </w:pPr>
            <w:r>
              <w:rPr>
                <w:rFonts w:hint="eastAsia" w:ascii="仿宋" w:hAnsi="仿宋" w:eastAsia="仿宋" w:cs="仿宋"/>
                <w:w w:val="97"/>
                <w:sz w:val="24"/>
              </w:rPr>
              <w:t>金专款专用，同时为承包人提供便捷有效的银行业务服务，根据</w:t>
            </w:r>
          </w:p>
        </w:tc>
        <w:tc>
          <w:tcPr>
            <w:tcW w:w="2200" w:type="dxa"/>
            <w:gridSpan w:val="2"/>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sz w:val="24"/>
              </w:rPr>
            </w:pPr>
            <w:r>
              <w:rPr>
                <w:rFonts w:hint="eastAsia" w:ascii="仿宋" w:hAnsi="仿宋" w:eastAsia="仿宋" w:cs="仿宋"/>
                <w:sz w:val="24"/>
              </w:rPr>
              <w:t>（项目名称）</w:t>
            </w:r>
          </w:p>
        </w:tc>
      </w:tr>
      <w:tr>
        <w:tblPrEx>
          <w:tblLayout w:type="fixed"/>
          <w:tblCellMar>
            <w:top w:w="0" w:type="dxa"/>
            <w:left w:w="0" w:type="dxa"/>
            <w:bottom w:w="0" w:type="dxa"/>
            <w:right w:w="0" w:type="dxa"/>
          </w:tblCellMar>
        </w:tblPrEx>
        <w:trPr>
          <w:trHeight w:val="367" w:hRule="atLeast"/>
        </w:trPr>
        <w:tc>
          <w:tcPr>
            <w:tcW w:w="6600" w:type="dxa"/>
            <w:gridSpan w:val="9"/>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合同条款有关规定，经甲、乙、丙三方协商，达成协议如下：</w:t>
            </w:r>
          </w:p>
        </w:tc>
        <w:tc>
          <w:tcPr>
            <w:tcW w:w="84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397" w:hRule="atLeast"/>
        </w:trPr>
        <w:tc>
          <w:tcPr>
            <w:tcW w:w="6600" w:type="dxa"/>
            <w:gridSpan w:val="9"/>
            <w:noWrap w:val="0"/>
            <w:vAlign w:val="bottom"/>
          </w:tcPr>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 资金管理的内容</w:t>
            </w:r>
          </w:p>
        </w:tc>
        <w:tc>
          <w:tcPr>
            <w:tcW w:w="8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356" w:hRule="atLeast"/>
        </w:trPr>
        <w:tc>
          <w:tcPr>
            <w:tcW w:w="2260" w:type="dxa"/>
            <w:gridSpan w:val="4"/>
            <w:noWrap w:val="0"/>
            <w:vAlign w:val="bottom"/>
          </w:tcPr>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w w:val="97"/>
                <w:sz w:val="24"/>
              </w:rPr>
            </w:pPr>
            <w:r>
              <w:rPr>
                <w:rFonts w:hint="eastAsia" w:ascii="仿宋" w:hAnsi="仿宋" w:eastAsia="仿宋" w:cs="仿宋"/>
                <w:w w:val="97"/>
                <w:sz w:val="24"/>
              </w:rPr>
              <w:t>（1）乙方为完成</w:t>
            </w:r>
          </w:p>
        </w:tc>
        <w:tc>
          <w:tcPr>
            <w:tcW w:w="1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5800" w:type="dxa"/>
            <w:gridSpan w:val="4"/>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sz w:val="24"/>
              </w:rPr>
            </w:pPr>
            <w:r>
              <w:rPr>
                <w:rFonts w:hint="eastAsia" w:ascii="仿宋" w:hAnsi="仿宋" w:eastAsia="仿宋" w:cs="仿宋"/>
                <w:sz w:val="24"/>
              </w:rPr>
              <w:t>（项目名称）工程成立的项目经理部在丙方开设基本</w:t>
            </w:r>
          </w:p>
        </w:tc>
      </w:tr>
      <w:tr>
        <w:tblPrEx>
          <w:tblLayout w:type="fixed"/>
          <w:tblCellMar>
            <w:top w:w="0" w:type="dxa"/>
            <w:left w:w="0" w:type="dxa"/>
            <w:bottom w:w="0" w:type="dxa"/>
            <w:right w:w="0" w:type="dxa"/>
          </w:tblCellMar>
        </w:tblPrEx>
        <w:trPr>
          <w:trHeight w:val="367" w:hRule="atLeast"/>
        </w:trPr>
        <w:tc>
          <w:tcPr>
            <w:tcW w:w="2260" w:type="dxa"/>
            <w:gridSpan w:val="4"/>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结算户；</w:t>
            </w:r>
          </w:p>
        </w:tc>
        <w:tc>
          <w:tcPr>
            <w:tcW w:w="16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46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2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33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bl>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（2）甲方应按合同规定将工程款汇入乙方在丙方开设的账户；（3）乙方应将流动资金及甲方所拨付资金专项用于 （项目名称）；</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r>
        <w:rPr>
          <w:rFonts w:hint="eastAsia" w:ascii="仿宋" w:hAnsi="仿宋" w:eastAsia="仿宋" w:cs="仿宋"/>
          <w:sz w:val="24"/>
        </w:rPr>
        <mc:AlternateContent>
          <mc:Choice Requires="wps">
            <w:drawing>
              <wp:anchor distT="0" distB="0" distL="114300" distR="114300" simplePos="0" relativeHeight="252171264" behindDoc="1" locked="0" layoutInCell="0" allowOverlap="1">
                <wp:simplePos x="0" y="0"/>
                <wp:positionH relativeFrom="column">
                  <wp:posOffset>3736975</wp:posOffset>
                </wp:positionH>
                <wp:positionV relativeFrom="paragraph">
                  <wp:posOffset>-62230</wp:posOffset>
                </wp:positionV>
                <wp:extent cx="609600" cy="0"/>
                <wp:effectExtent l="0" t="0" r="0" b="0"/>
                <wp:wrapNone/>
                <wp:docPr id="79" name="直接连接符 79"/>
                <wp:cNvGraphicFramePr/>
                <a:graphic xmlns:a="http://schemas.openxmlformats.org/drawingml/2006/main">
                  <a:graphicData uri="http://schemas.microsoft.com/office/word/2010/wordprocessingShape">
                    <wps:wsp>
                      <wps:cNvCnPr/>
                      <wps:spPr>
                        <a:xfrm>
                          <a:off x="0" y="0"/>
                          <a:ext cx="6096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4.25pt;margin-top:-4.9pt;height:0pt;width:48pt;z-index:-251145216;mso-width-relative:page;mso-height-relative:page;" filled="f" stroked="t" coordsize="21600,21600" o:allowincell="f" o:gfxdata="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0j8XtUAAAAJAQAADwAAAAAAAAAB&#10;ACAAAAAiAAAAZHJzL2Rvd25yZXYueG1sUEsBAhQAFAAAAAgAh07iQCpVlbfaAQAAlwMAAA4AAAAA&#10;AAAAAQAgAAAAJAEAAGRycy9lMm9Eb2MueG1sUEsFBgAAAAAGAAYAWQEAAHAFAAAAAA==&#10;">
                <v:fill on="f" focussize="0,0"/>
                <v:stroke weight="0.6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（4）丙方应为乙方提供便捷有效的银行业务服务，并接受甲方委托对乙方在丙方开设的基本结算户资金使用情况进行监督。</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tbl>
      <w:tblPr>
        <w:tblStyle w:val="13"/>
        <w:tblW w:w="8680" w:type="dxa"/>
        <w:tblInd w:w="0" w:type="dxa"/>
        <w:tblLayout w:type="fixed"/>
        <w:tblCellMar>
          <w:top w:w="0" w:type="dxa"/>
          <w:left w:w="0" w:type="dxa"/>
          <w:bottom w:w="0" w:type="dxa"/>
          <w:right w:w="0" w:type="dxa"/>
        </w:tblCellMar>
      </w:tblPr>
      <w:tblGrid>
        <w:gridCol w:w="1540"/>
        <w:gridCol w:w="700"/>
        <w:gridCol w:w="260"/>
        <w:gridCol w:w="6180"/>
      </w:tblGrid>
      <w:tr>
        <w:tblPrEx>
          <w:tblLayout w:type="fixed"/>
          <w:tblCellMar>
            <w:top w:w="0" w:type="dxa"/>
            <w:left w:w="0" w:type="dxa"/>
            <w:bottom w:w="0" w:type="dxa"/>
            <w:right w:w="0" w:type="dxa"/>
          </w:tblCellMar>
        </w:tblPrEx>
        <w:trPr>
          <w:trHeight w:val="292" w:hRule="atLeast"/>
        </w:trPr>
        <w:tc>
          <w:tcPr>
            <w:tcW w:w="2240" w:type="dxa"/>
            <w:gridSpan w:val="2"/>
            <w:noWrap w:val="0"/>
            <w:vAlign w:val="bottom"/>
          </w:tcPr>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2. 甲方的权责</w:t>
            </w:r>
          </w:p>
        </w:tc>
        <w:tc>
          <w:tcPr>
            <w:tcW w:w="2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r>
        <w:tblPrEx>
          <w:tblLayout w:type="fixed"/>
          <w:tblCellMar>
            <w:top w:w="0" w:type="dxa"/>
            <w:left w:w="0" w:type="dxa"/>
            <w:bottom w:w="0" w:type="dxa"/>
            <w:right w:w="0" w:type="dxa"/>
          </w:tblCellMar>
        </w:tblPrEx>
        <w:trPr>
          <w:trHeight w:val="358" w:hRule="atLeast"/>
        </w:trPr>
        <w:tc>
          <w:tcPr>
            <w:tcW w:w="2240" w:type="dxa"/>
            <w:gridSpan w:val="2"/>
            <w:noWrap w:val="0"/>
            <w:vAlign w:val="bottom"/>
          </w:tcPr>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（1）按照</w:t>
            </w:r>
          </w:p>
        </w:tc>
        <w:tc>
          <w:tcPr>
            <w:tcW w:w="6440" w:type="dxa"/>
            <w:gridSpan w:val="2"/>
            <w:noWrap w:val="0"/>
            <w:vAlign w:val="bottom"/>
          </w:tcPr>
          <w:p>
            <w:pPr>
              <w:keepNext w:val="0"/>
              <w:keepLines w:val="0"/>
              <w:pageBreakBefore w:val="0"/>
              <w:widowControl/>
              <w:kinsoku/>
              <w:wordWrap/>
              <w:overflowPunct/>
              <w:topLinePunct w:val="0"/>
              <w:autoSpaceDE/>
              <w:autoSpaceDN/>
              <w:bidi w:val="0"/>
              <w:spacing w:line="240" w:lineRule="auto"/>
              <w:ind w:left="240"/>
              <w:textAlignment w:val="auto"/>
              <w:rPr>
                <w:rFonts w:hint="eastAsia" w:ascii="仿宋" w:hAnsi="仿宋" w:eastAsia="仿宋" w:cs="仿宋"/>
                <w:w w:val="99"/>
                <w:sz w:val="24"/>
              </w:rPr>
            </w:pPr>
            <w:r>
              <w:rPr>
                <w:rFonts w:hint="eastAsia" w:ascii="仿宋" w:hAnsi="仿宋" w:eastAsia="仿宋" w:cs="仿宋"/>
                <w:w w:val="99"/>
                <w:sz w:val="24"/>
              </w:rPr>
              <w:t>（项目名称）合同有关条款规定的时间和方式，向乙方支付</w:t>
            </w:r>
          </w:p>
        </w:tc>
      </w:tr>
      <w:tr>
        <w:tblPrEx>
          <w:tblLayout w:type="fixed"/>
          <w:tblCellMar>
            <w:top w:w="0" w:type="dxa"/>
            <w:left w:w="0" w:type="dxa"/>
            <w:bottom w:w="0" w:type="dxa"/>
            <w:right w:w="0" w:type="dxa"/>
          </w:tblCellMar>
        </w:tblPrEx>
        <w:trPr>
          <w:trHeight w:val="365" w:hRule="atLeast"/>
        </w:trPr>
        <w:tc>
          <w:tcPr>
            <w:tcW w:w="15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工程款；</w:t>
            </w:r>
          </w:p>
        </w:tc>
        <w:tc>
          <w:tcPr>
            <w:tcW w:w="70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60" w:type="dxa"/>
            <w:tcBorders>
              <w:top w:val="single" w:color="auto" w:sz="8" w:space="0"/>
            </w:tcBorders>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1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r>
    </w:tbl>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（2）在发现乙方将本项目资金挪用、转移时，甲方有权中止工程支付，直至乙方改正为止；</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jc w:val="both"/>
        <w:textAlignment w:val="auto"/>
        <w:rPr>
          <w:rFonts w:hint="eastAsia" w:ascii="仿宋" w:hAnsi="仿宋" w:eastAsia="仿宋" w:cs="仿宋"/>
          <w:sz w:val="24"/>
        </w:rPr>
      </w:pPr>
      <w:r>
        <w:rPr>
          <w:rFonts w:hint="eastAsia" w:ascii="仿宋" w:hAnsi="仿宋" w:eastAsia="仿宋" w:cs="仿宋"/>
          <w:sz w:val="24"/>
        </w:rPr>
        <w:t>（3）不定期审查丙方对乙方的资金使用监督情况，如丙方不能履行其责任，甲方有权随时终止本协议；</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（4）在乙、丙双方发生争议时，甲方应负责协调、解决。</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3. 乙方的权责</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（1）项目经理部成立以后，乙方应尽快在丙方开设基本结算户；（2）确保本项目资金专款专用，不发生挪用、转移资金的现象；保证不通过权</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益转让、抵押、担保承担债务等任何其他方式使用基本结算户的资金；</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（3）办理材料、设备等采购业务金额在 万元以上的，应出示购货合同、协议和发票；在办理总额超过 万元以上的采购业务时，应将合同、协议和发票复印件送丙方备案；购买应急材料、设备时可先办理支付手续，但事后必须补备有关资料；</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r>
        <w:rPr>
          <w:rFonts w:hint="eastAsia" w:ascii="仿宋" w:hAnsi="仿宋" w:eastAsia="仿宋" w:cs="仿宋"/>
          <w:sz w:val="24"/>
        </w:rPr>
        <mc:AlternateContent>
          <mc:Choice Requires="wps">
            <w:drawing>
              <wp:anchor distT="0" distB="0" distL="114300" distR="114300" simplePos="0" relativeHeight="252172288" behindDoc="1" locked="0" layoutInCell="0" allowOverlap="1">
                <wp:simplePos x="0" y="0"/>
                <wp:positionH relativeFrom="column">
                  <wp:posOffset>2947035</wp:posOffset>
                </wp:positionH>
                <wp:positionV relativeFrom="paragraph">
                  <wp:posOffset>-532130</wp:posOffset>
                </wp:positionV>
                <wp:extent cx="153035" cy="0"/>
                <wp:effectExtent l="0" t="0" r="0" b="0"/>
                <wp:wrapNone/>
                <wp:docPr id="85" name="直接连接符 85"/>
                <wp:cNvGraphicFramePr/>
                <a:graphic xmlns:a="http://schemas.openxmlformats.org/drawingml/2006/main">
                  <a:graphicData uri="http://schemas.microsoft.com/office/word/2010/wordprocessingShape">
                    <wps:wsp>
                      <wps:cNvCnPr/>
                      <wps:spPr>
                        <a:xfrm>
                          <a:off x="0" y="0"/>
                          <a:ext cx="153035" cy="0"/>
                        </a:xfrm>
                        <a:prstGeom prst="line">
                          <a:avLst/>
                        </a:prstGeom>
                        <a:ln w="761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2.05pt;margin-top:-41.9pt;height:0pt;width:12.05pt;z-index:-251144192;mso-width-relative:page;mso-height-relative:page;" filled="f" stroked="t" coordsize="21600,21600" o:allowincell="f" o:gfxdata="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ISKCV2AAAAAsBAAAPAAAA&#10;AAAAAAEAIAAAACIAAABkcnMvZG93bnJldi54bWxQSwECFAAUAAAACACHTuJAxd2gVtwBAACXAwAA&#10;DgAAAAAAAAABACAAAAAnAQAAZHJzL2Uyb0RvYy54bWxQSwUGAAAAAAYABgBZAQAAdQUAAAAA&#10;">
                <v:fill on="f" focussize="0,0"/>
                <v:stroke weight="0.59992125984252pt" color="#000000" joinstyle="round"/>
                <v:imagedata o:title=""/>
                <o:lock v:ext="edit" aspectratio="f"/>
              </v:line>
            </w:pict>
          </mc:Fallback>
        </mc:AlternateContent>
      </w:r>
      <w:r>
        <w:rPr>
          <w:rFonts w:hint="eastAsia" w:ascii="仿宋" w:hAnsi="仿宋" w:eastAsia="仿宋" w:cs="仿宋"/>
          <w:sz w:val="24"/>
        </w:rPr>
        <mc:AlternateContent>
          <mc:Choice Requires="wps">
            <w:drawing>
              <wp:anchor distT="0" distB="0" distL="114300" distR="114300" simplePos="0" relativeHeight="252173312" behindDoc="1" locked="0" layoutInCell="0" allowOverlap="1">
                <wp:simplePos x="0" y="0"/>
                <wp:positionH relativeFrom="column">
                  <wp:posOffset>1685290</wp:posOffset>
                </wp:positionH>
                <wp:positionV relativeFrom="paragraph">
                  <wp:posOffset>-289560</wp:posOffset>
                </wp:positionV>
                <wp:extent cx="154305" cy="0"/>
                <wp:effectExtent l="0" t="0" r="0" b="0"/>
                <wp:wrapNone/>
                <wp:docPr id="86" name="直接连接符 86"/>
                <wp:cNvGraphicFramePr/>
                <a:graphic xmlns:a="http://schemas.openxmlformats.org/drawingml/2006/main">
                  <a:graphicData uri="http://schemas.microsoft.com/office/word/2010/wordprocessingShape">
                    <wps:wsp>
                      <wps:cNvCnPr/>
                      <wps:spPr>
                        <a:xfrm>
                          <a:off x="0" y="0"/>
                          <a:ext cx="15430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2.7pt;margin-top:-22.8pt;height:0pt;width:12.15pt;z-index:-251143168;mso-width-relative:page;mso-height-relative:page;" filled="f" stroked="t" coordsize="21600,21600" o:allowincell="f" o:gfxdata="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qpjJQ2AAAAAsBAAAPAAAA&#10;AAAAAAEAIAAAACIAAABkcnMvZG93bnJldi54bWxQSwECFAAUAAAACACHTuJAz9d1wNwBAACXAwAA&#10;DgAAAAAAAAABACAAAAAnAQAAZHJzL2Uyb0RvYy54bWxQSwUGAAAAAAYABgBZAQAAdQUAAAAA&#10;">
                <v:fill on="f" focussize="0,0"/>
                <v:stroke weight="0.6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（4）用银行转账支票办理支付款项时，必须将转账支票送交丙方，由丙方负责</w:t>
      </w:r>
      <w:bookmarkStart w:id="89" w:name="page172"/>
      <w:bookmarkEnd w:id="89"/>
      <w:r>
        <w:rPr>
          <w:rFonts w:hint="eastAsia" w:ascii="仿宋" w:hAnsi="仿宋" w:eastAsia="仿宋" w:cs="仿宋"/>
          <w:sz w:val="24"/>
        </w:rPr>
        <w:t>办理支票转付手续；</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（5）向分包单位支付工程进度款时，应附甲方批准分包的文件；（6）向上级单位缴纳管理费、机械设备及周转材料租赁摊销费等款项时，应附</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上级单位出具的转账通知等有关资料，以确保资金专款专用。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left="480"/>
        <w:textAlignment w:val="auto"/>
        <w:rPr>
          <w:rFonts w:hint="eastAsia" w:ascii="仿宋" w:hAnsi="仿宋" w:eastAsia="仿宋" w:cs="仿宋"/>
          <w:sz w:val="24"/>
        </w:rPr>
      </w:pPr>
      <w:r>
        <w:rPr>
          <w:rFonts w:hint="eastAsia" w:ascii="仿宋" w:hAnsi="仿宋" w:eastAsia="仿宋" w:cs="仿宋"/>
          <w:sz w:val="24"/>
        </w:rPr>
        <w:t>4. 丙方的权责</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tabs>
          <w:tab w:val="left" w:pos="2480"/>
        </w:tabs>
        <w:kinsoku/>
        <w:wordWrap/>
        <w:overflowPunct/>
        <w:topLinePunct w:val="0"/>
        <w:autoSpaceDE/>
        <w:autoSpaceDN/>
        <w:bidi w:val="0"/>
        <w:spacing w:line="240" w:lineRule="auto"/>
        <w:ind w:left="480"/>
        <w:textAlignment w:val="auto"/>
        <w:rPr>
          <w:rFonts w:hint="eastAsia" w:ascii="仿宋" w:hAnsi="仿宋" w:eastAsia="仿宋" w:cs="仿宋"/>
          <w:sz w:val="23"/>
        </w:rPr>
      </w:pPr>
      <w:r>
        <w:rPr>
          <w:rFonts w:hint="eastAsia" w:ascii="仿宋" w:hAnsi="仿宋" w:eastAsia="仿宋" w:cs="仿宋"/>
          <w:sz w:val="24"/>
        </w:rPr>
        <w:t>（1）成立</w:t>
      </w:r>
      <w:r>
        <w:rPr>
          <w:rFonts w:hint="eastAsia" w:ascii="仿宋" w:hAnsi="仿宋" w:eastAsia="仿宋" w:cs="仿宋"/>
        </w:rPr>
        <w:tab/>
      </w:r>
      <w:r>
        <w:rPr>
          <w:rFonts w:hint="eastAsia" w:ascii="仿宋" w:hAnsi="仿宋" w:eastAsia="仿宋" w:cs="仿宋"/>
          <w:sz w:val="23"/>
        </w:rPr>
        <w:t>（项目名称）工程资金管理服务小组，明确业务流程，提高</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r>
        <w:rPr>
          <w:rFonts w:hint="eastAsia" w:ascii="仿宋" w:hAnsi="仿宋" w:eastAsia="仿宋" w:cs="仿宋"/>
          <w:sz w:val="23"/>
        </w:rPr>
        <mc:AlternateContent>
          <mc:Choice Requires="wps">
            <w:drawing>
              <wp:anchor distT="0" distB="0" distL="114300" distR="114300" simplePos="0" relativeHeight="252174336" behindDoc="1" locked="0" layoutInCell="0" allowOverlap="1">
                <wp:simplePos x="0" y="0"/>
                <wp:positionH relativeFrom="column">
                  <wp:posOffset>982345</wp:posOffset>
                </wp:positionH>
                <wp:positionV relativeFrom="paragraph">
                  <wp:posOffset>-10795</wp:posOffset>
                </wp:positionV>
                <wp:extent cx="610235" cy="0"/>
                <wp:effectExtent l="0" t="0" r="0" b="0"/>
                <wp:wrapNone/>
                <wp:docPr id="80" name="直接连接符 80"/>
                <wp:cNvGraphicFramePr/>
                <a:graphic xmlns:a="http://schemas.openxmlformats.org/drawingml/2006/main">
                  <a:graphicData uri="http://schemas.microsoft.com/office/word/2010/wordprocessingShape">
                    <wps:wsp>
                      <wps:cNvCnPr/>
                      <wps:spPr>
                        <a:xfrm>
                          <a:off x="0" y="0"/>
                          <a:ext cx="610235" cy="0"/>
                        </a:xfrm>
                        <a:prstGeom prst="line">
                          <a:avLst/>
                        </a:prstGeom>
                        <a:ln w="761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7.35pt;margin-top:-0.85pt;height:0pt;width:48.05pt;z-index:-251142144;mso-width-relative:page;mso-height-relative:page;" filled="f" stroked="t" coordsize="21600,21600" o:allowincell="f" o:gfxdata="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Ye3rNcAAAAJAQAADwAAAAAA&#10;AAABACAAAAAiAAAAZHJzL2Rvd25yZXYueG1sUEsBAhQAFAAAAAgAh07iQGBWdijbAQAAlwMAAA4A&#10;AAAAAAAAAQAgAAAAJgEAAGRycy9lMm9Eb2MueG1sUEsFBgAAAAAGAAYAWQEAAHMFAAAAAA==&#10;">
                <v:fill on="f" focussize="0,0"/>
                <v:stroke weight="0.59992125984252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工作效率，杜绝“压票”现象；</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2"/>
        </w:rPr>
      </w:pPr>
      <w:r>
        <w:rPr>
          <w:rFonts w:hint="eastAsia" w:ascii="仿宋" w:hAnsi="仿宋" w:eastAsia="仿宋" w:cs="仿宋"/>
          <w:sz w:val="22"/>
        </w:rPr>
        <w:t>（2）根据乙方提供的购货合同、协议和发票，检查其所购材料、设备是否用于 （项目名称）工程建设，对本标段以外的购货款项，有权拒绝办理，并及时报告甲方；</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r>
        <w:rPr>
          <w:rFonts w:hint="eastAsia" w:ascii="仿宋" w:hAnsi="仿宋" w:eastAsia="仿宋" w:cs="仿宋"/>
          <w:sz w:val="22"/>
        </w:rPr>
        <mc:AlternateContent>
          <mc:Choice Requires="wps">
            <w:drawing>
              <wp:anchor distT="0" distB="0" distL="114300" distR="114300" simplePos="0" relativeHeight="252175360" behindDoc="1" locked="0" layoutInCell="0" allowOverlap="1">
                <wp:simplePos x="0" y="0"/>
                <wp:positionH relativeFrom="column">
                  <wp:posOffset>5066030</wp:posOffset>
                </wp:positionH>
                <wp:positionV relativeFrom="paragraph">
                  <wp:posOffset>-312420</wp:posOffset>
                </wp:positionV>
                <wp:extent cx="205740" cy="0"/>
                <wp:effectExtent l="0" t="0" r="0" b="0"/>
                <wp:wrapNone/>
                <wp:docPr id="62" name="直接连接符 62"/>
                <wp:cNvGraphicFramePr/>
                <a:graphic xmlns:a="http://schemas.openxmlformats.org/drawingml/2006/main">
                  <a:graphicData uri="http://schemas.microsoft.com/office/word/2010/wordprocessingShape">
                    <wps:wsp>
                      <wps:cNvCnPr/>
                      <wps:spPr>
                        <a:xfrm>
                          <a:off x="0" y="0"/>
                          <a:ext cx="20574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8.9pt;margin-top:-24.6pt;height:0pt;width:16.2pt;z-index:-251141120;mso-width-relative:page;mso-height-relative:page;" filled="f" stroked="t" coordsize="21600,21600" o:allowincell="f" o:gfxdata="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a8709gAAAALAQAADwAAAAAA&#10;AAABACAAAAAiAAAAZHJzL2Rvd25yZXYueG1sUEsBAhQAFAAAAAgAh07iQOh5n/vaAQAAlwMAAA4A&#10;AAAAAAAAAQAgAAAAJwEAAGRycy9lMm9Eb2MueG1sUEsFBgAAAAAGAAYAWQEAAHMFAAAAAA==&#10;">
                <v:fill on="f" focussize="0,0"/>
                <v:stroke weight="0.6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（3）根据乙方与分包单位签订的合同及支付文件，检查其支付款项是否符合有关条件，向分包单位以外单位的支付有权拒绝办理，并及时报告甲方；</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（4）根据乙方提供的上级单位出具的转账通知等有关资料，办理管理费、机械设备及周转材料租赁摊销费等款项的支付；对超出转账通知等有关资料以外的支付，有权拒绝办理，并及时报告甲方；</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ind w:firstLine="480"/>
        <w:textAlignment w:val="auto"/>
        <w:rPr>
          <w:rFonts w:hint="eastAsia" w:ascii="仿宋" w:hAnsi="仿宋" w:eastAsia="仿宋" w:cs="仿宋"/>
          <w:sz w:val="24"/>
        </w:rPr>
      </w:pPr>
      <w:r>
        <w:rPr>
          <w:rFonts w:hint="eastAsia" w:ascii="仿宋" w:hAnsi="仿宋" w:eastAsia="仿宋" w:cs="仿宋"/>
          <w:sz w:val="24"/>
        </w:rPr>
        <w:t>（5）定期将乙方前一个周期的支付情况，整理后书面报送甲方；乙方复印备案的材料一并送甲方。</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keepNext w:val="0"/>
        <w:keepLines w:val="0"/>
        <w:pageBreakBefore w:val="0"/>
        <w:widowControl/>
        <w:numPr>
          <w:ilvl w:val="0"/>
          <w:numId w:val="80"/>
        </w:numPr>
        <w:tabs>
          <w:tab w:val="left" w:pos="780"/>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甲、乙、丙三方都应履行保密责任，不得将其他两方的业务情况透露给三方以外的其他单位或个人。</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80"/>
        </w:numPr>
        <w:tabs>
          <w:tab w:val="left" w:pos="780"/>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本协议有效期自乙方在丙方开户起，至工程交工验收甲方向乙方颁发交工验收证书后结束。</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80"/>
        </w:numPr>
        <w:tabs>
          <w:tab w:val="left" w:pos="780"/>
        </w:tabs>
        <w:kinsoku/>
        <w:wordWrap/>
        <w:overflowPunct/>
        <w:topLinePunct w:val="0"/>
        <w:autoSpaceDE/>
        <w:autoSpaceDN/>
        <w:bidi w:val="0"/>
        <w:spacing w:line="240" w:lineRule="auto"/>
        <w:ind w:left="780" w:hanging="296"/>
        <w:jc w:val="both"/>
        <w:textAlignment w:val="auto"/>
        <w:rPr>
          <w:rFonts w:hint="eastAsia" w:ascii="仿宋" w:hAnsi="仿宋" w:eastAsia="仿宋" w:cs="仿宋"/>
          <w:sz w:val="24"/>
        </w:rPr>
      </w:pPr>
      <w:r>
        <w:rPr>
          <w:rFonts w:hint="eastAsia" w:ascii="仿宋" w:hAnsi="仿宋" w:eastAsia="仿宋" w:cs="仿宋"/>
          <w:sz w:val="24"/>
        </w:rPr>
        <w:t>本协议未尽事宜，由甲方牵头，三方协商解决。</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p>
      <w:pPr>
        <w:keepNext w:val="0"/>
        <w:keepLines w:val="0"/>
        <w:pageBreakBefore w:val="0"/>
        <w:widowControl/>
        <w:numPr>
          <w:ilvl w:val="0"/>
          <w:numId w:val="80"/>
        </w:numPr>
        <w:tabs>
          <w:tab w:val="left" w:pos="780"/>
        </w:tabs>
        <w:kinsoku/>
        <w:wordWrap/>
        <w:overflowPunct/>
        <w:topLinePunct w:val="0"/>
        <w:autoSpaceDE/>
        <w:autoSpaceDN/>
        <w:bidi w:val="0"/>
        <w:spacing w:line="240" w:lineRule="auto"/>
        <w:ind w:firstLine="484"/>
        <w:jc w:val="both"/>
        <w:textAlignment w:val="auto"/>
        <w:rPr>
          <w:rFonts w:hint="eastAsia" w:ascii="仿宋" w:hAnsi="仿宋" w:eastAsia="仿宋" w:cs="仿宋"/>
          <w:sz w:val="24"/>
        </w:rPr>
      </w:pPr>
      <w:r>
        <w:rPr>
          <w:rFonts w:hint="eastAsia" w:ascii="仿宋" w:hAnsi="仿宋" w:eastAsia="仿宋" w:cs="仿宋"/>
          <w:sz w:val="24"/>
        </w:rPr>
        <w:t>本协议正本三份、副本 份。合同三方各执正本一份、副本 份，当正本与副本内容不一致时，以正本为准。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r>
        <w:rPr>
          <w:rFonts w:hint="eastAsia" w:ascii="仿宋" w:hAnsi="仿宋" w:eastAsia="仿宋" w:cs="仿宋"/>
          <w:sz w:val="24"/>
        </w:rPr>
        <mc:AlternateContent>
          <mc:Choice Requires="wps">
            <w:drawing>
              <wp:anchor distT="0" distB="0" distL="114300" distR="114300" simplePos="0" relativeHeight="252176384" behindDoc="1" locked="0" layoutInCell="0" allowOverlap="1">
                <wp:simplePos x="0" y="0"/>
                <wp:positionH relativeFrom="column">
                  <wp:posOffset>2017395</wp:posOffset>
                </wp:positionH>
                <wp:positionV relativeFrom="paragraph">
                  <wp:posOffset>-273050</wp:posOffset>
                </wp:positionV>
                <wp:extent cx="152400" cy="0"/>
                <wp:effectExtent l="0" t="0" r="0" b="0"/>
                <wp:wrapNone/>
                <wp:docPr id="88" name="直接连接符 88"/>
                <wp:cNvGraphicFramePr/>
                <a:graphic xmlns:a="http://schemas.openxmlformats.org/drawingml/2006/main">
                  <a:graphicData uri="http://schemas.microsoft.com/office/word/2010/wordprocessingShape">
                    <wps:wsp>
                      <wps:cNvCnPr/>
                      <wps:spPr>
                        <a:xfrm>
                          <a:off x="0" y="0"/>
                          <a:ext cx="1524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8.85pt;margin-top:-21.5pt;height:0pt;width:12pt;z-index:-251140096;mso-width-relative:page;mso-height-relative:page;" filled="f" stroked="t" coordsize="21600,21600" o:allowincell="f" o:gfxdata="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I4vRi1wAAAAsBAAAPAAAAAAAA&#10;AAEAIAAAACIAAABkcnMvZG93bnJldi54bWxQSwECFAAUAAAACACHTuJAJryK/toBAACXAwAADgAA&#10;AAAAAAABACAAAAAmAQAAZHJzL2Uyb0RvYy54bWxQSwUGAAAAAAYABgBZAQAAcgUAAAAA&#10;">
                <v:fill on="f" focussize="0,0"/>
                <v:stroke weight="0.6pt" color="#000000" joinstyle="round"/>
                <v:imagedata o:title=""/>
                <o:lock v:ext="edit" aspectratio="f"/>
              </v:line>
            </w:pict>
          </mc:Fallback>
        </mc:AlternateContent>
      </w:r>
      <w:r>
        <w:rPr>
          <w:rFonts w:hint="eastAsia" w:ascii="仿宋" w:hAnsi="仿宋" w:eastAsia="仿宋" w:cs="仿宋"/>
          <w:sz w:val="24"/>
        </w:rPr>
        <mc:AlternateContent>
          <mc:Choice Requires="wps">
            <w:drawing>
              <wp:anchor distT="0" distB="0" distL="114300" distR="114300" simplePos="0" relativeHeight="252177408" behindDoc="1" locked="0" layoutInCell="0" allowOverlap="1">
                <wp:simplePos x="0" y="0"/>
                <wp:positionH relativeFrom="column">
                  <wp:posOffset>4446905</wp:posOffset>
                </wp:positionH>
                <wp:positionV relativeFrom="paragraph">
                  <wp:posOffset>-273050</wp:posOffset>
                </wp:positionV>
                <wp:extent cx="153035" cy="0"/>
                <wp:effectExtent l="0" t="0" r="0" b="0"/>
                <wp:wrapNone/>
                <wp:docPr id="87" name="直接连接符 87"/>
                <wp:cNvGraphicFramePr/>
                <a:graphic xmlns:a="http://schemas.openxmlformats.org/drawingml/2006/main">
                  <a:graphicData uri="http://schemas.microsoft.com/office/word/2010/wordprocessingShape">
                    <wps:wsp>
                      <wps:cNvCnPr/>
                      <wps:spPr>
                        <a:xfrm>
                          <a:off x="0" y="0"/>
                          <a:ext cx="15303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0.15pt;margin-top:-21.5pt;height:0pt;width:12.05pt;z-index:-251139072;mso-width-relative:page;mso-height-relative:page;" filled="f" stroked="t" coordsize="21600,21600" o:allowincell="f" o:gfxdata="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qzlWrXAAAACwEAAA8AAAAA&#10;AAAAAQAgAAAAIgAAAGRycy9kb3ducmV2LnhtbFBLAQIUABQAAAAIAIdO4kDn3Epw3AEAAJcDAAAO&#10;AAAAAAAAAAEAIAAAACYBAABkcnMvZTJvRG9jLnhtbFBLBQYAAAAABgAGAFkBAAB0BQAAAAA=&#10;">
                <v:fill on="f" focussize="0,0"/>
                <v:stroke weight="0.6pt" color="#000000" joinstyle="round"/>
                <v:imagedata o:title=""/>
                <o:lock v:ext="edit" aspectratio="f"/>
              </v:line>
            </w:pict>
          </mc:Fallback>
        </mc:AlternateContent>
      </w:r>
    </w:p>
    <w:tbl>
      <w:tblPr>
        <w:tblStyle w:val="13"/>
        <w:tblW w:w="5520" w:type="dxa"/>
        <w:tblInd w:w="0" w:type="dxa"/>
        <w:tblLayout w:type="fixed"/>
        <w:tblCellMar>
          <w:top w:w="0" w:type="dxa"/>
          <w:left w:w="0" w:type="dxa"/>
          <w:bottom w:w="0" w:type="dxa"/>
          <w:right w:w="0" w:type="dxa"/>
        </w:tblCellMar>
      </w:tblPr>
      <w:tblGrid>
        <w:gridCol w:w="960"/>
        <w:gridCol w:w="240"/>
        <w:gridCol w:w="720"/>
        <w:gridCol w:w="1080"/>
        <w:gridCol w:w="120"/>
        <w:gridCol w:w="120"/>
        <w:gridCol w:w="840"/>
        <w:gridCol w:w="360"/>
        <w:gridCol w:w="120"/>
        <w:gridCol w:w="360"/>
        <w:gridCol w:w="600"/>
      </w:tblGrid>
      <w:tr>
        <w:tblPrEx>
          <w:tblLayout w:type="fixed"/>
          <w:tblCellMar>
            <w:top w:w="0" w:type="dxa"/>
            <w:left w:w="0" w:type="dxa"/>
            <w:bottom w:w="0" w:type="dxa"/>
            <w:right w:w="0" w:type="dxa"/>
          </w:tblCellMar>
        </w:tblPrEx>
        <w:trPr>
          <w:trHeight w:val="274" w:hRule="atLeast"/>
        </w:trPr>
        <w:tc>
          <w:tcPr>
            <w:tcW w:w="4080" w:type="dxa"/>
            <w:gridSpan w:val="7"/>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发包人：</w:t>
            </w:r>
          </w:p>
        </w:tc>
        <w:tc>
          <w:tcPr>
            <w:tcW w:w="1440" w:type="dxa"/>
            <w:gridSpan w:val="4"/>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8"/>
                <w:sz w:val="24"/>
              </w:rPr>
            </w:pPr>
            <w:r>
              <w:rPr>
                <w:rFonts w:hint="eastAsia" w:ascii="仿宋" w:hAnsi="仿宋" w:eastAsia="仿宋" w:cs="仿宋"/>
                <w:w w:val="98"/>
                <w:sz w:val="24"/>
              </w:rPr>
              <w:t>（盖单位章）</w:t>
            </w:r>
          </w:p>
        </w:tc>
      </w:tr>
      <w:tr>
        <w:tblPrEx>
          <w:tblLayout w:type="fixed"/>
          <w:tblCellMar>
            <w:top w:w="0" w:type="dxa"/>
            <w:left w:w="0" w:type="dxa"/>
            <w:bottom w:w="0" w:type="dxa"/>
            <w:right w:w="0" w:type="dxa"/>
          </w:tblCellMar>
        </w:tblPrEx>
        <w:trPr>
          <w:trHeight w:val="20" w:hRule="atLeast"/>
        </w:trPr>
        <w:tc>
          <w:tcPr>
            <w:tcW w:w="9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21" w:hRule="atLeast"/>
        </w:trPr>
        <w:tc>
          <w:tcPr>
            <w:tcW w:w="4080" w:type="dxa"/>
            <w:gridSpan w:val="7"/>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法定代表人或其委托代理人：</w:t>
            </w: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960" w:type="dxa"/>
            <w:gridSpan w:val="2"/>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7"/>
                <w:sz w:val="24"/>
              </w:rPr>
            </w:pPr>
            <w:r>
              <w:rPr>
                <w:rFonts w:hint="eastAsia" w:ascii="仿宋" w:hAnsi="仿宋" w:eastAsia="仿宋" w:cs="仿宋"/>
                <w:w w:val="97"/>
                <w:sz w:val="24"/>
              </w:rPr>
              <w:t>（签字）</w:t>
            </w:r>
          </w:p>
        </w:tc>
      </w:tr>
      <w:tr>
        <w:tblPrEx>
          <w:tblLayout w:type="fixed"/>
          <w:tblCellMar>
            <w:top w:w="0" w:type="dxa"/>
            <w:left w:w="0" w:type="dxa"/>
            <w:bottom w:w="0" w:type="dxa"/>
            <w:right w:w="0" w:type="dxa"/>
          </w:tblCellMar>
        </w:tblPrEx>
        <w:trPr>
          <w:trHeight w:val="20" w:hRule="atLeast"/>
        </w:trPr>
        <w:tc>
          <w:tcPr>
            <w:tcW w:w="9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8" w:hRule="atLeast"/>
        </w:trPr>
        <w:tc>
          <w:tcPr>
            <w:tcW w:w="9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7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80" w:type="dxa"/>
            <w:gridSpan w:val="3"/>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年</w:t>
            </w:r>
          </w:p>
        </w:tc>
        <w:tc>
          <w:tcPr>
            <w:tcW w:w="4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月</w:t>
            </w: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0" w:type="dxa"/>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sz w:val="24"/>
              </w:rPr>
            </w:pPr>
            <w:r>
              <w:rPr>
                <w:rFonts w:hint="eastAsia" w:ascii="仿宋" w:hAnsi="仿宋" w:eastAsia="仿宋" w:cs="仿宋"/>
                <w:sz w:val="24"/>
              </w:rPr>
              <w:t>日</w:t>
            </w:r>
          </w:p>
        </w:tc>
      </w:tr>
      <w:tr>
        <w:tblPrEx>
          <w:tblLayout w:type="fixed"/>
          <w:tblCellMar>
            <w:top w:w="0" w:type="dxa"/>
            <w:left w:w="0" w:type="dxa"/>
            <w:bottom w:w="0" w:type="dxa"/>
            <w:right w:w="0" w:type="dxa"/>
          </w:tblCellMar>
        </w:tblPrEx>
        <w:trPr>
          <w:trHeight w:val="20" w:hRule="atLeast"/>
        </w:trPr>
        <w:tc>
          <w:tcPr>
            <w:tcW w:w="120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8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662" w:hRule="atLeast"/>
        </w:trPr>
        <w:tc>
          <w:tcPr>
            <w:tcW w:w="1920" w:type="dxa"/>
            <w:gridSpan w:val="3"/>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承包人：</w:t>
            </w:r>
          </w:p>
        </w:tc>
        <w:tc>
          <w:tcPr>
            <w:tcW w:w="10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440" w:type="dxa"/>
            <w:gridSpan w:val="4"/>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8"/>
                <w:sz w:val="24"/>
              </w:rPr>
            </w:pPr>
            <w:r>
              <w:rPr>
                <w:rFonts w:hint="eastAsia" w:ascii="仿宋" w:hAnsi="仿宋" w:eastAsia="仿宋" w:cs="仿宋"/>
                <w:w w:val="98"/>
                <w:sz w:val="24"/>
              </w:rPr>
              <w:t>（盖单位章）</w:t>
            </w:r>
          </w:p>
        </w:tc>
      </w:tr>
      <w:tr>
        <w:tblPrEx>
          <w:tblLayout w:type="fixed"/>
          <w:tblCellMar>
            <w:top w:w="0" w:type="dxa"/>
            <w:left w:w="0" w:type="dxa"/>
            <w:bottom w:w="0" w:type="dxa"/>
            <w:right w:w="0" w:type="dxa"/>
          </w:tblCellMar>
        </w:tblPrEx>
        <w:trPr>
          <w:trHeight w:val="20" w:hRule="atLeast"/>
        </w:trPr>
        <w:tc>
          <w:tcPr>
            <w:tcW w:w="9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880" w:type="dxa"/>
            <w:gridSpan w:val="5"/>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18" w:hRule="atLeast"/>
        </w:trPr>
        <w:tc>
          <w:tcPr>
            <w:tcW w:w="4080" w:type="dxa"/>
            <w:gridSpan w:val="7"/>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法定代表人或其委托代理人：</w:t>
            </w: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960" w:type="dxa"/>
            <w:gridSpan w:val="2"/>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7"/>
                <w:sz w:val="24"/>
              </w:rPr>
            </w:pPr>
            <w:r>
              <w:rPr>
                <w:rFonts w:hint="eastAsia" w:ascii="仿宋" w:hAnsi="仿宋" w:eastAsia="仿宋" w:cs="仿宋"/>
                <w:w w:val="97"/>
                <w:sz w:val="24"/>
              </w:rPr>
              <w:t>（签字）</w:t>
            </w:r>
          </w:p>
        </w:tc>
      </w:tr>
      <w:tr>
        <w:tblPrEx>
          <w:tblLayout w:type="fixed"/>
          <w:tblCellMar>
            <w:top w:w="0" w:type="dxa"/>
            <w:left w:w="0" w:type="dxa"/>
            <w:bottom w:w="0" w:type="dxa"/>
            <w:right w:w="0" w:type="dxa"/>
          </w:tblCellMar>
        </w:tblPrEx>
        <w:trPr>
          <w:trHeight w:val="20" w:hRule="atLeast"/>
        </w:trPr>
        <w:tc>
          <w:tcPr>
            <w:tcW w:w="9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6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8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21" w:hRule="atLeast"/>
        </w:trPr>
        <w:tc>
          <w:tcPr>
            <w:tcW w:w="9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7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80" w:type="dxa"/>
            <w:gridSpan w:val="3"/>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年</w:t>
            </w:r>
          </w:p>
        </w:tc>
        <w:tc>
          <w:tcPr>
            <w:tcW w:w="4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月</w:t>
            </w: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0" w:type="dxa"/>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sz w:val="24"/>
              </w:rPr>
            </w:pPr>
            <w:r>
              <w:rPr>
                <w:rFonts w:hint="eastAsia" w:ascii="仿宋" w:hAnsi="仿宋" w:eastAsia="仿宋" w:cs="仿宋"/>
                <w:sz w:val="24"/>
              </w:rPr>
              <w:t>日</w:t>
            </w:r>
          </w:p>
        </w:tc>
      </w:tr>
      <w:tr>
        <w:tblPrEx>
          <w:tblLayout w:type="fixed"/>
          <w:tblCellMar>
            <w:top w:w="0" w:type="dxa"/>
            <w:left w:w="0" w:type="dxa"/>
            <w:bottom w:w="0" w:type="dxa"/>
            <w:right w:w="0" w:type="dxa"/>
          </w:tblCellMar>
        </w:tblPrEx>
        <w:trPr>
          <w:trHeight w:val="20" w:hRule="atLeast"/>
        </w:trPr>
        <w:tc>
          <w:tcPr>
            <w:tcW w:w="120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8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840" w:type="dxa"/>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8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659" w:hRule="atLeast"/>
        </w:trPr>
        <w:tc>
          <w:tcPr>
            <w:tcW w:w="1920" w:type="dxa"/>
            <w:gridSpan w:val="3"/>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经办银行：</w:t>
            </w:r>
          </w:p>
        </w:tc>
        <w:tc>
          <w:tcPr>
            <w:tcW w:w="10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8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440" w:type="dxa"/>
            <w:gridSpan w:val="4"/>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8"/>
                <w:sz w:val="24"/>
              </w:rPr>
            </w:pPr>
            <w:r>
              <w:rPr>
                <w:rFonts w:hint="eastAsia" w:ascii="仿宋" w:hAnsi="仿宋" w:eastAsia="仿宋" w:cs="仿宋"/>
                <w:w w:val="98"/>
                <w:sz w:val="24"/>
              </w:rPr>
              <w:t>（盖单位章）</w:t>
            </w:r>
          </w:p>
        </w:tc>
      </w:tr>
      <w:tr>
        <w:tblPrEx>
          <w:tblLayout w:type="fixed"/>
          <w:tblCellMar>
            <w:top w:w="0" w:type="dxa"/>
            <w:left w:w="0" w:type="dxa"/>
            <w:bottom w:w="0" w:type="dxa"/>
            <w:right w:w="0" w:type="dxa"/>
          </w:tblCellMar>
        </w:tblPrEx>
        <w:trPr>
          <w:trHeight w:val="20" w:hRule="atLeast"/>
        </w:trPr>
        <w:tc>
          <w:tcPr>
            <w:tcW w:w="1200" w:type="dxa"/>
            <w:gridSpan w:val="2"/>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880" w:type="dxa"/>
            <w:gridSpan w:val="5"/>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6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21" w:hRule="atLeast"/>
        </w:trPr>
        <w:tc>
          <w:tcPr>
            <w:tcW w:w="4080" w:type="dxa"/>
            <w:gridSpan w:val="7"/>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法定代表人或其委托代理人：</w:t>
            </w: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960" w:type="dxa"/>
            <w:gridSpan w:val="2"/>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w w:val="97"/>
                <w:sz w:val="24"/>
              </w:rPr>
            </w:pPr>
            <w:r>
              <w:rPr>
                <w:rFonts w:hint="eastAsia" w:ascii="仿宋" w:hAnsi="仿宋" w:eastAsia="仿宋" w:cs="仿宋"/>
                <w:w w:val="97"/>
                <w:sz w:val="24"/>
              </w:rPr>
              <w:t>（签字）</w:t>
            </w:r>
          </w:p>
        </w:tc>
      </w:tr>
      <w:tr>
        <w:tblPrEx>
          <w:tblLayout w:type="fixed"/>
          <w:tblCellMar>
            <w:top w:w="0" w:type="dxa"/>
            <w:left w:w="0" w:type="dxa"/>
            <w:bottom w:w="0" w:type="dxa"/>
            <w:right w:w="0" w:type="dxa"/>
          </w:tblCellMar>
        </w:tblPrEx>
        <w:trPr>
          <w:trHeight w:val="20" w:hRule="atLeast"/>
        </w:trPr>
        <w:tc>
          <w:tcPr>
            <w:tcW w:w="96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24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7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08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120" w:type="dxa"/>
            <w:shd w:val="clear" w:color="auto" w:fill="auto"/>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96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480" w:type="dxa"/>
            <w:gridSpan w:val="2"/>
            <w:shd w:val="clear" w:color="auto" w:fill="000000"/>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c>
          <w:tcPr>
            <w:tcW w:w="60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1"/>
              </w:rPr>
            </w:pPr>
          </w:p>
        </w:tc>
      </w:tr>
      <w:tr>
        <w:tblPrEx>
          <w:tblLayout w:type="fixed"/>
          <w:tblCellMar>
            <w:top w:w="0" w:type="dxa"/>
            <w:left w:w="0" w:type="dxa"/>
            <w:bottom w:w="0" w:type="dxa"/>
            <w:right w:w="0" w:type="dxa"/>
          </w:tblCellMar>
        </w:tblPrEx>
        <w:trPr>
          <w:trHeight w:val="321" w:hRule="atLeast"/>
        </w:trPr>
        <w:tc>
          <w:tcPr>
            <w:tcW w:w="9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24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72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8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1080" w:type="dxa"/>
            <w:gridSpan w:val="3"/>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年</w:t>
            </w:r>
          </w:p>
        </w:tc>
        <w:tc>
          <w:tcPr>
            <w:tcW w:w="480" w:type="dxa"/>
            <w:gridSpan w:val="2"/>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r>
              <w:rPr>
                <w:rFonts w:hint="eastAsia" w:ascii="仿宋" w:hAnsi="仿宋" w:eastAsia="仿宋" w:cs="仿宋"/>
                <w:sz w:val="24"/>
              </w:rPr>
              <w:t>月</w:t>
            </w:r>
          </w:p>
        </w:tc>
        <w:tc>
          <w:tcPr>
            <w:tcW w:w="360" w:type="dxa"/>
            <w:noWrap w:val="0"/>
            <w:vAlign w:val="bottom"/>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rPr>
            </w:pPr>
          </w:p>
        </w:tc>
        <w:tc>
          <w:tcPr>
            <w:tcW w:w="600" w:type="dxa"/>
            <w:noWrap w:val="0"/>
            <w:vAlign w:val="bottom"/>
          </w:tcPr>
          <w:p>
            <w:pPr>
              <w:keepNext w:val="0"/>
              <w:keepLines w:val="0"/>
              <w:pageBreakBefore w:val="0"/>
              <w:widowControl/>
              <w:kinsoku/>
              <w:wordWrap/>
              <w:overflowPunct/>
              <w:topLinePunct w:val="0"/>
              <w:autoSpaceDE/>
              <w:autoSpaceDN/>
              <w:bidi w:val="0"/>
              <w:spacing w:line="240" w:lineRule="auto"/>
              <w:jc w:val="right"/>
              <w:textAlignment w:val="auto"/>
              <w:rPr>
                <w:rFonts w:hint="eastAsia" w:ascii="仿宋" w:hAnsi="仿宋" w:eastAsia="仿宋" w:cs="仿宋"/>
                <w:sz w:val="24"/>
              </w:rPr>
            </w:pPr>
            <w:r>
              <w:rPr>
                <w:rFonts w:hint="eastAsia" w:ascii="仿宋" w:hAnsi="仿宋" w:eastAsia="仿宋" w:cs="仿宋"/>
                <w:sz w:val="24"/>
              </w:rPr>
              <w:t>日</w:t>
            </w:r>
          </w:p>
        </w:tc>
      </w:tr>
    </w:tbl>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bookmarkStart w:id="90" w:name="page173"/>
      <w:bookmarkEnd w:id="90"/>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400" w:lineRule="exact"/>
        <w:rPr>
          <w:rFonts w:eastAsia="Times New Roman"/>
        </w:rPr>
      </w:pPr>
    </w:p>
    <w:p>
      <w:pPr>
        <w:adjustRightInd w:val="0"/>
        <w:snapToGrid w:val="0"/>
        <w:spacing w:line="360" w:lineRule="auto"/>
        <w:jc w:val="center"/>
        <w:outlineLvl w:val="0"/>
        <w:rPr>
          <w:rFonts w:eastAsia="Times New Roman"/>
        </w:rPr>
      </w:pPr>
      <w:r>
        <w:rPr>
          <w:rFonts w:hint="eastAsia" w:ascii="黑体" w:hAnsi="黑体" w:eastAsia="黑体"/>
          <w:sz w:val="44"/>
          <w:szCs w:val="44"/>
        </w:rPr>
        <w:t>第五章</w:t>
      </w:r>
      <w:r>
        <w:rPr>
          <w:rFonts w:hint="eastAsia" w:ascii="黑体" w:hAnsi="黑体" w:eastAsia="黑体"/>
          <w:sz w:val="44"/>
          <w:szCs w:val="44"/>
        </w:rPr>
        <w:tab/>
      </w:r>
      <w:r>
        <w:rPr>
          <w:rFonts w:hint="eastAsia" w:ascii="黑体" w:hAnsi="黑体" w:eastAsia="黑体"/>
          <w:sz w:val="44"/>
          <w:szCs w:val="44"/>
        </w:rPr>
        <w:t>工程量清单</w:t>
      </w:r>
      <w:bookmarkStart w:id="91" w:name="page174"/>
      <w:bookmarkEnd w:id="91"/>
    </w:p>
    <w:p>
      <w:pPr>
        <w:spacing w:line="327" w:lineRule="exact"/>
        <w:rPr>
          <w:rFonts w:eastAsia="Times New Roman"/>
        </w:rPr>
      </w:pPr>
    </w:p>
    <w:p>
      <w:pPr>
        <w:pStyle w:val="2"/>
        <w:ind w:firstLine="480" w:firstLineChars="200"/>
        <w:rPr>
          <w:rFonts w:hAnsi="宋体"/>
          <w:sz w:val="24"/>
          <w:szCs w:val="22"/>
        </w:rPr>
      </w:pPr>
      <w:r>
        <w:rPr>
          <w:rFonts w:hint="eastAsia" w:hAnsi="宋体"/>
          <w:sz w:val="24"/>
          <w:szCs w:val="22"/>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pStyle w:val="2"/>
        <w:ind w:firstLine="480" w:firstLineChars="200"/>
        <w:rPr>
          <w:rFonts w:hAnsi="宋体"/>
          <w:sz w:val="24"/>
          <w:szCs w:val="22"/>
        </w:rPr>
      </w:pPr>
      <w:r>
        <w:rPr>
          <w:rFonts w:hint="eastAsia" w:hAnsi="宋体"/>
          <w:sz w:val="24"/>
          <w:szCs w:val="22"/>
        </w:rPr>
        <w:t>1.2 本工程量清单应与招标文件中的投标人须知、通用合同条款、专用合同条款、技术规范及图纸等一起阅读和理解。</w:t>
      </w:r>
    </w:p>
    <w:p>
      <w:pPr>
        <w:pStyle w:val="2"/>
        <w:ind w:firstLine="480" w:firstLineChars="200"/>
        <w:rPr>
          <w:rFonts w:hAnsi="宋体"/>
          <w:sz w:val="24"/>
          <w:szCs w:val="22"/>
        </w:rPr>
      </w:pPr>
      <w:r>
        <w:rPr>
          <w:rFonts w:hint="eastAsia" w:hAnsi="宋体"/>
          <w:sz w:val="24"/>
          <w:szCs w:val="22"/>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pStyle w:val="2"/>
        <w:ind w:firstLine="480" w:firstLineChars="200"/>
        <w:rPr>
          <w:rFonts w:hAnsi="宋体"/>
          <w:sz w:val="24"/>
          <w:szCs w:val="22"/>
        </w:rPr>
      </w:pPr>
      <w:r>
        <w:rPr>
          <w:rFonts w:hint="eastAsia" w:hAnsi="宋体"/>
          <w:sz w:val="24"/>
          <w:szCs w:val="22"/>
        </w:rPr>
        <w:t>1.4 工程量清单各章是按第七章“技术规范”的相应章次编号的，因此，工程量清单中各章的工程子目的范围与计量等应与“技术规范”相应章节的范围、计量与支付条款结合起来理解或解释。</w:t>
      </w:r>
    </w:p>
    <w:p>
      <w:pPr>
        <w:pStyle w:val="2"/>
        <w:ind w:firstLine="480" w:firstLineChars="200"/>
        <w:rPr>
          <w:rFonts w:hAnsi="宋体"/>
          <w:sz w:val="24"/>
          <w:szCs w:val="22"/>
        </w:rPr>
      </w:pPr>
      <w:r>
        <w:rPr>
          <w:rFonts w:hint="eastAsia" w:hAnsi="宋体"/>
          <w:sz w:val="24"/>
          <w:szCs w:val="22"/>
        </w:rPr>
        <w:t>1.5 对作业和材料的—般说明或规定，未重复写入工程量清单内，在给工程量清单各子目标价前，应参阅第七章“技术规范”的有关内容。</w:t>
      </w:r>
    </w:p>
    <w:p>
      <w:pPr>
        <w:pStyle w:val="2"/>
        <w:ind w:firstLine="480" w:firstLineChars="200"/>
        <w:rPr>
          <w:rFonts w:hAnsi="宋体"/>
          <w:sz w:val="24"/>
          <w:szCs w:val="22"/>
        </w:rPr>
      </w:pPr>
      <w:r>
        <w:rPr>
          <w:rFonts w:hint="eastAsia" w:hAnsi="宋体"/>
          <w:sz w:val="24"/>
          <w:szCs w:val="22"/>
        </w:rPr>
        <w:t>1.6 工程量清单中所列工程量的变动，丝毫不会降低或影响合同条款的效力，也不免除承包人按规定的标准进行施工和修复缺陷的责任。</w:t>
      </w:r>
    </w:p>
    <w:p>
      <w:pPr>
        <w:pStyle w:val="2"/>
        <w:ind w:firstLine="480" w:firstLineChars="200"/>
        <w:rPr>
          <w:rFonts w:hAnsi="宋体"/>
          <w:sz w:val="24"/>
          <w:szCs w:val="22"/>
        </w:rPr>
      </w:pPr>
      <w:r>
        <w:rPr>
          <w:rFonts w:hint="eastAsia" w:hAnsi="宋体"/>
          <w:sz w:val="24"/>
          <w:szCs w:val="22"/>
        </w:rPr>
        <w:t>1.7 图纸中所列的工程数量表及数量汇总表仅是提供资料，不是工程量清单的外延。当图纸与工程量清单所列数量不一致时，以工程量清单所列数量作为报价的依据。</w:t>
      </w:r>
    </w:p>
    <w:p>
      <w:pPr>
        <w:pStyle w:val="2"/>
        <w:ind w:firstLine="480" w:firstLineChars="200"/>
        <w:rPr>
          <w:rFonts w:hAnsi="宋体"/>
          <w:sz w:val="24"/>
          <w:szCs w:val="22"/>
        </w:rPr>
      </w:pPr>
      <w:r>
        <w:rPr>
          <w:rFonts w:hint="eastAsia" w:hAnsi="宋体"/>
          <w:sz w:val="24"/>
          <w:szCs w:val="22"/>
        </w:rPr>
        <w:t>2．投标报价说明</w:t>
      </w:r>
    </w:p>
    <w:p>
      <w:pPr>
        <w:pStyle w:val="2"/>
        <w:ind w:firstLine="480" w:firstLineChars="200"/>
        <w:rPr>
          <w:rFonts w:hAnsi="宋体"/>
          <w:sz w:val="24"/>
          <w:szCs w:val="22"/>
        </w:rPr>
      </w:pPr>
      <w:r>
        <w:rPr>
          <w:rFonts w:hint="eastAsia" w:hAnsi="宋体"/>
          <w:sz w:val="24"/>
          <w:szCs w:val="22"/>
        </w:rPr>
        <w:t>2.1 工程量清单中的每一子目须填入单价或价格，且只允许有一个报价。</w:t>
      </w:r>
    </w:p>
    <w:p>
      <w:pPr>
        <w:pStyle w:val="2"/>
        <w:ind w:firstLine="480" w:firstLineChars="200"/>
        <w:rPr>
          <w:rFonts w:hAnsi="宋体"/>
          <w:sz w:val="24"/>
          <w:szCs w:val="22"/>
        </w:rPr>
      </w:pPr>
      <w:r>
        <w:rPr>
          <w:rFonts w:hint="eastAsia" w:hAnsi="宋体"/>
          <w:sz w:val="24"/>
          <w:szCs w:val="22"/>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pStyle w:val="2"/>
        <w:ind w:firstLine="480" w:firstLineChars="200"/>
        <w:rPr>
          <w:rFonts w:hAnsi="宋体"/>
          <w:sz w:val="24"/>
          <w:szCs w:val="22"/>
        </w:rPr>
      </w:pPr>
      <w:r>
        <w:rPr>
          <w:rFonts w:hint="eastAsia" w:hAnsi="宋体"/>
          <w:sz w:val="24"/>
          <w:szCs w:val="22"/>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pStyle w:val="2"/>
        <w:ind w:firstLine="480" w:firstLineChars="200"/>
        <w:rPr>
          <w:rFonts w:hAnsi="宋体"/>
          <w:sz w:val="24"/>
          <w:szCs w:val="22"/>
        </w:rPr>
      </w:pPr>
      <w:r>
        <w:rPr>
          <w:rFonts w:hint="eastAsia" w:hAnsi="宋体"/>
          <w:sz w:val="24"/>
          <w:szCs w:val="22"/>
        </w:rPr>
        <w:t>2.4 符合合同条款规定的全部费用应认为已被计入有标价的工程量清单所列各子目之中，未列子目不予计量的工作，其费用应视为已分摊在本合同工程的有关子目的单价或总额价之中。</w:t>
      </w:r>
    </w:p>
    <w:p>
      <w:pPr>
        <w:pStyle w:val="2"/>
        <w:ind w:firstLine="480" w:firstLineChars="200"/>
        <w:rPr>
          <w:rFonts w:hAnsi="宋体"/>
          <w:sz w:val="24"/>
          <w:szCs w:val="22"/>
        </w:rPr>
      </w:pPr>
      <w:r>
        <w:rPr>
          <w:rFonts w:hint="eastAsia" w:hAnsi="宋体"/>
          <w:sz w:val="24"/>
          <w:szCs w:val="22"/>
        </w:rPr>
        <w:t>2.5承包人用于本合同工程的各类装备的提供、运输、维护、拆卸、拼装等支付的费用，已包括在工程量清单的单价与总额价之中。</w:t>
      </w:r>
    </w:p>
    <w:p>
      <w:pPr>
        <w:pStyle w:val="2"/>
        <w:ind w:firstLine="480" w:firstLineChars="200"/>
        <w:rPr>
          <w:rFonts w:hAnsi="宋体"/>
          <w:sz w:val="24"/>
          <w:szCs w:val="22"/>
        </w:rPr>
      </w:pPr>
      <w:r>
        <w:rPr>
          <w:rFonts w:hint="eastAsia" w:hAnsi="宋体"/>
          <w:sz w:val="24"/>
          <w:szCs w:val="22"/>
        </w:rPr>
        <w:t>2.6 工程量清单中各项金额均以人民币（元）结算。</w:t>
      </w:r>
    </w:p>
    <w:p>
      <w:pPr>
        <w:pStyle w:val="2"/>
        <w:ind w:firstLine="480" w:firstLineChars="200"/>
        <w:rPr>
          <w:rFonts w:hAnsi="宋体"/>
          <w:sz w:val="24"/>
          <w:szCs w:val="22"/>
        </w:rPr>
      </w:pPr>
      <w:r>
        <w:rPr>
          <w:rFonts w:hint="eastAsia" w:hAnsi="宋体"/>
          <w:sz w:val="24"/>
          <w:szCs w:val="22"/>
        </w:rPr>
        <w:t>2.8 暂列金额（不含计日工总额）的数量及拟用子目的说明：。</w:t>
      </w:r>
    </w:p>
    <w:p>
      <w:pPr>
        <w:pStyle w:val="2"/>
        <w:ind w:firstLine="480" w:firstLineChars="200"/>
        <w:rPr>
          <w:rFonts w:hAnsi="宋体"/>
          <w:sz w:val="24"/>
          <w:szCs w:val="22"/>
        </w:rPr>
      </w:pPr>
      <w:r>
        <w:rPr>
          <w:rFonts w:hint="eastAsia" w:hAnsi="宋体"/>
          <w:sz w:val="24"/>
          <w:szCs w:val="22"/>
        </w:rPr>
        <w:t>2.9 暂估价的数量及拟用子目的说明：。</w:t>
      </w:r>
    </w:p>
    <w:p>
      <w:pPr>
        <w:pStyle w:val="2"/>
        <w:ind w:firstLine="480" w:firstLineChars="200"/>
        <w:rPr>
          <w:rFonts w:hAnsi="宋体"/>
          <w:sz w:val="24"/>
          <w:szCs w:val="22"/>
        </w:rPr>
      </w:pPr>
      <w:r>
        <w:rPr>
          <w:rFonts w:hint="eastAsia" w:hAnsi="宋体"/>
          <w:sz w:val="24"/>
          <w:szCs w:val="22"/>
        </w:rPr>
        <w:t>3．计日工说明</w:t>
      </w:r>
    </w:p>
    <w:p>
      <w:pPr>
        <w:pStyle w:val="2"/>
        <w:ind w:firstLine="480" w:firstLineChars="200"/>
        <w:rPr>
          <w:rFonts w:hAnsi="宋体"/>
          <w:sz w:val="24"/>
          <w:szCs w:val="22"/>
        </w:rPr>
      </w:pPr>
      <w:r>
        <w:rPr>
          <w:rFonts w:hint="eastAsia" w:hAnsi="宋体"/>
          <w:sz w:val="24"/>
          <w:szCs w:val="22"/>
        </w:rPr>
        <w:t xml:space="preserve">    3.1 总则</w:t>
      </w:r>
    </w:p>
    <w:p>
      <w:pPr>
        <w:pStyle w:val="2"/>
        <w:ind w:firstLine="480" w:firstLineChars="200"/>
        <w:rPr>
          <w:rFonts w:hAnsi="宋体"/>
          <w:sz w:val="24"/>
          <w:szCs w:val="22"/>
        </w:rPr>
      </w:pPr>
      <w:r>
        <w:rPr>
          <w:rFonts w:hint="eastAsia" w:hAnsi="宋体"/>
          <w:sz w:val="24"/>
          <w:szCs w:val="22"/>
        </w:rPr>
        <w:t>（l）本说明应参照通用合同条款第15.7款一并理解。</w:t>
      </w:r>
    </w:p>
    <w:p>
      <w:pPr>
        <w:pStyle w:val="2"/>
        <w:ind w:firstLine="480" w:firstLineChars="200"/>
        <w:rPr>
          <w:rFonts w:hAnsi="宋体"/>
          <w:sz w:val="24"/>
          <w:szCs w:val="22"/>
        </w:rPr>
      </w:pPr>
      <w:r>
        <w:rPr>
          <w:rFonts w:hint="eastAsia" w:hAnsi="宋体"/>
          <w:sz w:val="24"/>
          <w:szCs w:val="22"/>
        </w:rPr>
        <w:t>（2）未经监理人书面指令，任何工程不得按计日工施工；接到监理人按计日工施工的书面指令，承包人也不得拒绝。</w:t>
      </w:r>
    </w:p>
    <w:p>
      <w:pPr>
        <w:pStyle w:val="2"/>
        <w:ind w:firstLine="480" w:firstLineChars="200"/>
        <w:rPr>
          <w:rFonts w:hAnsi="宋体"/>
          <w:sz w:val="24"/>
          <w:szCs w:val="22"/>
        </w:rPr>
      </w:pPr>
      <w:r>
        <w:rPr>
          <w:rFonts w:hint="eastAsia" w:hAnsi="宋体"/>
          <w:sz w:val="24"/>
          <w:szCs w:val="22"/>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pStyle w:val="2"/>
        <w:ind w:firstLine="480" w:firstLineChars="200"/>
        <w:rPr>
          <w:rFonts w:hAnsi="宋体"/>
          <w:sz w:val="24"/>
          <w:szCs w:val="22"/>
        </w:rPr>
      </w:pPr>
      <w:r>
        <w:rPr>
          <w:rFonts w:hint="eastAsia" w:hAnsi="宋体"/>
          <w:sz w:val="24"/>
          <w:szCs w:val="22"/>
        </w:rPr>
        <w:t>（4）计日工不调价。</w:t>
      </w:r>
    </w:p>
    <w:p>
      <w:pPr>
        <w:pStyle w:val="2"/>
        <w:ind w:firstLine="480" w:firstLineChars="200"/>
        <w:rPr>
          <w:rFonts w:hAnsi="宋体"/>
          <w:sz w:val="24"/>
          <w:szCs w:val="22"/>
        </w:rPr>
      </w:pPr>
      <w:r>
        <w:rPr>
          <w:rFonts w:hint="eastAsia" w:hAnsi="宋体"/>
          <w:sz w:val="24"/>
          <w:szCs w:val="22"/>
        </w:rPr>
        <w:t>3.2 计日工劳务</w:t>
      </w:r>
    </w:p>
    <w:p>
      <w:pPr>
        <w:pStyle w:val="2"/>
        <w:ind w:firstLine="480" w:firstLineChars="200"/>
        <w:rPr>
          <w:rFonts w:hAnsi="宋体"/>
          <w:sz w:val="24"/>
          <w:szCs w:val="22"/>
        </w:rPr>
      </w:pPr>
      <w:r>
        <w:rPr>
          <w:rFonts w:hint="eastAsia" w:hAnsi="宋体"/>
          <w:sz w:val="24"/>
          <w:szCs w:val="22"/>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pStyle w:val="2"/>
        <w:ind w:firstLine="480" w:firstLineChars="200"/>
        <w:rPr>
          <w:rFonts w:hAnsi="宋体"/>
          <w:sz w:val="24"/>
          <w:szCs w:val="22"/>
        </w:rPr>
      </w:pPr>
      <w:r>
        <w:rPr>
          <w:rFonts w:hint="eastAsia" w:hAnsi="宋体"/>
          <w:sz w:val="24"/>
          <w:szCs w:val="22"/>
        </w:rPr>
        <w:t>（2）承包人可以得到用于计日工劳务的全部工时的支付，此支付按承包人填报的“计日工劳务单价表”所列单价计算，该单价应包括基本单价及承包人的管理费、税费、利润等所有附加费，说明如下：</w:t>
      </w:r>
    </w:p>
    <w:p>
      <w:pPr>
        <w:pStyle w:val="2"/>
        <w:ind w:firstLine="480" w:firstLineChars="200"/>
        <w:rPr>
          <w:rFonts w:hAnsi="宋体"/>
          <w:sz w:val="24"/>
          <w:szCs w:val="22"/>
        </w:rPr>
      </w:pPr>
      <w:r>
        <w:rPr>
          <w:rFonts w:hint="eastAsia" w:hAnsi="宋体"/>
          <w:sz w:val="24"/>
          <w:szCs w:val="22"/>
        </w:rPr>
        <w:t>a.劳务基本单价包括：承包人劳务的全部直接费用，如：工资、加班费、津贴、福利费及劳动保护费等。</w:t>
      </w:r>
    </w:p>
    <w:p>
      <w:pPr>
        <w:pStyle w:val="2"/>
        <w:ind w:firstLine="480" w:firstLineChars="200"/>
        <w:rPr>
          <w:rFonts w:hAnsi="宋体"/>
          <w:sz w:val="24"/>
          <w:szCs w:val="22"/>
        </w:rPr>
      </w:pPr>
      <w:r>
        <w:rPr>
          <w:rFonts w:hint="eastAsia" w:hAnsi="宋体"/>
          <w:sz w:val="24"/>
          <w:szCs w:val="22"/>
        </w:rPr>
        <w:t>b.承包人的利润、管理、质检、保险、税费；易耗品的使用、水电及照明费，工作台、脚手架、临时设施费，手动机具与工具的使用及维修，以及上述各项伴随而来的费用。</w:t>
      </w:r>
    </w:p>
    <w:p>
      <w:pPr>
        <w:pStyle w:val="2"/>
        <w:ind w:firstLine="480" w:firstLineChars="200"/>
        <w:rPr>
          <w:rFonts w:hAnsi="宋体"/>
          <w:sz w:val="24"/>
          <w:szCs w:val="22"/>
        </w:rPr>
      </w:pPr>
      <w:r>
        <w:rPr>
          <w:rFonts w:hint="eastAsia" w:hAnsi="宋体"/>
          <w:sz w:val="24"/>
          <w:szCs w:val="22"/>
        </w:rPr>
        <w:t>3.3 计日工材料</w:t>
      </w:r>
    </w:p>
    <w:p>
      <w:pPr>
        <w:pStyle w:val="2"/>
        <w:ind w:firstLine="480" w:firstLineChars="200"/>
        <w:rPr>
          <w:rFonts w:hAnsi="宋体"/>
          <w:sz w:val="24"/>
          <w:szCs w:val="22"/>
        </w:rPr>
      </w:pPr>
      <w:r>
        <w:rPr>
          <w:rFonts w:hint="eastAsia" w:hAnsi="宋体"/>
          <w:sz w:val="24"/>
          <w:szCs w:val="22"/>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pStyle w:val="2"/>
        <w:ind w:firstLine="480" w:firstLineChars="200"/>
        <w:rPr>
          <w:rFonts w:hAnsi="宋体"/>
          <w:sz w:val="24"/>
          <w:szCs w:val="22"/>
        </w:rPr>
      </w:pPr>
      <w:r>
        <w:rPr>
          <w:rFonts w:hint="eastAsia" w:hAnsi="宋体"/>
          <w:sz w:val="24"/>
          <w:szCs w:val="22"/>
        </w:rPr>
        <w:t>a．材料基本单价按供货价加运杂费（到达承包人现场仓库）、保险费、仓库管理费以及运输损耗等计算。</w:t>
      </w:r>
    </w:p>
    <w:p>
      <w:pPr>
        <w:pStyle w:val="2"/>
        <w:ind w:firstLine="480" w:firstLineChars="200"/>
        <w:rPr>
          <w:rFonts w:hAnsi="宋体"/>
          <w:sz w:val="24"/>
          <w:szCs w:val="22"/>
        </w:rPr>
      </w:pPr>
      <w:r>
        <w:rPr>
          <w:rFonts w:hint="eastAsia" w:hAnsi="宋体"/>
          <w:sz w:val="24"/>
          <w:szCs w:val="22"/>
        </w:rPr>
        <w:t>b. 承包人的利润、管理、质检、保险、税费及其他附加费：</w:t>
      </w:r>
    </w:p>
    <w:p>
      <w:pPr>
        <w:pStyle w:val="2"/>
        <w:ind w:firstLine="480" w:firstLineChars="200"/>
        <w:rPr>
          <w:rFonts w:hAnsi="宋体"/>
          <w:sz w:val="24"/>
          <w:szCs w:val="22"/>
        </w:rPr>
      </w:pPr>
      <w:r>
        <w:rPr>
          <w:rFonts w:hint="eastAsia" w:hAnsi="宋体"/>
          <w:sz w:val="24"/>
          <w:szCs w:val="22"/>
        </w:rPr>
        <w:t>c．从现场运至使用地点的人工费和施工机械使用费不包括在上述基本单价内。</w:t>
      </w:r>
    </w:p>
    <w:p>
      <w:pPr>
        <w:pStyle w:val="2"/>
        <w:ind w:firstLine="480" w:firstLineChars="200"/>
        <w:rPr>
          <w:rFonts w:hAnsi="宋体"/>
          <w:sz w:val="24"/>
          <w:szCs w:val="22"/>
        </w:rPr>
      </w:pPr>
      <w:r>
        <w:rPr>
          <w:rFonts w:hint="eastAsia" w:hAnsi="宋体"/>
          <w:sz w:val="24"/>
          <w:szCs w:val="22"/>
        </w:rPr>
        <w:t>3.4 计日工施工机械</w:t>
      </w:r>
    </w:p>
    <w:p>
      <w:pPr>
        <w:pStyle w:val="2"/>
        <w:ind w:firstLine="480" w:firstLineChars="200"/>
        <w:rPr>
          <w:rFonts w:hAnsi="宋体"/>
          <w:sz w:val="24"/>
          <w:szCs w:val="22"/>
        </w:rPr>
      </w:pPr>
      <w:r>
        <w:rPr>
          <w:rFonts w:hint="eastAsia" w:hAnsi="宋体"/>
          <w:sz w:val="24"/>
          <w:szCs w:val="22"/>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pStyle w:val="2"/>
        <w:ind w:firstLine="480" w:firstLineChars="200"/>
        <w:rPr>
          <w:rFonts w:hAnsi="宋体"/>
          <w:sz w:val="24"/>
          <w:szCs w:val="22"/>
        </w:rPr>
      </w:pPr>
      <w:r>
        <w:rPr>
          <w:rFonts w:hint="eastAsia" w:hAnsi="宋体"/>
          <w:sz w:val="24"/>
          <w:szCs w:val="22"/>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pStyle w:val="2"/>
        <w:ind w:firstLine="480" w:firstLineChars="200"/>
        <w:rPr>
          <w:rFonts w:hAnsi="宋体"/>
          <w:sz w:val="24"/>
          <w:szCs w:val="22"/>
        </w:rPr>
      </w:pPr>
      <w:r>
        <w:rPr>
          <w:rFonts w:hint="eastAsia" w:hAnsi="宋体"/>
          <w:sz w:val="24"/>
          <w:szCs w:val="22"/>
        </w:rPr>
        <w:t>4．其他说明</w:t>
      </w:r>
    </w:p>
    <w:p>
      <w:pPr>
        <w:pStyle w:val="2"/>
        <w:ind w:firstLine="480" w:firstLineChars="200"/>
        <w:rPr>
          <w:rFonts w:hAnsi="宋体"/>
          <w:sz w:val="24"/>
          <w:szCs w:val="22"/>
        </w:rPr>
      </w:pPr>
      <w:r>
        <w:rPr>
          <w:rFonts w:hint="eastAsia" w:hAnsi="宋体"/>
          <w:sz w:val="24"/>
          <w:szCs w:val="22"/>
        </w:rPr>
        <w:t>编制说明：</w:t>
      </w:r>
    </w:p>
    <w:p>
      <w:pPr>
        <w:pStyle w:val="2"/>
        <w:ind w:firstLine="480" w:firstLineChars="200"/>
        <w:rPr>
          <w:rFonts w:hAnsi="宋体"/>
          <w:sz w:val="24"/>
          <w:szCs w:val="22"/>
        </w:rPr>
      </w:pPr>
      <w:r>
        <w:rPr>
          <w:rFonts w:hint="eastAsia" w:hAnsi="宋体"/>
          <w:sz w:val="24"/>
          <w:szCs w:val="22"/>
        </w:rPr>
        <w:t>1、委托方提供的施工图设计、施工图预算、图纸问题回复等相关资料；</w:t>
      </w:r>
    </w:p>
    <w:p>
      <w:pPr>
        <w:pStyle w:val="2"/>
        <w:ind w:firstLine="480" w:firstLineChars="200"/>
        <w:rPr>
          <w:rFonts w:hAnsi="宋体"/>
          <w:sz w:val="24"/>
          <w:szCs w:val="22"/>
        </w:rPr>
      </w:pPr>
      <w:r>
        <w:rPr>
          <w:rFonts w:hint="eastAsia" w:hAnsi="宋体"/>
          <w:sz w:val="24"/>
          <w:szCs w:val="22"/>
        </w:rPr>
        <w:t>2、河南09公路工程清单计价依据【增值税】、(2016营改增）《公路工程2008预算定额》；</w:t>
      </w:r>
    </w:p>
    <w:p>
      <w:pPr>
        <w:pStyle w:val="2"/>
        <w:ind w:firstLine="480" w:firstLineChars="200"/>
        <w:rPr>
          <w:rFonts w:hAnsi="宋体"/>
          <w:sz w:val="24"/>
          <w:szCs w:val="22"/>
        </w:rPr>
      </w:pPr>
      <w:r>
        <w:rPr>
          <w:rFonts w:hint="eastAsia" w:hAnsi="宋体"/>
          <w:sz w:val="24"/>
          <w:szCs w:val="22"/>
        </w:rPr>
        <w:t>4、税金按10%足额计取；</w:t>
      </w:r>
    </w:p>
    <w:p>
      <w:pPr>
        <w:pStyle w:val="2"/>
        <w:ind w:firstLine="480" w:firstLineChars="200"/>
        <w:rPr>
          <w:rFonts w:hAnsi="宋体"/>
          <w:sz w:val="24"/>
          <w:szCs w:val="22"/>
        </w:rPr>
      </w:pPr>
      <w:r>
        <w:rPr>
          <w:rFonts w:hint="eastAsia" w:hAnsi="宋体"/>
          <w:sz w:val="24"/>
          <w:szCs w:val="22"/>
        </w:rPr>
        <w:t>5、施工扬尘污染防治专项增加费执行豫交文【2017】140号；</w:t>
      </w:r>
    </w:p>
    <w:p>
      <w:pPr>
        <w:pStyle w:val="2"/>
        <w:ind w:left="480" w:leftChars="240" w:firstLine="0" w:firstLineChars="0"/>
        <w:rPr>
          <w:rFonts w:hAnsi="宋体"/>
          <w:sz w:val="24"/>
          <w:szCs w:val="22"/>
        </w:rPr>
      </w:pPr>
      <w:r>
        <w:rPr>
          <w:rFonts w:hint="eastAsia" w:hAnsi="宋体"/>
          <w:sz w:val="24"/>
          <w:szCs w:val="22"/>
        </w:rPr>
        <w:t>6、材料价格依据2018年《许昌工程造价信息》第5期及市场调查价调整。</w:t>
      </w:r>
    </w:p>
    <w:p>
      <w:pPr>
        <w:pStyle w:val="2"/>
        <w:ind w:left="480" w:leftChars="240" w:firstLine="0" w:firstLineChars="0"/>
        <w:rPr>
          <w:rFonts w:hAnsi="宋体"/>
          <w:sz w:val="24"/>
          <w:szCs w:val="22"/>
        </w:rPr>
      </w:pPr>
      <w:r>
        <w:rPr>
          <w:rFonts w:hint="eastAsia" w:hAnsi="宋体"/>
          <w:sz w:val="24"/>
          <w:szCs w:val="22"/>
        </w:rPr>
        <w:t>7、</w:t>
      </w:r>
      <w:r>
        <w:rPr>
          <w:rFonts w:hAnsi="宋体"/>
          <w:sz w:val="24"/>
          <w:szCs w:val="22"/>
        </w:rPr>
        <w:t>公布的</w:t>
      </w:r>
      <w:r>
        <w:rPr>
          <w:rFonts w:hint="eastAsia" w:hAnsi="宋体"/>
          <w:sz w:val="24"/>
          <w:szCs w:val="22"/>
        </w:rPr>
        <w:t>工程量清单或</w:t>
      </w:r>
      <w:r>
        <w:rPr>
          <w:rFonts w:hAnsi="宋体"/>
          <w:sz w:val="24"/>
          <w:szCs w:val="22"/>
        </w:rPr>
        <w:t>固</w:t>
      </w:r>
      <w:r>
        <w:rPr>
          <w:rFonts w:hint="eastAsia" w:hAnsi="宋体"/>
          <w:sz w:val="24"/>
          <w:szCs w:val="22"/>
        </w:rPr>
        <w:t>化</w:t>
      </w:r>
      <w:r>
        <w:rPr>
          <w:rFonts w:hAnsi="宋体"/>
          <w:sz w:val="24"/>
          <w:szCs w:val="22"/>
        </w:rPr>
        <w:t>清单不得调整，各投标人应注意。</w:t>
      </w:r>
    </w:p>
    <w:p>
      <w:pPr>
        <w:pStyle w:val="2"/>
        <w:ind w:firstLine="480" w:firstLineChars="200"/>
        <w:rPr>
          <w:rFonts w:hAnsi="宋体"/>
          <w:sz w:val="24"/>
          <w:szCs w:val="22"/>
        </w:rPr>
      </w:pPr>
    </w:p>
    <w:p>
      <w:pPr>
        <w:pStyle w:val="2"/>
        <w:ind w:firstLine="480" w:firstLineChars="200"/>
        <w:rPr>
          <w:rFonts w:hAnsi="宋体"/>
          <w:sz w:val="24"/>
          <w:szCs w:val="22"/>
        </w:rPr>
      </w:pPr>
    </w:p>
    <w:p>
      <w:pPr>
        <w:spacing w:line="327" w:lineRule="auto"/>
        <w:ind w:firstLine="540"/>
        <w:jc w:val="both"/>
        <w:rPr>
          <w:rFonts w:ascii="宋体" w:hAnsi="宋体"/>
          <w:sz w:val="24"/>
          <w:szCs w:val="22"/>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spacing w:line="200" w:lineRule="exact"/>
        <w:rPr>
          <w:rFonts w:eastAsia="Times New Roman"/>
        </w:rPr>
      </w:pPr>
      <w:bookmarkStart w:id="92" w:name="page177"/>
      <w:bookmarkEnd w:id="92"/>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69" w:lineRule="exact"/>
        <w:rPr>
          <w:rFonts w:eastAsia="Times New Roman"/>
        </w:rPr>
      </w:pPr>
    </w:p>
    <w:p>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二</w:t>
      </w:r>
      <w:r>
        <w:rPr>
          <w:rFonts w:eastAsia="Times New Roman"/>
        </w:rPr>
        <w:tab/>
      </w:r>
      <w:r>
        <w:rPr>
          <w:rFonts w:ascii="宋体" w:hAnsi="宋体"/>
          <w:sz w:val="76"/>
        </w:rPr>
        <w:t>卷</w:t>
      </w:r>
    </w:p>
    <w:p>
      <w:pPr>
        <w:tabs>
          <w:tab w:val="left" w:pos="1500"/>
          <w:tab w:val="left" w:pos="3020"/>
        </w:tabs>
        <w:spacing w:line="0" w:lineRule="atLeast"/>
        <w:rPr>
          <w:rFonts w:ascii="宋体" w:hAnsi="宋体"/>
          <w:sz w:val="76"/>
        </w:rPr>
        <w:sectPr>
          <w:footerReference r:id="rId10" w:type="default"/>
          <w:pgSz w:w="11906" w:h="16838"/>
          <w:pgMar w:top="1440" w:right="1440" w:bottom="1440" w:left="1440" w:header="0" w:footer="567" w:gutter="0"/>
          <w:cols w:space="720" w:num="1"/>
          <w:docGrid w:linePitch="360" w:charSpace="0"/>
        </w:sectPr>
      </w:pPr>
    </w:p>
    <w:p>
      <w:pPr>
        <w:spacing w:line="200" w:lineRule="exact"/>
        <w:rPr>
          <w:rFonts w:eastAsia="Times New Roman"/>
        </w:rPr>
      </w:pPr>
      <w:bookmarkStart w:id="93" w:name="page208"/>
      <w:bookmarkEnd w:id="93"/>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pStyle w:val="2"/>
        <w:ind w:firstLine="0" w:firstLineChars="0"/>
        <w:rPr>
          <w:rFonts w:ascii="Times New Roman" w:eastAsia="Times New Roman"/>
        </w:rPr>
      </w:pPr>
    </w:p>
    <w:p>
      <w:pPr>
        <w:spacing w:line="200" w:lineRule="exact"/>
        <w:rPr>
          <w:rFonts w:eastAsia="Times New Roman"/>
        </w:rPr>
      </w:pPr>
    </w:p>
    <w:p>
      <w:pPr>
        <w:spacing w:line="266" w:lineRule="exact"/>
        <w:rPr>
          <w:rFonts w:eastAsia="Times New Roman"/>
        </w:rPr>
      </w:pPr>
    </w:p>
    <w:p>
      <w:pPr>
        <w:numPr>
          <w:ilvl w:val="0"/>
          <w:numId w:val="81"/>
        </w:numPr>
        <w:tabs>
          <w:tab w:val="left" w:pos="2220"/>
        </w:tabs>
        <w:spacing w:line="239" w:lineRule="auto"/>
        <w:jc w:val="center"/>
        <w:rPr>
          <w:rFonts w:ascii="宋体" w:hAnsi="宋体"/>
          <w:sz w:val="55"/>
          <w:szCs w:val="22"/>
        </w:rPr>
      </w:pPr>
      <w:r>
        <w:rPr>
          <w:rFonts w:ascii="宋体" w:hAnsi="宋体"/>
          <w:sz w:val="55"/>
        </w:rPr>
        <w:t>图纸</w:t>
      </w:r>
      <w:r>
        <w:rPr>
          <w:rFonts w:hint="eastAsia" w:ascii="宋体" w:hAnsi="宋体"/>
          <w:sz w:val="55"/>
        </w:rPr>
        <w:t xml:space="preserve">  </w:t>
      </w:r>
      <w:r>
        <w:rPr>
          <w:rFonts w:hint="eastAsia" w:ascii="宋体" w:hAnsi="宋体"/>
          <w:sz w:val="55"/>
          <w:szCs w:val="22"/>
        </w:rPr>
        <w:t>（另册）</w:t>
      </w:r>
    </w:p>
    <w:p>
      <w:pPr>
        <w:spacing w:line="200" w:lineRule="exact"/>
        <w:rPr>
          <w:rFonts w:eastAsia="Times New Roman"/>
        </w:rPr>
      </w:pPr>
      <w:bookmarkStart w:id="94" w:name="page209"/>
      <w:bookmarkEnd w:id="94"/>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9" w:lineRule="exact"/>
        <w:rPr>
          <w:rFonts w:eastAsia="Times New Roman"/>
        </w:rPr>
      </w:pPr>
    </w:p>
    <w:p>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三</w:t>
      </w:r>
      <w:r>
        <w:rPr>
          <w:rFonts w:eastAsia="Times New Roman"/>
        </w:rPr>
        <w:tab/>
      </w:r>
      <w:r>
        <w:rPr>
          <w:rFonts w:ascii="宋体" w:hAnsi="宋体"/>
          <w:sz w:val="76"/>
        </w:rPr>
        <w:t>卷</w:t>
      </w:r>
    </w:p>
    <w:p>
      <w:pPr>
        <w:tabs>
          <w:tab w:val="left" w:pos="1500"/>
          <w:tab w:val="left" w:pos="3020"/>
        </w:tabs>
        <w:spacing w:line="0" w:lineRule="atLeast"/>
        <w:rPr>
          <w:rFonts w:ascii="宋体" w:hAnsi="宋体"/>
          <w:sz w:val="76"/>
        </w:rPr>
        <w:sectPr>
          <w:footerReference r:id="rId11" w:type="default"/>
          <w:pgSz w:w="11906" w:h="16838"/>
          <w:pgMar w:top="1440" w:right="1440" w:bottom="1440" w:left="1440" w:header="0" w:footer="567" w:gutter="0"/>
          <w:cols w:space="720" w:num="1"/>
          <w:docGrid w:linePitch="360" w:charSpace="0"/>
        </w:sectPr>
      </w:pPr>
    </w:p>
    <w:p>
      <w:pPr>
        <w:spacing w:line="200" w:lineRule="exact"/>
        <w:rPr>
          <w:rFonts w:eastAsia="Times New Roman"/>
        </w:rPr>
      </w:pPr>
      <w:bookmarkStart w:id="95" w:name="page210"/>
      <w:bookmarkEnd w:id="95"/>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66" w:lineRule="exact"/>
        <w:rPr>
          <w:rFonts w:eastAsia="Times New Roman"/>
        </w:rPr>
      </w:pPr>
    </w:p>
    <w:p>
      <w:pPr>
        <w:tabs>
          <w:tab w:val="left" w:pos="2220"/>
        </w:tabs>
        <w:spacing w:line="239" w:lineRule="auto"/>
        <w:jc w:val="center"/>
        <w:rPr>
          <w:rFonts w:ascii="宋体" w:hAnsi="宋体"/>
          <w:sz w:val="55"/>
        </w:rPr>
      </w:pPr>
      <w:r>
        <w:rPr>
          <w:rFonts w:ascii="宋体" w:hAnsi="宋体"/>
          <w:sz w:val="55"/>
        </w:rPr>
        <w:t>第七章</w:t>
      </w:r>
      <w:r>
        <w:rPr>
          <w:rFonts w:eastAsia="Times New Roman"/>
        </w:rPr>
        <w:tab/>
      </w:r>
      <w:r>
        <w:rPr>
          <w:rFonts w:ascii="宋体" w:hAnsi="宋体"/>
          <w:sz w:val="55"/>
        </w:rPr>
        <w:t>技术规范（另册）</w:t>
      </w:r>
    </w:p>
    <w:p>
      <w:pPr>
        <w:tabs>
          <w:tab w:val="left" w:pos="2220"/>
        </w:tabs>
        <w:spacing w:line="239" w:lineRule="auto"/>
        <w:rPr>
          <w:rFonts w:ascii="宋体" w:hAnsi="宋体"/>
          <w:sz w:val="55"/>
        </w:rPr>
        <w:sectPr>
          <w:footerReference r:id="rId12" w:type="default"/>
          <w:pgSz w:w="11906" w:h="16838"/>
          <w:pgMar w:top="1440" w:right="1440" w:bottom="1440" w:left="1440" w:header="0" w:footer="567" w:gutter="0"/>
          <w:cols w:space="720" w:num="1"/>
          <w:docGrid w:linePitch="360" w:charSpace="0"/>
        </w:sectPr>
      </w:pPr>
    </w:p>
    <w:p>
      <w:pPr>
        <w:spacing w:line="200" w:lineRule="exact"/>
        <w:rPr>
          <w:rFonts w:eastAsia="Times New Roman"/>
        </w:rPr>
      </w:pPr>
      <w:bookmarkStart w:id="96" w:name="page211"/>
      <w:bookmarkEnd w:id="96"/>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66" w:lineRule="exact"/>
        <w:rPr>
          <w:rFonts w:eastAsia="Times New Roman"/>
        </w:rPr>
      </w:pPr>
    </w:p>
    <w:p>
      <w:pPr>
        <w:numPr>
          <w:ilvl w:val="0"/>
          <w:numId w:val="82"/>
        </w:numPr>
        <w:tabs>
          <w:tab w:val="left" w:pos="2220"/>
        </w:tabs>
        <w:spacing w:line="239" w:lineRule="auto"/>
        <w:jc w:val="center"/>
        <w:rPr>
          <w:rFonts w:ascii="宋体" w:hAnsi="宋体"/>
          <w:sz w:val="55"/>
        </w:rPr>
      </w:pPr>
      <w:r>
        <w:rPr>
          <w:rFonts w:ascii="宋体" w:hAnsi="宋体"/>
          <w:sz w:val="55"/>
        </w:rPr>
        <w:t>工程量清单计量规则</w:t>
      </w:r>
    </w:p>
    <w:p>
      <w:pPr>
        <w:pStyle w:val="2"/>
        <w:ind w:firstLine="0" w:firstLineChars="0"/>
      </w:pPr>
    </w:p>
    <w:p>
      <w:pPr>
        <w:pStyle w:val="2"/>
        <w:ind w:firstLine="0" w:firstLineChars="0"/>
        <w:jc w:val="center"/>
        <w:rPr>
          <w:rFonts w:hAnsi="宋体"/>
          <w:sz w:val="55"/>
        </w:rPr>
        <w:sectPr>
          <w:footerReference r:id="rId13" w:type="default"/>
          <w:pgSz w:w="11906" w:h="16838"/>
          <w:pgMar w:top="1440" w:right="1440" w:bottom="1440" w:left="1440" w:header="0" w:footer="567" w:gutter="0"/>
          <w:cols w:space="720" w:num="1"/>
          <w:docGrid w:linePitch="360" w:charSpace="0"/>
        </w:sectPr>
      </w:pPr>
      <w:r>
        <w:rPr>
          <w:rFonts w:hint="eastAsia" w:hAnsi="宋体"/>
          <w:sz w:val="55"/>
        </w:rPr>
        <w:t>（另册）</w:t>
      </w:r>
    </w:p>
    <w:p>
      <w:pPr>
        <w:tabs>
          <w:tab w:val="left" w:pos="1940"/>
        </w:tabs>
        <w:spacing w:line="239" w:lineRule="auto"/>
        <w:rPr>
          <w:rFonts w:ascii="宋体" w:hAnsi="宋体"/>
          <w:sz w:val="55"/>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rPr>
          <w:sz w:val="18"/>
        </w:rPr>
        <w:sectPr>
          <w:type w:val="continuous"/>
          <w:pgSz w:w="11906" w:h="16838"/>
          <w:pgMar w:top="1440" w:right="1440" w:bottom="1440" w:left="1440" w:header="0" w:footer="0" w:gutter="0"/>
          <w:cols w:space="720" w:num="1"/>
          <w:docGrid w:linePitch="360" w:charSpace="0"/>
        </w:sectPr>
      </w:pPr>
    </w:p>
    <w:p>
      <w:pPr>
        <w:tabs>
          <w:tab w:val="left" w:pos="1500"/>
          <w:tab w:val="left" w:pos="3020"/>
        </w:tabs>
        <w:spacing w:line="0" w:lineRule="atLeast"/>
        <w:rPr>
          <w:rFonts w:ascii="宋体" w:hAnsi="宋体"/>
          <w:sz w:val="76"/>
        </w:rPr>
      </w:pPr>
      <w:bookmarkStart w:id="97" w:name="page212"/>
      <w:bookmarkEnd w:id="97"/>
    </w:p>
    <w:p>
      <w:pPr>
        <w:tabs>
          <w:tab w:val="left" w:pos="1500"/>
          <w:tab w:val="left" w:pos="3020"/>
        </w:tabs>
        <w:spacing w:line="0" w:lineRule="atLeast"/>
        <w:rPr>
          <w:rFonts w:ascii="宋体" w:hAnsi="宋体"/>
          <w:sz w:val="76"/>
        </w:rPr>
      </w:pPr>
    </w:p>
    <w:p>
      <w:pPr>
        <w:tabs>
          <w:tab w:val="left" w:pos="1500"/>
          <w:tab w:val="left" w:pos="3020"/>
        </w:tabs>
        <w:spacing w:line="0" w:lineRule="atLeast"/>
        <w:rPr>
          <w:rFonts w:ascii="宋体" w:hAnsi="宋体"/>
          <w:sz w:val="76"/>
        </w:rPr>
      </w:pPr>
    </w:p>
    <w:p>
      <w:pPr>
        <w:tabs>
          <w:tab w:val="left" w:pos="1500"/>
          <w:tab w:val="left" w:pos="3020"/>
        </w:tabs>
        <w:spacing w:line="0" w:lineRule="atLeast"/>
        <w:rPr>
          <w:rFonts w:ascii="宋体" w:hAnsi="宋体"/>
          <w:sz w:val="76"/>
        </w:rPr>
      </w:pPr>
    </w:p>
    <w:p>
      <w:pPr>
        <w:tabs>
          <w:tab w:val="left" w:pos="1500"/>
          <w:tab w:val="left" w:pos="3020"/>
        </w:tabs>
        <w:spacing w:line="0" w:lineRule="atLeast"/>
        <w:rPr>
          <w:rFonts w:ascii="宋体" w:hAnsi="宋体"/>
          <w:sz w:val="76"/>
        </w:rPr>
      </w:pPr>
    </w:p>
    <w:p>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四</w:t>
      </w:r>
      <w:r>
        <w:rPr>
          <w:rFonts w:eastAsia="Times New Roman"/>
        </w:rPr>
        <w:tab/>
      </w:r>
      <w:r>
        <w:rPr>
          <w:rFonts w:ascii="宋体" w:hAnsi="宋体"/>
          <w:sz w:val="76"/>
        </w:rPr>
        <w:t>卷</w:t>
      </w:r>
    </w:p>
    <w:p>
      <w:pPr>
        <w:tabs>
          <w:tab w:val="left" w:pos="1500"/>
          <w:tab w:val="left" w:pos="3020"/>
        </w:tabs>
        <w:spacing w:line="0" w:lineRule="atLeast"/>
        <w:jc w:val="center"/>
        <w:rPr>
          <w:rFonts w:ascii="宋体" w:hAnsi="宋体"/>
          <w:sz w:val="76"/>
        </w:rPr>
        <w:sectPr>
          <w:pgSz w:w="11906" w:h="16838"/>
          <w:pgMar w:top="1440" w:right="1440" w:bottom="1440" w:left="1440" w:header="0" w:footer="567" w:gutter="0"/>
          <w:cols w:space="720" w:num="1"/>
          <w:docGrid w:linePitch="360" w:charSpace="0"/>
        </w:sectPr>
      </w:pPr>
    </w:p>
    <w:p>
      <w:pPr>
        <w:spacing w:line="200" w:lineRule="exact"/>
        <w:rPr>
          <w:rFonts w:eastAsia="Times New Roman"/>
        </w:rPr>
      </w:pPr>
      <w:bookmarkStart w:id="98" w:name="page213"/>
      <w:bookmarkEnd w:id="98"/>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17" w:lineRule="exact"/>
        <w:rPr>
          <w:rFonts w:eastAsia="Times New Roman"/>
        </w:rPr>
      </w:pPr>
    </w:p>
    <w:p>
      <w:pPr>
        <w:tabs>
          <w:tab w:val="left" w:pos="3620"/>
        </w:tabs>
        <w:spacing w:line="639" w:lineRule="exact"/>
        <w:ind w:left="1400"/>
        <w:rPr>
          <w:rFonts w:ascii="MS PGothic" w:hAnsi="MS PGothic"/>
          <w:b/>
          <w:sz w:val="56"/>
          <w:vertAlign w:val="superscript"/>
        </w:rPr>
      </w:pPr>
      <w:r>
        <w:rPr>
          <w:rFonts w:ascii="宋体" w:hAnsi="宋体"/>
          <w:sz w:val="56"/>
        </w:rPr>
        <w:t>第九章</w:t>
      </w:r>
      <w:r>
        <w:rPr>
          <w:rFonts w:eastAsia="Times New Roman"/>
        </w:rPr>
        <w:tab/>
      </w:r>
      <w:r>
        <w:rPr>
          <w:rFonts w:ascii="宋体" w:hAnsi="宋体"/>
          <w:sz w:val="56"/>
        </w:rPr>
        <w:t>投标文件格式</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7" w:lineRule="exact"/>
        <w:rPr>
          <w:rFonts w:eastAsia="Times New Roman"/>
        </w:rPr>
      </w:pPr>
    </w:p>
    <w:p>
      <w:pPr>
        <w:spacing w:line="200" w:lineRule="exact"/>
        <w:rPr>
          <w:rFonts w:eastAsia="Times New Roman"/>
        </w:rPr>
      </w:pPr>
      <w:bookmarkStart w:id="99" w:name="page214"/>
      <w:bookmarkEnd w:id="99"/>
    </w:p>
    <w:p>
      <w:pPr>
        <w:pStyle w:val="2"/>
        <w:ind w:firstLine="6460" w:firstLineChars="1900"/>
      </w:pPr>
      <w:r>
        <w:rPr>
          <w:rFonts w:hint="eastAsia"/>
        </w:rPr>
        <w:t xml:space="preserve"> </w:t>
      </w:r>
      <w:r>
        <w:rPr>
          <w:rFonts w:hint="eastAsia" w:hAnsi="宋体"/>
          <w:sz w:val="24"/>
          <w:szCs w:val="22"/>
        </w:rPr>
        <w:t>正（副）本</w:t>
      </w:r>
    </w:p>
    <w:p>
      <w:pPr>
        <w:tabs>
          <w:tab w:val="left" w:pos="5440"/>
        </w:tabs>
        <w:spacing w:line="0" w:lineRule="atLeast"/>
        <w:ind w:left="2820"/>
        <w:rPr>
          <w:rFonts w:ascii="宋体" w:hAnsi="宋体"/>
          <w:sz w:val="24"/>
        </w:rPr>
      </w:pPr>
      <w:r>
        <w:rPr>
          <w:rFonts w:ascii="宋体" w:hAnsi="宋体"/>
          <w:sz w:val="24"/>
        </w:rPr>
        <w:t>（项目名称）</w:t>
      </w:r>
      <w:r>
        <w:rPr>
          <w:rFonts w:eastAsia="Times New Roman"/>
        </w:rPr>
        <w:tab/>
      </w:r>
      <w:r>
        <w:rPr>
          <w:rFonts w:ascii="宋体" w:hAnsi="宋体"/>
          <w:sz w:val="24"/>
        </w:rPr>
        <w:t>标段施工招标</w:t>
      </w:r>
    </w:p>
    <w:p>
      <w:pPr>
        <w:spacing w:line="200" w:lineRule="exact"/>
        <w:rPr>
          <w:rFonts w:eastAsia="Times New Roman"/>
        </w:rPr>
      </w:pPr>
      <w:r>
        <w:rPr>
          <w:rFonts w:ascii="宋体" w:hAnsi="宋体"/>
          <w:sz w:val="24"/>
        </w:rPr>
        <mc:AlternateContent>
          <mc:Choice Requires="wps">
            <w:drawing>
              <wp:anchor distT="0" distB="0" distL="114300" distR="114300" simplePos="0" relativeHeight="251726848" behindDoc="1" locked="0" layoutInCell="0" allowOverlap="1">
                <wp:simplePos x="0" y="0"/>
                <wp:positionH relativeFrom="column">
                  <wp:posOffset>346710</wp:posOffset>
                </wp:positionH>
                <wp:positionV relativeFrom="paragraph">
                  <wp:posOffset>635</wp:posOffset>
                </wp:positionV>
                <wp:extent cx="136969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369695" cy="0"/>
                        </a:xfrm>
                        <a:prstGeom prst="line">
                          <a:avLst/>
                        </a:prstGeom>
                        <a:ln w="7619"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3pt;margin-top:0.05pt;height:0pt;width:107.85pt;z-index:-251589632;mso-width-relative:page;mso-height-relative:page;" filled="f" stroked="t" coordsize="21600,21600" o:allowincell="f" o:gfxdata="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256iWtIAAAAEAQAADwAAAAAAAAABACAAAAAiAAAAZHJz&#10;L2Rvd25yZXYueG1sUEsBAhQAFAAAAAgAh07iQMbZOeLRAQAAigMAAA4AAAAAAAAAAQAgAAAAIQEA&#10;AGRycy9lMm9Eb2MueG1sUEsFBgAAAAAGAAYAWQEAAGQFAAAAAA==&#10;">
                <v:fill on="f" focussize="0,0"/>
                <v:stroke weight="0.59992125984252pt"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727872" behindDoc="1" locked="0" layoutInCell="0" allowOverlap="1">
                <wp:simplePos x="0" y="0"/>
                <wp:positionH relativeFrom="column">
                  <wp:posOffset>2707640</wp:posOffset>
                </wp:positionH>
                <wp:positionV relativeFrom="paragraph">
                  <wp:posOffset>635</wp:posOffset>
                </wp:positionV>
                <wp:extent cx="762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762000" cy="0"/>
                        </a:xfrm>
                        <a:prstGeom prst="line">
                          <a:avLst/>
                        </a:prstGeom>
                        <a:ln w="7619"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3.2pt;margin-top:0.05pt;height:0pt;width:60pt;z-index:-251588608;mso-width-relative:page;mso-height-relative:page;" filled="f" stroked="t" coordsize="21600,21600" o:allowincell="f" o:gfxdata="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Ug4LSAAAABQEAAA8AAAAAAAAAAQAgAAAAIgAAAGRycy9k&#10;b3ducmV2LnhtbFBLAQIUABQAAAAIAIdO4kDIOd1uzwEAAIkDAAAOAAAAAAAAAAEAIAAAACEBAABk&#10;cnMvZTJvRG9jLnhtbFBLBQYAAAAABgAGAFkBAABiBQAAAAA=&#10;">
                <v:fill on="f" focussize="0,0"/>
                <v:stroke weight="0.59992125984252pt" color="#000000" joinstyle="round"/>
                <v:imagedata o:title=""/>
                <o:lock v:ext="edit" aspectratio="f"/>
              </v:line>
            </w:pict>
          </mc:Fallback>
        </mc:AlternateConten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pStyle w:val="2"/>
        <w:spacing w:line="360" w:lineRule="auto"/>
        <w:ind w:firstLine="340"/>
        <w:jc w:val="center"/>
        <w:rPr>
          <w:color w:val="000000"/>
        </w:rPr>
      </w:pPr>
      <w:r>
        <w:rPr>
          <w:rFonts w:hint="eastAsia"/>
          <w:color w:val="000000"/>
        </w:rPr>
        <w:t>建安建工公字﹝2018﹞</w:t>
      </w:r>
      <w:r>
        <w:rPr>
          <w:rFonts w:hint="eastAsia"/>
          <w:color w:val="000000"/>
          <w:lang w:val="en-US" w:eastAsia="zh-CN"/>
        </w:rPr>
        <w:t>225</w:t>
      </w:r>
      <w:r>
        <w:rPr>
          <w:rFonts w:hint="eastAsia"/>
          <w:color w:val="000000"/>
        </w:rPr>
        <w:t>号</w:t>
      </w:r>
    </w:p>
    <w:p>
      <w:pPr>
        <w:spacing w:line="200" w:lineRule="exact"/>
        <w:rPr>
          <w:rFonts w:eastAsia="Times New Roman"/>
        </w:rPr>
      </w:pPr>
    </w:p>
    <w:p>
      <w:pPr>
        <w:autoSpaceDE w:val="0"/>
        <w:spacing w:line="360" w:lineRule="auto"/>
        <w:ind w:left="236"/>
        <w:jc w:val="center"/>
        <w:rPr>
          <w:rFonts w:eastAsia="Times New Roman"/>
        </w:rPr>
      </w:pPr>
      <w:r>
        <w:rPr>
          <w:rFonts w:hint="eastAsia" w:ascii="黑体" w:hAnsi="黑体" w:eastAsia="黑体"/>
          <w:sz w:val="56"/>
          <w:szCs w:val="56"/>
        </w:rPr>
        <w:t>第一信封</w:t>
      </w:r>
    </w:p>
    <w:p>
      <w:pPr>
        <w:spacing w:line="257" w:lineRule="exact"/>
        <w:rPr>
          <w:rFonts w:eastAsia="Times New Roman"/>
        </w:rPr>
      </w:pPr>
    </w:p>
    <w:p>
      <w:pPr>
        <w:tabs>
          <w:tab w:val="left" w:pos="2680"/>
          <w:tab w:val="left" w:pos="4120"/>
          <w:tab w:val="left" w:pos="5560"/>
        </w:tabs>
        <w:spacing w:line="360" w:lineRule="auto"/>
        <w:ind w:left="1260"/>
        <w:rPr>
          <w:rFonts w:ascii="宋体" w:hAnsi="宋体"/>
          <w:sz w:val="72"/>
        </w:rPr>
      </w:pPr>
      <w:r>
        <w:rPr>
          <w:rFonts w:ascii="宋体" w:hAnsi="宋体"/>
          <w:sz w:val="72"/>
        </w:rPr>
        <w:t>投</w:t>
      </w:r>
      <w:r>
        <w:rPr>
          <w:rFonts w:eastAsia="Times New Roman"/>
        </w:rPr>
        <w:tab/>
      </w:r>
      <w:r>
        <w:rPr>
          <w:rFonts w:ascii="宋体" w:hAnsi="宋体"/>
          <w:sz w:val="72"/>
        </w:rPr>
        <w:t>标</w:t>
      </w:r>
      <w:r>
        <w:rPr>
          <w:rFonts w:eastAsia="Times New Roman"/>
        </w:rPr>
        <w:tab/>
      </w:r>
      <w:r>
        <w:rPr>
          <w:rFonts w:ascii="宋体" w:hAnsi="宋体"/>
          <w:sz w:val="72"/>
        </w:rPr>
        <w:t>文</w:t>
      </w:r>
      <w:r>
        <w:rPr>
          <w:rFonts w:eastAsia="Times New Roman"/>
        </w:rPr>
        <w:tab/>
      </w:r>
      <w:r>
        <w:rPr>
          <w:rFonts w:ascii="宋体" w:hAnsi="宋体"/>
          <w:sz w:val="72"/>
        </w:rPr>
        <w:t>件</w:t>
      </w:r>
    </w:p>
    <w:p>
      <w:pPr>
        <w:pStyle w:val="2"/>
        <w:spacing w:line="360" w:lineRule="auto"/>
        <w:ind w:firstLine="340"/>
        <w:jc w:val="center"/>
        <w:rPr>
          <w:rFonts w:ascii="Times New Roman" w:eastAsia="Times New Roman"/>
        </w:rPr>
      </w:pPr>
    </w:p>
    <w:p>
      <w:pPr>
        <w:spacing w:line="0" w:lineRule="atLeast"/>
        <w:jc w:val="center"/>
        <w:rPr>
          <w:rFonts w:ascii="宋体" w:hAnsi="宋体"/>
          <w:sz w:val="32"/>
        </w:rPr>
      </w:pPr>
      <w:r>
        <w:rPr>
          <w:rFonts w:ascii="宋体" w:hAnsi="宋体"/>
          <w:sz w:val="32"/>
        </w:rPr>
        <w:t>（商务及技术文件）</w:t>
      </w:r>
    </w:p>
    <w:p>
      <w:pPr>
        <w:spacing w:line="200" w:lineRule="exact"/>
        <w:jc w:val="center"/>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2" w:lineRule="exact"/>
        <w:rPr>
          <w:rFonts w:eastAsia="Times New Roman"/>
        </w:rPr>
      </w:pPr>
    </w:p>
    <w:p>
      <w:pPr>
        <w:tabs>
          <w:tab w:val="left" w:pos="5880"/>
        </w:tabs>
        <w:ind w:right="58"/>
        <w:jc w:val="center"/>
        <w:rPr>
          <w:rFonts w:ascii="黑体" w:eastAsia="黑体"/>
          <w:sz w:val="28"/>
        </w:rPr>
      </w:pPr>
      <w:r>
        <w:rPr>
          <w:rFonts w:hint="eastAsia" w:ascii="黑体" w:eastAsia="黑体"/>
          <w:sz w:val="28"/>
        </w:rPr>
        <w:t>投标人：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3"/>
        <w:rPr>
          <w:rFonts w:ascii="黑体"/>
          <w:sz w:val="20"/>
        </w:rPr>
      </w:pPr>
    </w:p>
    <w:p>
      <w:pPr>
        <w:pStyle w:val="3"/>
        <w:spacing w:before="12"/>
        <w:rPr>
          <w:rFonts w:ascii="黑体"/>
          <w:sz w:val="15"/>
        </w:rPr>
      </w:pPr>
    </w:p>
    <w:p>
      <w:pPr>
        <w:jc w:val="center"/>
        <w:rPr>
          <w:rFonts w:ascii="宋体" w:hAnsi="宋体"/>
          <w:sz w:val="28"/>
        </w:rPr>
        <w:sectPr>
          <w:headerReference r:id="rId14" w:type="default"/>
          <w:footerReference r:id="rId15" w:type="default"/>
          <w:pgSz w:w="11906" w:h="16838"/>
          <w:pgMar w:top="1440" w:right="1440" w:bottom="1440" w:left="1440" w:header="0" w:footer="567" w:gutter="0"/>
          <w:cols w:space="720" w:num="1"/>
          <w:docGrid w:linePitch="360" w:charSpace="0"/>
        </w:sectPr>
      </w:pP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日</w:t>
      </w:r>
    </w:p>
    <w:p>
      <w:pPr>
        <w:spacing w:line="200" w:lineRule="exact"/>
        <w:rPr>
          <w:rFonts w:eastAsia="Times New Roman"/>
        </w:rPr>
      </w:pPr>
      <w:bookmarkStart w:id="100" w:name="page215"/>
      <w:bookmarkEnd w:id="100"/>
    </w:p>
    <w:p>
      <w:pPr>
        <w:spacing w:line="309" w:lineRule="exact"/>
        <w:rPr>
          <w:rFonts w:eastAsia="Times New Roman"/>
        </w:rPr>
      </w:pPr>
    </w:p>
    <w:p>
      <w:pPr>
        <w:tabs>
          <w:tab w:val="left" w:pos="3080"/>
        </w:tabs>
        <w:spacing w:line="0" w:lineRule="atLeast"/>
        <w:ind w:left="2040"/>
        <w:rPr>
          <w:rFonts w:ascii="宋体" w:hAnsi="宋体"/>
          <w:sz w:val="30"/>
        </w:rPr>
      </w:pPr>
      <w:r>
        <w:rPr>
          <w:rFonts w:ascii="宋体" w:hAnsi="宋体"/>
          <w:sz w:val="30"/>
        </w:rPr>
        <w:t>目</w:t>
      </w:r>
      <w:r>
        <w:rPr>
          <w:rFonts w:eastAsia="Times New Roman"/>
        </w:rPr>
        <w:tab/>
      </w:r>
      <w:r>
        <w:rPr>
          <w:rFonts w:ascii="宋体" w:hAnsi="宋体"/>
          <w:sz w:val="30"/>
        </w:rPr>
        <w:t>录</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37" w:lineRule="exact"/>
        <w:rPr>
          <w:rFonts w:eastAsia="Times New Roman"/>
        </w:rPr>
      </w:pPr>
    </w:p>
    <w:p>
      <w:pPr>
        <w:spacing w:line="0" w:lineRule="atLeast"/>
        <w:rPr>
          <w:rFonts w:ascii="宋体" w:hAnsi="宋体"/>
          <w:sz w:val="24"/>
        </w:rPr>
      </w:pPr>
      <w:r>
        <w:rPr>
          <w:rFonts w:ascii="宋体" w:hAnsi="宋体"/>
          <w:sz w:val="24"/>
        </w:rPr>
        <w:t>一、投标函及投标函附录</w:t>
      </w:r>
    </w:p>
    <w:p>
      <w:pPr>
        <w:spacing w:line="177" w:lineRule="exact"/>
        <w:rPr>
          <w:rFonts w:eastAsia="Times New Roman"/>
        </w:rPr>
      </w:pPr>
    </w:p>
    <w:p>
      <w:pPr>
        <w:spacing w:line="0" w:lineRule="atLeast"/>
        <w:rPr>
          <w:rFonts w:ascii="宋体" w:hAnsi="宋体"/>
          <w:sz w:val="23"/>
        </w:rPr>
      </w:pPr>
      <w:r>
        <w:rPr>
          <w:rFonts w:ascii="宋体" w:hAnsi="宋体"/>
          <w:sz w:val="23"/>
        </w:rPr>
        <w:t>二、授权委托书或法定代表人身份证明</w:t>
      </w:r>
    </w:p>
    <w:p>
      <w:pPr>
        <w:spacing w:line="166" w:lineRule="exact"/>
        <w:rPr>
          <w:rFonts w:eastAsia="Times New Roman"/>
        </w:rPr>
      </w:pPr>
    </w:p>
    <w:p>
      <w:pPr>
        <w:spacing w:line="0" w:lineRule="atLeast"/>
        <w:rPr>
          <w:rFonts w:ascii="宋体" w:hAnsi="宋体"/>
          <w:sz w:val="24"/>
        </w:rPr>
      </w:pPr>
      <w:r>
        <w:rPr>
          <w:rFonts w:hint="eastAsia" w:ascii="宋体" w:hAnsi="宋体"/>
          <w:sz w:val="24"/>
        </w:rPr>
        <w:t>三</w:t>
      </w:r>
      <w:r>
        <w:rPr>
          <w:rFonts w:ascii="宋体" w:hAnsi="宋体"/>
          <w:sz w:val="24"/>
        </w:rPr>
        <w:t>、投标保证金</w:t>
      </w:r>
    </w:p>
    <w:p>
      <w:pPr>
        <w:spacing w:line="165" w:lineRule="exact"/>
        <w:rPr>
          <w:rFonts w:eastAsia="Times New Roman"/>
        </w:rPr>
      </w:pPr>
    </w:p>
    <w:p>
      <w:pPr>
        <w:spacing w:line="0" w:lineRule="atLeast"/>
        <w:rPr>
          <w:rFonts w:ascii="宋体" w:hAnsi="宋体"/>
          <w:sz w:val="24"/>
        </w:rPr>
      </w:pPr>
      <w:r>
        <w:rPr>
          <w:rFonts w:hint="eastAsia" w:ascii="宋体" w:hAnsi="宋体"/>
          <w:sz w:val="24"/>
        </w:rPr>
        <w:t>四</w:t>
      </w:r>
      <w:r>
        <w:rPr>
          <w:rFonts w:ascii="宋体" w:hAnsi="宋体"/>
          <w:sz w:val="24"/>
        </w:rPr>
        <w:t>、施工组织设计</w:t>
      </w:r>
    </w:p>
    <w:p>
      <w:pPr>
        <w:spacing w:line="168" w:lineRule="exact"/>
        <w:rPr>
          <w:rFonts w:eastAsia="Times New Roman"/>
        </w:rPr>
      </w:pPr>
    </w:p>
    <w:p>
      <w:pPr>
        <w:spacing w:line="0" w:lineRule="atLeast"/>
        <w:rPr>
          <w:rFonts w:ascii="宋体" w:hAnsi="宋体"/>
          <w:sz w:val="24"/>
        </w:rPr>
      </w:pPr>
      <w:r>
        <w:rPr>
          <w:rFonts w:hint="eastAsia" w:ascii="宋体" w:hAnsi="宋体"/>
          <w:sz w:val="24"/>
        </w:rPr>
        <w:t>五</w:t>
      </w:r>
      <w:r>
        <w:rPr>
          <w:rFonts w:ascii="宋体" w:hAnsi="宋体"/>
          <w:sz w:val="24"/>
        </w:rPr>
        <w:t>、项目管理机构</w:t>
      </w:r>
    </w:p>
    <w:p>
      <w:pPr>
        <w:spacing w:line="165" w:lineRule="exact"/>
        <w:rPr>
          <w:rFonts w:eastAsia="Times New Roman"/>
        </w:rPr>
      </w:pPr>
    </w:p>
    <w:p>
      <w:pPr>
        <w:spacing w:line="0" w:lineRule="atLeast"/>
        <w:rPr>
          <w:rFonts w:ascii="宋体" w:hAnsi="宋体"/>
          <w:sz w:val="24"/>
        </w:rPr>
      </w:pPr>
      <w:r>
        <w:rPr>
          <w:rFonts w:hint="eastAsia" w:ascii="宋体" w:hAnsi="宋体"/>
          <w:sz w:val="24"/>
        </w:rPr>
        <w:t>六</w:t>
      </w:r>
      <w:r>
        <w:rPr>
          <w:rFonts w:ascii="宋体" w:hAnsi="宋体"/>
          <w:sz w:val="24"/>
        </w:rPr>
        <w:t>、拟分包项目情况表</w:t>
      </w:r>
    </w:p>
    <w:p>
      <w:pPr>
        <w:spacing w:line="165" w:lineRule="exact"/>
        <w:rPr>
          <w:rFonts w:eastAsia="Times New Roman"/>
        </w:rPr>
      </w:pPr>
    </w:p>
    <w:p>
      <w:pPr>
        <w:spacing w:line="0" w:lineRule="atLeast"/>
        <w:rPr>
          <w:rFonts w:ascii="宋体" w:hAnsi="宋体"/>
          <w:sz w:val="24"/>
        </w:rPr>
      </w:pPr>
      <w:r>
        <w:rPr>
          <w:rFonts w:hint="eastAsia" w:ascii="宋体" w:hAnsi="宋体"/>
          <w:sz w:val="24"/>
        </w:rPr>
        <w:t>七</w:t>
      </w:r>
      <w:r>
        <w:rPr>
          <w:rFonts w:ascii="宋体" w:hAnsi="宋体"/>
          <w:sz w:val="24"/>
        </w:rPr>
        <w:t>、资格审查资料</w:t>
      </w:r>
    </w:p>
    <w:p>
      <w:pPr>
        <w:spacing w:line="168" w:lineRule="exact"/>
        <w:rPr>
          <w:rFonts w:eastAsia="Times New Roman"/>
        </w:rPr>
      </w:pPr>
    </w:p>
    <w:p>
      <w:pPr>
        <w:spacing w:line="0" w:lineRule="atLeast"/>
        <w:rPr>
          <w:rFonts w:ascii="宋体" w:hAnsi="宋体"/>
          <w:sz w:val="24"/>
        </w:rPr>
      </w:pPr>
      <w:r>
        <w:rPr>
          <w:rFonts w:hint="eastAsia" w:ascii="宋体" w:hAnsi="宋体"/>
          <w:sz w:val="24"/>
        </w:rPr>
        <w:t>八</w:t>
      </w:r>
      <w:r>
        <w:rPr>
          <w:rFonts w:ascii="宋体" w:hAnsi="宋体"/>
          <w:sz w:val="24"/>
        </w:rPr>
        <w:t>、其他资料</w:t>
      </w:r>
    </w:p>
    <w:p>
      <w:pPr>
        <w:pStyle w:val="2"/>
        <w:ind w:firstLine="0" w:firstLineChars="0"/>
        <w:rPr>
          <w:rFonts w:hAnsi="宋体"/>
          <w:sz w:val="24"/>
        </w:rPr>
      </w:pPr>
    </w:p>
    <w:p>
      <w:pPr>
        <w:spacing w:line="440" w:lineRule="exact"/>
        <w:rPr>
          <w:rFonts w:ascii="宋体" w:hAnsi="宋体"/>
          <w:sz w:val="24"/>
        </w:rPr>
      </w:pPr>
      <w:r>
        <w:rPr>
          <w:rFonts w:hint="eastAsia" w:ascii="宋体" w:hAnsi="宋体"/>
          <w:sz w:val="24"/>
        </w:rPr>
        <w:t>注：如有本章未提供的格式，投标人可自行编制。</w:t>
      </w:r>
    </w:p>
    <w:p>
      <w:pPr>
        <w:pStyle w:val="2"/>
        <w:ind w:firstLine="240"/>
        <w:rPr>
          <w:rFonts w:hAnsi="宋体"/>
          <w:sz w:val="24"/>
        </w:rPr>
        <w:sectPr>
          <w:pgSz w:w="11906" w:h="16838"/>
          <w:pgMar w:top="1440" w:right="1440" w:bottom="1440" w:left="1440" w:header="0" w:footer="567" w:gutter="0"/>
          <w:cols w:space="720" w:num="1"/>
          <w:docGrid w:linePitch="360" w:charSpace="0"/>
        </w:sectPr>
      </w:pPr>
    </w:p>
    <w:p>
      <w:pPr>
        <w:spacing w:line="281" w:lineRule="exact"/>
        <w:rPr>
          <w:rFonts w:eastAsia="Times New Roman"/>
        </w:rPr>
      </w:pPr>
      <w:bookmarkStart w:id="101" w:name="page216"/>
      <w:bookmarkEnd w:id="101"/>
    </w:p>
    <w:p>
      <w:pPr>
        <w:spacing w:line="0" w:lineRule="atLeast"/>
        <w:ind w:left="2700"/>
        <w:rPr>
          <w:rFonts w:ascii="宋体" w:hAnsi="宋体"/>
          <w:sz w:val="30"/>
        </w:rPr>
      </w:pPr>
      <w:r>
        <w:rPr>
          <w:rFonts w:ascii="宋体" w:hAnsi="宋体"/>
          <w:sz w:val="30"/>
        </w:rPr>
        <w:t>一、投标函及投标函附录</w:t>
      </w:r>
    </w:p>
    <w:p>
      <w:pPr>
        <w:spacing w:line="200" w:lineRule="exact"/>
        <w:rPr>
          <w:rFonts w:eastAsia="Times New Roman"/>
        </w:rPr>
      </w:pPr>
    </w:p>
    <w:p>
      <w:pPr>
        <w:spacing w:line="206" w:lineRule="exact"/>
        <w:rPr>
          <w:rFonts w:eastAsia="Times New Roman"/>
        </w:rPr>
      </w:pPr>
    </w:p>
    <w:p>
      <w:pPr>
        <w:spacing w:line="0" w:lineRule="atLeast"/>
        <w:ind w:left="3300"/>
        <w:rPr>
          <w:rFonts w:ascii="宋体" w:hAnsi="宋体"/>
          <w:sz w:val="28"/>
        </w:rPr>
      </w:pPr>
      <w:r>
        <w:rPr>
          <w:rFonts w:ascii="宋体" w:hAnsi="宋体"/>
          <w:sz w:val="28"/>
        </w:rPr>
        <w:t>（一） 投 标 函</w:t>
      </w:r>
    </w:p>
    <w:p>
      <w:pPr>
        <w:spacing w:line="335" w:lineRule="exact"/>
        <w:rPr>
          <w:rFonts w:eastAsia="Times New Roman"/>
        </w:rPr>
      </w:pPr>
    </w:p>
    <w:p>
      <w:pPr>
        <w:adjustRightInd w:val="0"/>
        <w:snapToGrid w:val="0"/>
        <w:spacing w:line="360" w:lineRule="auto"/>
        <w:rPr>
          <w:sz w:val="21"/>
          <w:szCs w:val="21"/>
        </w:rPr>
      </w:pPr>
      <w:bookmarkStart w:id="102" w:name="page217"/>
      <w:bookmarkEnd w:id="102"/>
      <w:bookmarkStart w:id="103" w:name="_Toc486277924"/>
      <w:bookmarkStart w:id="104" w:name="_Toc234382959"/>
      <w:bookmarkStart w:id="105" w:name="_Toc485889057"/>
      <w:bookmarkStart w:id="106" w:name="_Toc5832"/>
      <w:r>
        <w:rPr>
          <w:sz w:val="21"/>
          <w:szCs w:val="21"/>
          <w:u w:val="single"/>
        </w:rPr>
        <w:t xml:space="preserve"> </w:t>
      </w:r>
      <w:r>
        <w:rPr>
          <w:sz w:val="21"/>
          <w:szCs w:val="21"/>
          <w:u w:val="single"/>
        </w:rPr>
        <w:tab/>
      </w:r>
      <w:r>
        <w:rPr>
          <w:rFonts w:hint="eastAsia"/>
          <w:sz w:val="21"/>
          <w:szCs w:val="21"/>
          <w:u w:val="single"/>
        </w:rPr>
        <w:t xml:space="preserve">             </w:t>
      </w:r>
      <w:r>
        <w:rPr>
          <w:sz w:val="21"/>
          <w:szCs w:val="21"/>
        </w:rPr>
        <w:t>（招标人名称）：</w:t>
      </w:r>
    </w:p>
    <w:p>
      <w:pPr>
        <w:adjustRightInd w:val="0"/>
        <w:snapToGrid w:val="0"/>
        <w:spacing w:line="360" w:lineRule="auto"/>
        <w:ind w:firstLine="420" w:firstLineChars="200"/>
        <w:rPr>
          <w:sz w:val="21"/>
          <w:szCs w:val="21"/>
        </w:rPr>
      </w:pPr>
      <w:r>
        <w:rPr>
          <w:sz w:val="21"/>
          <w:szCs w:val="21"/>
        </w:rPr>
        <w:t>1．我方已仔细研究</w:t>
      </w:r>
      <w:r>
        <w:rPr>
          <w:sz w:val="21"/>
          <w:szCs w:val="21"/>
          <w:u w:val="single"/>
        </w:rPr>
        <w:t xml:space="preserve"> </w:t>
      </w:r>
      <w:r>
        <w:rPr>
          <w:sz w:val="21"/>
          <w:szCs w:val="21"/>
          <w:u w:val="single"/>
        </w:rPr>
        <w:tab/>
      </w:r>
      <w:r>
        <w:rPr>
          <w:sz w:val="21"/>
          <w:szCs w:val="21"/>
          <w:u w:val="single"/>
        </w:rPr>
        <w:t xml:space="preserve">（项目名称） </w:t>
      </w:r>
      <w:r>
        <w:rPr>
          <w:sz w:val="21"/>
          <w:szCs w:val="21"/>
          <w:u w:val="single"/>
        </w:rPr>
        <w:tab/>
      </w:r>
      <w:r>
        <w:rPr>
          <w:sz w:val="21"/>
          <w:szCs w:val="21"/>
        </w:rPr>
        <w:t>标段施工招标文件的全部内容（含补遗书第</w:t>
      </w:r>
      <w:r>
        <w:rPr>
          <w:sz w:val="21"/>
          <w:szCs w:val="21"/>
          <w:u w:val="single"/>
        </w:rPr>
        <w:t xml:space="preserve">  </w:t>
      </w:r>
      <w:r>
        <w:rPr>
          <w:sz w:val="21"/>
          <w:szCs w:val="21"/>
        </w:rPr>
        <w:t>号至第</w:t>
      </w:r>
      <w:r>
        <w:rPr>
          <w:sz w:val="21"/>
          <w:szCs w:val="21"/>
          <w:u w:val="single"/>
        </w:rPr>
        <w:t xml:space="preserve">  </w:t>
      </w:r>
      <w:r>
        <w:rPr>
          <w:sz w:val="21"/>
          <w:szCs w:val="21"/>
        </w:rPr>
        <w:t xml:space="preserve"> 号），在考察工程现场后，愿意以第二个信封（报价文件）中的投标总报价（或根据招标文件规定修正核实后确定的另一金额），按合同约定实施和完成承包工程，修补工程中的任何缺陷。</w:t>
      </w:r>
    </w:p>
    <w:p>
      <w:pPr>
        <w:adjustRightInd w:val="0"/>
        <w:snapToGrid w:val="0"/>
        <w:spacing w:line="360" w:lineRule="auto"/>
        <w:ind w:firstLine="420" w:firstLineChars="200"/>
        <w:rPr>
          <w:sz w:val="21"/>
          <w:szCs w:val="21"/>
        </w:rPr>
      </w:pPr>
      <w:r>
        <w:rPr>
          <w:sz w:val="21"/>
          <w:szCs w:val="21"/>
        </w:rPr>
        <w:t>2．我方承诺在招标文件规定的投标有效期内不撤销投标文件。</w:t>
      </w:r>
    </w:p>
    <w:p>
      <w:pPr>
        <w:adjustRightInd w:val="0"/>
        <w:snapToGrid w:val="0"/>
        <w:spacing w:line="360" w:lineRule="auto"/>
        <w:ind w:firstLine="420" w:firstLineChars="200"/>
        <w:rPr>
          <w:sz w:val="21"/>
          <w:szCs w:val="21"/>
        </w:rPr>
      </w:pPr>
      <w:r>
        <w:rPr>
          <w:sz w:val="21"/>
          <w:szCs w:val="21"/>
        </w:rPr>
        <w:t>3．工程质量：</w:t>
      </w:r>
      <w:r>
        <w:rPr>
          <w:sz w:val="21"/>
          <w:szCs w:val="21"/>
          <w:u w:val="single"/>
        </w:rPr>
        <w:t xml:space="preserve"> </w:t>
      </w:r>
      <w:r>
        <w:rPr>
          <w:sz w:val="21"/>
          <w:szCs w:val="21"/>
          <w:u w:val="single"/>
        </w:rPr>
        <w:tab/>
      </w:r>
      <w:r>
        <w:rPr>
          <w:sz w:val="21"/>
          <w:szCs w:val="21"/>
        </w:rPr>
        <w:t>，安全目标：</w:t>
      </w:r>
      <w:r>
        <w:rPr>
          <w:rFonts w:hint="eastAsia"/>
          <w:sz w:val="21"/>
          <w:szCs w:val="21"/>
          <w:u w:val="single"/>
        </w:rPr>
        <w:t xml:space="preserve">  </w:t>
      </w:r>
      <w:r>
        <w:rPr>
          <w:sz w:val="21"/>
          <w:szCs w:val="21"/>
          <w:u w:val="single"/>
        </w:rPr>
        <w:t xml:space="preserve"> </w:t>
      </w:r>
      <w:r>
        <w:rPr>
          <w:sz w:val="21"/>
          <w:szCs w:val="21"/>
          <w:u w:val="single"/>
        </w:rPr>
        <w:tab/>
      </w:r>
      <w:r>
        <w:rPr>
          <w:sz w:val="21"/>
          <w:szCs w:val="21"/>
        </w:rPr>
        <w:t>，工期：</w:t>
      </w:r>
      <w:r>
        <w:rPr>
          <w:sz w:val="21"/>
          <w:szCs w:val="21"/>
          <w:u w:val="single"/>
        </w:rPr>
        <w:t xml:space="preserve"> </w:t>
      </w:r>
      <w:r>
        <w:rPr>
          <w:sz w:val="21"/>
          <w:szCs w:val="21"/>
          <w:u w:val="single"/>
        </w:rPr>
        <w:tab/>
      </w:r>
      <w:r>
        <w:rPr>
          <w:sz w:val="21"/>
          <w:szCs w:val="21"/>
        </w:rPr>
        <w:t>日历天。</w:t>
      </w:r>
    </w:p>
    <w:p>
      <w:pPr>
        <w:adjustRightInd w:val="0"/>
        <w:snapToGrid w:val="0"/>
        <w:spacing w:line="360" w:lineRule="auto"/>
        <w:ind w:firstLine="420" w:firstLineChars="200"/>
        <w:rPr>
          <w:sz w:val="21"/>
          <w:szCs w:val="21"/>
        </w:rPr>
      </w:pPr>
      <w:r>
        <w:rPr>
          <w:sz w:val="21"/>
          <w:szCs w:val="21"/>
        </w:rPr>
        <w:t>4．如我方中标，我方承诺：</w:t>
      </w:r>
    </w:p>
    <w:p>
      <w:pPr>
        <w:adjustRightInd w:val="0"/>
        <w:snapToGrid w:val="0"/>
        <w:spacing w:line="360" w:lineRule="auto"/>
        <w:ind w:firstLine="420" w:firstLineChars="200"/>
        <w:rPr>
          <w:sz w:val="21"/>
          <w:szCs w:val="21"/>
        </w:rPr>
      </w:pPr>
      <w:r>
        <w:rPr>
          <w:sz w:val="21"/>
          <w:szCs w:val="21"/>
        </w:rPr>
        <w:t>（1）在收到中标通知书后，在中标通知书规定的期限内与你方签订合同；</w:t>
      </w:r>
    </w:p>
    <w:p>
      <w:pPr>
        <w:adjustRightInd w:val="0"/>
        <w:snapToGrid w:val="0"/>
        <w:spacing w:line="360" w:lineRule="auto"/>
        <w:ind w:firstLine="420" w:firstLineChars="200"/>
        <w:rPr>
          <w:sz w:val="21"/>
          <w:szCs w:val="21"/>
        </w:rPr>
      </w:pPr>
      <w:r>
        <w:rPr>
          <w:sz w:val="21"/>
          <w:szCs w:val="21"/>
        </w:rPr>
        <w:t>（2）在签订合同时不向你方提出附加条件；</w:t>
      </w:r>
    </w:p>
    <w:p>
      <w:pPr>
        <w:adjustRightInd w:val="0"/>
        <w:snapToGrid w:val="0"/>
        <w:spacing w:line="360" w:lineRule="auto"/>
        <w:ind w:firstLine="420" w:firstLineChars="200"/>
        <w:rPr>
          <w:sz w:val="21"/>
          <w:szCs w:val="21"/>
        </w:rPr>
      </w:pPr>
      <w:r>
        <w:rPr>
          <w:sz w:val="21"/>
          <w:szCs w:val="21"/>
        </w:rPr>
        <w:t>（3）按照招标文件要求提交履约保证金；</w:t>
      </w:r>
    </w:p>
    <w:p>
      <w:pPr>
        <w:adjustRightInd w:val="0"/>
        <w:snapToGrid w:val="0"/>
        <w:spacing w:line="360" w:lineRule="auto"/>
        <w:ind w:firstLine="420" w:firstLineChars="200"/>
        <w:rPr>
          <w:sz w:val="21"/>
          <w:szCs w:val="21"/>
        </w:rPr>
      </w:pPr>
      <w:r>
        <w:rPr>
          <w:sz w:val="21"/>
          <w:szCs w:val="21"/>
        </w:rPr>
        <w:t>（4）在合同约定的期限内完成合同规定的全部义务；</w:t>
      </w:r>
    </w:p>
    <w:p>
      <w:pPr>
        <w:adjustRightInd w:val="0"/>
        <w:snapToGrid w:val="0"/>
        <w:spacing w:line="360" w:lineRule="auto"/>
        <w:ind w:firstLine="420" w:firstLineChars="200"/>
        <w:rPr>
          <w:sz w:val="21"/>
          <w:szCs w:val="21"/>
        </w:rPr>
      </w:pPr>
      <w:r>
        <w:rPr>
          <w:rFonts w:hint="eastAsia"/>
          <w:sz w:val="21"/>
          <w:szCs w:val="21"/>
        </w:rPr>
        <w:t>（5）我方承诺若我方中标将按规定支付招标代理服务费用。</w:t>
      </w:r>
    </w:p>
    <w:p>
      <w:pPr>
        <w:adjustRightInd w:val="0"/>
        <w:snapToGrid w:val="0"/>
        <w:spacing w:line="360" w:lineRule="auto"/>
        <w:ind w:firstLine="420" w:firstLineChars="200"/>
        <w:rPr>
          <w:sz w:val="21"/>
          <w:szCs w:val="21"/>
        </w:rPr>
      </w:pPr>
      <w:r>
        <w:rPr>
          <w:sz w:val="21"/>
          <w:szCs w:val="21"/>
        </w:rPr>
        <w:t>5．我方在此声明，所递交的投标文件及有关资料内容完整、真实和准确，且不存在招标文件第二章“投标人须知”第 1.4.3 项和第 1.4.4 项规定的任何一种情形。</w:t>
      </w:r>
    </w:p>
    <w:p>
      <w:pPr>
        <w:adjustRightInd w:val="0"/>
        <w:snapToGrid w:val="0"/>
        <w:spacing w:line="360" w:lineRule="auto"/>
        <w:ind w:firstLine="420" w:firstLineChars="200"/>
        <w:rPr>
          <w:sz w:val="21"/>
          <w:szCs w:val="21"/>
        </w:rPr>
      </w:pPr>
      <w:r>
        <w:rPr>
          <w:sz w:val="21"/>
          <w:szCs w:val="21"/>
        </w:rPr>
        <w:t>6．在合同协议书正式签署生效之前，本投标函连同你方的中标通知书将构成我们双方之间共同遵守的文件，对双方具有约束力。</w:t>
      </w:r>
    </w:p>
    <w:p>
      <w:pPr>
        <w:adjustRightInd w:val="0"/>
        <w:snapToGrid w:val="0"/>
        <w:spacing w:line="360" w:lineRule="auto"/>
        <w:ind w:firstLine="420" w:firstLineChars="200"/>
        <w:rPr>
          <w:sz w:val="21"/>
          <w:szCs w:val="21"/>
        </w:rPr>
      </w:pPr>
      <w:r>
        <w:rPr>
          <w:sz w:val="21"/>
          <w:szCs w:val="21"/>
        </w:rPr>
        <w:t>7．</w:t>
      </w:r>
      <w:r>
        <w:rPr>
          <w:sz w:val="21"/>
          <w:szCs w:val="21"/>
          <w:u w:val="single"/>
        </w:rPr>
        <w:t xml:space="preserve"> </w:t>
      </w:r>
      <w:r>
        <w:rPr>
          <w:sz w:val="21"/>
          <w:szCs w:val="21"/>
          <w:u w:val="single"/>
        </w:rPr>
        <w:tab/>
      </w:r>
      <w:r>
        <w:rPr>
          <w:sz w:val="21"/>
          <w:szCs w:val="21"/>
        </w:rPr>
        <w:t>（其他补充说明）。</w:t>
      </w:r>
    </w:p>
    <w:p>
      <w:pPr>
        <w:spacing w:line="360" w:lineRule="auto"/>
        <w:jc w:val="both"/>
        <w:rPr>
          <w:color w:val="000000"/>
          <w:sz w:val="21"/>
          <w:szCs w:val="21"/>
        </w:rPr>
      </w:pPr>
    </w:p>
    <w:p>
      <w:pPr>
        <w:tabs>
          <w:tab w:val="left" w:pos="2977"/>
          <w:tab w:val="left" w:pos="3261"/>
        </w:tabs>
        <w:spacing w:line="360" w:lineRule="auto"/>
        <w:ind w:firstLine="2730" w:firstLineChars="1300"/>
        <w:rPr>
          <w:sz w:val="21"/>
          <w:szCs w:val="21"/>
        </w:rPr>
      </w:pPr>
      <w:r>
        <w:rPr>
          <w:sz w:val="21"/>
          <w:szCs w:val="21"/>
        </w:rPr>
        <w:t>投</w:t>
      </w:r>
      <w:r>
        <w:rPr>
          <w:rFonts w:hint="eastAsia"/>
          <w:sz w:val="21"/>
          <w:szCs w:val="21"/>
        </w:rPr>
        <w:t xml:space="preserve"> </w:t>
      </w:r>
      <w:r>
        <w:rPr>
          <w:sz w:val="21"/>
          <w:szCs w:val="21"/>
        </w:rPr>
        <w:t>标</w:t>
      </w:r>
      <w:r>
        <w:rPr>
          <w:rFonts w:hint="eastAsia"/>
          <w:sz w:val="21"/>
          <w:szCs w:val="21"/>
        </w:rPr>
        <w:t xml:space="preserve"> </w:t>
      </w:r>
      <w:r>
        <w:rPr>
          <w:sz w:val="21"/>
          <w:szCs w:val="21"/>
        </w:rPr>
        <w:t>人：</w:t>
      </w:r>
      <w:r>
        <w:rPr>
          <w:rFonts w:hint="eastAsia"/>
          <w:sz w:val="21"/>
          <w:szCs w:val="21"/>
          <w:u w:val="single"/>
        </w:rPr>
        <w:t xml:space="preserve">                       </w:t>
      </w:r>
      <w:r>
        <w:rPr>
          <w:sz w:val="21"/>
          <w:szCs w:val="21"/>
        </w:rPr>
        <w:t>（盖单位章）</w:t>
      </w:r>
    </w:p>
    <w:p>
      <w:pPr>
        <w:spacing w:line="360" w:lineRule="auto"/>
        <w:rPr>
          <w:sz w:val="21"/>
          <w:szCs w:val="21"/>
        </w:rPr>
      </w:pPr>
      <w:r>
        <w:rPr>
          <w:rFonts w:hint="eastAsia"/>
          <w:sz w:val="21"/>
          <w:szCs w:val="21"/>
        </w:rPr>
        <w:t xml:space="preserve">                          </w:t>
      </w:r>
      <w:r>
        <w:rPr>
          <w:sz w:val="21"/>
          <w:szCs w:val="21"/>
        </w:rPr>
        <w:t>法定代表人或其委托代理人：</w:t>
      </w:r>
      <w:r>
        <w:rPr>
          <w:rFonts w:hint="eastAsia"/>
          <w:sz w:val="21"/>
          <w:szCs w:val="21"/>
          <w:u w:val="single"/>
        </w:rPr>
        <w:t xml:space="preserve">           </w:t>
      </w:r>
      <w:r>
        <w:rPr>
          <w:sz w:val="21"/>
          <w:szCs w:val="21"/>
        </w:rPr>
        <w:t>（签字）</w:t>
      </w:r>
    </w:p>
    <w:p>
      <w:pPr>
        <w:spacing w:line="360" w:lineRule="auto"/>
        <w:rPr>
          <w:sz w:val="21"/>
          <w:szCs w:val="21"/>
        </w:rPr>
      </w:pPr>
      <w:r>
        <w:rPr>
          <w:rFonts w:hint="eastAsia"/>
          <w:sz w:val="21"/>
          <w:szCs w:val="21"/>
        </w:rPr>
        <w:t xml:space="preserve">                          </w:t>
      </w:r>
      <w:r>
        <w:rPr>
          <w:sz w:val="21"/>
          <w:szCs w:val="21"/>
        </w:rPr>
        <w:t>地址：</w:t>
      </w:r>
      <w:r>
        <w:rPr>
          <w:rFonts w:hint="eastAsia"/>
          <w:sz w:val="21"/>
          <w:szCs w:val="21"/>
          <w:u w:val="single"/>
        </w:rPr>
        <w:t xml:space="preserve">                                      </w:t>
      </w:r>
    </w:p>
    <w:p>
      <w:pPr>
        <w:spacing w:line="360" w:lineRule="auto"/>
        <w:rPr>
          <w:sz w:val="21"/>
          <w:szCs w:val="21"/>
        </w:rPr>
      </w:pPr>
      <w:r>
        <w:rPr>
          <w:rFonts w:hint="eastAsia"/>
          <w:sz w:val="21"/>
          <w:szCs w:val="21"/>
        </w:rPr>
        <w:t xml:space="preserve">                          </w:t>
      </w:r>
      <w:r>
        <w:rPr>
          <w:sz w:val="21"/>
          <w:szCs w:val="21"/>
        </w:rPr>
        <w:t>网址：</w:t>
      </w:r>
      <w:r>
        <w:rPr>
          <w:rFonts w:hint="eastAsia"/>
          <w:sz w:val="21"/>
          <w:szCs w:val="21"/>
          <w:u w:val="single"/>
        </w:rPr>
        <w:t xml:space="preserve">                                      </w:t>
      </w:r>
    </w:p>
    <w:p>
      <w:pPr>
        <w:spacing w:line="360" w:lineRule="auto"/>
        <w:rPr>
          <w:sz w:val="21"/>
          <w:szCs w:val="21"/>
        </w:rPr>
      </w:pPr>
      <w:r>
        <w:rPr>
          <w:rFonts w:hint="eastAsia"/>
          <w:sz w:val="21"/>
          <w:szCs w:val="21"/>
        </w:rPr>
        <w:t xml:space="preserve">                          </w:t>
      </w:r>
      <w:r>
        <w:rPr>
          <w:sz w:val="21"/>
          <w:szCs w:val="21"/>
        </w:rPr>
        <w:t>电话：</w:t>
      </w:r>
      <w:r>
        <w:rPr>
          <w:rFonts w:hint="eastAsia"/>
          <w:sz w:val="21"/>
          <w:szCs w:val="21"/>
          <w:u w:val="single"/>
        </w:rPr>
        <w:t xml:space="preserve">                                      </w:t>
      </w:r>
    </w:p>
    <w:p>
      <w:pPr>
        <w:spacing w:line="360" w:lineRule="auto"/>
        <w:rPr>
          <w:sz w:val="21"/>
          <w:szCs w:val="21"/>
        </w:rPr>
      </w:pPr>
      <w:r>
        <w:rPr>
          <w:rFonts w:hint="eastAsia"/>
          <w:sz w:val="21"/>
          <w:szCs w:val="21"/>
        </w:rPr>
        <w:t xml:space="preserve">                          </w:t>
      </w:r>
      <w:r>
        <w:rPr>
          <w:sz w:val="21"/>
          <w:szCs w:val="21"/>
        </w:rPr>
        <w:t>传真：</w:t>
      </w:r>
      <w:r>
        <w:rPr>
          <w:rFonts w:hint="eastAsia"/>
          <w:sz w:val="21"/>
          <w:szCs w:val="21"/>
          <w:u w:val="single"/>
        </w:rPr>
        <w:t xml:space="preserve">                                      </w:t>
      </w:r>
    </w:p>
    <w:p>
      <w:pPr>
        <w:spacing w:line="360" w:lineRule="auto"/>
        <w:rPr>
          <w:sz w:val="21"/>
          <w:szCs w:val="21"/>
        </w:rPr>
      </w:pPr>
      <w:r>
        <w:rPr>
          <w:rFonts w:hint="eastAsia"/>
          <w:sz w:val="21"/>
          <w:szCs w:val="21"/>
        </w:rPr>
        <w:t xml:space="preserve">                          </w:t>
      </w:r>
      <w:r>
        <w:rPr>
          <w:sz w:val="21"/>
          <w:szCs w:val="21"/>
        </w:rPr>
        <w:t>邮政编码：</w:t>
      </w:r>
      <w:r>
        <w:rPr>
          <w:rFonts w:hint="eastAsia"/>
          <w:sz w:val="21"/>
          <w:szCs w:val="21"/>
          <w:u w:val="single"/>
        </w:rPr>
        <w:t xml:space="preserve">                                  </w:t>
      </w:r>
    </w:p>
    <w:p>
      <w:pPr>
        <w:spacing w:line="360" w:lineRule="auto"/>
        <w:ind w:firstLine="5040" w:firstLineChars="2400"/>
        <w:rPr>
          <w:sz w:val="21"/>
          <w:szCs w:val="21"/>
        </w:rPr>
      </w:pPr>
      <w:r>
        <w:rPr>
          <w:rFonts w:hint="eastAsia"/>
          <w:sz w:val="21"/>
          <w:szCs w:val="21"/>
        </w:rPr>
        <w:t xml:space="preserve"> </w:t>
      </w:r>
      <w:r>
        <w:rPr>
          <w:rFonts w:hint="eastAsia"/>
          <w:sz w:val="21"/>
          <w:szCs w:val="21"/>
          <w:u w:val="single"/>
        </w:rPr>
        <w:t xml:space="preserve">      </w:t>
      </w:r>
      <w:r>
        <w:rPr>
          <w:sz w:val="21"/>
          <w:szCs w:val="21"/>
        </w:rPr>
        <w:t>年</w:t>
      </w:r>
      <w:r>
        <w:rPr>
          <w:rFonts w:hint="eastAsia"/>
          <w:sz w:val="21"/>
          <w:szCs w:val="21"/>
          <w:u w:val="single"/>
        </w:rPr>
        <w:t xml:space="preserve">    </w:t>
      </w:r>
      <w:r>
        <w:rPr>
          <w:sz w:val="21"/>
          <w:szCs w:val="21"/>
        </w:rPr>
        <w:t>月</w:t>
      </w:r>
      <w:r>
        <w:rPr>
          <w:rFonts w:hint="eastAsia"/>
          <w:sz w:val="21"/>
          <w:szCs w:val="21"/>
          <w:u w:val="single"/>
        </w:rPr>
        <w:t xml:space="preserve">    </w:t>
      </w:r>
      <w:r>
        <w:rPr>
          <w:sz w:val="21"/>
          <w:szCs w:val="21"/>
        </w:rPr>
        <w:t>日</w:t>
      </w:r>
      <w:r>
        <w:rPr>
          <w:rFonts w:hint="eastAsia"/>
          <w:sz w:val="21"/>
          <w:szCs w:val="21"/>
        </w:rPr>
        <w:t xml:space="preserve">  </w:t>
      </w:r>
    </w:p>
    <w:p>
      <w:pPr>
        <w:spacing w:line="298" w:lineRule="auto"/>
        <w:jc w:val="both"/>
        <w:rPr>
          <w:rFonts w:ascii="宋体" w:hAnsi="宋体"/>
          <w:sz w:val="28"/>
          <w:szCs w:val="22"/>
        </w:rPr>
      </w:pPr>
    </w:p>
    <w:p>
      <w:pPr>
        <w:pStyle w:val="2"/>
        <w:ind w:firstLine="340"/>
      </w:pPr>
    </w:p>
    <w:p>
      <w:pPr>
        <w:spacing w:line="298" w:lineRule="auto"/>
        <w:jc w:val="center"/>
        <w:rPr>
          <w:rFonts w:ascii="宋体" w:hAnsi="宋体"/>
          <w:sz w:val="28"/>
          <w:szCs w:val="22"/>
        </w:rPr>
      </w:pPr>
    </w:p>
    <w:p>
      <w:pPr>
        <w:spacing w:line="298" w:lineRule="auto"/>
        <w:jc w:val="center"/>
        <w:rPr>
          <w:rFonts w:ascii="宋体" w:hAnsi="宋体"/>
          <w:sz w:val="28"/>
          <w:szCs w:val="22"/>
        </w:rPr>
      </w:pPr>
      <w:r>
        <w:rPr>
          <w:rFonts w:hint="eastAsia" w:ascii="宋体" w:hAnsi="宋体"/>
          <w:sz w:val="28"/>
          <w:szCs w:val="22"/>
        </w:rPr>
        <w:t>（二）投标函附录</w:t>
      </w:r>
      <w:bookmarkEnd w:id="103"/>
      <w:bookmarkEnd w:id="104"/>
      <w:bookmarkEnd w:id="105"/>
      <w:bookmarkEnd w:id="106"/>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序号</w:t>
            </w:r>
          </w:p>
        </w:tc>
        <w:tc>
          <w:tcPr>
            <w:tcW w:w="2693" w:type="dxa"/>
            <w:vAlign w:val="center"/>
          </w:tcPr>
          <w:p>
            <w:pPr>
              <w:spacing w:line="298" w:lineRule="auto"/>
              <w:rPr>
                <w:rFonts w:ascii="宋体" w:hAnsi="宋体"/>
                <w:sz w:val="23"/>
                <w:szCs w:val="22"/>
              </w:rPr>
            </w:pPr>
            <w:r>
              <w:rPr>
                <w:rFonts w:hint="eastAsia" w:ascii="宋体" w:hAnsi="宋体"/>
                <w:sz w:val="23"/>
                <w:szCs w:val="22"/>
              </w:rPr>
              <w:t>条款名称</w:t>
            </w:r>
          </w:p>
        </w:tc>
        <w:tc>
          <w:tcPr>
            <w:tcW w:w="1417" w:type="dxa"/>
            <w:vAlign w:val="center"/>
          </w:tcPr>
          <w:p>
            <w:pPr>
              <w:spacing w:line="298" w:lineRule="auto"/>
              <w:rPr>
                <w:rFonts w:ascii="宋体" w:hAnsi="宋体"/>
                <w:sz w:val="23"/>
                <w:szCs w:val="22"/>
              </w:rPr>
            </w:pPr>
            <w:r>
              <w:rPr>
                <w:rFonts w:hint="eastAsia" w:ascii="宋体" w:hAnsi="宋体"/>
                <w:sz w:val="23"/>
                <w:szCs w:val="22"/>
              </w:rPr>
              <w:t>合同条目号</w:t>
            </w:r>
          </w:p>
        </w:tc>
        <w:tc>
          <w:tcPr>
            <w:tcW w:w="3686" w:type="dxa"/>
            <w:vAlign w:val="center"/>
          </w:tcPr>
          <w:p>
            <w:pPr>
              <w:spacing w:line="298" w:lineRule="auto"/>
              <w:rPr>
                <w:rFonts w:ascii="宋体" w:hAnsi="宋体"/>
                <w:sz w:val="23"/>
                <w:szCs w:val="22"/>
              </w:rPr>
            </w:pPr>
            <w:r>
              <w:rPr>
                <w:rFonts w:hint="eastAsia" w:ascii="宋体" w:hAnsi="宋体"/>
                <w:sz w:val="23"/>
                <w:szCs w:val="22"/>
              </w:rPr>
              <w:t>约定内容</w:t>
            </w:r>
          </w:p>
        </w:tc>
        <w:tc>
          <w:tcPr>
            <w:tcW w:w="1190" w:type="dxa"/>
            <w:vAlign w:val="center"/>
          </w:tcPr>
          <w:p>
            <w:pPr>
              <w:spacing w:line="298" w:lineRule="auto"/>
              <w:rPr>
                <w:rFonts w:ascii="宋体" w:hAnsi="宋体"/>
                <w:sz w:val="23"/>
                <w:szCs w:val="22"/>
              </w:rPr>
            </w:pPr>
            <w:r>
              <w:rPr>
                <w:rFonts w:hint="eastAsia" w:ascii="宋体" w:hAnsi="宋体"/>
                <w:sz w:val="23"/>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w:t>
            </w:r>
          </w:p>
        </w:tc>
        <w:tc>
          <w:tcPr>
            <w:tcW w:w="2693" w:type="dxa"/>
            <w:vAlign w:val="center"/>
          </w:tcPr>
          <w:p>
            <w:pPr>
              <w:spacing w:line="298" w:lineRule="auto"/>
              <w:rPr>
                <w:rFonts w:ascii="宋体" w:hAnsi="宋体"/>
                <w:sz w:val="23"/>
                <w:szCs w:val="22"/>
              </w:rPr>
            </w:pPr>
            <w:r>
              <w:rPr>
                <w:rFonts w:hint="eastAsia" w:ascii="宋体" w:hAnsi="宋体"/>
                <w:sz w:val="23"/>
                <w:szCs w:val="22"/>
              </w:rPr>
              <w:t>项目经理</w:t>
            </w:r>
          </w:p>
        </w:tc>
        <w:tc>
          <w:tcPr>
            <w:tcW w:w="1417" w:type="dxa"/>
            <w:vAlign w:val="center"/>
          </w:tcPr>
          <w:p>
            <w:pPr>
              <w:spacing w:line="298" w:lineRule="auto"/>
              <w:rPr>
                <w:rFonts w:ascii="宋体" w:hAnsi="宋体"/>
                <w:sz w:val="23"/>
                <w:szCs w:val="22"/>
              </w:rPr>
            </w:pPr>
          </w:p>
        </w:tc>
        <w:tc>
          <w:tcPr>
            <w:tcW w:w="3686" w:type="dxa"/>
            <w:vAlign w:val="center"/>
          </w:tcPr>
          <w:p>
            <w:pPr>
              <w:spacing w:line="298" w:lineRule="auto"/>
              <w:rPr>
                <w:rFonts w:ascii="宋体" w:hAnsi="宋体"/>
                <w:sz w:val="23"/>
                <w:szCs w:val="22"/>
              </w:rPr>
            </w:pPr>
            <w:r>
              <w:rPr>
                <w:rFonts w:hint="eastAsia" w:ascii="宋体" w:hAnsi="宋体"/>
                <w:sz w:val="23"/>
                <w:szCs w:val="22"/>
              </w:rPr>
              <w:t>姓名：</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2</w:t>
            </w:r>
          </w:p>
        </w:tc>
        <w:tc>
          <w:tcPr>
            <w:tcW w:w="2693" w:type="dxa"/>
            <w:vAlign w:val="center"/>
          </w:tcPr>
          <w:p>
            <w:pPr>
              <w:spacing w:line="298" w:lineRule="auto"/>
              <w:rPr>
                <w:rFonts w:ascii="宋体" w:hAnsi="宋体"/>
                <w:sz w:val="23"/>
                <w:szCs w:val="22"/>
              </w:rPr>
            </w:pPr>
            <w:r>
              <w:rPr>
                <w:rFonts w:hint="eastAsia" w:ascii="宋体" w:hAnsi="宋体"/>
                <w:sz w:val="23"/>
                <w:szCs w:val="22"/>
              </w:rPr>
              <w:t>工期</w:t>
            </w:r>
          </w:p>
        </w:tc>
        <w:tc>
          <w:tcPr>
            <w:tcW w:w="1417" w:type="dxa"/>
            <w:vAlign w:val="center"/>
          </w:tcPr>
          <w:p>
            <w:pPr>
              <w:spacing w:line="298" w:lineRule="auto"/>
              <w:rPr>
                <w:rFonts w:ascii="宋体" w:hAnsi="宋体"/>
                <w:sz w:val="23"/>
                <w:szCs w:val="22"/>
              </w:rPr>
            </w:pPr>
            <w:r>
              <w:rPr>
                <w:rFonts w:hint="eastAsia" w:ascii="宋体" w:hAnsi="宋体"/>
                <w:sz w:val="23"/>
                <w:szCs w:val="22"/>
              </w:rPr>
              <w:t>1.1.4.3</w:t>
            </w:r>
          </w:p>
        </w:tc>
        <w:tc>
          <w:tcPr>
            <w:tcW w:w="3686" w:type="dxa"/>
            <w:vAlign w:val="center"/>
          </w:tcPr>
          <w:p>
            <w:pPr>
              <w:spacing w:line="298" w:lineRule="auto"/>
              <w:rPr>
                <w:rFonts w:ascii="宋体" w:hAnsi="宋体"/>
                <w:sz w:val="23"/>
                <w:szCs w:val="22"/>
              </w:rPr>
            </w:pPr>
            <w:r>
              <w:rPr>
                <w:rFonts w:hint="eastAsia" w:ascii="宋体" w:hAnsi="宋体"/>
                <w:sz w:val="23"/>
                <w:szCs w:val="22"/>
              </w:rPr>
              <w:t>天数：</w:t>
            </w:r>
            <w:r>
              <w:rPr>
                <w:rFonts w:hint="eastAsia" w:ascii="宋体" w:hAnsi="宋体"/>
                <w:sz w:val="23"/>
                <w:szCs w:val="22"/>
                <w:u w:val="single"/>
              </w:rPr>
              <w:t xml:space="preserve">       </w:t>
            </w:r>
            <w:r>
              <w:rPr>
                <w:rFonts w:hint="eastAsia" w:ascii="宋体" w:hAnsi="宋体"/>
                <w:sz w:val="23"/>
                <w:szCs w:val="22"/>
              </w:rPr>
              <w:t>日历天</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3</w:t>
            </w:r>
          </w:p>
        </w:tc>
        <w:tc>
          <w:tcPr>
            <w:tcW w:w="2693" w:type="dxa"/>
            <w:vAlign w:val="center"/>
          </w:tcPr>
          <w:p>
            <w:pPr>
              <w:spacing w:line="298" w:lineRule="auto"/>
              <w:rPr>
                <w:rFonts w:ascii="宋体" w:hAnsi="宋体"/>
                <w:sz w:val="23"/>
                <w:szCs w:val="22"/>
              </w:rPr>
            </w:pPr>
            <w:r>
              <w:rPr>
                <w:rFonts w:hint="eastAsia" w:ascii="宋体" w:hAnsi="宋体"/>
                <w:sz w:val="23"/>
                <w:szCs w:val="22"/>
              </w:rPr>
              <w:t>缺陷责任期</w:t>
            </w:r>
          </w:p>
        </w:tc>
        <w:tc>
          <w:tcPr>
            <w:tcW w:w="1417" w:type="dxa"/>
            <w:vAlign w:val="center"/>
          </w:tcPr>
          <w:p>
            <w:pPr>
              <w:spacing w:line="298" w:lineRule="auto"/>
              <w:rPr>
                <w:rFonts w:ascii="宋体" w:hAnsi="宋体"/>
                <w:sz w:val="23"/>
                <w:szCs w:val="22"/>
              </w:rPr>
            </w:pPr>
            <w:r>
              <w:rPr>
                <w:rFonts w:hint="eastAsia" w:ascii="宋体" w:hAnsi="宋体"/>
                <w:sz w:val="23"/>
                <w:szCs w:val="22"/>
              </w:rPr>
              <w:t>1.1.4.5</w:t>
            </w:r>
          </w:p>
        </w:tc>
        <w:tc>
          <w:tcPr>
            <w:tcW w:w="3686" w:type="dxa"/>
            <w:vAlign w:val="center"/>
          </w:tcPr>
          <w:p>
            <w:pPr>
              <w:spacing w:line="298" w:lineRule="auto"/>
              <w:rPr>
                <w:rFonts w:ascii="宋体" w:hAnsi="宋体"/>
                <w:sz w:val="23"/>
                <w:szCs w:val="22"/>
              </w:rPr>
            </w:pPr>
            <w:r>
              <w:rPr>
                <w:rFonts w:hint="eastAsia" w:ascii="宋体" w:hAnsi="宋体"/>
                <w:sz w:val="23"/>
                <w:szCs w:val="22"/>
              </w:rPr>
              <w:t>自实际交工日期起计算</w:t>
            </w:r>
            <w:r>
              <w:rPr>
                <w:rFonts w:hint="eastAsia" w:ascii="宋体" w:hAnsi="宋体"/>
                <w:sz w:val="23"/>
                <w:szCs w:val="22"/>
                <w:u w:val="single"/>
              </w:rPr>
              <w:t xml:space="preserve">    </w:t>
            </w:r>
            <w:r>
              <w:rPr>
                <w:rFonts w:hint="eastAsia" w:ascii="宋体" w:hAnsi="宋体"/>
                <w:sz w:val="23"/>
                <w:szCs w:val="22"/>
              </w:rPr>
              <w:t>年</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3"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4</w:t>
            </w:r>
          </w:p>
        </w:tc>
        <w:tc>
          <w:tcPr>
            <w:tcW w:w="2693" w:type="dxa"/>
            <w:vAlign w:val="center"/>
          </w:tcPr>
          <w:p>
            <w:pPr>
              <w:spacing w:line="298" w:lineRule="auto"/>
              <w:rPr>
                <w:rFonts w:ascii="宋体" w:hAnsi="宋体"/>
                <w:sz w:val="23"/>
                <w:szCs w:val="22"/>
              </w:rPr>
            </w:pPr>
            <w:r>
              <w:rPr>
                <w:rFonts w:hint="eastAsia" w:ascii="宋体" w:hAnsi="宋体"/>
                <w:sz w:val="23"/>
                <w:szCs w:val="22"/>
              </w:rPr>
              <w:t>逾期交工违约金</w:t>
            </w:r>
          </w:p>
        </w:tc>
        <w:tc>
          <w:tcPr>
            <w:tcW w:w="1417" w:type="dxa"/>
            <w:vAlign w:val="center"/>
          </w:tcPr>
          <w:p>
            <w:pPr>
              <w:spacing w:line="298" w:lineRule="auto"/>
              <w:rPr>
                <w:rFonts w:ascii="宋体" w:hAnsi="宋体"/>
                <w:sz w:val="23"/>
                <w:szCs w:val="22"/>
              </w:rPr>
            </w:pPr>
            <w:r>
              <w:rPr>
                <w:rFonts w:hint="eastAsia" w:ascii="宋体" w:hAnsi="宋体"/>
                <w:sz w:val="23"/>
                <w:szCs w:val="22"/>
              </w:rPr>
              <w:t>11.5</w:t>
            </w:r>
          </w:p>
        </w:tc>
        <w:tc>
          <w:tcPr>
            <w:tcW w:w="3686" w:type="dxa"/>
            <w:vAlign w:val="center"/>
          </w:tcPr>
          <w:p>
            <w:pPr>
              <w:spacing w:line="298" w:lineRule="auto"/>
              <w:rPr>
                <w:rFonts w:ascii="宋体" w:hAnsi="宋体"/>
                <w:sz w:val="23"/>
                <w:szCs w:val="22"/>
              </w:rPr>
            </w:pPr>
            <w:r>
              <w:rPr>
                <w:rFonts w:hint="eastAsia" w:ascii="宋体" w:hAnsi="宋体"/>
                <w:sz w:val="23"/>
                <w:szCs w:val="22"/>
                <w:u w:val="single"/>
              </w:rPr>
              <w:t xml:space="preserve">    </w:t>
            </w:r>
            <w:r>
              <w:rPr>
                <w:rFonts w:hint="eastAsia" w:ascii="宋体" w:hAnsi="宋体"/>
                <w:sz w:val="23"/>
                <w:szCs w:val="22"/>
              </w:rPr>
              <w:t>元/天</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5</w:t>
            </w:r>
          </w:p>
        </w:tc>
        <w:tc>
          <w:tcPr>
            <w:tcW w:w="2693" w:type="dxa"/>
            <w:vAlign w:val="center"/>
          </w:tcPr>
          <w:p>
            <w:pPr>
              <w:spacing w:line="298" w:lineRule="auto"/>
              <w:rPr>
                <w:rFonts w:ascii="宋体" w:hAnsi="宋体"/>
                <w:sz w:val="23"/>
                <w:szCs w:val="22"/>
              </w:rPr>
            </w:pPr>
            <w:r>
              <w:rPr>
                <w:rFonts w:hint="eastAsia" w:ascii="宋体" w:hAnsi="宋体"/>
                <w:sz w:val="23"/>
                <w:szCs w:val="22"/>
              </w:rPr>
              <w:t>逾期交工违约金限额</w:t>
            </w:r>
          </w:p>
        </w:tc>
        <w:tc>
          <w:tcPr>
            <w:tcW w:w="1417" w:type="dxa"/>
            <w:vAlign w:val="center"/>
          </w:tcPr>
          <w:p>
            <w:pPr>
              <w:spacing w:line="298" w:lineRule="auto"/>
              <w:rPr>
                <w:rFonts w:ascii="宋体" w:hAnsi="宋体"/>
                <w:sz w:val="23"/>
                <w:szCs w:val="22"/>
              </w:rPr>
            </w:pPr>
            <w:r>
              <w:rPr>
                <w:rFonts w:hint="eastAsia" w:ascii="宋体" w:hAnsi="宋体"/>
                <w:sz w:val="23"/>
                <w:szCs w:val="22"/>
              </w:rPr>
              <w:t>11.5</w:t>
            </w:r>
          </w:p>
        </w:tc>
        <w:tc>
          <w:tcPr>
            <w:tcW w:w="3686" w:type="dxa"/>
            <w:vAlign w:val="center"/>
          </w:tcPr>
          <w:p>
            <w:pPr>
              <w:spacing w:line="298" w:lineRule="auto"/>
              <w:rPr>
                <w:rFonts w:ascii="宋体" w:hAnsi="宋体"/>
                <w:sz w:val="23"/>
                <w:szCs w:val="22"/>
              </w:rPr>
            </w:pPr>
            <w:r>
              <w:rPr>
                <w:rFonts w:hint="eastAsia" w:ascii="宋体" w:hAnsi="宋体"/>
                <w:sz w:val="23"/>
                <w:szCs w:val="22"/>
                <w:u w:val="single"/>
              </w:rPr>
              <w:t xml:space="preserve">    </w:t>
            </w:r>
            <w:r>
              <w:rPr>
                <w:rFonts w:hint="eastAsia" w:ascii="宋体" w:hAnsi="宋体"/>
                <w:sz w:val="23"/>
                <w:szCs w:val="22"/>
              </w:rPr>
              <w:t>%签约合同价</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6</w:t>
            </w:r>
          </w:p>
        </w:tc>
        <w:tc>
          <w:tcPr>
            <w:tcW w:w="2693" w:type="dxa"/>
            <w:vAlign w:val="center"/>
          </w:tcPr>
          <w:p>
            <w:pPr>
              <w:spacing w:line="298" w:lineRule="auto"/>
              <w:rPr>
                <w:rFonts w:ascii="宋体" w:hAnsi="宋体"/>
                <w:sz w:val="23"/>
                <w:szCs w:val="22"/>
              </w:rPr>
            </w:pPr>
            <w:r>
              <w:rPr>
                <w:rFonts w:hint="eastAsia" w:ascii="宋体" w:hAnsi="宋体"/>
                <w:sz w:val="23"/>
                <w:szCs w:val="22"/>
              </w:rPr>
              <w:t>提前交工的奖金</w:t>
            </w:r>
          </w:p>
        </w:tc>
        <w:tc>
          <w:tcPr>
            <w:tcW w:w="1417" w:type="dxa"/>
            <w:vAlign w:val="center"/>
          </w:tcPr>
          <w:p>
            <w:pPr>
              <w:spacing w:line="298" w:lineRule="auto"/>
              <w:rPr>
                <w:rFonts w:ascii="宋体" w:hAnsi="宋体"/>
                <w:sz w:val="23"/>
                <w:szCs w:val="22"/>
              </w:rPr>
            </w:pPr>
            <w:r>
              <w:rPr>
                <w:rFonts w:hint="eastAsia" w:ascii="宋体" w:hAnsi="宋体"/>
                <w:sz w:val="23"/>
                <w:szCs w:val="22"/>
              </w:rPr>
              <w:t>11.6</w:t>
            </w:r>
          </w:p>
        </w:tc>
        <w:tc>
          <w:tcPr>
            <w:tcW w:w="3686" w:type="dxa"/>
            <w:vAlign w:val="center"/>
          </w:tcPr>
          <w:p>
            <w:pPr>
              <w:spacing w:line="298" w:lineRule="auto"/>
              <w:rPr>
                <w:rFonts w:ascii="宋体" w:hAnsi="宋体"/>
                <w:sz w:val="23"/>
                <w:szCs w:val="22"/>
              </w:rPr>
            </w:pPr>
            <w:r>
              <w:rPr>
                <w:rFonts w:hint="eastAsia" w:ascii="宋体" w:hAnsi="宋体"/>
                <w:sz w:val="23"/>
                <w:szCs w:val="22"/>
                <w:u w:val="single"/>
              </w:rPr>
              <w:t xml:space="preserve">    </w:t>
            </w:r>
            <w:r>
              <w:rPr>
                <w:rFonts w:hint="eastAsia" w:ascii="宋体" w:hAnsi="宋体"/>
                <w:sz w:val="23"/>
                <w:szCs w:val="22"/>
              </w:rPr>
              <w:t>元/天</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7</w:t>
            </w:r>
          </w:p>
        </w:tc>
        <w:tc>
          <w:tcPr>
            <w:tcW w:w="2693" w:type="dxa"/>
            <w:vAlign w:val="center"/>
          </w:tcPr>
          <w:p>
            <w:pPr>
              <w:spacing w:line="298" w:lineRule="auto"/>
              <w:rPr>
                <w:rFonts w:ascii="宋体" w:hAnsi="宋体"/>
                <w:sz w:val="23"/>
                <w:szCs w:val="22"/>
              </w:rPr>
            </w:pPr>
            <w:r>
              <w:rPr>
                <w:rFonts w:hint="eastAsia" w:ascii="宋体" w:hAnsi="宋体"/>
                <w:sz w:val="23"/>
                <w:szCs w:val="22"/>
              </w:rPr>
              <w:t>提前交工的奖金限额</w:t>
            </w:r>
          </w:p>
        </w:tc>
        <w:tc>
          <w:tcPr>
            <w:tcW w:w="1417" w:type="dxa"/>
            <w:vAlign w:val="center"/>
          </w:tcPr>
          <w:p>
            <w:pPr>
              <w:spacing w:line="298" w:lineRule="auto"/>
              <w:rPr>
                <w:rFonts w:ascii="宋体" w:hAnsi="宋体"/>
                <w:sz w:val="23"/>
                <w:szCs w:val="22"/>
              </w:rPr>
            </w:pPr>
            <w:r>
              <w:rPr>
                <w:rFonts w:hint="eastAsia" w:ascii="宋体" w:hAnsi="宋体"/>
                <w:sz w:val="23"/>
                <w:szCs w:val="22"/>
              </w:rPr>
              <w:t>11.6</w:t>
            </w:r>
          </w:p>
        </w:tc>
        <w:tc>
          <w:tcPr>
            <w:tcW w:w="3686" w:type="dxa"/>
            <w:vAlign w:val="center"/>
          </w:tcPr>
          <w:p>
            <w:pPr>
              <w:spacing w:line="298" w:lineRule="auto"/>
              <w:rPr>
                <w:rFonts w:ascii="宋体" w:hAnsi="宋体"/>
                <w:sz w:val="23"/>
                <w:szCs w:val="22"/>
              </w:rPr>
            </w:pPr>
            <w:r>
              <w:rPr>
                <w:rFonts w:hint="eastAsia" w:ascii="宋体" w:hAnsi="宋体"/>
                <w:sz w:val="23"/>
                <w:szCs w:val="22"/>
                <w:u w:val="single"/>
              </w:rPr>
              <w:t xml:space="preserve">    </w:t>
            </w:r>
            <w:r>
              <w:rPr>
                <w:rFonts w:hint="eastAsia" w:ascii="宋体" w:hAnsi="宋体"/>
                <w:sz w:val="23"/>
                <w:szCs w:val="22"/>
              </w:rPr>
              <w:t>%签约合同价</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8</w:t>
            </w:r>
          </w:p>
        </w:tc>
        <w:tc>
          <w:tcPr>
            <w:tcW w:w="2693" w:type="dxa"/>
            <w:vAlign w:val="center"/>
          </w:tcPr>
          <w:p>
            <w:pPr>
              <w:spacing w:line="298" w:lineRule="auto"/>
              <w:rPr>
                <w:rFonts w:ascii="宋体" w:hAnsi="宋体"/>
                <w:sz w:val="23"/>
                <w:szCs w:val="22"/>
              </w:rPr>
            </w:pPr>
            <w:r>
              <w:rPr>
                <w:rFonts w:hint="eastAsia" w:ascii="宋体" w:hAnsi="宋体"/>
                <w:sz w:val="23"/>
                <w:szCs w:val="22"/>
              </w:rPr>
              <w:t>价格调整的差额计算</w:t>
            </w:r>
          </w:p>
        </w:tc>
        <w:tc>
          <w:tcPr>
            <w:tcW w:w="1417" w:type="dxa"/>
            <w:vAlign w:val="center"/>
          </w:tcPr>
          <w:p>
            <w:pPr>
              <w:spacing w:line="298" w:lineRule="auto"/>
              <w:rPr>
                <w:rFonts w:ascii="宋体" w:hAnsi="宋体"/>
                <w:sz w:val="23"/>
                <w:szCs w:val="22"/>
              </w:rPr>
            </w:pPr>
            <w:r>
              <w:rPr>
                <w:rFonts w:hint="eastAsia" w:ascii="宋体" w:hAnsi="宋体"/>
                <w:sz w:val="23"/>
                <w:szCs w:val="22"/>
              </w:rPr>
              <w:t>16.1.1</w:t>
            </w:r>
          </w:p>
        </w:tc>
        <w:tc>
          <w:tcPr>
            <w:tcW w:w="3686" w:type="dxa"/>
            <w:vAlign w:val="center"/>
          </w:tcPr>
          <w:p>
            <w:pPr>
              <w:spacing w:line="298" w:lineRule="auto"/>
              <w:rPr>
                <w:rFonts w:ascii="宋体" w:hAnsi="宋体"/>
                <w:sz w:val="23"/>
                <w:szCs w:val="22"/>
              </w:rPr>
            </w:pPr>
            <w:r>
              <w:rPr>
                <w:rFonts w:hint="eastAsia" w:ascii="宋体" w:hAnsi="宋体"/>
                <w:sz w:val="23"/>
                <w:szCs w:val="22"/>
              </w:rPr>
              <w:t>见价格指数和权重表</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9</w:t>
            </w:r>
          </w:p>
        </w:tc>
        <w:tc>
          <w:tcPr>
            <w:tcW w:w="2693" w:type="dxa"/>
            <w:vAlign w:val="center"/>
          </w:tcPr>
          <w:p>
            <w:pPr>
              <w:spacing w:line="298" w:lineRule="auto"/>
              <w:rPr>
                <w:rFonts w:ascii="宋体" w:hAnsi="宋体"/>
                <w:sz w:val="23"/>
                <w:szCs w:val="22"/>
              </w:rPr>
            </w:pPr>
            <w:r>
              <w:rPr>
                <w:rFonts w:hint="eastAsia" w:ascii="宋体" w:hAnsi="宋体"/>
                <w:sz w:val="23"/>
                <w:szCs w:val="22"/>
              </w:rPr>
              <w:t>开工预付款金额</w:t>
            </w:r>
          </w:p>
        </w:tc>
        <w:tc>
          <w:tcPr>
            <w:tcW w:w="1417" w:type="dxa"/>
            <w:vAlign w:val="center"/>
          </w:tcPr>
          <w:p>
            <w:pPr>
              <w:spacing w:line="298" w:lineRule="auto"/>
              <w:rPr>
                <w:rFonts w:ascii="宋体" w:hAnsi="宋体"/>
                <w:sz w:val="23"/>
                <w:szCs w:val="22"/>
              </w:rPr>
            </w:pPr>
            <w:r>
              <w:rPr>
                <w:rFonts w:hint="eastAsia" w:ascii="宋体" w:hAnsi="宋体"/>
                <w:sz w:val="23"/>
                <w:szCs w:val="22"/>
              </w:rPr>
              <w:t>17.2.1</w:t>
            </w:r>
          </w:p>
        </w:tc>
        <w:tc>
          <w:tcPr>
            <w:tcW w:w="3686" w:type="dxa"/>
            <w:vAlign w:val="center"/>
          </w:tcPr>
          <w:p>
            <w:pPr>
              <w:spacing w:line="298" w:lineRule="auto"/>
              <w:rPr>
                <w:rFonts w:ascii="宋体" w:hAnsi="宋体"/>
                <w:sz w:val="23"/>
                <w:szCs w:val="22"/>
              </w:rPr>
            </w:pPr>
            <w:r>
              <w:rPr>
                <w:rFonts w:hint="eastAsia" w:ascii="宋体" w:hAnsi="宋体"/>
                <w:sz w:val="23"/>
                <w:szCs w:val="22"/>
                <w:u w:val="single"/>
              </w:rPr>
              <w:t xml:space="preserve">    </w:t>
            </w:r>
            <w:r>
              <w:rPr>
                <w:rFonts w:hint="eastAsia" w:ascii="宋体" w:hAnsi="宋体"/>
                <w:sz w:val="23"/>
                <w:szCs w:val="22"/>
              </w:rPr>
              <w:t>%签约合同价</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7"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10</w:t>
            </w:r>
          </w:p>
        </w:tc>
        <w:tc>
          <w:tcPr>
            <w:tcW w:w="2693" w:type="dxa"/>
            <w:vAlign w:val="center"/>
          </w:tcPr>
          <w:p>
            <w:pPr>
              <w:spacing w:line="298" w:lineRule="auto"/>
              <w:rPr>
                <w:rFonts w:ascii="宋体" w:hAnsi="宋体"/>
                <w:sz w:val="23"/>
                <w:szCs w:val="22"/>
              </w:rPr>
            </w:pPr>
            <w:r>
              <w:rPr>
                <w:rFonts w:hint="eastAsia" w:ascii="宋体" w:hAnsi="宋体"/>
                <w:sz w:val="23"/>
                <w:szCs w:val="22"/>
              </w:rPr>
              <w:t>材料、设备预付款</w:t>
            </w:r>
          </w:p>
        </w:tc>
        <w:tc>
          <w:tcPr>
            <w:tcW w:w="1417" w:type="dxa"/>
            <w:vAlign w:val="center"/>
          </w:tcPr>
          <w:p>
            <w:pPr>
              <w:spacing w:line="298" w:lineRule="auto"/>
              <w:rPr>
                <w:rFonts w:ascii="宋体" w:hAnsi="宋体"/>
                <w:sz w:val="23"/>
                <w:szCs w:val="22"/>
              </w:rPr>
            </w:pPr>
            <w:r>
              <w:rPr>
                <w:rFonts w:hint="eastAsia" w:ascii="宋体" w:hAnsi="宋体"/>
                <w:sz w:val="23"/>
                <w:szCs w:val="22"/>
              </w:rPr>
              <w:t>17.2.1</w:t>
            </w:r>
          </w:p>
        </w:tc>
        <w:tc>
          <w:tcPr>
            <w:tcW w:w="3686" w:type="dxa"/>
            <w:vAlign w:val="center"/>
          </w:tcPr>
          <w:p>
            <w:pPr>
              <w:spacing w:line="298" w:lineRule="auto"/>
              <w:rPr>
                <w:rFonts w:ascii="宋体" w:hAnsi="宋体"/>
                <w:sz w:val="23"/>
                <w:szCs w:val="22"/>
              </w:rPr>
            </w:pPr>
            <w:r>
              <w:rPr>
                <w:rFonts w:hint="eastAsia" w:ascii="宋体" w:hAnsi="宋体"/>
                <w:sz w:val="23"/>
                <w:szCs w:val="22"/>
              </w:rPr>
              <w:t>等主要材料、设备单据所列费用的</w:t>
            </w:r>
            <w:r>
              <w:rPr>
                <w:rFonts w:hint="eastAsia" w:ascii="宋体" w:hAnsi="宋体"/>
                <w:sz w:val="23"/>
                <w:szCs w:val="22"/>
                <w:u w:val="single"/>
              </w:rPr>
              <w:t xml:space="preserve">    </w:t>
            </w:r>
            <w:r>
              <w:rPr>
                <w:rFonts w:hint="eastAsia" w:ascii="宋体" w:hAnsi="宋体"/>
                <w:sz w:val="23"/>
                <w:szCs w:val="22"/>
              </w:rPr>
              <w:t>%</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11</w:t>
            </w:r>
          </w:p>
        </w:tc>
        <w:tc>
          <w:tcPr>
            <w:tcW w:w="2693" w:type="dxa"/>
            <w:vAlign w:val="center"/>
          </w:tcPr>
          <w:p>
            <w:pPr>
              <w:spacing w:line="298" w:lineRule="auto"/>
              <w:rPr>
                <w:rFonts w:ascii="宋体" w:hAnsi="宋体"/>
                <w:sz w:val="23"/>
                <w:szCs w:val="22"/>
              </w:rPr>
            </w:pPr>
            <w:r>
              <w:rPr>
                <w:rFonts w:hint="eastAsia" w:ascii="宋体" w:hAnsi="宋体"/>
                <w:sz w:val="23"/>
                <w:szCs w:val="22"/>
              </w:rPr>
              <w:t>进度付款证书最低限额</w:t>
            </w:r>
          </w:p>
        </w:tc>
        <w:tc>
          <w:tcPr>
            <w:tcW w:w="1417" w:type="dxa"/>
            <w:vAlign w:val="center"/>
          </w:tcPr>
          <w:p>
            <w:pPr>
              <w:spacing w:line="298" w:lineRule="auto"/>
              <w:rPr>
                <w:rFonts w:ascii="宋体" w:hAnsi="宋体"/>
                <w:sz w:val="23"/>
                <w:szCs w:val="22"/>
              </w:rPr>
            </w:pPr>
            <w:r>
              <w:rPr>
                <w:rFonts w:hint="eastAsia" w:ascii="宋体" w:hAnsi="宋体"/>
                <w:sz w:val="23"/>
                <w:szCs w:val="22"/>
              </w:rPr>
              <w:t>17.3.3(1)</w:t>
            </w:r>
          </w:p>
        </w:tc>
        <w:tc>
          <w:tcPr>
            <w:tcW w:w="3686" w:type="dxa"/>
            <w:vAlign w:val="center"/>
          </w:tcPr>
          <w:p>
            <w:pPr>
              <w:spacing w:line="298" w:lineRule="auto"/>
              <w:rPr>
                <w:rFonts w:ascii="宋体" w:hAnsi="宋体"/>
                <w:sz w:val="23"/>
                <w:szCs w:val="22"/>
              </w:rPr>
            </w:pPr>
            <w:r>
              <w:rPr>
                <w:rFonts w:hint="eastAsia" w:ascii="宋体" w:hAnsi="宋体"/>
                <w:sz w:val="23"/>
                <w:szCs w:val="22"/>
                <w:u w:val="single"/>
              </w:rPr>
              <w:t xml:space="preserve">    </w:t>
            </w:r>
            <w:r>
              <w:rPr>
                <w:rFonts w:hint="eastAsia" w:ascii="宋体" w:hAnsi="宋体"/>
                <w:sz w:val="23"/>
                <w:szCs w:val="22"/>
              </w:rPr>
              <w:t>%签约合同价或</w:t>
            </w:r>
            <w:r>
              <w:rPr>
                <w:rFonts w:hint="eastAsia" w:ascii="宋体" w:hAnsi="宋体"/>
                <w:sz w:val="23"/>
                <w:szCs w:val="22"/>
                <w:u w:val="single"/>
              </w:rPr>
              <w:t xml:space="preserve">    </w:t>
            </w:r>
            <w:r>
              <w:rPr>
                <w:rFonts w:hint="eastAsia" w:ascii="宋体" w:hAnsi="宋体"/>
                <w:sz w:val="23"/>
                <w:szCs w:val="22"/>
              </w:rPr>
              <w:t>万元</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12</w:t>
            </w:r>
          </w:p>
        </w:tc>
        <w:tc>
          <w:tcPr>
            <w:tcW w:w="2693" w:type="dxa"/>
            <w:vAlign w:val="center"/>
          </w:tcPr>
          <w:p>
            <w:pPr>
              <w:spacing w:line="298" w:lineRule="auto"/>
              <w:rPr>
                <w:rFonts w:ascii="宋体" w:hAnsi="宋体"/>
                <w:sz w:val="23"/>
                <w:szCs w:val="22"/>
              </w:rPr>
            </w:pPr>
            <w:r>
              <w:rPr>
                <w:rFonts w:hint="eastAsia" w:ascii="宋体" w:hAnsi="宋体"/>
                <w:sz w:val="23"/>
                <w:szCs w:val="22"/>
              </w:rPr>
              <w:t>逾期付款违约金的利率</w:t>
            </w:r>
          </w:p>
        </w:tc>
        <w:tc>
          <w:tcPr>
            <w:tcW w:w="1417" w:type="dxa"/>
            <w:vAlign w:val="center"/>
          </w:tcPr>
          <w:p>
            <w:pPr>
              <w:spacing w:line="298" w:lineRule="auto"/>
              <w:rPr>
                <w:rFonts w:ascii="宋体" w:hAnsi="宋体"/>
                <w:sz w:val="23"/>
                <w:szCs w:val="22"/>
              </w:rPr>
            </w:pPr>
            <w:r>
              <w:rPr>
                <w:rFonts w:hint="eastAsia" w:ascii="宋体" w:hAnsi="宋体"/>
                <w:sz w:val="23"/>
                <w:szCs w:val="22"/>
              </w:rPr>
              <w:t>17.3.3(2)</w:t>
            </w:r>
          </w:p>
        </w:tc>
        <w:tc>
          <w:tcPr>
            <w:tcW w:w="3686" w:type="dxa"/>
            <w:vAlign w:val="center"/>
          </w:tcPr>
          <w:p>
            <w:pPr>
              <w:spacing w:line="298" w:lineRule="auto"/>
              <w:rPr>
                <w:rFonts w:ascii="宋体" w:hAnsi="宋体"/>
                <w:sz w:val="23"/>
                <w:szCs w:val="22"/>
              </w:rPr>
            </w:pPr>
            <w:r>
              <w:rPr>
                <w:rFonts w:hint="eastAsia" w:ascii="宋体" w:hAnsi="宋体"/>
                <w:sz w:val="23"/>
                <w:szCs w:val="22"/>
                <w:u w:val="single"/>
              </w:rPr>
              <w:t xml:space="preserve">    </w:t>
            </w:r>
            <w:r>
              <w:rPr>
                <w:rFonts w:hint="eastAsia" w:ascii="宋体" w:hAnsi="宋体"/>
                <w:sz w:val="23"/>
                <w:szCs w:val="22"/>
              </w:rPr>
              <w:t>‰/天</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13</w:t>
            </w:r>
          </w:p>
        </w:tc>
        <w:tc>
          <w:tcPr>
            <w:tcW w:w="2693" w:type="dxa"/>
            <w:vAlign w:val="center"/>
          </w:tcPr>
          <w:p>
            <w:pPr>
              <w:spacing w:line="298" w:lineRule="auto"/>
              <w:rPr>
                <w:rFonts w:ascii="宋体" w:hAnsi="宋体"/>
                <w:sz w:val="23"/>
                <w:szCs w:val="22"/>
              </w:rPr>
            </w:pPr>
            <w:r>
              <w:rPr>
                <w:rFonts w:hint="eastAsia" w:ascii="宋体" w:hAnsi="宋体"/>
                <w:sz w:val="23"/>
                <w:szCs w:val="22"/>
              </w:rPr>
              <w:t>质量保证金百分比</w:t>
            </w:r>
          </w:p>
        </w:tc>
        <w:tc>
          <w:tcPr>
            <w:tcW w:w="1417" w:type="dxa"/>
            <w:vAlign w:val="center"/>
          </w:tcPr>
          <w:p>
            <w:pPr>
              <w:spacing w:line="298" w:lineRule="auto"/>
              <w:rPr>
                <w:rFonts w:ascii="宋体" w:hAnsi="宋体"/>
                <w:sz w:val="23"/>
                <w:szCs w:val="22"/>
              </w:rPr>
            </w:pPr>
            <w:r>
              <w:rPr>
                <w:rFonts w:hint="eastAsia" w:ascii="宋体" w:hAnsi="宋体"/>
                <w:sz w:val="23"/>
                <w:szCs w:val="22"/>
              </w:rPr>
              <w:t>17.4.1</w:t>
            </w:r>
          </w:p>
        </w:tc>
        <w:tc>
          <w:tcPr>
            <w:tcW w:w="3686" w:type="dxa"/>
            <w:vAlign w:val="center"/>
          </w:tcPr>
          <w:p>
            <w:pPr>
              <w:spacing w:line="298" w:lineRule="auto"/>
              <w:rPr>
                <w:rFonts w:ascii="宋体" w:hAnsi="宋体"/>
                <w:sz w:val="23"/>
                <w:szCs w:val="22"/>
              </w:rPr>
            </w:pPr>
            <w:r>
              <w:rPr>
                <w:rFonts w:hint="eastAsia" w:ascii="宋体" w:hAnsi="宋体"/>
                <w:sz w:val="23"/>
                <w:szCs w:val="22"/>
              </w:rPr>
              <w:t>月支付额的</w:t>
            </w:r>
            <w:r>
              <w:rPr>
                <w:rFonts w:hint="eastAsia" w:ascii="宋体" w:hAnsi="宋体"/>
                <w:sz w:val="23"/>
                <w:szCs w:val="22"/>
                <w:u w:val="single"/>
              </w:rPr>
              <w:t xml:space="preserve">    </w:t>
            </w:r>
            <w:r>
              <w:rPr>
                <w:rFonts w:hint="eastAsia" w:ascii="宋体" w:hAnsi="宋体"/>
                <w:sz w:val="23"/>
                <w:szCs w:val="22"/>
              </w:rPr>
              <w:t>%</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27"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14</w:t>
            </w:r>
          </w:p>
        </w:tc>
        <w:tc>
          <w:tcPr>
            <w:tcW w:w="2693" w:type="dxa"/>
            <w:vAlign w:val="center"/>
          </w:tcPr>
          <w:p>
            <w:pPr>
              <w:spacing w:line="298" w:lineRule="auto"/>
              <w:rPr>
                <w:rFonts w:ascii="宋体" w:hAnsi="宋体"/>
                <w:sz w:val="23"/>
                <w:szCs w:val="22"/>
              </w:rPr>
            </w:pPr>
            <w:r>
              <w:rPr>
                <w:rFonts w:hint="eastAsia" w:ascii="宋体" w:hAnsi="宋体"/>
                <w:sz w:val="23"/>
                <w:szCs w:val="22"/>
              </w:rPr>
              <w:t>质量保证金限额</w:t>
            </w:r>
          </w:p>
        </w:tc>
        <w:tc>
          <w:tcPr>
            <w:tcW w:w="1417" w:type="dxa"/>
            <w:vAlign w:val="center"/>
          </w:tcPr>
          <w:p>
            <w:pPr>
              <w:spacing w:line="298" w:lineRule="auto"/>
              <w:rPr>
                <w:rFonts w:ascii="宋体" w:hAnsi="宋体"/>
                <w:sz w:val="23"/>
                <w:szCs w:val="22"/>
              </w:rPr>
            </w:pPr>
            <w:r>
              <w:rPr>
                <w:rFonts w:hint="eastAsia" w:ascii="宋体" w:hAnsi="宋体"/>
                <w:sz w:val="23"/>
                <w:szCs w:val="22"/>
              </w:rPr>
              <w:t>17.4.1</w:t>
            </w:r>
          </w:p>
        </w:tc>
        <w:tc>
          <w:tcPr>
            <w:tcW w:w="3686" w:type="dxa"/>
            <w:vAlign w:val="center"/>
          </w:tcPr>
          <w:p>
            <w:pPr>
              <w:spacing w:line="298" w:lineRule="auto"/>
              <w:rPr>
                <w:rFonts w:ascii="宋体" w:hAnsi="宋体"/>
                <w:sz w:val="23"/>
                <w:szCs w:val="22"/>
              </w:rPr>
            </w:pPr>
            <w:r>
              <w:rPr>
                <w:rFonts w:hint="eastAsia" w:ascii="宋体" w:hAnsi="宋体"/>
                <w:sz w:val="23"/>
                <w:szCs w:val="22"/>
                <w:u w:val="single"/>
              </w:rPr>
              <w:t xml:space="preserve">    </w:t>
            </w:r>
            <w:r>
              <w:rPr>
                <w:rFonts w:hint="eastAsia" w:ascii="宋体" w:hAnsi="宋体"/>
                <w:sz w:val="23"/>
                <w:szCs w:val="22"/>
              </w:rPr>
              <w:t xml:space="preserve">%合同价格，若交工验收时承包人具备被招标项目所在地省级交通主管部门评定的最高信用等级，发包人给予 </w:t>
            </w:r>
            <w:r>
              <w:rPr>
                <w:rFonts w:hint="eastAsia" w:ascii="宋体" w:hAnsi="宋体"/>
                <w:sz w:val="23"/>
                <w:szCs w:val="22"/>
                <w:u w:val="single"/>
              </w:rPr>
              <w:t xml:space="preserve">    </w:t>
            </w:r>
            <w:r>
              <w:rPr>
                <w:rFonts w:hint="eastAsia" w:ascii="宋体" w:hAnsi="宋体"/>
                <w:sz w:val="23"/>
                <w:szCs w:val="22"/>
              </w:rPr>
              <w:t>%合同价格质量保证金的优惠，并在交工验收时向承包人返还质量保证金优惠的金额</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15</w:t>
            </w:r>
          </w:p>
        </w:tc>
        <w:tc>
          <w:tcPr>
            <w:tcW w:w="2693" w:type="dxa"/>
            <w:vAlign w:val="center"/>
          </w:tcPr>
          <w:p>
            <w:pPr>
              <w:spacing w:line="298" w:lineRule="auto"/>
              <w:rPr>
                <w:rFonts w:ascii="宋体" w:hAnsi="宋体"/>
                <w:sz w:val="23"/>
                <w:szCs w:val="22"/>
              </w:rPr>
            </w:pPr>
            <w:r>
              <w:rPr>
                <w:rFonts w:hint="eastAsia" w:ascii="宋体" w:hAnsi="宋体"/>
                <w:sz w:val="23"/>
                <w:szCs w:val="22"/>
              </w:rPr>
              <w:t>保修期</w:t>
            </w:r>
          </w:p>
        </w:tc>
        <w:tc>
          <w:tcPr>
            <w:tcW w:w="1417" w:type="dxa"/>
            <w:vAlign w:val="center"/>
          </w:tcPr>
          <w:p>
            <w:pPr>
              <w:spacing w:line="298" w:lineRule="auto"/>
              <w:rPr>
                <w:rFonts w:ascii="宋体" w:hAnsi="宋体"/>
                <w:sz w:val="23"/>
                <w:szCs w:val="22"/>
              </w:rPr>
            </w:pPr>
            <w:r>
              <w:rPr>
                <w:rFonts w:hint="eastAsia" w:ascii="宋体" w:hAnsi="宋体"/>
                <w:sz w:val="23"/>
                <w:szCs w:val="22"/>
              </w:rPr>
              <w:t>19.7</w:t>
            </w:r>
          </w:p>
        </w:tc>
        <w:tc>
          <w:tcPr>
            <w:tcW w:w="3686" w:type="dxa"/>
            <w:vAlign w:val="center"/>
          </w:tcPr>
          <w:p>
            <w:pPr>
              <w:spacing w:line="298" w:lineRule="auto"/>
              <w:rPr>
                <w:rFonts w:ascii="宋体" w:hAnsi="宋体"/>
                <w:sz w:val="23"/>
                <w:szCs w:val="22"/>
              </w:rPr>
            </w:pPr>
            <w:r>
              <w:rPr>
                <w:rFonts w:hint="eastAsia" w:ascii="宋体" w:hAnsi="宋体"/>
                <w:sz w:val="23"/>
                <w:szCs w:val="22"/>
              </w:rPr>
              <w:t>自实际交工日期起计算</w:t>
            </w:r>
            <w:r>
              <w:rPr>
                <w:rFonts w:hint="eastAsia" w:ascii="宋体" w:hAnsi="宋体"/>
                <w:sz w:val="23"/>
                <w:szCs w:val="22"/>
                <w:u w:val="single"/>
              </w:rPr>
              <w:t xml:space="preserve">  </w:t>
            </w:r>
            <w:r>
              <w:rPr>
                <w:rFonts w:hint="eastAsia" w:ascii="宋体" w:hAnsi="宋体"/>
                <w:sz w:val="23"/>
                <w:szCs w:val="22"/>
              </w:rPr>
              <w:t>年</w:t>
            </w:r>
          </w:p>
        </w:tc>
        <w:tc>
          <w:tcPr>
            <w:tcW w:w="1190" w:type="dxa"/>
            <w:vAlign w:val="center"/>
          </w:tcPr>
          <w:p>
            <w:pPr>
              <w:spacing w:line="298" w:lineRule="auto"/>
              <w:rPr>
                <w:rFonts w:ascii="宋体" w:hAnsi="宋体"/>
                <w:sz w:val="23"/>
                <w:szCs w:val="22"/>
              </w:rPr>
            </w:pPr>
          </w:p>
        </w:tc>
      </w:tr>
    </w:tbl>
    <w:p>
      <w:pPr>
        <w:spacing w:line="298" w:lineRule="auto"/>
        <w:rPr>
          <w:rFonts w:ascii="宋体" w:hAnsi="宋体"/>
          <w:sz w:val="23"/>
          <w:szCs w:val="22"/>
        </w:rPr>
      </w:pPr>
      <w:r>
        <w:rPr>
          <w:rFonts w:hint="eastAsia" w:ascii="宋体" w:hAnsi="宋体"/>
          <w:sz w:val="23"/>
          <w:szCs w:val="22"/>
        </w:rPr>
        <w:t xml:space="preserve">   </w:t>
      </w:r>
      <w:r>
        <w:rPr>
          <w:rFonts w:hint="eastAsia"/>
          <w:b/>
          <w:bCs/>
          <w:sz w:val="18"/>
          <w:szCs w:val="18"/>
        </w:rPr>
        <w:t>注：表格中1-15项如有未提供到的数据，均以招标人与中标企业签订施工合同时约定的数据为准。</w:t>
      </w:r>
      <w:r>
        <w:rPr>
          <w:rFonts w:hint="eastAsia" w:ascii="宋体" w:hAnsi="宋体"/>
          <w:sz w:val="23"/>
          <w:szCs w:val="22"/>
        </w:rPr>
        <w:t xml:space="preserve">                         </w:t>
      </w:r>
    </w:p>
    <w:p>
      <w:pPr>
        <w:spacing w:line="298" w:lineRule="auto"/>
        <w:rPr>
          <w:rFonts w:ascii="宋体" w:hAnsi="宋体"/>
          <w:sz w:val="23"/>
          <w:szCs w:val="22"/>
        </w:rPr>
      </w:pPr>
    </w:p>
    <w:p>
      <w:pPr>
        <w:spacing w:line="298" w:lineRule="auto"/>
        <w:ind w:firstLine="3799" w:firstLineChars="1652"/>
        <w:rPr>
          <w:rFonts w:ascii="宋体" w:hAnsi="宋体"/>
          <w:sz w:val="23"/>
          <w:szCs w:val="22"/>
        </w:rPr>
      </w:pPr>
      <w:r>
        <w:rPr>
          <w:rFonts w:hint="eastAsia" w:ascii="宋体" w:hAnsi="宋体"/>
          <w:sz w:val="23"/>
          <w:szCs w:val="22"/>
        </w:rPr>
        <w:t xml:space="preserve"> 投 标 人: </w:t>
      </w:r>
      <w:r>
        <w:rPr>
          <w:rFonts w:hint="eastAsia" w:ascii="宋体" w:hAnsi="宋体"/>
          <w:sz w:val="23"/>
          <w:szCs w:val="22"/>
          <w:u w:val="single"/>
        </w:rPr>
        <w:t xml:space="preserve">                      </w:t>
      </w:r>
      <w:r>
        <w:rPr>
          <w:rFonts w:hint="eastAsia" w:ascii="宋体" w:hAnsi="宋体"/>
          <w:sz w:val="23"/>
          <w:szCs w:val="22"/>
        </w:rPr>
        <w:t>(盖单位章)</w:t>
      </w:r>
    </w:p>
    <w:p>
      <w:pPr>
        <w:spacing w:line="298" w:lineRule="auto"/>
        <w:ind w:firstLine="3999" w:firstLineChars="1739"/>
        <w:rPr>
          <w:rFonts w:ascii="宋体" w:hAnsi="宋体"/>
          <w:sz w:val="23"/>
          <w:szCs w:val="22"/>
        </w:rPr>
      </w:pPr>
      <w:r>
        <w:rPr>
          <w:rFonts w:hint="eastAsia" w:ascii="宋体" w:hAnsi="宋体"/>
          <w:sz w:val="23"/>
          <w:szCs w:val="22"/>
        </w:rPr>
        <w:t>投标文件签署人签名:</w:t>
      </w:r>
    </w:p>
    <w:p>
      <w:pPr>
        <w:spacing w:line="240" w:lineRule="exact"/>
        <w:ind w:right="480" w:firstLine="3480" w:firstLineChars="1450"/>
        <w:rPr>
          <w:rFonts w:ascii="宋体" w:hAnsi="宋体"/>
          <w:sz w:val="24"/>
        </w:rPr>
      </w:pPr>
    </w:p>
    <w:p>
      <w:pPr>
        <w:spacing w:line="0" w:lineRule="atLeast"/>
        <w:jc w:val="center"/>
        <w:rPr>
          <w:rFonts w:ascii="宋体" w:hAnsi="宋体"/>
          <w:sz w:val="30"/>
        </w:rPr>
      </w:pPr>
      <w:r>
        <w:rPr>
          <w:rFonts w:ascii="宋体" w:hAnsi="宋体"/>
          <w:sz w:val="30"/>
        </w:rPr>
        <w:t>二、授权委托书或法定代表人身份证明</w:t>
      </w:r>
    </w:p>
    <w:p>
      <w:pPr>
        <w:spacing w:line="200" w:lineRule="exact"/>
        <w:rPr>
          <w:rFonts w:eastAsia="Times New Roman"/>
        </w:rPr>
      </w:pPr>
    </w:p>
    <w:p>
      <w:pPr>
        <w:spacing w:line="223" w:lineRule="exact"/>
        <w:rPr>
          <w:rFonts w:eastAsia="Times New Roman"/>
        </w:rPr>
      </w:pPr>
    </w:p>
    <w:p>
      <w:pPr>
        <w:spacing w:line="360" w:lineRule="auto"/>
        <w:ind w:right="62"/>
        <w:jc w:val="center"/>
        <w:rPr>
          <w:rFonts w:ascii="黑体" w:hAnsi="黑体" w:eastAsia="黑体"/>
          <w:b/>
          <w:sz w:val="30"/>
          <w:szCs w:val="30"/>
        </w:rPr>
      </w:pPr>
      <w:bookmarkStart w:id="107" w:name="page221"/>
      <w:bookmarkEnd w:id="107"/>
      <w:r>
        <w:rPr>
          <w:rFonts w:hint="eastAsia" w:ascii="黑体" w:hAnsi="黑体" w:eastAsia="黑体"/>
          <w:b/>
          <w:sz w:val="30"/>
          <w:szCs w:val="30"/>
        </w:rPr>
        <w:t>（一）</w:t>
      </w:r>
      <w:r>
        <w:rPr>
          <w:rFonts w:hint="eastAsia" w:ascii="黑体" w:hAnsi="黑体" w:eastAsia="黑体"/>
          <w:sz w:val="30"/>
          <w:szCs w:val="30"/>
        </w:rPr>
        <w:t>授权委托书</w:t>
      </w:r>
    </w:p>
    <w:p>
      <w:pPr>
        <w:adjustRightInd w:val="0"/>
        <w:snapToGrid w:val="0"/>
        <w:spacing w:line="360" w:lineRule="auto"/>
        <w:ind w:firstLine="480" w:firstLineChars="200"/>
        <w:rPr>
          <w:sz w:val="24"/>
          <w:szCs w:val="24"/>
        </w:rPr>
      </w:pPr>
    </w:p>
    <w:p>
      <w:pPr>
        <w:adjustRightInd w:val="0"/>
        <w:snapToGrid w:val="0"/>
        <w:spacing w:line="360" w:lineRule="auto"/>
        <w:ind w:firstLine="480" w:firstLineChars="200"/>
        <w:rPr>
          <w:sz w:val="24"/>
          <w:szCs w:val="24"/>
        </w:rPr>
      </w:pPr>
      <w:r>
        <w:rPr>
          <w:sz w:val="24"/>
          <w:szCs w:val="24"/>
        </w:rPr>
        <w:t>本人</w:t>
      </w:r>
      <w:r>
        <w:rPr>
          <w:sz w:val="24"/>
          <w:szCs w:val="24"/>
          <w:u w:val="single"/>
        </w:rPr>
        <w:t xml:space="preserve"> </w:t>
      </w:r>
      <w:r>
        <w:rPr>
          <w:sz w:val="24"/>
          <w:szCs w:val="24"/>
          <w:u w:val="single"/>
        </w:rPr>
        <w:tab/>
      </w:r>
      <w:r>
        <w:rPr>
          <w:sz w:val="24"/>
          <w:szCs w:val="24"/>
        </w:rPr>
        <w:t>（姓名）系</w:t>
      </w:r>
      <w:r>
        <w:rPr>
          <w:sz w:val="24"/>
          <w:szCs w:val="24"/>
          <w:u w:val="single"/>
        </w:rPr>
        <w:t xml:space="preserve">     </w:t>
      </w:r>
      <w:r>
        <w:rPr>
          <w:sz w:val="24"/>
          <w:szCs w:val="24"/>
        </w:rPr>
        <w:t>（投标人名称）的法定代表人，现委托</w:t>
      </w:r>
      <w:r>
        <w:rPr>
          <w:sz w:val="24"/>
          <w:szCs w:val="24"/>
          <w:u w:val="single"/>
        </w:rPr>
        <w:t xml:space="preserve"> </w:t>
      </w:r>
      <w:r>
        <w:rPr>
          <w:sz w:val="24"/>
          <w:szCs w:val="24"/>
          <w:u w:val="single"/>
        </w:rPr>
        <w:tab/>
      </w:r>
      <w:r>
        <w:rPr>
          <w:sz w:val="24"/>
          <w:szCs w:val="24"/>
        </w:rPr>
        <w:t>（姓名）为我方代理人。代理人根据授权，以我方名义签署、澄清确认、递交、撤回、修改</w:t>
      </w:r>
      <w:r>
        <w:rPr>
          <w:sz w:val="24"/>
          <w:szCs w:val="24"/>
          <w:u w:val="single"/>
        </w:rPr>
        <w:t xml:space="preserve"> </w:t>
      </w:r>
      <w:r>
        <w:rPr>
          <w:sz w:val="24"/>
          <w:szCs w:val="24"/>
          <w:u w:val="single"/>
        </w:rPr>
        <w:tab/>
      </w:r>
      <w:r>
        <w:rPr>
          <w:sz w:val="24"/>
          <w:szCs w:val="24"/>
          <w:u w:val="single"/>
        </w:rPr>
        <w:tab/>
      </w:r>
      <w:r>
        <w:rPr>
          <w:sz w:val="24"/>
          <w:szCs w:val="24"/>
        </w:rPr>
        <w:t>（项目名称）</w:t>
      </w:r>
      <w:r>
        <w:rPr>
          <w:sz w:val="24"/>
          <w:szCs w:val="24"/>
          <w:u w:val="single"/>
        </w:rPr>
        <w:t xml:space="preserve"> </w:t>
      </w:r>
      <w:r>
        <w:rPr>
          <w:sz w:val="24"/>
          <w:szCs w:val="24"/>
        </w:rPr>
        <w:tab/>
      </w:r>
      <w:r>
        <w:rPr>
          <w:sz w:val="24"/>
          <w:szCs w:val="24"/>
        </w:rPr>
        <w:t>标段施工投标文件、签订合同和处理有关事宜，其法律后果由我方承担。</w:t>
      </w:r>
    </w:p>
    <w:p>
      <w:pPr>
        <w:adjustRightInd w:val="0"/>
        <w:snapToGrid w:val="0"/>
        <w:spacing w:line="360" w:lineRule="auto"/>
        <w:ind w:firstLine="480" w:firstLineChars="200"/>
        <w:rPr>
          <w:sz w:val="24"/>
          <w:szCs w:val="24"/>
        </w:rPr>
      </w:pPr>
      <w:r>
        <w:rPr>
          <w:sz w:val="24"/>
          <w:szCs w:val="24"/>
        </w:rPr>
        <w:t>委托期限：自本委托书签署之日起至投标有效期期满。代理人无转委托权。</w:t>
      </w:r>
    </w:p>
    <w:p>
      <w:pPr>
        <w:pStyle w:val="3"/>
        <w:spacing w:line="360" w:lineRule="auto"/>
      </w:pPr>
    </w:p>
    <w:p>
      <w:pPr>
        <w:spacing w:before="163" w:line="360" w:lineRule="auto"/>
        <w:ind w:left="224"/>
        <w:rPr>
          <w:sz w:val="21"/>
        </w:rPr>
      </w:pPr>
      <w:r>
        <w:rPr>
          <w:sz w:val="21"/>
        </w:rPr>
        <w:t>附：法定代表人身份证复印件及委托代理人身份证复印件。</w:t>
      </w:r>
    </w:p>
    <w:p>
      <w:pPr>
        <w:pStyle w:val="3"/>
        <w:spacing w:line="360" w:lineRule="auto"/>
        <w:rPr>
          <w:sz w:val="20"/>
        </w:rPr>
      </w:pPr>
    </w:p>
    <w:p>
      <w:pPr>
        <w:pStyle w:val="3"/>
        <w:tabs>
          <w:tab w:val="left" w:pos="7115"/>
          <w:tab w:val="left" w:pos="7716"/>
          <w:tab w:val="left" w:pos="8371"/>
        </w:tabs>
        <w:spacing w:line="360" w:lineRule="auto"/>
        <w:ind w:right="508" w:firstLine="2880" w:firstLineChars="1200"/>
        <w:rPr>
          <w:sz w:val="24"/>
          <w:szCs w:val="15"/>
        </w:rPr>
      </w:pPr>
      <w:r>
        <w:rPr>
          <w:sz w:val="24"/>
          <w:szCs w:val="15"/>
        </w:rPr>
        <w:t>投标人：</w:t>
      </w:r>
      <w:r>
        <w:rPr>
          <w:sz w:val="24"/>
          <w:szCs w:val="15"/>
          <w:u w:val="single"/>
        </w:rPr>
        <w:t xml:space="preserve"> </w:t>
      </w:r>
      <w:r>
        <w:rPr>
          <w:rFonts w:hint="eastAsia"/>
          <w:sz w:val="24"/>
          <w:szCs w:val="15"/>
          <w:u w:val="single"/>
        </w:rPr>
        <w:t xml:space="preserve">                  </w:t>
      </w:r>
      <w:r>
        <w:rPr>
          <w:sz w:val="24"/>
          <w:szCs w:val="15"/>
        </w:rPr>
        <w:t>（盖单位章）</w:t>
      </w:r>
    </w:p>
    <w:p>
      <w:pPr>
        <w:pStyle w:val="3"/>
        <w:tabs>
          <w:tab w:val="left" w:pos="7115"/>
          <w:tab w:val="left" w:pos="7716"/>
          <w:tab w:val="left" w:pos="8371"/>
        </w:tabs>
        <w:spacing w:line="360" w:lineRule="auto"/>
        <w:ind w:right="508" w:firstLine="2880" w:firstLineChars="1200"/>
        <w:rPr>
          <w:sz w:val="24"/>
          <w:szCs w:val="15"/>
        </w:rPr>
      </w:pPr>
      <w:r>
        <w:rPr>
          <w:sz w:val="24"/>
          <w:szCs w:val="15"/>
        </w:rPr>
        <w:t>法定代表人：</w:t>
      </w:r>
      <w:r>
        <w:rPr>
          <w:rFonts w:hint="eastAsia"/>
          <w:sz w:val="24"/>
          <w:szCs w:val="15"/>
          <w:u w:val="single"/>
        </w:rPr>
        <w:t xml:space="preserve">                   </w:t>
      </w:r>
      <w:r>
        <w:rPr>
          <w:sz w:val="24"/>
          <w:szCs w:val="15"/>
        </w:rPr>
        <w:t xml:space="preserve">（签字） </w:t>
      </w:r>
    </w:p>
    <w:p>
      <w:pPr>
        <w:pStyle w:val="3"/>
        <w:tabs>
          <w:tab w:val="left" w:pos="7115"/>
          <w:tab w:val="left" w:pos="7716"/>
          <w:tab w:val="left" w:pos="8371"/>
        </w:tabs>
        <w:spacing w:line="360" w:lineRule="auto"/>
        <w:ind w:right="508" w:firstLine="2880" w:firstLineChars="1200"/>
        <w:rPr>
          <w:rFonts w:ascii="Times New Roman"/>
          <w:sz w:val="24"/>
          <w:szCs w:val="15"/>
          <w:u w:val="single"/>
        </w:rPr>
      </w:pPr>
      <w:r>
        <w:rPr>
          <w:sz w:val="24"/>
          <w:szCs w:val="15"/>
        </w:rPr>
        <w:t>身份证号码：</w:t>
      </w:r>
      <w:r>
        <w:rPr>
          <w:rFonts w:hint="eastAsia" w:ascii="Times New Roman"/>
          <w:sz w:val="24"/>
          <w:szCs w:val="15"/>
          <w:u w:val="single"/>
        </w:rPr>
        <w:t xml:space="preserve">                          </w:t>
      </w:r>
    </w:p>
    <w:p>
      <w:pPr>
        <w:pStyle w:val="3"/>
        <w:tabs>
          <w:tab w:val="left" w:pos="7115"/>
          <w:tab w:val="left" w:pos="7716"/>
          <w:tab w:val="left" w:pos="8371"/>
        </w:tabs>
        <w:spacing w:line="360" w:lineRule="auto"/>
        <w:ind w:right="508" w:firstLine="2880" w:firstLineChars="1200"/>
        <w:rPr>
          <w:sz w:val="24"/>
          <w:szCs w:val="15"/>
        </w:rPr>
      </w:pPr>
      <w:r>
        <w:rPr>
          <w:sz w:val="24"/>
          <w:szCs w:val="15"/>
        </w:rPr>
        <w:t>委托代理人：</w:t>
      </w:r>
      <w:r>
        <w:rPr>
          <w:sz w:val="24"/>
          <w:szCs w:val="15"/>
          <w:u w:val="single"/>
        </w:rPr>
        <w:t xml:space="preserve"> </w:t>
      </w:r>
      <w:r>
        <w:rPr>
          <w:rFonts w:hint="eastAsia"/>
          <w:sz w:val="24"/>
          <w:szCs w:val="15"/>
          <w:u w:val="single"/>
        </w:rPr>
        <w:t xml:space="preserve">                   </w:t>
      </w:r>
      <w:r>
        <w:rPr>
          <w:sz w:val="24"/>
          <w:szCs w:val="15"/>
        </w:rPr>
        <w:t xml:space="preserve">（签字） </w:t>
      </w:r>
    </w:p>
    <w:p>
      <w:pPr>
        <w:pStyle w:val="3"/>
        <w:tabs>
          <w:tab w:val="left" w:pos="7836"/>
          <w:tab w:val="left" w:pos="8491"/>
        </w:tabs>
        <w:spacing w:before="2" w:line="360" w:lineRule="auto"/>
        <w:ind w:right="388" w:firstLine="2880" w:firstLineChars="1200"/>
        <w:rPr>
          <w:rFonts w:ascii="Times New Roman"/>
        </w:rPr>
      </w:pPr>
      <w:r>
        <w:rPr>
          <w:sz w:val="24"/>
          <w:szCs w:val="15"/>
        </w:rPr>
        <w:t>身份证号码：</w:t>
      </w:r>
      <w:r>
        <w:rPr>
          <w:rFonts w:ascii="Times New Roman" w:eastAsia="Times New Roman"/>
          <w:sz w:val="24"/>
          <w:szCs w:val="15"/>
          <w:u w:val="single"/>
        </w:rPr>
        <w:t xml:space="preserve"> </w:t>
      </w:r>
      <w:r>
        <w:rPr>
          <w:rFonts w:hint="eastAsia" w:ascii="Times New Roman"/>
          <w:sz w:val="24"/>
          <w:szCs w:val="15"/>
          <w:u w:val="single"/>
        </w:rPr>
        <w:t xml:space="preserve">           </w:t>
      </w:r>
      <w:r>
        <w:rPr>
          <w:rFonts w:hint="eastAsia" w:ascii="Times New Roman"/>
          <w:u w:val="single"/>
        </w:rPr>
        <w:t xml:space="preserve">              </w:t>
      </w:r>
    </w:p>
    <w:p>
      <w:pPr>
        <w:pStyle w:val="3"/>
        <w:tabs>
          <w:tab w:val="left" w:pos="5682"/>
          <w:tab w:val="left" w:pos="7002"/>
          <w:tab w:val="left" w:pos="8138"/>
        </w:tabs>
        <w:spacing w:line="360" w:lineRule="auto"/>
        <w:ind w:left="4842"/>
        <w:rPr>
          <w:rFonts w:ascii="Times New Roman" w:eastAsia="Times New Roman"/>
          <w:u w:val="single"/>
        </w:rPr>
      </w:pPr>
    </w:p>
    <w:p>
      <w:pPr>
        <w:pStyle w:val="3"/>
        <w:tabs>
          <w:tab w:val="left" w:pos="5682"/>
          <w:tab w:val="left" w:pos="7002"/>
          <w:tab w:val="left" w:pos="8138"/>
        </w:tabs>
        <w:spacing w:line="360" w:lineRule="auto"/>
        <w:jc w:val="right"/>
        <w:rPr>
          <w:sz w:val="24"/>
          <w:szCs w:val="24"/>
        </w:rPr>
      </w:pPr>
      <w:r>
        <w:rPr>
          <w:rFonts w:ascii="Times New Roman" w:eastAsia="Times New Roman"/>
          <w:sz w:val="24"/>
          <w:szCs w:val="24"/>
          <w:u w:val="single"/>
        </w:rPr>
        <w:t xml:space="preserve"> </w:t>
      </w:r>
      <w:r>
        <w:rPr>
          <w:rFonts w:hint="eastAsia" w:ascii="Times New Roman"/>
          <w:sz w:val="24"/>
          <w:szCs w:val="24"/>
          <w:u w:val="single"/>
        </w:rPr>
        <w:t xml:space="preserve">       </w:t>
      </w:r>
      <w:r>
        <w:rPr>
          <w:sz w:val="24"/>
          <w:szCs w:val="24"/>
        </w:rPr>
        <w:t>年</w:t>
      </w:r>
      <w:r>
        <w:rPr>
          <w:sz w:val="24"/>
          <w:szCs w:val="24"/>
          <w:u w:val="single"/>
        </w:rPr>
        <w:t xml:space="preserve"> </w:t>
      </w:r>
      <w:r>
        <w:rPr>
          <w:rFonts w:hint="eastAsia"/>
          <w:sz w:val="24"/>
          <w:szCs w:val="24"/>
          <w:u w:val="single"/>
        </w:rPr>
        <w:t xml:space="preserve">      </w:t>
      </w:r>
      <w:r>
        <w:rPr>
          <w:sz w:val="24"/>
          <w:szCs w:val="24"/>
        </w:rPr>
        <w:t>月</w:t>
      </w:r>
      <w:r>
        <w:rPr>
          <w:rFonts w:hint="eastAsia"/>
          <w:sz w:val="24"/>
          <w:szCs w:val="24"/>
        </w:rPr>
        <w:t xml:space="preserve"> </w:t>
      </w:r>
      <w:r>
        <w:rPr>
          <w:rFonts w:hint="eastAsia"/>
          <w:sz w:val="24"/>
          <w:szCs w:val="24"/>
          <w:u w:val="single"/>
        </w:rPr>
        <w:t xml:space="preserve">         </w:t>
      </w:r>
      <w:r>
        <w:rPr>
          <w:sz w:val="24"/>
          <w:szCs w:val="24"/>
        </w:rPr>
        <w:t>日</w:t>
      </w:r>
    </w:p>
    <w:p>
      <w:pPr>
        <w:spacing w:line="400" w:lineRule="exact"/>
        <w:jc w:val="both"/>
        <w:rPr>
          <w:color w:val="000000"/>
          <w:sz w:val="24"/>
          <w:szCs w:val="24"/>
        </w:rPr>
      </w:pPr>
    </w:p>
    <w:p>
      <w:pPr>
        <w:spacing w:line="400" w:lineRule="exact"/>
        <w:jc w:val="both"/>
        <w:rPr>
          <w:color w:val="000000"/>
          <w:sz w:val="24"/>
          <w:szCs w:val="24"/>
        </w:rPr>
      </w:pPr>
    </w:p>
    <w:p>
      <w:pPr>
        <w:ind w:left="224"/>
        <w:rPr>
          <w:sz w:val="24"/>
          <w:szCs w:val="24"/>
        </w:rPr>
      </w:pPr>
      <w:r>
        <w:rPr>
          <w:sz w:val="24"/>
          <w:szCs w:val="24"/>
        </w:rPr>
        <w:t>注：</w:t>
      </w:r>
    </w:p>
    <w:p>
      <w:pPr>
        <w:spacing w:before="132" w:line="355" w:lineRule="auto"/>
        <w:ind w:left="224" w:right="277" w:firstLine="419"/>
        <w:rPr>
          <w:sz w:val="24"/>
          <w:szCs w:val="24"/>
        </w:rPr>
      </w:pPr>
      <w:r>
        <w:rPr>
          <w:rFonts w:hint="eastAsia"/>
          <w:sz w:val="24"/>
          <w:szCs w:val="24"/>
        </w:rPr>
        <w:t>1、</w:t>
      </w:r>
      <w:r>
        <w:rPr>
          <w:spacing w:val="-7"/>
          <w:sz w:val="24"/>
          <w:szCs w:val="24"/>
        </w:rPr>
        <w:t>法定代表人和委托代理人必须在授权委托书上亲笔签名，不得使用印章、签名章或其他电</w:t>
      </w:r>
      <w:r>
        <w:rPr>
          <w:spacing w:val="-5"/>
          <w:sz w:val="24"/>
          <w:szCs w:val="24"/>
        </w:rPr>
        <w:t>子制版签名代替；</w:t>
      </w:r>
    </w:p>
    <w:p>
      <w:pPr>
        <w:spacing w:before="2"/>
        <w:ind w:left="644"/>
        <w:rPr>
          <w:sz w:val="24"/>
          <w:szCs w:val="24"/>
        </w:rPr>
      </w:pPr>
      <w:r>
        <w:rPr>
          <w:rFonts w:hint="eastAsia"/>
          <w:sz w:val="24"/>
          <w:szCs w:val="24"/>
        </w:rPr>
        <w:t>2、</w:t>
      </w:r>
      <w:r>
        <w:rPr>
          <w:sz w:val="24"/>
          <w:szCs w:val="24"/>
        </w:rPr>
        <w:t>以联合体形式投标的，本授权委托书应由联合体牵头人的法定代表人按上述规定签署。</w:t>
      </w:r>
    </w:p>
    <w:p>
      <w:pPr>
        <w:pStyle w:val="3"/>
        <w:rPr>
          <w:sz w:val="24"/>
          <w:szCs w:val="24"/>
        </w:rPr>
      </w:pPr>
    </w:p>
    <w:p>
      <w:pPr>
        <w:pStyle w:val="2"/>
        <w:ind w:firstLine="0" w:firstLineChars="0"/>
        <w:rPr>
          <w:rFonts w:ascii="黑体" w:eastAsia="黑体"/>
          <w:sz w:val="24"/>
          <w:szCs w:val="24"/>
        </w:rPr>
      </w:pPr>
    </w:p>
    <w:p>
      <w:pPr>
        <w:pStyle w:val="2"/>
        <w:ind w:firstLine="240"/>
        <w:rPr>
          <w:rFonts w:ascii="黑体" w:eastAsia="黑体"/>
          <w:sz w:val="24"/>
          <w:szCs w:val="24"/>
        </w:rPr>
      </w:pPr>
    </w:p>
    <w:p>
      <w:pPr>
        <w:snapToGrid w:val="0"/>
        <w:spacing w:before="61" w:line="360" w:lineRule="auto"/>
        <w:jc w:val="center"/>
        <w:rPr>
          <w:rFonts w:ascii="黑体" w:eastAsia="黑体"/>
          <w:sz w:val="24"/>
          <w:szCs w:val="24"/>
        </w:rPr>
      </w:pPr>
    </w:p>
    <w:p>
      <w:pPr>
        <w:snapToGrid w:val="0"/>
        <w:spacing w:before="61" w:line="360" w:lineRule="auto"/>
        <w:jc w:val="center"/>
        <w:rPr>
          <w:rFonts w:ascii="黑体" w:eastAsia="黑体"/>
          <w:sz w:val="24"/>
          <w:szCs w:val="24"/>
        </w:rPr>
      </w:pPr>
      <w:r>
        <w:rPr>
          <w:rFonts w:hint="eastAsia" w:ascii="黑体" w:eastAsia="黑体"/>
          <w:sz w:val="24"/>
          <w:szCs w:val="24"/>
        </w:rPr>
        <w:t>（二）法定代表人身份证明</w:t>
      </w:r>
    </w:p>
    <w:p>
      <w:pPr>
        <w:pStyle w:val="3"/>
        <w:snapToGrid w:val="0"/>
        <w:spacing w:line="360" w:lineRule="auto"/>
        <w:rPr>
          <w:rFonts w:ascii="黑体"/>
          <w:sz w:val="24"/>
          <w:szCs w:val="24"/>
        </w:rPr>
      </w:pPr>
    </w:p>
    <w:p>
      <w:pPr>
        <w:pStyle w:val="3"/>
        <w:tabs>
          <w:tab w:val="left" w:pos="5080"/>
        </w:tabs>
        <w:snapToGrid w:val="0"/>
        <w:spacing w:line="360" w:lineRule="auto"/>
        <w:rPr>
          <w:rFonts w:ascii="Times New Roman" w:eastAsia="Times New Roman"/>
          <w:sz w:val="24"/>
          <w:szCs w:val="24"/>
        </w:rPr>
      </w:pPr>
      <w:r>
        <w:rPr>
          <w:spacing w:val="-1"/>
          <w:sz w:val="24"/>
          <w:szCs w:val="24"/>
        </w:rPr>
        <w:t>投</w:t>
      </w:r>
      <w:r>
        <w:rPr>
          <w:sz w:val="24"/>
          <w:szCs w:val="24"/>
        </w:rPr>
        <w:t>标人名称：</w:t>
      </w:r>
      <w:r>
        <w:rPr>
          <w:rFonts w:ascii="Times New Roman" w:eastAsia="Times New Roman"/>
          <w:sz w:val="24"/>
          <w:szCs w:val="24"/>
          <w:u w:val="single"/>
        </w:rPr>
        <w:t xml:space="preserve"> </w:t>
      </w:r>
      <w:r>
        <w:rPr>
          <w:rFonts w:ascii="Times New Roman" w:eastAsia="Times New Roman"/>
          <w:sz w:val="24"/>
          <w:szCs w:val="24"/>
          <w:u w:val="single"/>
        </w:rPr>
        <w:tab/>
      </w:r>
    </w:p>
    <w:p>
      <w:pPr>
        <w:pStyle w:val="3"/>
        <w:tabs>
          <w:tab w:val="left" w:pos="3999"/>
          <w:tab w:val="left" w:pos="5440"/>
          <w:tab w:val="left" w:pos="7185"/>
          <w:tab w:val="left" w:pos="8920"/>
        </w:tabs>
        <w:snapToGrid w:val="0"/>
        <w:spacing w:before="134" w:line="360" w:lineRule="auto"/>
        <w:ind w:right="263" w:firstLine="480" w:firstLineChars="200"/>
        <w:rPr>
          <w:sz w:val="24"/>
          <w:szCs w:val="24"/>
          <w:u w:val="single"/>
        </w:rPr>
      </w:pPr>
      <w:r>
        <w:rPr>
          <w:sz w:val="24"/>
          <w:szCs w:val="24"/>
        </w:rPr>
        <w:t>姓名：</w:t>
      </w:r>
      <w:r>
        <w:rPr>
          <w:spacing w:val="118"/>
          <w:sz w:val="24"/>
          <w:szCs w:val="24"/>
          <w:u w:val="single"/>
        </w:rPr>
        <w:t xml:space="preserve"> </w:t>
      </w:r>
      <w:r>
        <w:rPr>
          <w:sz w:val="24"/>
          <w:szCs w:val="24"/>
          <w:u w:val="single"/>
        </w:rPr>
        <w:t>（法定代表人亲笔签字）</w:t>
      </w:r>
      <w:r>
        <w:rPr>
          <w:spacing w:val="117"/>
          <w:sz w:val="24"/>
          <w:szCs w:val="24"/>
        </w:rPr>
        <w:t xml:space="preserve"> </w:t>
      </w:r>
      <w:r>
        <w:rPr>
          <w:sz w:val="24"/>
          <w:szCs w:val="24"/>
        </w:rPr>
        <w:t>性别：</w:t>
      </w:r>
      <w:r>
        <w:rPr>
          <w:sz w:val="24"/>
          <w:szCs w:val="24"/>
          <w:u w:val="single"/>
        </w:rPr>
        <w:tab/>
      </w:r>
      <w:r>
        <w:rPr>
          <w:rFonts w:hint="eastAsia"/>
          <w:sz w:val="24"/>
          <w:szCs w:val="24"/>
          <w:u w:val="single"/>
        </w:rPr>
        <w:t xml:space="preserve">   </w:t>
      </w:r>
      <w:r>
        <w:rPr>
          <w:sz w:val="24"/>
          <w:szCs w:val="24"/>
        </w:rPr>
        <w:t>年龄：</w:t>
      </w:r>
      <w:r>
        <w:rPr>
          <w:sz w:val="24"/>
          <w:szCs w:val="24"/>
          <w:u w:val="single"/>
        </w:rPr>
        <w:t xml:space="preserve"> </w:t>
      </w:r>
      <w:r>
        <w:rPr>
          <w:sz w:val="24"/>
          <w:szCs w:val="24"/>
          <w:u w:val="single"/>
        </w:rPr>
        <w:tab/>
      </w:r>
      <w:r>
        <w:rPr>
          <w:sz w:val="24"/>
          <w:szCs w:val="24"/>
        </w:rPr>
        <w:t>职务：</w:t>
      </w:r>
      <w:r>
        <w:rPr>
          <w:rFonts w:hint="eastAsia"/>
          <w:sz w:val="24"/>
          <w:szCs w:val="24"/>
          <w:u w:val="single"/>
        </w:rPr>
        <w:t xml:space="preserve">   </w:t>
      </w:r>
    </w:p>
    <w:p>
      <w:pPr>
        <w:pStyle w:val="3"/>
        <w:tabs>
          <w:tab w:val="left" w:pos="3999"/>
          <w:tab w:val="left" w:pos="5440"/>
          <w:tab w:val="left" w:pos="7185"/>
          <w:tab w:val="left" w:pos="8920"/>
        </w:tabs>
        <w:snapToGrid w:val="0"/>
        <w:spacing w:before="134" w:line="360" w:lineRule="auto"/>
        <w:ind w:right="263"/>
        <w:rPr>
          <w:sz w:val="24"/>
          <w:szCs w:val="24"/>
        </w:rPr>
      </w:pPr>
      <w:r>
        <w:rPr>
          <w:sz w:val="24"/>
          <w:szCs w:val="24"/>
        </w:rPr>
        <w:t>系</w:t>
      </w:r>
      <w:r>
        <w:rPr>
          <w:sz w:val="24"/>
          <w:szCs w:val="24"/>
          <w:u w:val="single"/>
        </w:rPr>
        <w:tab/>
      </w:r>
      <w:r>
        <w:rPr>
          <w:sz w:val="24"/>
          <w:szCs w:val="24"/>
        </w:rPr>
        <w:t>（投标人名称）的法定代表人。</w:t>
      </w:r>
    </w:p>
    <w:p>
      <w:pPr>
        <w:pStyle w:val="3"/>
        <w:snapToGrid w:val="0"/>
        <w:spacing w:line="360" w:lineRule="auto"/>
        <w:ind w:left="704"/>
        <w:rPr>
          <w:sz w:val="24"/>
          <w:szCs w:val="24"/>
        </w:rPr>
      </w:pPr>
      <w:r>
        <w:rPr>
          <w:sz w:val="24"/>
          <w:szCs w:val="24"/>
        </w:rPr>
        <w:t>特此证明。</w:t>
      </w:r>
    </w:p>
    <w:p>
      <w:pPr>
        <w:pStyle w:val="3"/>
        <w:snapToGrid w:val="0"/>
        <w:spacing w:line="360" w:lineRule="auto"/>
        <w:rPr>
          <w:sz w:val="24"/>
          <w:szCs w:val="24"/>
        </w:rPr>
      </w:pPr>
    </w:p>
    <w:p>
      <w:pPr>
        <w:pStyle w:val="3"/>
        <w:snapToGrid w:val="0"/>
        <w:spacing w:before="1" w:line="360" w:lineRule="auto"/>
        <w:rPr>
          <w:sz w:val="24"/>
          <w:szCs w:val="24"/>
        </w:rPr>
      </w:pPr>
    </w:p>
    <w:p>
      <w:pPr>
        <w:snapToGrid w:val="0"/>
        <w:spacing w:line="360" w:lineRule="auto"/>
        <w:ind w:left="224"/>
        <w:rPr>
          <w:sz w:val="24"/>
          <w:szCs w:val="24"/>
        </w:rPr>
      </w:pPr>
      <w:r>
        <w:rPr>
          <w:sz w:val="24"/>
          <w:szCs w:val="24"/>
        </w:rPr>
        <w:t>附：法定代表人身份证复印件。</w:t>
      </w:r>
    </w:p>
    <w:p>
      <w:pPr>
        <w:pStyle w:val="3"/>
        <w:snapToGrid w:val="0"/>
        <w:spacing w:line="360" w:lineRule="auto"/>
        <w:rPr>
          <w:sz w:val="24"/>
          <w:szCs w:val="24"/>
        </w:rPr>
      </w:pPr>
    </w:p>
    <w:p>
      <w:pPr>
        <w:pStyle w:val="3"/>
        <w:snapToGrid w:val="0"/>
        <w:spacing w:line="360" w:lineRule="auto"/>
        <w:rPr>
          <w:sz w:val="24"/>
          <w:szCs w:val="24"/>
        </w:rPr>
      </w:pPr>
    </w:p>
    <w:p>
      <w:pPr>
        <w:pStyle w:val="3"/>
        <w:snapToGrid w:val="0"/>
        <w:spacing w:line="360" w:lineRule="auto"/>
        <w:rPr>
          <w:sz w:val="24"/>
          <w:szCs w:val="24"/>
        </w:rPr>
      </w:pPr>
    </w:p>
    <w:p>
      <w:pPr>
        <w:pStyle w:val="3"/>
        <w:snapToGrid w:val="0"/>
        <w:spacing w:before="9" w:line="360" w:lineRule="auto"/>
        <w:rPr>
          <w:sz w:val="24"/>
          <w:szCs w:val="24"/>
        </w:rPr>
      </w:pPr>
    </w:p>
    <w:p>
      <w:pPr>
        <w:pStyle w:val="3"/>
        <w:tabs>
          <w:tab w:val="left" w:pos="6345"/>
        </w:tabs>
        <w:snapToGrid w:val="0"/>
        <w:spacing w:line="360" w:lineRule="auto"/>
        <w:ind w:left="3345"/>
        <w:rPr>
          <w:sz w:val="24"/>
          <w:szCs w:val="24"/>
        </w:rPr>
      </w:pPr>
      <w:r>
        <w:rPr>
          <w:sz w:val="24"/>
          <w:szCs w:val="24"/>
        </w:rPr>
        <w:t>投标人：</w:t>
      </w:r>
      <w:r>
        <w:rPr>
          <w:sz w:val="24"/>
          <w:szCs w:val="24"/>
          <w:u w:val="single"/>
        </w:rPr>
        <w:t xml:space="preserve"> </w:t>
      </w:r>
      <w:r>
        <w:rPr>
          <w:sz w:val="24"/>
          <w:szCs w:val="24"/>
          <w:u w:val="single"/>
        </w:rPr>
        <w:tab/>
      </w:r>
      <w:r>
        <w:rPr>
          <w:sz w:val="24"/>
          <w:szCs w:val="24"/>
        </w:rPr>
        <w:t>（盖单位章）</w:t>
      </w:r>
    </w:p>
    <w:p>
      <w:pPr>
        <w:pStyle w:val="3"/>
        <w:tabs>
          <w:tab w:val="left" w:pos="5625"/>
          <w:tab w:val="left" w:pos="6585"/>
          <w:tab w:val="left" w:pos="7240"/>
        </w:tabs>
        <w:snapToGrid w:val="0"/>
        <w:spacing w:before="131" w:line="360" w:lineRule="auto"/>
        <w:ind w:left="4545"/>
        <w:rPr>
          <w:sz w:val="24"/>
          <w:szCs w:val="24"/>
        </w:rPr>
      </w:pP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年</w:t>
      </w:r>
      <w:r>
        <w:rPr>
          <w:sz w:val="24"/>
          <w:szCs w:val="24"/>
          <w:u w:val="single"/>
        </w:rPr>
        <w:t xml:space="preserve"> </w:t>
      </w:r>
      <w:r>
        <w:rPr>
          <w:sz w:val="24"/>
          <w:szCs w:val="24"/>
          <w:u w:val="single"/>
        </w:rPr>
        <w:tab/>
      </w:r>
      <w:r>
        <w:rPr>
          <w:sz w:val="24"/>
          <w:szCs w:val="24"/>
        </w:rPr>
        <w:t>月</w:t>
      </w:r>
      <w:r>
        <w:rPr>
          <w:sz w:val="24"/>
          <w:szCs w:val="24"/>
          <w:u w:val="single"/>
        </w:rPr>
        <w:tab/>
      </w:r>
      <w:r>
        <w:rPr>
          <w:sz w:val="24"/>
          <w:szCs w:val="24"/>
        </w:rPr>
        <w:t>日</w:t>
      </w:r>
    </w:p>
    <w:p>
      <w:pPr>
        <w:pStyle w:val="3"/>
        <w:snapToGrid w:val="0"/>
        <w:spacing w:line="360" w:lineRule="auto"/>
        <w:rPr>
          <w:sz w:val="26"/>
        </w:rPr>
      </w:pPr>
    </w:p>
    <w:p>
      <w:pPr>
        <w:snapToGrid w:val="0"/>
        <w:spacing w:line="360" w:lineRule="auto"/>
        <w:jc w:val="both"/>
        <w:rPr>
          <w:color w:val="000000"/>
          <w:sz w:val="24"/>
        </w:rPr>
      </w:pPr>
    </w:p>
    <w:p>
      <w:pPr>
        <w:snapToGrid w:val="0"/>
        <w:spacing w:line="360" w:lineRule="auto"/>
        <w:jc w:val="both"/>
        <w:rPr>
          <w:color w:val="000000"/>
          <w:sz w:val="24"/>
        </w:rPr>
      </w:pPr>
    </w:p>
    <w:p>
      <w:pPr>
        <w:snapToGrid w:val="0"/>
        <w:spacing w:line="360" w:lineRule="auto"/>
        <w:jc w:val="both"/>
        <w:rPr>
          <w:color w:val="000000"/>
          <w:sz w:val="24"/>
        </w:rPr>
      </w:pPr>
    </w:p>
    <w:p>
      <w:pPr>
        <w:snapToGrid w:val="0"/>
        <w:spacing w:line="360" w:lineRule="auto"/>
        <w:jc w:val="both"/>
        <w:rPr>
          <w:sz w:val="21"/>
        </w:rPr>
      </w:pPr>
      <w:r>
        <w:rPr>
          <w:sz w:val="21"/>
        </w:rPr>
        <w:t>注：法定代表人的签字必须是亲笔签名，不得使用印章、签名章或其他电子制版签名代替</w:t>
      </w:r>
    </w:p>
    <w:p>
      <w:pPr>
        <w:spacing w:line="200" w:lineRule="exact"/>
        <w:rPr>
          <w:rFonts w:eastAsia="Times New Roman"/>
        </w:rPr>
      </w:pPr>
    </w:p>
    <w:p>
      <w:pPr>
        <w:spacing w:line="200" w:lineRule="exact"/>
        <w:rPr>
          <w:rFonts w:eastAsia="Times New Roman"/>
        </w:rPr>
      </w:pPr>
      <w:bookmarkStart w:id="108" w:name="page222"/>
      <w:bookmarkEnd w:id="108"/>
    </w:p>
    <w:p>
      <w:pPr>
        <w:spacing w:line="248" w:lineRule="exact"/>
        <w:rPr>
          <w:rFonts w:eastAsia="Times New Roman"/>
        </w:rPr>
      </w:pPr>
    </w:p>
    <w:p>
      <w:pPr>
        <w:spacing w:line="0" w:lineRule="atLeast"/>
        <w:ind w:left="3360"/>
        <w:rPr>
          <w:rFonts w:ascii="宋体" w:hAnsi="宋体"/>
          <w:sz w:val="28"/>
        </w:rPr>
      </w:pPr>
      <w:r>
        <w:rPr>
          <w:rFonts w:hint="eastAsia" w:ascii="宋体" w:hAnsi="宋体"/>
          <w:sz w:val="28"/>
        </w:rPr>
        <w:br w:type="page"/>
      </w:r>
      <w:r>
        <w:rPr>
          <w:rFonts w:hint="eastAsia" w:ascii="宋体" w:hAnsi="宋体"/>
          <w:sz w:val="28"/>
        </w:rPr>
        <w:t>三</w:t>
      </w:r>
      <w:r>
        <w:rPr>
          <w:rFonts w:ascii="宋体" w:hAnsi="宋体"/>
          <w:sz w:val="28"/>
        </w:rPr>
        <w:t>、投标保证金</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10" w:lineRule="exact"/>
        <w:rPr>
          <w:rFonts w:eastAsia="Times New Roman"/>
        </w:rPr>
      </w:pPr>
    </w:p>
    <w:p>
      <w:pPr>
        <w:spacing w:line="0" w:lineRule="atLeast"/>
        <w:ind w:left="520" w:firstLine="1440" w:firstLineChars="600"/>
        <w:rPr>
          <w:rFonts w:ascii="宋体" w:hAnsi="宋体"/>
          <w:sz w:val="24"/>
        </w:rPr>
      </w:pPr>
      <w:r>
        <w:rPr>
          <w:rFonts w:ascii="宋体" w:hAnsi="宋体"/>
          <w:sz w:val="24"/>
        </w:rPr>
        <w:t>投标人应在此提供汇款凭证的复印件。</w:t>
      </w:r>
    </w:p>
    <w:p>
      <w:pPr>
        <w:spacing w:line="127" w:lineRule="exact"/>
        <w:rPr>
          <w:rFonts w:eastAsia="Times New Roman"/>
        </w:rPr>
      </w:pPr>
    </w:p>
    <w:p>
      <w:pPr>
        <w:spacing w:line="248" w:lineRule="exact"/>
      </w:pPr>
      <w:bookmarkStart w:id="109" w:name="page224"/>
      <w:bookmarkEnd w:id="109"/>
      <w:bookmarkStart w:id="110" w:name="page223"/>
      <w:bookmarkEnd w:id="110"/>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r>
        <w:rPr>
          <w:rFonts w:hint="eastAsia" w:ascii="宋体" w:hAnsi="宋体"/>
          <w:sz w:val="28"/>
        </w:rPr>
        <w:t>四</w:t>
      </w:r>
      <w:r>
        <w:rPr>
          <w:rFonts w:ascii="宋体" w:hAnsi="宋体"/>
          <w:sz w:val="28"/>
        </w:rPr>
        <w:t>、施工组织设计</w:t>
      </w:r>
    </w:p>
    <w:p>
      <w:pPr>
        <w:spacing w:line="283" w:lineRule="exact"/>
        <w:rPr>
          <w:rFonts w:eastAsia="Times New Roman"/>
        </w:rPr>
      </w:pPr>
    </w:p>
    <w:p>
      <w:pPr>
        <w:spacing w:line="200" w:lineRule="exact"/>
        <w:rPr>
          <w:rFonts w:eastAsia="Times New Roman"/>
        </w:rPr>
      </w:pPr>
    </w:p>
    <w:p>
      <w:pPr>
        <w:spacing w:line="385" w:lineRule="exact"/>
        <w:rPr>
          <w:rFonts w:eastAsia="Times New Roman"/>
        </w:rPr>
      </w:pPr>
    </w:p>
    <w:p>
      <w:pPr>
        <w:spacing w:line="0" w:lineRule="atLeast"/>
        <w:ind w:left="480"/>
        <w:rPr>
          <w:rFonts w:ascii="宋体" w:hAnsi="宋体"/>
          <w:sz w:val="24"/>
        </w:rPr>
      </w:pPr>
      <w:r>
        <w:rPr>
          <w:rFonts w:eastAsia="Times New Roman"/>
          <w:sz w:val="24"/>
        </w:rPr>
        <w:t xml:space="preserve">1. </w:t>
      </w:r>
      <w:r>
        <w:rPr>
          <w:rFonts w:ascii="宋体" w:hAnsi="宋体"/>
          <w:sz w:val="24"/>
        </w:rPr>
        <w:t>投标人应按以下要点编制施工组织设计（文字宜精炼、内容具有针对性）：</w:t>
      </w:r>
    </w:p>
    <w:p>
      <w:pPr>
        <w:spacing w:line="147"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1</w:t>
      </w:r>
      <w:r>
        <w:rPr>
          <w:rFonts w:ascii="宋体" w:hAnsi="宋体"/>
          <w:sz w:val="24"/>
        </w:rPr>
        <w:t>）总体施工组织布置及规划</w:t>
      </w:r>
    </w:p>
    <w:p>
      <w:pPr>
        <w:spacing w:line="159" w:lineRule="exact"/>
        <w:rPr>
          <w:rFonts w:eastAsia="Times New Roman"/>
        </w:rPr>
      </w:pPr>
    </w:p>
    <w:p>
      <w:pPr>
        <w:spacing w:line="239" w:lineRule="auto"/>
        <w:ind w:left="480"/>
        <w:rPr>
          <w:rFonts w:ascii="宋体" w:hAnsi="宋体"/>
          <w:sz w:val="23"/>
        </w:rPr>
      </w:pPr>
      <w:r>
        <w:rPr>
          <w:rFonts w:ascii="宋体" w:hAnsi="宋体"/>
          <w:sz w:val="23"/>
        </w:rPr>
        <w:t>（</w:t>
      </w:r>
      <w:r>
        <w:rPr>
          <w:rFonts w:eastAsia="Times New Roman"/>
          <w:sz w:val="23"/>
        </w:rPr>
        <w:t>2</w:t>
      </w:r>
      <w:r>
        <w:rPr>
          <w:rFonts w:ascii="宋体" w:hAnsi="宋体"/>
          <w:sz w:val="23"/>
        </w:rPr>
        <w:t>）主要工程项目的施工方案、方法与技术措施（尤其对重点、关键和难点工</w:t>
      </w:r>
    </w:p>
    <w:p>
      <w:pPr>
        <w:spacing w:line="152" w:lineRule="exact"/>
        <w:rPr>
          <w:rFonts w:eastAsia="Times New Roman"/>
        </w:rPr>
      </w:pPr>
    </w:p>
    <w:p>
      <w:pPr>
        <w:spacing w:line="0" w:lineRule="atLeast"/>
        <w:rPr>
          <w:rFonts w:ascii="宋体" w:hAnsi="宋体"/>
          <w:sz w:val="24"/>
        </w:rPr>
      </w:pPr>
      <w:r>
        <w:rPr>
          <w:rFonts w:ascii="宋体" w:hAnsi="宋体"/>
          <w:sz w:val="24"/>
        </w:rPr>
        <w:t>程的施工方案、方法及措施）</w:t>
      </w:r>
    </w:p>
    <w:p>
      <w:pPr>
        <w:spacing w:line="165"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3</w:t>
      </w:r>
      <w:r>
        <w:rPr>
          <w:rFonts w:ascii="宋体" w:hAnsi="宋体"/>
          <w:sz w:val="24"/>
        </w:rPr>
        <w:t>）工期保证体系及保证措施</w:t>
      </w:r>
    </w:p>
    <w:p>
      <w:pPr>
        <w:spacing w:line="147"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4</w:t>
      </w:r>
      <w:r>
        <w:rPr>
          <w:rFonts w:ascii="宋体" w:hAnsi="宋体"/>
          <w:sz w:val="24"/>
        </w:rPr>
        <w:t>）工程质量管理体系及保证措施</w:t>
      </w:r>
    </w:p>
    <w:p>
      <w:pPr>
        <w:spacing w:line="150"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5</w:t>
      </w:r>
      <w:r>
        <w:rPr>
          <w:rFonts w:ascii="宋体" w:hAnsi="宋体"/>
          <w:sz w:val="24"/>
        </w:rPr>
        <w:t>）安全生产管理体系及保证措施</w:t>
      </w:r>
    </w:p>
    <w:p>
      <w:pPr>
        <w:spacing w:line="147" w:lineRule="exact"/>
        <w:rPr>
          <w:rFonts w:eastAsia="Times New Roman"/>
        </w:rPr>
      </w:pPr>
    </w:p>
    <w:p>
      <w:pPr>
        <w:spacing w:line="239" w:lineRule="auto"/>
        <w:ind w:left="480"/>
        <w:rPr>
          <w:rFonts w:ascii="宋体" w:hAnsi="宋体"/>
          <w:sz w:val="24"/>
        </w:rPr>
      </w:pPr>
      <w:r>
        <w:rPr>
          <w:rFonts w:ascii="宋体" w:hAnsi="宋体"/>
          <w:sz w:val="24"/>
        </w:rPr>
        <w:t>（</w:t>
      </w:r>
      <w:r>
        <w:rPr>
          <w:rFonts w:eastAsia="Times New Roman"/>
          <w:sz w:val="24"/>
        </w:rPr>
        <w:t>6</w:t>
      </w:r>
      <w:r>
        <w:rPr>
          <w:rFonts w:ascii="宋体" w:hAnsi="宋体"/>
          <w:sz w:val="24"/>
        </w:rPr>
        <w:t>）环境保护、水土保持保证体系及保证措施</w:t>
      </w:r>
    </w:p>
    <w:p>
      <w:pPr>
        <w:spacing w:line="149"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7</w:t>
      </w:r>
      <w:r>
        <w:rPr>
          <w:rFonts w:ascii="宋体" w:hAnsi="宋体"/>
          <w:sz w:val="24"/>
        </w:rPr>
        <w:t>）文明施工、文物保护保证体系及保证措施</w:t>
      </w:r>
    </w:p>
    <w:p>
      <w:pPr>
        <w:spacing w:line="150"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8</w:t>
      </w:r>
      <w:r>
        <w:rPr>
          <w:rFonts w:ascii="宋体" w:hAnsi="宋体"/>
          <w:sz w:val="24"/>
        </w:rPr>
        <w:t>）项目风险预测与防范，事故应急预案</w:t>
      </w:r>
    </w:p>
    <w:p>
      <w:pPr>
        <w:spacing w:line="148"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9</w:t>
      </w:r>
      <w:r>
        <w:rPr>
          <w:rFonts w:ascii="宋体" w:hAnsi="宋体"/>
          <w:sz w:val="24"/>
        </w:rPr>
        <w:t>）其他应说明的事项</w:t>
      </w:r>
    </w:p>
    <w:p>
      <w:pPr>
        <w:spacing w:line="175" w:lineRule="exact"/>
        <w:rPr>
          <w:rFonts w:eastAsia="Times New Roman"/>
        </w:rPr>
      </w:pPr>
    </w:p>
    <w:p>
      <w:pPr>
        <w:spacing w:line="402" w:lineRule="auto"/>
        <w:ind w:left="900" w:hanging="419"/>
        <w:rPr>
          <w:rFonts w:ascii="宋体" w:hAnsi="宋体"/>
          <w:sz w:val="24"/>
        </w:rPr>
      </w:pPr>
      <w:r>
        <w:rPr>
          <w:rFonts w:eastAsia="Times New Roman"/>
          <w:sz w:val="24"/>
        </w:rPr>
        <w:t xml:space="preserve">2. </w:t>
      </w:r>
      <w:r>
        <w:rPr>
          <w:rFonts w:ascii="宋体" w:hAnsi="宋体"/>
          <w:sz w:val="24"/>
        </w:rPr>
        <w:t>施工组织设计除采用文字表述外可附下列图表，图表及格式要求附后。</w:t>
      </w:r>
    </w:p>
    <w:p>
      <w:pPr>
        <w:spacing w:line="402" w:lineRule="auto"/>
        <w:ind w:left="900" w:hanging="419"/>
        <w:rPr>
          <w:rFonts w:ascii="宋体" w:hAnsi="宋体"/>
          <w:sz w:val="24"/>
        </w:rPr>
      </w:pPr>
      <w:r>
        <w:rPr>
          <w:rFonts w:ascii="宋体" w:hAnsi="宋体"/>
          <w:sz w:val="24"/>
        </w:rPr>
        <w:t>附表一 施工总体计划表</w:t>
      </w:r>
    </w:p>
    <w:p>
      <w:pPr>
        <w:spacing w:line="402" w:lineRule="auto"/>
        <w:ind w:left="900" w:hanging="419"/>
        <w:rPr>
          <w:rFonts w:ascii="宋体" w:hAnsi="宋体"/>
          <w:sz w:val="24"/>
        </w:rPr>
      </w:pPr>
      <w:r>
        <w:rPr>
          <w:rFonts w:ascii="宋体" w:hAnsi="宋体"/>
          <w:sz w:val="24"/>
        </w:rPr>
        <w:t>附表二 分项工程进度率计划（斜率图）</w:t>
      </w:r>
    </w:p>
    <w:p>
      <w:pPr>
        <w:spacing w:line="402" w:lineRule="auto"/>
        <w:ind w:left="900" w:hanging="419"/>
        <w:rPr>
          <w:rFonts w:ascii="宋体" w:hAnsi="宋体"/>
          <w:sz w:val="24"/>
        </w:rPr>
      </w:pPr>
      <w:r>
        <w:rPr>
          <w:rFonts w:ascii="宋体" w:hAnsi="宋体"/>
          <w:sz w:val="24"/>
        </w:rPr>
        <w:t>附表三 工程管理曲线</w:t>
      </w:r>
    </w:p>
    <w:p>
      <w:pPr>
        <w:spacing w:line="402" w:lineRule="auto"/>
        <w:ind w:left="900" w:hanging="419"/>
        <w:rPr>
          <w:rFonts w:ascii="宋体" w:hAnsi="宋体"/>
          <w:sz w:val="24"/>
        </w:rPr>
      </w:pPr>
      <w:r>
        <w:rPr>
          <w:rFonts w:ascii="宋体" w:hAnsi="宋体"/>
          <w:sz w:val="24"/>
        </w:rPr>
        <w:t>附表四 分项工程生产率和施工周期表</w:t>
      </w:r>
    </w:p>
    <w:p>
      <w:pPr>
        <w:spacing w:line="402" w:lineRule="auto"/>
        <w:ind w:left="900" w:hanging="419"/>
        <w:rPr>
          <w:rFonts w:ascii="宋体" w:hAnsi="宋体"/>
          <w:sz w:val="24"/>
        </w:rPr>
      </w:pPr>
      <w:r>
        <w:rPr>
          <w:rFonts w:ascii="宋体" w:hAnsi="宋体"/>
          <w:sz w:val="24"/>
        </w:rPr>
        <w:t>附表五 施工总平面图</w:t>
      </w:r>
    </w:p>
    <w:p>
      <w:pPr>
        <w:spacing w:line="402" w:lineRule="auto"/>
        <w:ind w:left="900" w:hanging="419"/>
        <w:rPr>
          <w:rFonts w:ascii="宋体" w:hAnsi="宋体"/>
          <w:sz w:val="24"/>
        </w:rPr>
      </w:pPr>
      <w:r>
        <w:rPr>
          <w:rFonts w:ascii="宋体" w:hAnsi="宋体"/>
          <w:sz w:val="24"/>
        </w:rPr>
        <w:t>附表六 劳动力计划表</w:t>
      </w:r>
    </w:p>
    <w:p>
      <w:pPr>
        <w:spacing w:line="402" w:lineRule="auto"/>
        <w:ind w:left="900" w:hanging="419"/>
        <w:rPr>
          <w:rFonts w:ascii="宋体" w:hAnsi="宋体"/>
          <w:sz w:val="24"/>
        </w:rPr>
      </w:pPr>
      <w:r>
        <w:rPr>
          <w:rFonts w:ascii="宋体" w:hAnsi="宋体"/>
          <w:sz w:val="24"/>
        </w:rPr>
        <w:t>附表七 临时占地计划表</w:t>
      </w:r>
    </w:p>
    <w:p>
      <w:pPr>
        <w:spacing w:line="402" w:lineRule="auto"/>
        <w:ind w:left="900" w:hanging="419"/>
        <w:rPr>
          <w:rFonts w:ascii="宋体" w:hAnsi="宋体"/>
          <w:sz w:val="24"/>
        </w:rPr>
      </w:pPr>
      <w:r>
        <w:rPr>
          <w:rFonts w:ascii="宋体" w:hAnsi="宋体"/>
          <w:sz w:val="24"/>
        </w:rPr>
        <w:t>附表八</w:t>
      </w:r>
      <w:r>
        <w:rPr>
          <w:rFonts w:hint="eastAsia"/>
        </w:rPr>
        <w:t xml:space="preserve"> </w:t>
      </w:r>
      <w:r>
        <w:rPr>
          <w:rFonts w:ascii="宋体" w:hAnsi="宋体"/>
          <w:sz w:val="24"/>
        </w:rPr>
        <w:t>外供电力需求计划表</w:t>
      </w:r>
    </w:p>
    <w:p>
      <w:pPr>
        <w:tabs>
          <w:tab w:val="left" w:pos="1840"/>
        </w:tabs>
        <w:spacing w:line="0" w:lineRule="atLeast"/>
        <w:ind w:left="900"/>
        <w:rPr>
          <w:rFonts w:ascii="宋体" w:hAnsi="宋体"/>
          <w:sz w:val="24"/>
        </w:rPr>
        <w:sectPr>
          <w:pgSz w:w="11906" w:h="16838"/>
          <w:pgMar w:top="1440" w:right="1440" w:bottom="1440" w:left="1440" w:header="0" w:footer="567" w:gutter="0"/>
          <w:cols w:space="720" w:num="1"/>
          <w:docGrid w:linePitch="360" w:charSpace="0"/>
        </w:sectPr>
      </w:pPr>
    </w:p>
    <w:p>
      <w:pPr>
        <w:pStyle w:val="4"/>
        <w:spacing w:before="120" w:beforeLines="50" w:after="0" w:line="400" w:lineRule="exact"/>
        <w:rPr>
          <w:rFonts w:ascii="Arial" w:hAnsi="Arial" w:eastAsia="黑体"/>
          <w:kern w:val="2"/>
          <w:sz w:val="28"/>
          <w:szCs w:val="28"/>
        </w:rPr>
      </w:pPr>
      <w:bookmarkStart w:id="111" w:name="_Toc528314463"/>
      <w:r>
        <w:rPr>
          <w:rFonts w:hint="eastAsia" w:ascii="Arial" w:hAnsi="Arial" w:eastAsia="黑体"/>
          <w:kern w:val="2"/>
          <w:sz w:val="28"/>
          <w:szCs w:val="28"/>
        </w:rPr>
        <w:t>附表一   施工总体计划表</w:t>
      </w:r>
      <w:bookmarkEnd w:id="111"/>
    </w:p>
    <w:tbl>
      <w:tblPr>
        <w:tblStyle w:val="13"/>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859" w:type="dxa"/>
            <w:tcBorders>
              <w:bottom w:val="single" w:color="auto" w:sz="6" w:space="0"/>
            </w:tcBorders>
            <w:vAlign w:val="center"/>
          </w:tcPr>
          <w:p>
            <w:pPr>
              <w:jc w:val="center"/>
              <w:rPr>
                <w:rFonts w:ascii="宋体" w:hAnsi="宋体"/>
                <w:szCs w:val="21"/>
              </w:rPr>
            </w:pPr>
            <w:r>
              <w:rPr>
                <w:rFonts w:hint="eastAsia" w:ascii="宋体" w:hAnsi="宋体"/>
                <w:szCs w:val="21"/>
              </w:rPr>
              <w:t>年度</w:t>
            </w:r>
          </w:p>
        </w:tc>
        <w:tc>
          <w:tcPr>
            <w:tcW w:w="4913" w:type="dxa"/>
            <w:gridSpan w:val="12"/>
            <w:vAlign w:val="center"/>
          </w:tcPr>
          <w:p>
            <w:pPr>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tc>
        <w:tc>
          <w:tcPr>
            <w:tcW w:w="4924" w:type="dxa"/>
            <w:gridSpan w:val="12"/>
            <w:vAlign w:val="center"/>
          </w:tcPr>
          <w:p>
            <w:pPr>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tc>
        <w:tc>
          <w:tcPr>
            <w:tcW w:w="2046" w:type="dxa"/>
            <w:gridSpan w:val="5"/>
            <w:vAlign w:val="center"/>
          </w:tcPr>
          <w:p>
            <w:pPr>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8" w:hRule="exact"/>
          <w:jc w:val="center"/>
        </w:trPr>
        <w:tc>
          <w:tcPr>
            <w:tcW w:w="2859" w:type="dxa"/>
            <w:tcBorders>
              <w:top w:val="single" w:color="auto" w:sz="6" w:space="0"/>
              <w:bottom w:val="single" w:color="auto" w:sz="6" w:space="0"/>
              <w:tl2br w:val="single" w:color="auto" w:sz="6" w:space="0"/>
            </w:tcBorders>
            <w:vAlign w:val="center"/>
          </w:tcPr>
          <w:p>
            <w:pPr>
              <w:jc w:val="center"/>
              <w:rPr>
                <w:rFonts w:ascii="宋体" w:hAnsi="宋体"/>
                <w:szCs w:val="21"/>
              </w:rPr>
            </w:pPr>
            <w:r>
              <w:rPr>
                <w:rFonts w:hint="eastAsia" w:ascii="宋体" w:hAnsi="宋体"/>
                <w:szCs w:val="21"/>
              </w:rPr>
              <w:t xml:space="preserve">                    月份</w:t>
            </w:r>
          </w:p>
          <w:p>
            <w:pPr>
              <w:rPr>
                <w:rFonts w:ascii="宋体" w:hAnsi="宋体"/>
                <w:szCs w:val="21"/>
              </w:rPr>
            </w:pPr>
          </w:p>
          <w:p>
            <w:pPr>
              <w:rPr>
                <w:rFonts w:ascii="宋体" w:hAnsi="宋体"/>
                <w:szCs w:val="21"/>
              </w:rPr>
            </w:pPr>
            <w:r>
              <w:rPr>
                <w:rFonts w:hint="eastAsia" w:ascii="宋体" w:hAnsi="宋体"/>
                <w:szCs w:val="21"/>
              </w:rPr>
              <w:t>主要工程项目</w:t>
            </w:r>
          </w:p>
        </w:tc>
        <w:tc>
          <w:tcPr>
            <w:tcW w:w="403" w:type="dxa"/>
            <w:vAlign w:val="center"/>
          </w:tcPr>
          <w:p>
            <w:pPr>
              <w:jc w:val="center"/>
              <w:rPr>
                <w:rFonts w:ascii="宋体" w:hAnsi="宋体"/>
                <w:szCs w:val="21"/>
              </w:rPr>
            </w:pPr>
            <w:r>
              <w:rPr>
                <w:rFonts w:hint="eastAsia" w:ascii="宋体" w:hAnsi="宋体"/>
                <w:szCs w:val="21"/>
              </w:rPr>
              <w:t>1</w:t>
            </w:r>
          </w:p>
        </w:tc>
        <w:tc>
          <w:tcPr>
            <w:tcW w:w="403" w:type="dxa"/>
            <w:vAlign w:val="center"/>
          </w:tcPr>
          <w:p>
            <w:pPr>
              <w:jc w:val="center"/>
              <w:rPr>
                <w:rFonts w:ascii="宋体" w:hAnsi="宋体"/>
                <w:szCs w:val="21"/>
              </w:rPr>
            </w:pPr>
            <w:r>
              <w:rPr>
                <w:rFonts w:hint="eastAsia" w:ascii="宋体" w:hAnsi="宋体"/>
                <w:szCs w:val="21"/>
              </w:rPr>
              <w:t>2</w:t>
            </w:r>
          </w:p>
        </w:tc>
        <w:tc>
          <w:tcPr>
            <w:tcW w:w="403" w:type="dxa"/>
            <w:vAlign w:val="center"/>
          </w:tcPr>
          <w:p>
            <w:pPr>
              <w:jc w:val="center"/>
              <w:rPr>
                <w:rFonts w:ascii="宋体" w:hAnsi="宋体"/>
                <w:szCs w:val="21"/>
              </w:rPr>
            </w:pPr>
            <w:r>
              <w:rPr>
                <w:rFonts w:hint="eastAsia" w:ascii="宋体" w:hAnsi="宋体"/>
                <w:szCs w:val="21"/>
              </w:rPr>
              <w:t>3</w:t>
            </w:r>
          </w:p>
        </w:tc>
        <w:tc>
          <w:tcPr>
            <w:tcW w:w="403" w:type="dxa"/>
            <w:vAlign w:val="center"/>
          </w:tcPr>
          <w:p>
            <w:pPr>
              <w:jc w:val="center"/>
              <w:rPr>
                <w:rFonts w:ascii="宋体" w:hAnsi="宋体"/>
                <w:szCs w:val="21"/>
              </w:rPr>
            </w:pPr>
            <w:r>
              <w:rPr>
                <w:rFonts w:hint="eastAsia" w:ascii="宋体" w:hAnsi="宋体"/>
                <w:szCs w:val="21"/>
              </w:rPr>
              <w:t>4</w:t>
            </w:r>
          </w:p>
        </w:tc>
        <w:tc>
          <w:tcPr>
            <w:tcW w:w="403" w:type="dxa"/>
            <w:vAlign w:val="center"/>
          </w:tcPr>
          <w:p>
            <w:pPr>
              <w:jc w:val="center"/>
              <w:rPr>
                <w:rFonts w:ascii="宋体" w:hAnsi="宋体"/>
                <w:szCs w:val="21"/>
              </w:rPr>
            </w:pPr>
            <w:r>
              <w:rPr>
                <w:rFonts w:hint="eastAsia" w:ascii="宋体" w:hAnsi="宋体"/>
                <w:szCs w:val="21"/>
              </w:rPr>
              <w:t>5</w:t>
            </w:r>
          </w:p>
        </w:tc>
        <w:tc>
          <w:tcPr>
            <w:tcW w:w="404" w:type="dxa"/>
            <w:vAlign w:val="center"/>
          </w:tcPr>
          <w:p>
            <w:pPr>
              <w:jc w:val="center"/>
              <w:rPr>
                <w:rFonts w:ascii="宋体" w:hAnsi="宋体"/>
                <w:szCs w:val="21"/>
              </w:rPr>
            </w:pPr>
            <w:r>
              <w:rPr>
                <w:rFonts w:hint="eastAsia" w:ascii="宋体" w:hAnsi="宋体"/>
                <w:szCs w:val="21"/>
              </w:rPr>
              <w:t>6</w:t>
            </w:r>
          </w:p>
        </w:tc>
        <w:tc>
          <w:tcPr>
            <w:tcW w:w="404" w:type="dxa"/>
            <w:vAlign w:val="center"/>
          </w:tcPr>
          <w:p>
            <w:pPr>
              <w:jc w:val="center"/>
              <w:rPr>
                <w:rFonts w:ascii="宋体" w:hAnsi="宋体"/>
                <w:szCs w:val="21"/>
              </w:rPr>
            </w:pPr>
            <w:r>
              <w:rPr>
                <w:rFonts w:hint="eastAsia" w:ascii="宋体" w:hAnsi="宋体"/>
                <w:szCs w:val="21"/>
              </w:rPr>
              <w:t>7</w:t>
            </w:r>
          </w:p>
        </w:tc>
        <w:tc>
          <w:tcPr>
            <w:tcW w:w="404" w:type="dxa"/>
            <w:vAlign w:val="center"/>
          </w:tcPr>
          <w:p>
            <w:pPr>
              <w:jc w:val="center"/>
              <w:rPr>
                <w:rFonts w:ascii="宋体" w:hAnsi="宋体"/>
                <w:szCs w:val="21"/>
              </w:rPr>
            </w:pPr>
            <w:r>
              <w:rPr>
                <w:rFonts w:hint="eastAsia" w:ascii="宋体" w:hAnsi="宋体"/>
                <w:szCs w:val="21"/>
              </w:rPr>
              <w:t>8</w:t>
            </w:r>
          </w:p>
        </w:tc>
        <w:tc>
          <w:tcPr>
            <w:tcW w:w="404" w:type="dxa"/>
            <w:vAlign w:val="center"/>
          </w:tcPr>
          <w:p>
            <w:pPr>
              <w:jc w:val="center"/>
              <w:rPr>
                <w:rFonts w:ascii="宋体" w:hAnsi="宋体"/>
                <w:szCs w:val="21"/>
              </w:rPr>
            </w:pPr>
            <w:r>
              <w:rPr>
                <w:rFonts w:hint="eastAsia" w:ascii="宋体" w:hAnsi="宋体"/>
                <w:szCs w:val="21"/>
              </w:rPr>
              <w:t>9</w:t>
            </w:r>
          </w:p>
        </w:tc>
        <w:tc>
          <w:tcPr>
            <w:tcW w:w="426" w:type="dxa"/>
            <w:vAlign w:val="center"/>
          </w:tcPr>
          <w:p>
            <w:pPr>
              <w:jc w:val="center"/>
              <w:rPr>
                <w:rFonts w:ascii="宋体" w:hAnsi="宋体"/>
                <w:szCs w:val="21"/>
              </w:rPr>
            </w:pPr>
            <w:r>
              <w:rPr>
                <w:rFonts w:hint="eastAsia" w:ascii="宋体" w:hAnsi="宋体"/>
                <w:szCs w:val="21"/>
              </w:rPr>
              <w:t>10</w:t>
            </w:r>
          </w:p>
        </w:tc>
        <w:tc>
          <w:tcPr>
            <w:tcW w:w="426" w:type="dxa"/>
            <w:vAlign w:val="center"/>
          </w:tcPr>
          <w:p>
            <w:pPr>
              <w:jc w:val="center"/>
              <w:rPr>
                <w:rFonts w:ascii="宋体" w:hAnsi="宋体"/>
                <w:szCs w:val="21"/>
              </w:rPr>
            </w:pPr>
            <w:r>
              <w:rPr>
                <w:rFonts w:hint="eastAsia" w:ascii="宋体" w:hAnsi="宋体"/>
                <w:szCs w:val="21"/>
              </w:rPr>
              <w:t>11</w:t>
            </w:r>
          </w:p>
        </w:tc>
        <w:tc>
          <w:tcPr>
            <w:tcW w:w="430" w:type="dxa"/>
            <w:vAlign w:val="center"/>
          </w:tcPr>
          <w:p>
            <w:pPr>
              <w:jc w:val="center"/>
              <w:rPr>
                <w:rFonts w:ascii="宋体" w:hAnsi="宋体"/>
                <w:szCs w:val="21"/>
              </w:rPr>
            </w:pPr>
            <w:r>
              <w:rPr>
                <w:rFonts w:hint="eastAsia" w:ascii="宋体" w:hAnsi="宋体"/>
                <w:szCs w:val="21"/>
              </w:rPr>
              <w:t>12</w:t>
            </w:r>
          </w:p>
        </w:tc>
        <w:tc>
          <w:tcPr>
            <w:tcW w:w="404" w:type="dxa"/>
            <w:vAlign w:val="center"/>
          </w:tcPr>
          <w:p>
            <w:pPr>
              <w:jc w:val="center"/>
              <w:rPr>
                <w:rFonts w:ascii="宋体" w:hAnsi="宋体"/>
                <w:szCs w:val="21"/>
              </w:rPr>
            </w:pPr>
            <w:r>
              <w:rPr>
                <w:rFonts w:hint="eastAsia" w:ascii="宋体" w:hAnsi="宋体"/>
                <w:szCs w:val="21"/>
              </w:rPr>
              <w:t>1</w:t>
            </w:r>
          </w:p>
        </w:tc>
        <w:tc>
          <w:tcPr>
            <w:tcW w:w="404" w:type="dxa"/>
            <w:vAlign w:val="center"/>
          </w:tcPr>
          <w:p>
            <w:pPr>
              <w:jc w:val="center"/>
              <w:rPr>
                <w:rFonts w:ascii="宋体" w:hAnsi="宋体"/>
                <w:szCs w:val="21"/>
              </w:rPr>
            </w:pPr>
            <w:r>
              <w:rPr>
                <w:rFonts w:hint="eastAsia" w:ascii="宋体" w:hAnsi="宋体"/>
                <w:szCs w:val="21"/>
              </w:rPr>
              <w:t>2</w:t>
            </w:r>
          </w:p>
        </w:tc>
        <w:tc>
          <w:tcPr>
            <w:tcW w:w="404" w:type="dxa"/>
            <w:vAlign w:val="center"/>
          </w:tcPr>
          <w:p>
            <w:pPr>
              <w:jc w:val="center"/>
              <w:rPr>
                <w:rFonts w:ascii="宋体" w:hAnsi="宋体"/>
                <w:szCs w:val="21"/>
              </w:rPr>
            </w:pPr>
            <w:r>
              <w:rPr>
                <w:rFonts w:hint="eastAsia" w:ascii="宋体" w:hAnsi="宋体"/>
                <w:szCs w:val="21"/>
              </w:rPr>
              <w:t>3</w:t>
            </w:r>
          </w:p>
        </w:tc>
        <w:tc>
          <w:tcPr>
            <w:tcW w:w="404" w:type="dxa"/>
            <w:vAlign w:val="center"/>
          </w:tcPr>
          <w:p>
            <w:pPr>
              <w:jc w:val="center"/>
              <w:rPr>
                <w:rFonts w:ascii="宋体" w:hAnsi="宋体"/>
                <w:szCs w:val="21"/>
              </w:rPr>
            </w:pPr>
            <w:r>
              <w:rPr>
                <w:rFonts w:hint="eastAsia" w:ascii="宋体" w:hAnsi="宋体"/>
                <w:szCs w:val="21"/>
              </w:rPr>
              <w:t>4</w:t>
            </w:r>
          </w:p>
        </w:tc>
        <w:tc>
          <w:tcPr>
            <w:tcW w:w="404" w:type="dxa"/>
            <w:vAlign w:val="center"/>
          </w:tcPr>
          <w:p>
            <w:pPr>
              <w:jc w:val="center"/>
              <w:rPr>
                <w:rFonts w:ascii="宋体" w:hAnsi="宋体"/>
                <w:szCs w:val="21"/>
              </w:rPr>
            </w:pPr>
            <w:r>
              <w:rPr>
                <w:rFonts w:hint="eastAsia" w:ascii="宋体" w:hAnsi="宋体"/>
                <w:szCs w:val="21"/>
              </w:rPr>
              <w:t>5</w:t>
            </w:r>
          </w:p>
        </w:tc>
        <w:tc>
          <w:tcPr>
            <w:tcW w:w="404" w:type="dxa"/>
            <w:vAlign w:val="center"/>
          </w:tcPr>
          <w:p>
            <w:pPr>
              <w:jc w:val="center"/>
              <w:rPr>
                <w:rFonts w:ascii="宋体" w:hAnsi="宋体"/>
                <w:szCs w:val="21"/>
              </w:rPr>
            </w:pPr>
            <w:r>
              <w:rPr>
                <w:rFonts w:hint="eastAsia" w:ascii="宋体" w:hAnsi="宋体"/>
                <w:szCs w:val="21"/>
              </w:rPr>
              <w:t>6</w:t>
            </w:r>
          </w:p>
        </w:tc>
        <w:tc>
          <w:tcPr>
            <w:tcW w:w="404" w:type="dxa"/>
            <w:vAlign w:val="center"/>
          </w:tcPr>
          <w:p>
            <w:pPr>
              <w:jc w:val="center"/>
              <w:rPr>
                <w:rFonts w:ascii="宋体" w:hAnsi="宋体"/>
                <w:szCs w:val="21"/>
              </w:rPr>
            </w:pPr>
            <w:r>
              <w:rPr>
                <w:rFonts w:hint="eastAsia" w:ascii="宋体" w:hAnsi="宋体"/>
                <w:szCs w:val="21"/>
              </w:rPr>
              <w:t>7</w:t>
            </w:r>
          </w:p>
        </w:tc>
        <w:tc>
          <w:tcPr>
            <w:tcW w:w="404" w:type="dxa"/>
            <w:vAlign w:val="center"/>
          </w:tcPr>
          <w:p>
            <w:pPr>
              <w:jc w:val="center"/>
              <w:rPr>
                <w:rFonts w:ascii="宋体" w:hAnsi="宋体"/>
                <w:szCs w:val="21"/>
              </w:rPr>
            </w:pPr>
            <w:r>
              <w:rPr>
                <w:rFonts w:hint="eastAsia" w:ascii="宋体" w:hAnsi="宋体"/>
                <w:szCs w:val="21"/>
              </w:rPr>
              <w:t>8</w:t>
            </w:r>
          </w:p>
        </w:tc>
        <w:tc>
          <w:tcPr>
            <w:tcW w:w="404" w:type="dxa"/>
            <w:vAlign w:val="center"/>
          </w:tcPr>
          <w:p>
            <w:pPr>
              <w:jc w:val="center"/>
              <w:rPr>
                <w:rFonts w:ascii="宋体" w:hAnsi="宋体"/>
                <w:szCs w:val="21"/>
              </w:rPr>
            </w:pPr>
            <w:r>
              <w:rPr>
                <w:rFonts w:hint="eastAsia" w:ascii="宋体" w:hAnsi="宋体"/>
                <w:szCs w:val="21"/>
              </w:rPr>
              <w:t>9</w:t>
            </w:r>
          </w:p>
        </w:tc>
        <w:tc>
          <w:tcPr>
            <w:tcW w:w="426" w:type="dxa"/>
            <w:vAlign w:val="center"/>
          </w:tcPr>
          <w:p>
            <w:pPr>
              <w:jc w:val="center"/>
              <w:rPr>
                <w:rFonts w:ascii="宋体" w:hAnsi="宋体"/>
                <w:szCs w:val="21"/>
              </w:rPr>
            </w:pPr>
            <w:r>
              <w:rPr>
                <w:rFonts w:hint="eastAsia" w:ascii="宋体" w:hAnsi="宋体"/>
                <w:szCs w:val="21"/>
              </w:rPr>
              <w:t>10</w:t>
            </w:r>
          </w:p>
        </w:tc>
        <w:tc>
          <w:tcPr>
            <w:tcW w:w="426" w:type="dxa"/>
            <w:vAlign w:val="center"/>
          </w:tcPr>
          <w:p>
            <w:pPr>
              <w:jc w:val="center"/>
              <w:rPr>
                <w:rFonts w:ascii="宋体" w:hAnsi="宋体"/>
                <w:szCs w:val="21"/>
              </w:rPr>
            </w:pPr>
            <w:r>
              <w:rPr>
                <w:rFonts w:hint="eastAsia" w:ascii="宋体" w:hAnsi="宋体"/>
                <w:szCs w:val="21"/>
              </w:rPr>
              <w:t>11</w:t>
            </w:r>
          </w:p>
        </w:tc>
        <w:tc>
          <w:tcPr>
            <w:tcW w:w="436" w:type="dxa"/>
            <w:vAlign w:val="center"/>
          </w:tcPr>
          <w:p>
            <w:pPr>
              <w:jc w:val="center"/>
              <w:rPr>
                <w:rFonts w:ascii="宋体" w:hAnsi="宋体"/>
                <w:szCs w:val="21"/>
              </w:rPr>
            </w:pPr>
            <w:r>
              <w:rPr>
                <w:rFonts w:hint="eastAsia" w:ascii="宋体" w:hAnsi="宋体"/>
                <w:szCs w:val="21"/>
              </w:rPr>
              <w:t>12</w:t>
            </w:r>
          </w:p>
        </w:tc>
        <w:tc>
          <w:tcPr>
            <w:tcW w:w="404" w:type="dxa"/>
            <w:vAlign w:val="center"/>
          </w:tcPr>
          <w:p>
            <w:pPr>
              <w:jc w:val="center"/>
              <w:rPr>
                <w:rFonts w:ascii="宋体" w:hAnsi="宋体"/>
                <w:szCs w:val="21"/>
              </w:rPr>
            </w:pPr>
            <w:r>
              <w:rPr>
                <w:rFonts w:hint="eastAsia" w:ascii="宋体" w:hAnsi="宋体"/>
                <w:szCs w:val="21"/>
              </w:rPr>
              <w:t>1</w:t>
            </w:r>
          </w:p>
        </w:tc>
        <w:tc>
          <w:tcPr>
            <w:tcW w:w="404" w:type="dxa"/>
            <w:vAlign w:val="center"/>
          </w:tcPr>
          <w:p>
            <w:pPr>
              <w:jc w:val="center"/>
              <w:rPr>
                <w:rFonts w:ascii="宋体" w:hAnsi="宋体"/>
                <w:szCs w:val="21"/>
              </w:rPr>
            </w:pPr>
            <w:r>
              <w:rPr>
                <w:rFonts w:hint="eastAsia" w:ascii="宋体" w:hAnsi="宋体"/>
                <w:szCs w:val="21"/>
              </w:rPr>
              <w:t>2</w:t>
            </w:r>
          </w:p>
        </w:tc>
        <w:tc>
          <w:tcPr>
            <w:tcW w:w="404" w:type="dxa"/>
            <w:vAlign w:val="center"/>
          </w:tcPr>
          <w:p>
            <w:pPr>
              <w:jc w:val="center"/>
              <w:rPr>
                <w:rFonts w:ascii="宋体" w:hAnsi="宋体"/>
                <w:szCs w:val="21"/>
              </w:rPr>
            </w:pPr>
            <w:r>
              <w:rPr>
                <w:rFonts w:hint="eastAsia" w:ascii="宋体" w:hAnsi="宋体"/>
                <w:szCs w:val="21"/>
              </w:rPr>
              <w:t>3</w:t>
            </w:r>
          </w:p>
        </w:tc>
        <w:tc>
          <w:tcPr>
            <w:tcW w:w="404" w:type="dxa"/>
            <w:vAlign w:val="center"/>
          </w:tcPr>
          <w:p>
            <w:pPr>
              <w:jc w:val="center"/>
              <w:rPr>
                <w:rFonts w:ascii="宋体" w:hAnsi="宋体"/>
                <w:szCs w:val="21"/>
              </w:rPr>
            </w:pPr>
            <w:r>
              <w:rPr>
                <w:rFonts w:hint="eastAsia" w:ascii="宋体" w:hAnsi="宋体"/>
                <w:szCs w:val="21"/>
              </w:rPr>
              <w:t>4</w:t>
            </w:r>
          </w:p>
        </w:tc>
        <w:tc>
          <w:tcPr>
            <w:tcW w:w="430"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tcBorders>
            <w:vAlign w:val="center"/>
          </w:tcPr>
          <w:p>
            <w:pPr>
              <w:ind w:left="100" w:leftChars="50"/>
              <w:rPr>
                <w:rFonts w:ascii="宋体" w:hAnsi="宋体"/>
                <w:szCs w:val="21"/>
              </w:rPr>
            </w:pPr>
            <w:r>
              <w:rPr>
                <w:rFonts w:hint="eastAsia" w:ascii="宋体" w:hAnsi="宋体"/>
                <w:szCs w:val="21"/>
              </w:rPr>
              <w:t>1.施工准备</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0" w:leftChars="50"/>
              <w:rPr>
                <w:rFonts w:ascii="宋体" w:hAnsi="宋体"/>
                <w:szCs w:val="21"/>
              </w:rPr>
            </w:pPr>
            <w:r>
              <w:rPr>
                <w:rFonts w:hint="eastAsia" w:ascii="宋体" w:hAnsi="宋体"/>
                <w:szCs w:val="21"/>
              </w:rPr>
              <w:t>2.路基处理</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0" w:leftChars="50"/>
              <w:rPr>
                <w:rFonts w:ascii="宋体" w:hAnsi="宋体"/>
                <w:szCs w:val="21"/>
              </w:rPr>
            </w:pPr>
            <w:r>
              <w:rPr>
                <w:rFonts w:hint="eastAsia" w:ascii="宋体" w:hAnsi="宋体"/>
                <w:szCs w:val="21"/>
              </w:rPr>
              <w:t>3.路基填筑</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0" w:leftChars="50"/>
              <w:rPr>
                <w:rFonts w:ascii="宋体" w:hAnsi="宋体"/>
                <w:szCs w:val="21"/>
              </w:rPr>
            </w:pPr>
            <w:r>
              <w:rPr>
                <w:rFonts w:hint="eastAsia" w:ascii="宋体" w:hAnsi="宋体"/>
                <w:szCs w:val="21"/>
              </w:rPr>
              <w:t>4.涵洞</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0" w:leftChars="50"/>
              <w:rPr>
                <w:rFonts w:ascii="宋体" w:hAnsi="宋体"/>
                <w:szCs w:val="21"/>
              </w:rPr>
            </w:pPr>
            <w:r>
              <w:rPr>
                <w:rFonts w:hint="eastAsia" w:ascii="宋体" w:hAnsi="宋体"/>
                <w:szCs w:val="21"/>
              </w:rPr>
              <w:t>5.通道</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0" w:leftChars="50"/>
              <w:rPr>
                <w:rFonts w:ascii="宋体" w:hAnsi="宋体"/>
                <w:szCs w:val="21"/>
              </w:rPr>
            </w:pPr>
            <w:r>
              <w:rPr>
                <w:rFonts w:hint="eastAsia" w:ascii="宋体" w:hAnsi="宋体"/>
                <w:szCs w:val="21"/>
              </w:rPr>
              <w:t>6.防护及排水</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0" w:leftChars="50"/>
              <w:rPr>
                <w:rFonts w:ascii="宋体" w:hAnsi="宋体"/>
                <w:szCs w:val="21"/>
              </w:rPr>
            </w:pPr>
            <w:r>
              <w:rPr>
                <w:rFonts w:hint="eastAsia" w:ascii="宋体" w:hAnsi="宋体"/>
                <w:szCs w:val="21"/>
              </w:rPr>
              <w:t>7.路面基层</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0" w:leftChars="50"/>
              <w:rPr>
                <w:rFonts w:ascii="宋体" w:hAnsi="宋体"/>
                <w:szCs w:val="21"/>
              </w:rPr>
            </w:pPr>
            <w:r>
              <w:rPr>
                <w:rFonts w:hint="eastAsia" w:ascii="宋体" w:hAnsi="宋体"/>
                <w:szCs w:val="21"/>
              </w:rPr>
              <w:t xml:space="preserve"> （1）底基层</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0" w:leftChars="50"/>
              <w:rPr>
                <w:rFonts w:ascii="宋体" w:hAnsi="宋体"/>
                <w:szCs w:val="21"/>
              </w:rPr>
            </w:pPr>
            <w:r>
              <w:rPr>
                <w:rFonts w:hint="eastAsia" w:ascii="宋体" w:hAnsi="宋体"/>
                <w:szCs w:val="21"/>
              </w:rPr>
              <w:t xml:space="preserve"> （2）基层</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0" w:leftChars="50"/>
              <w:rPr>
                <w:rFonts w:ascii="宋体" w:hAnsi="宋体"/>
                <w:szCs w:val="21"/>
              </w:rPr>
            </w:pPr>
            <w:r>
              <w:rPr>
                <w:rFonts w:hint="eastAsia" w:ascii="宋体" w:hAnsi="宋体"/>
                <w:szCs w:val="21"/>
              </w:rPr>
              <w:t>8.路面铺筑</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0" w:leftChars="50"/>
              <w:rPr>
                <w:rFonts w:ascii="宋体" w:hAnsi="宋体"/>
                <w:szCs w:val="21"/>
              </w:rPr>
            </w:pPr>
            <w:r>
              <w:rPr>
                <w:rFonts w:hint="eastAsia" w:ascii="宋体" w:hAnsi="宋体"/>
                <w:szCs w:val="21"/>
              </w:rPr>
              <w:t>9.路面标志标线</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0" w:leftChars="50"/>
              <w:rPr>
                <w:rFonts w:ascii="宋体" w:hAnsi="宋体"/>
                <w:szCs w:val="21"/>
              </w:rPr>
            </w:pPr>
            <w:r>
              <w:rPr>
                <w:rFonts w:hint="eastAsia" w:ascii="宋体" w:hAnsi="宋体"/>
                <w:szCs w:val="21"/>
              </w:rPr>
              <w:t>10.桥梁工程</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0" w:leftChars="50"/>
              <w:rPr>
                <w:rFonts w:ascii="宋体" w:hAnsi="宋体"/>
                <w:szCs w:val="21"/>
              </w:rPr>
            </w:pPr>
            <w:r>
              <w:rPr>
                <w:rFonts w:hint="eastAsia" w:ascii="宋体" w:hAnsi="宋体"/>
                <w:szCs w:val="21"/>
              </w:rPr>
              <w:t xml:space="preserve"> （1）基础工程</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0" w:leftChars="50"/>
              <w:rPr>
                <w:rFonts w:ascii="宋体" w:hAnsi="宋体"/>
                <w:szCs w:val="21"/>
              </w:rPr>
            </w:pPr>
            <w:r>
              <w:rPr>
                <w:rFonts w:hint="eastAsia" w:ascii="宋体" w:hAnsi="宋体"/>
                <w:szCs w:val="21"/>
              </w:rPr>
              <w:t xml:space="preserve"> （2）墩台工程</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0" w:leftChars="50"/>
              <w:rPr>
                <w:rFonts w:ascii="宋体" w:hAnsi="宋体"/>
                <w:szCs w:val="21"/>
              </w:rPr>
            </w:pPr>
            <w:r>
              <w:rPr>
                <w:rFonts w:hint="eastAsia" w:ascii="宋体" w:hAnsi="宋体"/>
                <w:szCs w:val="21"/>
              </w:rPr>
              <w:t xml:space="preserve"> （3）梁体工程</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0" w:leftChars="50"/>
              <w:rPr>
                <w:rFonts w:ascii="宋体" w:hAnsi="宋体"/>
                <w:szCs w:val="21"/>
              </w:rPr>
            </w:pPr>
            <w:r>
              <w:rPr>
                <w:rFonts w:hint="eastAsia" w:ascii="宋体" w:hAnsi="宋体"/>
                <w:szCs w:val="21"/>
              </w:rPr>
              <w:t xml:space="preserve"> （4）梁体安装</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0" w:leftChars="50"/>
              <w:rPr>
                <w:rFonts w:ascii="宋体" w:hAnsi="宋体"/>
                <w:szCs w:val="21"/>
              </w:rPr>
            </w:pPr>
            <w:r>
              <w:rPr>
                <w:rFonts w:hint="eastAsia" w:ascii="宋体" w:hAnsi="宋体"/>
                <w:szCs w:val="21"/>
              </w:rPr>
              <w:t xml:space="preserve"> （5）桥面铺装及人行道</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0" w:leftChars="50"/>
              <w:rPr>
                <w:rFonts w:ascii="宋体" w:hAnsi="宋体"/>
                <w:szCs w:val="21"/>
              </w:rPr>
            </w:pPr>
            <w:r>
              <w:rPr>
                <w:rFonts w:hint="eastAsia" w:ascii="宋体" w:hAnsi="宋体"/>
                <w:szCs w:val="21"/>
              </w:rPr>
              <w:t>11.隧道</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0" w:leftChars="50"/>
              <w:rPr>
                <w:rFonts w:ascii="宋体" w:hAnsi="宋体"/>
                <w:szCs w:val="21"/>
              </w:rPr>
            </w:pPr>
            <w:r>
              <w:rPr>
                <w:rFonts w:hint="eastAsia" w:ascii="宋体" w:hAnsi="宋体"/>
                <w:szCs w:val="21"/>
              </w:rPr>
              <w:t>12.其他</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bl>
    <w:p>
      <w:pPr>
        <w:pStyle w:val="4"/>
        <w:spacing w:before="120" w:beforeLines="50" w:after="0" w:line="400" w:lineRule="exact"/>
        <w:rPr>
          <w:rFonts w:ascii="Arial" w:hAnsi="Arial" w:eastAsia="黑体"/>
          <w:kern w:val="2"/>
          <w:sz w:val="28"/>
          <w:szCs w:val="28"/>
        </w:rPr>
      </w:pPr>
      <w:bookmarkStart w:id="112" w:name="_Toc528314464"/>
      <w:r>
        <w:rPr>
          <w:rFonts w:hint="eastAsia" w:ascii="Arial" w:hAnsi="Arial" w:eastAsia="黑体"/>
          <w:kern w:val="2"/>
          <w:sz w:val="28"/>
          <w:szCs w:val="28"/>
        </w:rPr>
        <w:t>附表二   分项工程进度率计划（斜率图）</w:t>
      </w:r>
      <w:bookmarkEnd w:id="112"/>
    </w:p>
    <w:tbl>
      <w:tblPr>
        <w:tblStyle w:val="13"/>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szCs w:val="21"/>
              </w:rPr>
            </w:pPr>
            <w:r>
              <w:rPr>
                <w:rFonts w:hint="eastAsia" w:ascii="宋体" w:hAnsi="宋体"/>
                <w:szCs w:val="21"/>
              </w:rPr>
              <w:t>年  度</w:t>
            </w:r>
          </w:p>
        </w:tc>
        <w:tc>
          <w:tcPr>
            <w:tcW w:w="5605" w:type="dxa"/>
            <w:gridSpan w:val="12"/>
            <w:vAlign w:val="center"/>
          </w:tcPr>
          <w:p>
            <w:pPr>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tc>
        <w:tc>
          <w:tcPr>
            <w:tcW w:w="5139" w:type="dxa"/>
            <w:gridSpan w:val="11"/>
            <w:vAlign w:val="center"/>
          </w:tcPr>
          <w:p>
            <w:pPr>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szCs w:val="21"/>
              </w:rPr>
            </w:pPr>
            <w:r>
              <w:rPr>
                <w:rFonts w:hint="eastAsia" w:ascii="宋体" w:hAnsi="宋体"/>
                <w:szCs w:val="21"/>
              </w:rPr>
              <w:t>季  度</w:t>
            </w:r>
          </w:p>
        </w:tc>
        <w:tc>
          <w:tcPr>
            <w:tcW w:w="1401" w:type="dxa"/>
            <w:gridSpan w:val="3"/>
            <w:vAlign w:val="center"/>
          </w:tcPr>
          <w:p>
            <w:pPr>
              <w:jc w:val="center"/>
              <w:rPr>
                <w:rFonts w:ascii="宋体" w:hAnsi="宋体"/>
                <w:szCs w:val="21"/>
              </w:rPr>
            </w:pPr>
            <w:r>
              <w:rPr>
                <w:rFonts w:hint="eastAsia" w:ascii="宋体" w:hAnsi="宋体"/>
                <w:szCs w:val="21"/>
              </w:rPr>
              <w:t>一</w:t>
            </w:r>
          </w:p>
        </w:tc>
        <w:tc>
          <w:tcPr>
            <w:tcW w:w="1401" w:type="dxa"/>
            <w:gridSpan w:val="3"/>
            <w:vAlign w:val="center"/>
          </w:tcPr>
          <w:p>
            <w:pPr>
              <w:jc w:val="center"/>
              <w:rPr>
                <w:rFonts w:ascii="宋体" w:hAnsi="宋体"/>
                <w:szCs w:val="21"/>
              </w:rPr>
            </w:pPr>
            <w:r>
              <w:rPr>
                <w:rFonts w:hint="eastAsia" w:ascii="宋体" w:hAnsi="宋体"/>
                <w:szCs w:val="21"/>
              </w:rPr>
              <w:t>二</w:t>
            </w:r>
          </w:p>
        </w:tc>
        <w:tc>
          <w:tcPr>
            <w:tcW w:w="1402" w:type="dxa"/>
            <w:gridSpan w:val="3"/>
            <w:vAlign w:val="center"/>
          </w:tcPr>
          <w:p>
            <w:pPr>
              <w:jc w:val="center"/>
              <w:rPr>
                <w:rFonts w:ascii="宋体" w:hAnsi="宋体"/>
                <w:szCs w:val="21"/>
              </w:rPr>
            </w:pPr>
            <w:r>
              <w:rPr>
                <w:rFonts w:hint="eastAsia" w:ascii="宋体" w:hAnsi="宋体"/>
                <w:szCs w:val="21"/>
              </w:rPr>
              <w:t>三</w:t>
            </w:r>
          </w:p>
        </w:tc>
        <w:tc>
          <w:tcPr>
            <w:tcW w:w="1401" w:type="dxa"/>
            <w:gridSpan w:val="3"/>
            <w:vAlign w:val="center"/>
          </w:tcPr>
          <w:p>
            <w:pPr>
              <w:jc w:val="center"/>
              <w:rPr>
                <w:rFonts w:ascii="宋体" w:hAnsi="宋体"/>
                <w:szCs w:val="21"/>
              </w:rPr>
            </w:pPr>
            <w:r>
              <w:rPr>
                <w:rFonts w:hint="eastAsia" w:ascii="宋体" w:hAnsi="宋体"/>
                <w:szCs w:val="21"/>
              </w:rPr>
              <w:t>四</w:t>
            </w:r>
          </w:p>
        </w:tc>
        <w:tc>
          <w:tcPr>
            <w:tcW w:w="1401" w:type="dxa"/>
            <w:gridSpan w:val="3"/>
            <w:vAlign w:val="center"/>
          </w:tcPr>
          <w:p>
            <w:pPr>
              <w:jc w:val="center"/>
              <w:rPr>
                <w:rFonts w:ascii="宋体" w:hAnsi="宋体"/>
                <w:szCs w:val="21"/>
              </w:rPr>
            </w:pPr>
            <w:r>
              <w:rPr>
                <w:rFonts w:hint="eastAsia" w:ascii="宋体" w:hAnsi="宋体"/>
                <w:szCs w:val="21"/>
              </w:rPr>
              <w:t>一</w:t>
            </w:r>
          </w:p>
        </w:tc>
        <w:tc>
          <w:tcPr>
            <w:tcW w:w="1402" w:type="dxa"/>
            <w:gridSpan w:val="3"/>
            <w:vAlign w:val="center"/>
          </w:tcPr>
          <w:p>
            <w:pPr>
              <w:jc w:val="center"/>
              <w:rPr>
                <w:rFonts w:ascii="宋体" w:hAnsi="宋体"/>
                <w:szCs w:val="21"/>
              </w:rPr>
            </w:pPr>
            <w:r>
              <w:rPr>
                <w:rFonts w:hint="eastAsia" w:ascii="宋体" w:hAnsi="宋体"/>
                <w:szCs w:val="21"/>
              </w:rPr>
              <w:t>二</w:t>
            </w:r>
          </w:p>
        </w:tc>
        <w:tc>
          <w:tcPr>
            <w:tcW w:w="1401" w:type="dxa"/>
            <w:gridSpan w:val="3"/>
            <w:vAlign w:val="center"/>
          </w:tcPr>
          <w:p>
            <w:pPr>
              <w:jc w:val="center"/>
              <w:rPr>
                <w:rFonts w:ascii="宋体" w:hAnsi="宋体"/>
                <w:szCs w:val="21"/>
              </w:rPr>
            </w:pPr>
            <w:r>
              <w:rPr>
                <w:rFonts w:hint="eastAsia" w:ascii="宋体" w:hAnsi="宋体"/>
                <w:szCs w:val="21"/>
              </w:rPr>
              <w:t>三</w:t>
            </w:r>
          </w:p>
        </w:tc>
        <w:tc>
          <w:tcPr>
            <w:tcW w:w="935" w:type="dxa"/>
            <w:gridSpan w:val="2"/>
            <w:vAlign w:val="center"/>
          </w:tcPr>
          <w:p>
            <w:pPr>
              <w:jc w:val="center"/>
              <w:rPr>
                <w:rFonts w:ascii="宋体" w:hAnsi="宋体"/>
                <w:szCs w:val="21"/>
              </w:rPr>
            </w:pPr>
            <w:r>
              <w:rPr>
                <w:rFonts w:hint="eastAsia" w:ascii="宋体" w:hAnsi="宋体"/>
                <w:szCs w:val="21"/>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jc w:val="center"/>
              <w:rPr>
                <w:rFonts w:ascii="宋体" w:hAnsi="宋体"/>
                <w:szCs w:val="21"/>
              </w:rPr>
            </w:pPr>
            <w:r>
              <w:rPr>
                <w:rFonts w:hint="eastAsia" w:ascii="宋体" w:hAnsi="宋体"/>
                <w:szCs w:val="21"/>
              </w:rPr>
              <w:t>月  份</w:t>
            </w:r>
          </w:p>
        </w:tc>
        <w:tc>
          <w:tcPr>
            <w:tcW w:w="467" w:type="dxa"/>
            <w:vAlign w:val="center"/>
          </w:tcPr>
          <w:p>
            <w:pPr>
              <w:jc w:val="center"/>
              <w:rPr>
                <w:rFonts w:ascii="宋体" w:hAnsi="宋体"/>
                <w:szCs w:val="21"/>
              </w:rPr>
            </w:pPr>
            <w:r>
              <w:rPr>
                <w:rFonts w:hint="eastAsia" w:ascii="宋体" w:hAnsi="宋体"/>
                <w:szCs w:val="21"/>
              </w:rPr>
              <w:t>1</w:t>
            </w:r>
          </w:p>
        </w:tc>
        <w:tc>
          <w:tcPr>
            <w:tcW w:w="467" w:type="dxa"/>
            <w:vAlign w:val="center"/>
          </w:tcPr>
          <w:p>
            <w:pPr>
              <w:jc w:val="center"/>
              <w:rPr>
                <w:rFonts w:ascii="宋体" w:hAnsi="宋体"/>
                <w:szCs w:val="21"/>
              </w:rPr>
            </w:pPr>
            <w:r>
              <w:rPr>
                <w:rFonts w:hint="eastAsia" w:ascii="宋体" w:hAnsi="宋体"/>
                <w:szCs w:val="21"/>
              </w:rPr>
              <w:t>2</w:t>
            </w:r>
          </w:p>
        </w:tc>
        <w:tc>
          <w:tcPr>
            <w:tcW w:w="467" w:type="dxa"/>
            <w:vAlign w:val="center"/>
          </w:tcPr>
          <w:p>
            <w:pPr>
              <w:jc w:val="center"/>
              <w:rPr>
                <w:rFonts w:ascii="宋体" w:hAnsi="宋体"/>
                <w:szCs w:val="21"/>
              </w:rPr>
            </w:pPr>
            <w:r>
              <w:rPr>
                <w:rFonts w:hint="eastAsia" w:ascii="宋体" w:hAnsi="宋体"/>
                <w:szCs w:val="21"/>
              </w:rPr>
              <w:t>3</w:t>
            </w:r>
          </w:p>
        </w:tc>
        <w:tc>
          <w:tcPr>
            <w:tcW w:w="467" w:type="dxa"/>
            <w:vAlign w:val="center"/>
          </w:tcPr>
          <w:p>
            <w:pPr>
              <w:jc w:val="center"/>
              <w:rPr>
                <w:rFonts w:ascii="宋体" w:hAnsi="宋体"/>
                <w:szCs w:val="21"/>
              </w:rPr>
            </w:pPr>
            <w:r>
              <w:rPr>
                <w:rFonts w:hint="eastAsia" w:ascii="宋体" w:hAnsi="宋体"/>
                <w:szCs w:val="21"/>
              </w:rPr>
              <w:t>4</w:t>
            </w:r>
          </w:p>
        </w:tc>
        <w:tc>
          <w:tcPr>
            <w:tcW w:w="467" w:type="dxa"/>
            <w:vAlign w:val="center"/>
          </w:tcPr>
          <w:p>
            <w:pPr>
              <w:jc w:val="center"/>
              <w:rPr>
                <w:rFonts w:ascii="宋体" w:hAnsi="宋体"/>
                <w:szCs w:val="21"/>
              </w:rPr>
            </w:pPr>
            <w:r>
              <w:rPr>
                <w:rFonts w:hint="eastAsia" w:ascii="宋体" w:hAnsi="宋体"/>
                <w:szCs w:val="21"/>
              </w:rPr>
              <w:t>5</w:t>
            </w:r>
          </w:p>
        </w:tc>
        <w:tc>
          <w:tcPr>
            <w:tcW w:w="467" w:type="dxa"/>
            <w:vAlign w:val="center"/>
          </w:tcPr>
          <w:p>
            <w:pPr>
              <w:jc w:val="center"/>
              <w:rPr>
                <w:rFonts w:ascii="宋体" w:hAnsi="宋体"/>
                <w:szCs w:val="21"/>
              </w:rPr>
            </w:pPr>
            <w:r>
              <w:rPr>
                <w:rFonts w:hint="eastAsia" w:ascii="宋体" w:hAnsi="宋体"/>
                <w:szCs w:val="21"/>
              </w:rPr>
              <w:t>6</w:t>
            </w:r>
          </w:p>
        </w:tc>
        <w:tc>
          <w:tcPr>
            <w:tcW w:w="467" w:type="dxa"/>
            <w:vAlign w:val="center"/>
          </w:tcPr>
          <w:p>
            <w:pPr>
              <w:jc w:val="center"/>
              <w:rPr>
                <w:rFonts w:ascii="宋体" w:hAnsi="宋体"/>
                <w:szCs w:val="21"/>
              </w:rPr>
            </w:pPr>
            <w:r>
              <w:rPr>
                <w:rFonts w:hint="eastAsia" w:ascii="宋体" w:hAnsi="宋体"/>
                <w:szCs w:val="21"/>
              </w:rPr>
              <w:t>7</w:t>
            </w:r>
          </w:p>
        </w:tc>
        <w:tc>
          <w:tcPr>
            <w:tcW w:w="468" w:type="dxa"/>
            <w:vAlign w:val="center"/>
          </w:tcPr>
          <w:p>
            <w:pPr>
              <w:jc w:val="center"/>
              <w:rPr>
                <w:rFonts w:ascii="宋体" w:hAnsi="宋体"/>
                <w:szCs w:val="21"/>
              </w:rPr>
            </w:pPr>
            <w:r>
              <w:rPr>
                <w:rFonts w:hint="eastAsia" w:ascii="宋体" w:hAnsi="宋体"/>
                <w:szCs w:val="21"/>
              </w:rPr>
              <w:t>8</w:t>
            </w:r>
          </w:p>
        </w:tc>
        <w:tc>
          <w:tcPr>
            <w:tcW w:w="467" w:type="dxa"/>
            <w:vAlign w:val="center"/>
          </w:tcPr>
          <w:p>
            <w:pPr>
              <w:jc w:val="center"/>
              <w:rPr>
                <w:rFonts w:ascii="宋体" w:hAnsi="宋体"/>
                <w:szCs w:val="21"/>
              </w:rPr>
            </w:pPr>
            <w:r>
              <w:rPr>
                <w:rFonts w:hint="eastAsia" w:ascii="宋体" w:hAnsi="宋体"/>
                <w:szCs w:val="21"/>
              </w:rPr>
              <w:t>9</w:t>
            </w:r>
          </w:p>
        </w:tc>
        <w:tc>
          <w:tcPr>
            <w:tcW w:w="467" w:type="dxa"/>
            <w:vAlign w:val="center"/>
          </w:tcPr>
          <w:p>
            <w:pPr>
              <w:jc w:val="center"/>
              <w:rPr>
                <w:rFonts w:ascii="宋体" w:hAnsi="宋体"/>
                <w:szCs w:val="21"/>
              </w:rPr>
            </w:pPr>
            <w:r>
              <w:rPr>
                <w:rFonts w:hint="eastAsia" w:ascii="宋体" w:hAnsi="宋体"/>
                <w:szCs w:val="21"/>
              </w:rPr>
              <w:t>10</w:t>
            </w:r>
          </w:p>
        </w:tc>
        <w:tc>
          <w:tcPr>
            <w:tcW w:w="467" w:type="dxa"/>
            <w:vAlign w:val="center"/>
          </w:tcPr>
          <w:p>
            <w:pPr>
              <w:jc w:val="center"/>
              <w:rPr>
                <w:rFonts w:ascii="宋体" w:hAnsi="宋体"/>
                <w:szCs w:val="21"/>
              </w:rPr>
            </w:pPr>
            <w:r>
              <w:rPr>
                <w:rFonts w:hint="eastAsia" w:ascii="宋体" w:hAnsi="宋体"/>
                <w:szCs w:val="21"/>
              </w:rPr>
              <w:t>11</w:t>
            </w:r>
          </w:p>
        </w:tc>
        <w:tc>
          <w:tcPr>
            <w:tcW w:w="467" w:type="dxa"/>
            <w:vAlign w:val="center"/>
          </w:tcPr>
          <w:p>
            <w:pPr>
              <w:jc w:val="center"/>
              <w:rPr>
                <w:rFonts w:ascii="宋体" w:hAnsi="宋体"/>
                <w:szCs w:val="21"/>
              </w:rPr>
            </w:pPr>
            <w:r>
              <w:rPr>
                <w:rFonts w:hint="eastAsia" w:ascii="宋体" w:hAnsi="宋体"/>
                <w:szCs w:val="21"/>
              </w:rPr>
              <w:t>12</w:t>
            </w:r>
          </w:p>
        </w:tc>
        <w:tc>
          <w:tcPr>
            <w:tcW w:w="467" w:type="dxa"/>
            <w:vAlign w:val="center"/>
          </w:tcPr>
          <w:p>
            <w:pPr>
              <w:jc w:val="center"/>
              <w:rPr>
                <w:rFonts w:ascii="宋体" w:hAnsi="宋体"/>
                <w:szCs w:val="21"/>
              </w:rPr>
            </w:pPr>
            <w:r>
              <w:rPr>
                <w:rFonts w:hint="eastAsia" w:ascii="宋体" w:hAnsi="宋体"/>
                <w:szCs w:val="21"/>
              </w:rPr>
              <w:t>1</w:t>
            </w:r>
          </w:p>
        </w:tc>
        <w:tc>
          <w:tcPr>
            <w:tcW w:w="467" w:type="dxa"/>
            <w:vAlign w:val="center"/>
          </w:tcPr>
          <w:p>
            <w:pPr>
              <w:jc w:val="center"/>
              <w:rPr>
                <w:rFonts w:ascii="宋体" w:hAnsi="宋体"/>
                <w:szCs w:val="21"/>
              </w:rPr>
            </w:pPr>
            <w:r>
              <w:rPr>
                <w:rFonts w:hint="eastAsia" w:ascii="宋体" w:hAnsi="宋体"/>
                <w:szCs w:val="21"/>
              </w:rPr>
              <w:t>2</w:t>
            </w:r>
          </w:p>
        </w:tc>
        <w:tc>
          <w:tcPr>
            <w:tcW w:w="467" w:type="dxa"/>
            <w:vAlign w:val="center"/>
          </w:tcPr>
          <w:p>
            <w:pPr>
              <w:jc w:val="center"/>
              <w:rPr>
                <w:rFonts w:ascii="宋体" w:hAnsi="宋体"/>
                <w:szCs w:val="21"/>
              </w:rPr>
            </w:pPr>
            <w:r>
              <w:rPr>
                <w:rFonts w:hint="eastAsia" w:ascii="宋体" w:hAnsi="宋体"/>
                <w:szCs w:val="21"/>
              </w:rPr>
              <w:t>3</w:t>
            </w:r>
          </w:p>
        </w:tc>
        <w:tc>
          <w:tcPr>
            <w:tcW w:w="468" w:type="dxa"/>
            <w:vAlign w:val="center"/>
          </w:tcPr>
          <w:p>
            <w:pPr>
              <w:jc w:val="center"/>
              <w:rPr>
                <w:rFonts w:ascii="宋体" w:hAnsi="宋体"/>
                <w:szCs w:val="21"/>
              </w:rPr>
            </w:pPr>
            <w:r>
              <w:rPr>
                <w:rFonts w:hint="eastAsia" w:ascii="宋体" w:hAnsi="宋体"/>
                <w:szCs w:val="21"/>
              </w:rPr>
              <w:t>4</w:t>
            </w:r>
          </w:p>
        </w:tc>
        <w:tc>
          <w:tcPr>
            <w:tcW w:w="467" w:type="dxa"/>
            <w:vAlign w:val="center"/>
          </w:tcPr>
          <w:p>
            <w:pPr>
              <w:jc w:val="center"/>
              <w:rPr>
                <w:rFonts w:ascii="宋体" w:hAnsi="宋体"/>
                <w:szCs w:val="21"/>
              </w:rPr>
            </w:pPr>
            <w:r>
              <w:rPr>
                <w:rFonts w:hint="eastAsia" w:ascii="宋体" w:hAnsi="宋体"/>
                <w:szCs w:val="21"/>
              </w:rPr>
              <w:t>5</w:t>
            </w:r>
          </w:p>
        </w:tc>
        <w:tc>
          <w:tcPr>
            <w:tcW w:w="467" w:type="dxa"/>
            <w:vAlign w:val="center"/>
          </w:tcPr>
          <w:p>
            <w:pPr>
              <w:jc w:val="center"/>
              <w:rPr>
                <w:rFonts w:ascii="宋体" w:hAnsi="宋体"/>
                <w:szCs w:val="21"/>
              </w:rPr>
            </w:pPr>
            <w:r>
              <w:rPr>
                <w:rFonts w:hint="eastAsia" w:ascii="宋体" w:hAnsi="宋体"/>
                <w:szCs w:val="21"/>
              </w:rPr>
              <w:t>6</w:t>
            </w:r>
          </w:p>
        </w:tc>
        <w:tc>
          <w:tcPr>
            <w:tcW w:w="467" w:type="dxa"/>
            <w:vAlign w:val="center"/>
          </w:tcPr>
          <w:p>
            <w:pPr>
              <w:jc w:val="center"/>
              <w:rPr>
                <w:rFonts w:ascii="宋体" w:hAnsi="宋体"/>
                <w:szCs w:val="21"/>
              </w:rPr>
            </w:pPr>
            <w:r>
              <w:rPr>
                <w:rFonts w:hint="eastAsia" w:ascii="宋体" w:hAnsi="宋体"/>
                <w:szCs w:val="21"/>
              </w:rPr>
              <w:t>7</w:t>
            </w:r>
          </w:p>
        </w:tc>
        <w:tc>
          <w:tcPr>
            <w:tcW w:w="467" w:type="dxa"/>
            <w:vAlign w:val="center"/>
          </w:tcPr>
          <w:p>
            <w:pPr>
              <w:jc w:val="center"/>
              <w:rPr>
                <w:rFonts w:ascii="宋体" w:hAnsi="宋体"/>
                <w:szCs w:val="21"/>
              </w:rPr>
            </w:pPr>
            <w:r>
              <w:rPr>
                <w:rFonts w:hint="eastAsia" w:ascii="宋体" w:hAnsi="宋体"/>
                <w:szCs w:val="21"/>
              </w:rPr>
              <w:t>8</w:t>
            </w:r>
          </w:p>
        </w:tc>
        <w:tc>
          <w:tcPr>
            <w:tcW w:w="467" w:type="dxa"/>
            <w:vAlign w:val="center"/>
          </w:tcPr>
          <w:p>
            <w:pPr>
              <w:jc w:val="center"/>
              <w:rPr>
                <w:rFonts w:ascii="宋体" w:hAnsi="宋体"/>
                <w:szCs w:val="21"/>
              </w:rPr>
            </w:pPr>
            <w:r>
              <w:rPr>
                <w:rFonts w:hint="eastAsia" w:ascii="宋体" w:hAnsi="宋体"/>
                <w:szCs w:val="21"/>
              </w:rPr>
              <w:t>9</w:t>
            </w:r>
          </w:p>
        </w:tc>
        <w:tc>
          <w:tcPr>
            <w:tcW w:w="467" w:type="dxa"/>
            <w:vAlign w:val="center"/>
          </w:tcPr>
          <w:p>
            <w:pPr>
              <w:jc w:val="center"/>
              <w:rPr>
                <w:rFonts w:ascii="宋体" w:hAnsi="宋体"/>
                <w:szCs w:val="21"/>
              </w:rPr>
            </w:pPr>
            <w:r>
              <w:rPr>
                <w:rFonts w:hint="eastAsia" w:ascii="宋体" w:hAnsi="宋体"/>
                <w:szCs w:val="21"/>
              </w:rPr>
              <w:t>10</w:t>
            </w:r>
          </w:p>
        </w:tc>
        <w:tc>
          <w:tcPr>
            <w:tcW w:w="468" w:type="dxa"/>
            <w:vAlign w:val="center"/>
          </w:tcPr>
          <w:p>
            <w:pPr>
              <w:jc w:val="center"/>
              <w:rPr>
                <w:rFonts w:ascii="宋体" w:hAnsi="宋体"/>
                <w:szCs w:val="21"/>
              </w:rPr>
            </w:pP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rPr>
                <w:rFonts w:ascii="宋体" w:hAnsi="宋体"/>
                <w:szCs w:val="21"/>
              </w:rPr>
            </w:pPr>
            <w:r>
              <w:rPr>
                <w:rFonts w:hint="eastAsia" w:ascii="宋体" w:hAnsi="宋体"/>
                <w:szCs w:val="21"/>
              </w:rPr>
              <w:t>图例：</w:t>
            </w:r>
          </w:p>
        </w:tc>
        <w:tc>
          <w:tcPr>
            <w:tcW w:w="1276" w:type="dxa"/>
            <w:tcBorders>
              <w:top w:val="single" w:color="auto" w:sz="6" w:space="0"/>
              <w:left w:val="nil"/>
              <w:bottom w:val="nil"/>
            </w:tcBorders>
            <w:vAlign w:val="center"/>
          </w:tcPr>
          <w:p>
            <w:pPr>
              <w:jc w:val="right"/>
              <w:rPr>
                <w:rFonts w:ascii="宋体" w:hAnsi="宋体"/>
                <w:szCs w:val="21"/>
              </w:rPr>
            </w:pPr>
            <w:r>
              <w:rPr>
                <w:rFonts w:hint="eastAsia" w:ascii="宋体" w:hAnsi="宋体"/>
                <w:szCs w:val="21"/>
              </w:rPr>
              <w:t>100（%）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jc w:val="center"/>
              <w:rPr>
                <w:rFonts w:ascii="宋体" w:hAnsi="宋体"/>
                <w:szCs w:val="21"/>
              </w:rPr>
            </w:pPr>
            <w:r>
              <w:rPr>
                <w:rFonts w:hint="eastAsia" w:ascii="宋体" w:hAnsi="宋体"/>
                <w:szCs w:val="21"/>
              </w:rPr>
              <w:t>施工准备</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90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jc w:val="center"/>
              <w:rPr>
                <w:rFonts w:ascii="宋体" w:hAnsi="宋体"/>
                <w:szCs w:val="21"/>
              </w:rPr>
            </w:pPr>
            <w:r>
              <w:rPr>
                <w:rFonts w:hint="eastAsia" w:ascii="宋体" w:hAnsi="宋体"/>
                <w:szCs w:val="21"/>
              </w:rPr>
              <w:t>路基填筑</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80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jc w:val="center"/>
              <w:rPr>
                <w:rFonts w:ascii="宋体" w:hAnsi="宋体"/>
                <w:szCs w:val="21"/>
              </w:rPr>
            </w:pPr>
            <w:r>
              <w:rPr>
                <w:rFonts w:hint="eastAsia" w:ascii="宋体" w:hAnsi="宋体"/>
                <w:szCs w:val="21"/>
              </w:rPr>
              <w:t>路面基层</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70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jc w:val="center"/>
              <w:rPr>
                <w:rFonts w:ascii="宋体" w:hAnsi="宋体"/>
                <w:szCs w:val="21"/>
              </w:rPr>
            </w:pPr>
            <w:r>
              <w:rPr>
                <w:rFonts w:hint="eastAsia" w:ascii="宋体" w:hAnsi="宋体"/>
                <w:szCs w:val="21"/>
              </w:rPr>
              <w:t>路面面层</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60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wave" w:color="auto" w:sz="6" w:space="0"/>
              <w:bottom w:val="nil"/>
              <w:right w:val="nil"/>
            </w:tcBorders>
            <w:vAlign w:val="center"/>
          </w:tcPr>
          <w:p>
            <w:pPr>
              <w:jc w:val="center"/>
              <w:rPr>
                <w:rFonts w:ascii="宋体" w:hAnsi="宋体"/>
                <w:szCs w:val="21"/>
              </w:rPr>
            </w:pPr>
            <w:r>
              <w:rPr>
                <w:rFonts w:hint="eastAsia" w:ascii="宋体" w:hAnsi="宋体"/>
                <w:szCs w:val="21"/>
              </w:rPr>
              <w:t>防护及排水</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50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tDotDash"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tDotDash" w:color="auto" w:sz="4" w:space="0"/>
              <w:bottom w:val="nil"/>
              <w:right w:val="nil"/>
            </w:tcBorders>
            <w:vAlign w:val="center"/>
          </w:tcPr>
          <w:p>
            <w:pPr>
              <w:jc w:val="center"/>
              <w:rPr>
                <w:rFonts w:ascii="宋体" w:hAnsi="宋体"/>
                <w:szCs w:val="21"/>
              </w:rPr>
            </w:pPr>
            <w:r>
              <w:rPr>
                <w:rFonts w:hint="eastAsia" w:ascii="宋体" w:hAnsi="宋体"/>
                <w:szCs w:val="21"/>
              </w:rPr>
              <w:t>涵洞及通道</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40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hickThinSmallGap"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hickThinSmallGap" w:color="auto" w:sz="24" w:space="0"/>
              <w:bottom w:val="nil"/>
              <w:right w:val="nil"/>
            </w:tcBorders>
            <w:vAlign w:val="center"/>
          </w:tcPr>
          <w:p>
            <w:pPr>
              <w:jc w:val="center"/>
              <w:rPr>
                <w:rFonts w:ascii="宋体" w:hAnsi="宋体"/>
                <w:szCs w:val="21"/>
              </w:rPr>
            </w:pPr>
            <w:r>
              <w:rPr>
                <w:rFonts w:hint="eastAsia" w:ascii="宋体" w:hAnsi="宋体"/>
                <w:szCs w:val="21"/>
              </w:rPr>
              <w:t>桥梁下部工程</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30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hinThickSmallGap"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hinThickSmallGap" w:color="auto" w:sz="24" w:space="0"/>
              <w:bottom w:val="nil"/>
              <w:right w:val="nil"/>
            </w:tcBorders>
            <w:vAlign w:val="center"/>
          </w:tcPr>
          <w:p>
            <w:pPr>
              <w:jc w:val="center"/>
              <w:rPr>
                <w:rFonts w:ascii="宋体" w:hAnsi="宋体"/>
                <w:szCs w:val="21"/>
              </w:rPr>
            </w:pPr>
            <w:r>
              <w:rPr>
                <w:rFonts w:hint="eastAsia" w:ascii="宋体" w:hAnsi="宋体"/>
                <w:szCs w:val="21"/>
              </w:rPr>
              <w:t>桥梁上部工程</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20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ed"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ed" w:color="auto" w:sz="4" w:space="0"/>
              <w:bottom w:val="nil"/>
              <w:right w:val="nil"/>
            </w:tcBorders>
            <w:vAlign w:val="center"/>
          </w:tcPr>
          <w:p>
            <w:pPr>
              <w:jc w:val="center"/>
              <w:rPr>
                <w:rFonts w:ascii="宋体" w:hAnsi="宋体"/>
                <w:szCs w:val="21"/>
              </w:rPr>
            </w:pPr>
            <w:r>
              <w:rPr>
                <w:rFonts w:hint="eastAsia" w:ascii="宋体" w:hAnsi="宋体"/>
                <w:szCs w:val="21"/>
              </w:rPr>
              <w:t>隧道</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10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jc w:val="center"/>
              <w:rPr>
                <w:rFonts w:ascii="宋体" w:hAnsi="宋体"/>
                <w:szCs w:val="21"/>
              </w:rPr>
            </w:pPr>
          </w:p>
        </w:tc>
        <w:tc>
          <w:tcPr>
            <w:tcW w:w="1276" w:type="dxa"/>
            <w:tcBorders>
              <w:top w:val="nil"/>
              <w:left w:val="nil"/>
              <w:bottom w:val="single" w:color="auto" w:sz="12" w:space="0"/>
            </w:tcBorders>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bl>
    <w:p>
      <w:pPr>
        <w:rPr>
          <w:rFonts w:ascii="宋体" w:hAnsi="宋体"/>
          <w:szCs w:val="21"/>
        </w:rPr>
      </w:pPr>
      <w:r>
        <w:rPr>
          <w:rFonts w:hint="eastAsia" w:ascii="宋体" w:hAnsi="宋体"/>
          <w:szCs w:val="21"/>
        </w:rPr>
        <w:t>注：1.应按各标段实际工程内容填写。</w:t>
      </w:r>
    </w:p>
    <w:p>
      <w:pPr>
        <w:rPr>
          <w:rFonts w:ascii="宋体" w:hAnsi="宋体"/>
          <w:szCs w:val="21"/>
        </w:rPr>
        <w:sectPr>
          <w:footnotePr>
            <w:numFmt w:val="decimalEnclosedCircleChinese"/>
            <w:numRestart w:val="eachPage"/>
          </w:footnotePr>
          <w:pgSz w:w="16840" w:h="11907" w:orient="landscape"/>
          <w:pgMar w:top="1440" w:right="1361" w:bottom="1440" w:left="1361" w:header="720" w:footer="907" w:gutter="0"/>
          <w:cols w:space="720" w:num="1"/>
        </w:sectPr>
      </w:pPr>
      <w:r>
        <w:rPr>
          <w:rFonts w:hint="eastAsia" w:ascii="宋体" w:hAnsi="宋体"/>
          <w:szCs w:val="21"/>
        </w:rPr>
        <w:t xml:space="preserve">    2.各个项目的进程可用线条的长短来表示。</w:t>
      </w:r>
    </w:p>
    <w:p>
      <w:pPr>
        <w:pStyle w:val="4"/>
        <w:spacing w:before="120" w:beforeLines="50" w:after="0" w:line="400" w:lineRule="exact"/>
        <w:rPr>
          <w:rFonts w:ascii="Arial" w:hAnsi="Arial" w:eastAsia="黑体"/>
          <w:kern w:val="2"/>
          <w:sz w:val="28"/>
          <w:szCs w:val="28"/>
        </w:rPr>
      </w:pPr>
      <w:bookmarkStart w:id="113" w:name="page227"/>
      <w:bookmarkEnd w:id="113"/>
      <w:bookmarkStart w:id="114" w:name="page225"/>
      <w:bookmarkEnd w:id="114"/>
      <w:bookmarkStart w:id="115" w:name="_Toc528314465"/>
      <w:r>
        <w:rPr>
          <w:rFonts w:ascii="Arial" w:hAnsi="Arial" w:eastAsia="黑体"/>
          <w:kern w:val="2"/>
          <w:sz w:val="28"/>
          <w:szCs w:val="28"/>
        </w:rPr>
        <w:t>附表三</w:t>
      </w:r>
      <w:r>
        <w:rPr>
          <w:rFonts w:hint="eastAsia" w:ascii="Arial" w:hAnsi="Arial" w:eastAsia="黑体"/>
          <w:kern w:val="2"/>
          <w:sz w:val="28"/>
          <w:szCs w:val="28"/>
        </w:rPr>
        <w:t xml:space="preserve">   工程管理曲线</w:t>
      </w:r>
      <w:bookmarkEnd w:id="115"/>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pPr>
              <w:jc w:val="center"/>
            </w:pPr>
            <w:r>
              <w:rPr>
                <w:rFonts w:hint="eastAsia"/>
              </w:rPr>
              <mc:AlternateContent>
                <mc:Choice Requires="wps">
                  <w:drawing>
                    <wp:anchor distT="0" distB="0" distL="114300" distR="114300" simplePos="0" relativeHeight="251870208" behindDoc="0" locked="0" layoutInCell="1" allowOverlap="1">
                      <wp:simplePos x="0" y="0"/>
                      <wp:positionH relativeFrom="column">
                        <wp:posOffset>-74930</wp:posOffset>
                      </wp:positionH>
                      <wp:positionV relativeFrom="paragraph">
                        <wp:posOffset>-3810</wp:posOffset>
                      </wp:positionV>
                      <wp:extent cx="1397000" cy="563245"/>
                      <wp:effectExtent l="1905" t="4445" r="10795" b="22860"/>
                      <wp:wrapNone/>
                      <wp:docPr id="1" name="直接箭头连接符 1"/>
                      <wp:cNvGraphicFramePr/>
                      <a:graphic xmlns:a="http://schemas.openxmlformats.org/drawingml/2006/main">
                        <a:graphicData uri="http://schemas.microsoft.com/office/word/2010/wordprocessingShape">
                          <wps:wsp>
                            <wps:cNvCnPr/>
                            <wps:spPr>
                              <a:xfrm>
                                <a:off x="0" y="0"/>
                                <a:ext cx="1397000" cy="5632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9pt;margin-top:-0.3pt;height:44.35pt;width:110pt;z-index:251870208;mso-width-relative:page;mso-height-relative:page;" filled="f" stroked="t" coordsize="21600,21600"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t2M1rXAAAA&#10;CAEAAA8AAAAAAAAAAQAgAAAAIgAAAGRycy9kb3ducmV2LnhtbFBLAQIUABQAAAAIAIdO4kCKs9M8&#10;5QEAAKMDAAAOAAAAAAAAAAEAIAAAACYBAABkcnMvZTJvRG9jLnhtbFBLBQYAAAAABgAGAFkBAAB9&#10;BQAAAAA=&#10;">
                      <v:fill on="f" focussize="0,0"/>
                      <v:stroke color="#000000" joinstyle="round"/>
                      <v:imagedata o:title=""/>
                      <o:lock v:ext="edit" aspectratio="f"/>
                    </v:shape>
                  </w:pict>
                </mc:Fallback>
              </mc:AlternateContent>
            </w:r>
            <w:r>
              <w:rPr>
                <w:rFonts w:hint="eastAsia"/>
              </w:rPr>
              <w:t xml:space="preserve">            年  度</w:t>
            </w:r>
          </w:p>
          <w:p>
            <w:pPr>
              <w:jc w:val="center"/>
            </w:pPr>
            <w:r>
              <w:rPr>
                <w:rFonts w:hint="eastAsia"/>
              </w:rPr>
              <mc:AlternateContent>
                <mc:Choice Requires="wps">
                  <w:drawing>
                    <wp:anchor distT="0" distB="0" distL="114300" distR="114300" simplePos="0" relativeHeight="251871232" behindDoc="0" locked="0" layoutInCell="1" allowOverlap="1">
                      <wp:simplePos x="0" y="0"/>
                      <wp:positionH relativeFrom="column">
                        <wp:posOffset>781050</wp:posOffset>
                      </wp:positionH>
                      <wp:positionV relativeFrom="paragraph">
                        <wp:posOffset>20320</wp:posOffset>
                      </wp:positionV>
                      <wp:extent cx="217805" cy="273685"/>
                      <wp:effectExtent l="0" t="0" r="0" b="0"/>
                      <wp:wrapNone/>
                      <wp:docPr id="3" name="矩形 3"/>
                      <wp:cNvGraphicFramePr/>
                      <a:graphic xmlns:a="http://schemas.openxmlformats.org/drawingml/2006/main">
                        <a:graphicData uri="http://schemas.microsoft.com/office/word/2010/wordprocessingShape">
                          <wps:wsp>
                            <wps:cNvSpPr/>
                            <wps:spPr>
                              <a:xfrm>
                                <a:off x="0" y="0"/>
                                <a:ext cx="217805" cy="273685"/>
                              </a:xfrm>
                              <a:prstGeom prst="rect">
                                <a:avLst/>
                              </a:prstGeom>
                              <a:noFill/>
                              <a:ln w="9525">
                                <a:noFill/>
                              </a:ln>
                            </wps:spPr>
                            <wps:txbx>
                              <w:txbxContent>
                                <w:p>
                                  <w:r>
                                    <w:rPr>
                                      <w:rFonts w:hint="eastAsia"/>
                                    </w:rPr>
                                    <w:t>季</w:t>
                                  </w:r>
                                </w:p>
                              </w:txbxContent>
                            </wps:txbx>
                            <wps:bodyPr upright="1"/>
                          </wps:wsp>
                        </a:graphicData>
                      </a:graphic>
                    </wp:anchor>
                  </w:drawing>
                </mc:Choice>
                <mc:Fallback>
                  <w:pict>
                    <v:rect id="_x0000_s1026" o:spid="_x0000_s1026" o:spt="1" style="position:absolute;left:0pt;margin-left:61.5pt;margin-top:1.6pt;height:21.55pt;width:17.15pt;z-index:251871232;mso-width-relative:page;mso-height-relative:page;" filled="f" stroked="f" coordsize="21600,21600"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CcTgbZAAAACAEAAA8AAAAAAAAAAQAgAAAAIgAAAGRycy9kb3du&#10;cmV2LnhtbFBLAQIUABQAAAAIAIdO4kAb3kM0jAEAAPsCAAAOAAAAAAAAAAEAIAAAACgBAABkcnMv&#10;ZTJvRG9jLnhtbFBLBQYAAAAABgAGAFkBAAAmBQAAAAA=&#10;">
                      <v:fill on="f" focussize="0,0"/>
                      <v:stroke on="f"/>
                      <v:imagedata o:title=""/>
                      <o:lock v:ext="edit" aspectratio="f"/>
                      <v:textbox>
                        <w:txbxContent>
                          <w:p>
                            <w:r>
                              <w:rPr>
                                <w:rFonts w:hint="eastAsia"/>
                              </w:rPr>
                              <w:t>季</w:t>
                            </w:r>
                          </w:p>
                        </w:txbxContent>
                      </v:textbox>
                    </v:rect>
                  </w:pict>
                </mc:Fallback>
              </mc:AlternateContent>
            </w:r>
            <w:r>
              <w:rPr>
                <w:rFonts w:hint="eastAsia"/>
              </w:rPr>
              <w:t xml:space="preserve">        </w:t>
            </w:r>
          </w:p>
          <w:p>
            <w:pPr>
              <w:jc w:val="center"/>
            </w:pPr>
          </w:p>
        </w:tc>
        <w:tc>
          <w:tcPr>
            <w:tcW w:w="4537" w:type="dxa"/>
            <w:gridSpan w:val="12"/>
            <w:vAlign w:val="center"/>
          </w:tcPr>
          <w:p>
            <w:pPr>
              <w:jc w:val="center"/>
            </w:pPr>
            <w:r>
              <w:rPr>
                <w:rFonts w:hint="eastAsia" w:ascii="宋体" w:hAnsi="宋体"/>
                <w:szCs w:val="21"/>
                <w:u w:val="single"/>
              </w:rPr>
              <w:t xml:space="preserve">   </w:t>
            </w:r>
            <w:r>
              <w:rPr>
                <w:rFonts w:hint="eastAsia" w:ascii="宋体" w:hAnsi="宋体"/>
                <w:szCs w:val="21"/>
              </w:rPr>
              <w:t>年</w:t>
            </w:r>
          </w:p>
        </w:tc>
        <w:tc>
          <w:tcPr>
            <w:tcW w:w="2896" w:type="dxa"/>
            <w:gridSpan w:val="8"/>
            <w:vAlign w:val="center"/>
          </w:tcPr>
          <w:p>
            <w:pPr>
              <w:jc w:val="center"/>
            </w:pPr>
            <w:r>
              <w:rPr>
                <w:rFonts w:hint="eastAsia" w:ascii="宋体" w:hAnsi="宋体"/>
                <w:szCs w:val="21"/>
                <w:u w:val="single"/>
              </w:rPr>
              <w:t xml:space="preserve">   </w:t>
            </w: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pPr>
              <w:jc w:val="center"/>
            </w:pPr>
            <w:r>
              <w:rPr>
                <w:rFonts w:hint="eastAsia"/>
              </w:rPr>
              <mc:AlternateContent>
                <mc:Choice Requires="wps">
                  <w:drawing>
                    <wp:anchor distT="0" distB="0" distL="114300" distR="114300" simplePos="0" relativeHeight="251872256" behindDoc="0" locked="0" layoutInCell="1" allowOverlap="1">
                      <wp:simplePos x="0" y="0"/>
                      <wp:positionH relativeFrom="column">
                        <wp:posOffset>1066800</wp:posOffset>
                      </wp:positionH>
                      <wp:positionV relativeFrom="paragraph">
                        <wp:posOffset>-5715</wp:posOffset>
                      </wp:positionV>
                      <wp:extent cx="217805" cy="273685"/>
                      <wp:effectExtent l="0" t="0" r="0" b="0"/>
                      <wp:wrapNone/>
                      <wp:docPr id="2" name="矩形 2"/>
                      <wp:cNvGraphicFramePr/>
                      <a:graphic xmlns:a="http://schemas.openxmlformats.org/drawingml/2006/main">
                        <a:graphicData uri="http://schemas.microsoft.com/office/word/2010/wordprocessingShape">
                          <wps:wsp>
                            <wps:cNvSpPr/>
                            <wps:spPr>
                              <a:xfrm>
                                <a:off x="0" y="0"/>
                                <a:ext cx="217805" cy="273685"/>
                              </a:xfrm>
                              <a:prstGeom prst="rect">
                                <a:avLst/>
                              </a:prstGeom>
                              <a:noFill/>
                              <a:ln w="9525">
                                <a:noFill/>
                              </a:ln>
                            </wps:spPr>
                            <wps:txbx>
                              <w:txbxContent>
                                <w:p>
                                  <w:r>
                                    <w:rPr>
                                      <w:rFonts w:hint="eastAsia"/>
                                    </w:rPr>
                                    <w:t>度</w:t>
                                  </w:r>
                                </w:p>
                              </w:txbxContent>
                            </wps:txbx>
                            <wps:bodyPr upright="1"/>
                          </wps:wsp>
                        </a:graphicData>
                      </a:graphic>
                    </wp:anchor>
                  </w:drawing>
                </mc:Choice>
                <mc:Fallback>
                  <w:pict>
                    <v:rect id="_x0000_s1026" o:spid="_x0000_s1026" o:spt="1" style="position:absolute;left:0pt;margin-left:84pt;margin-top:-0.45pt;height:21.55pt;width:17.15pt;z-index:251872256;mso-width-relative:page;mso-height-relative:page;" filled="f" stroked="f" coordsize="21600,2160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MIDcOHZAAAACAEAAA8AAAAAAAAAAQAgAAAAIgAAAGRycy9kb3du&#10;cmV2LnhtbFBLAQIUABQAAAAIAIdO4kAeK6AqjAEAAPsCAAAOAAAAAAAAAAEAIAAAACgBAABkcnMv&#10;ZTJvRG9jLnhtbFBLBQYAAAAABgAGAFkBAAAmBQAAAAA=&#10;">
                      <v:fill on="f" focussize="0,0"/>
                      <v:stroke on="f"/>
                      <v:imagedata o:title=""/>
                      <o:lock v:ext="edit" aspectratio="f"/>
                      <v:textbox>
                        <w:txbxContent>
                          <w:p>
                            <w:r>
                              <w:rPr>
                                <w:rFonts w:hint="eastAsia"/>
                              </w:rPr>
                              <w:t>度</w:t>
                            </w:r>
                          </w:p>
                        </w:txbxContent>
                      </v:textbox>
                    </v:rect>
                  </w:pict>
                </mc:Fallback>
              </mc:AlternateContent>
            </w:r>
            <w:r>
              <w:rPr>
                <w:rFonts w:hint="eastAsia"/>
              </w:rPr>
              <w:t xml:space="preserve">     </w:t>
            </w:r>
          </w:p>
          <w:p/>
          <w:p>
            <w:r>
              <w:rPr>
                <w:rFonts w:hint="eastAsia"/>
              </w:rPr>
              <mc:AlternateContent>
                <mc:Choice Requires="wps">
                  <w:drawing>
                    <wp:anchor distT="0" distB="0" distL="114300" distR="114300" simplePos="0" relativeHeight="251873280" behindDoc="0" locked="0" layoutInCell="1" allowOverlap="1">
                      <wp:simplePos x="0" y="0"/>
                      <wp:positionH relativeFrom="column">
                        <wp:posOffset>-70485</wp:posOffset>
                      </wp:positionH>
                      <wp:positionV relativeFrom="paragraph">
                        <wp:posOffset>245745</wp:posOffset>
                      </wp:positionV>
                      <wp:extent cx="1141730" cy="5772150"/>
                      <wp:effectExtent l="0" t="0" r="0" b="0"/>
                      <wp:wrapNone/>
                      <wp:docPr id="8" name="矩形 8"/>
                      <wp:cNvGraphicFramePr/>
                      <a:graphic xmlns:a="http://schemas.openxmlformats.org/drawingml/2006/main">
                        <a:graphicData uri="http://schemas.microsoft.com/office/word/2010/wordprocessingShape">
                          <wps:wsp>
                            <wps:cNvSpPr/>
                            <wps:spPr>
                              <a:xfrm>
                                <a:off x="0" y="0"/>
                                <a:ext cx="1141730" cy="5772150"/>
                              </a:xfrm>
                              <a:prstGeom prst="rect">
                                <a:avLst/>
                              </a:prstGeom>
                              <a:noFill/>
                              <a:ln w="9525">
                                <a:noFill/>
                              </a:ln>
                            </wps:spPr>
                            <wps:txb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p>
                              </w:txbxContent>
                            </wps:txbx>
                            <wps:bodyPr upright="1"/>
                          </wps:wsp>
                        </a:graphicData>
                      </a:graphic>
                    </wp:anchor>
                  </w:drawing>
                </mc:Choice>
                <mc:Fallback>
                  <w:pict>
                    <v:rect id="_x0000_s1026" o:spid="_x0000_s1026" o:spt="1" style="position:absolute;left:0pt;margin-left:-5.55pt;margin-top:19.35pt;height:454.5pt;width:89.9pt;z-index:251873280;mso-width-relative:page;mso-height-relative:page;" filled="f" stroked="f" coordsize="21600,21600"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50fcONoAAAAKAQAADwAAAAAAAAABACAAAAAiAAAAZHJzL2Rv&#10;d25yZXYueG1sUEsBAhQAFAAAAAgAh07iQIH6wTWNAQAA/QIAAA4AAAAAAAAAAQAgAAAAKQEAAGRy&#10;cy9lMm9Eb2MueG1sUEsFBgAAAAAGAAYAWQEAACgFAAAAAA==&#10;">
                      <v:fill on="f" focussize="0,0"/>
                      <v:stroke on="f"/>
                      <v:imagedata o:title=""/>
                      <o:lock v:ext="edit" aspectratio="f"/>
                      <v:textbo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p>
                        </w:txbxContent>
                      </v:textbox>
                    </v:rect>
                  </w:pict>
                </mc:Fallback>
              </mc:AlternateContent>
            </w:r>
            <w:r>
              <w:rPr>
                <w:rFonts w:hint="eastAsia"/>
              </w:rPr>
              <w:t>进  度</w:t>
            </w:r>
          </w:p>
        </w:tc>
        <w:tc>
          <w:tcPr>
            <w:tcW w:w="1093" w:type="dxa"/>
            <w:gridSpan w:val="3"/>
            <w:vAlign w:val="center"/>
          </w:tcPr>
          <w:p>
            <w:pPr>
              <w:jc w:val="center"/>
            </w:pPr>
            <w:r>
              <w:rPr>
                <w:rFonts w:hint="eastAsia"/>
              </w:rPr>
              <w:t>一</w:t>
            </w:r>
          </w:p>
        </w:tc>
        <w:tc>
          <w:tcPr>
            <w:tcW w:w="1089" w:type="dxa"/>
            <w:gridSpan w:val="3"/>
            <w:vAlign w:val="center"/>
          </w:tcPr>
          <w:p>
            <w:pPr>
              <w:jc w:val="center"/>
            </w:pPr>
            <w:r>
              <w:rPr>
                <w:rFonts w:hint="eastAsia"/>
              </w:rPr>
              <w:t>二</w:t>
            </w:r>
          </w:p>
        </w:tc>
        <w:tc>
          <w:tcPr>
            <w:tcW w:w="1084" w:type="dxa"/>
            <w:gridSpan w:val="3"/>
            <w:vAlign w:val="center"/>
          </w:tcPr>
          <w:p>
            <w:pPr>
              <w:jc w:val="center"/>
            </w:pPr>
            <w:r>
              <w:rPr>
                <w:rFonts w:hint="eastAsia"/>
              </w:rPr>
              <w:t>三</w:t>
            </w:r>
          </w:p>
        </w:tc>
        <w:tc>
          <w:tcPr>
            <w:tcW w:w="1271" w:type="dxa"/>
            <w:gridSpan w:val="3"/>
            <w:vAlign w:val="center"/>
          </w:tcPr>
          <w:p>
            <w:pPr>
              <w:jc w:val="center"/>
            </w:pPr>
            <w:r>
              <w:rPr>
                <w:rFonts w:hint="eastAsia"/>
              </w:rPr>
              <w:t>四</w:t>
            </w:r>
          </w:p>
        </w:tc>
        <w:tc>
          <w:tcPr>
            <w:tcW w:w="1084" w:type="dxa"/>
            <w:gridSpan w:val="3"/>
            <w:vAlign w:val="center"/>
          </w:tcPr>
          <w:p>
            <w:pPr>
              <w:jc w:val="center"/>
            </w:pPr>
            <w:r>
              <w:rPr>
                <w:rFonts w:hint="eastAsia"/>
              </w:rPr>
              <w:t>一</w:t>
            </w:r>
          </w:p>
        </w:tc>
        <w:tc>
          <w:tcPr>
            <w:tcW w:w="1088" w:type="dxa"/>
            <w:gridSpan w:val="3"/>
            <w:vAlign w:val="center"/>
          </w:tcPr>
          <w:p>
            <w:pPr>
              <w:jc w:val="center"/>
            </w:pPr>
            <w:r>
              <w:rPr>
                <w:rFonts w:hint="eastAsia"/>
              </w:rPr>
              <w:t>二</w:t>
            </w:r>
          </w:p>
        </w:tc>
        <w:tc>
          <w:tcPr>
            <w:tcW w:w="724" w:type="dxa"/>
            <w:gridSpan w:val="2"/>
            <w:vAlign w:val="center"/>
          </w:tcPr>
          <w:p>
            <w:pPr>
              <w:jc w:val="center"/>
            </w:pPr>
            <w:r>
              <w:rPr>
                <w:rFonts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pPr>
              <w:jc w:val="center"/>
            </w:pPr>
          </w:p>
        </w:tc>
        <w:tc>
          <w:tcPr>
            <w:tcW w:w="361" w:type="dxa"/>
            <w:vAlign w:val="center"/>
          </w:tcPr>
          <w:p>
            <w:pPr>
              <w:jc w:val="center"/>
            </w:pPr>
            <w:r>
              <w:rPr>
                <w:rFonts w:hint="eastAsia"/>
              </w:rPr>
              <w:t>1</w:t>
            </w:r>
          </w:p>
        </w:tc>
        <w:tc>
          <w:tcPr>
            <w:tcW w:w="361" w:type="dxa"/>
            <w:vAlign w:val="center"/>
          </w:tcPr>
          <w:p>
            <w:pPr>
              <w:jc w:val="center"/>
            </w:pPr>
            <w:r>
              <w:rPr>
                <w:rFonts w:hint="eastAsia"/>
              </w:rPr>
              <w:t>2</w:t>
            </w:r>
          </w:p>
        </w:tc>
        <w:tc>
          <w:tcPr>
            <w:tcW w:w="371" w:type="dxa"/>
            <w:vAlign w:val="center"/>
          </w:tcPr>
          <w:p>
            <w:pPr>
              <w:jc w:val="center"/>
            </w:pPr>
            <w:r>
              <w:rPr>
                <w:rFonts w:hint="eastAsia"/>
              </w:rPr>
              <w:t>3</w:t>
            </w:r>
          </w:p>
        </w:tc>
        <w:tc>
          <w:tcPr>
            <w:tcW w:w="361" w:type="dxa"/>
            <w:vAlign w:val="center"/>
          </w:tcPr>
          <w:p>
            <w:pPr>
              <w:jc w:val="center"/>
            </w:pPr>
            <w:r>
              <w:rPr>
                <w:rFonts w:hint="eastAsia"/>
              </w:rPr>
              <w:t>4</w:t>
            </w:r>
          </w:p>
        </w:tc>
        <w:tc>
          <w:tcPr>
            <w:tcW w:w="361" w:type="dxa"/>
            <w:vAlign w:val="center"/>
          </w:tcPr>
          <w:p>
            <w:pPr>
              <w:jc w:val="center"/>
            </w:pPr>
            <w:r>
              <w:rPr>
                <w:rFonts w:hint="eastAsia"/>
              </w:rPr>
              <w:t>5</w:t>
            </w:r>
          </w:p>
        </w:tc>
        <w:tc>
          <w:tcPr>
            <w:tcW w:w="367" w:type="dxa"/>
            <w:vAlign w:val="center"/>
          </w:tcPr>
          <w:p>
            <w:pPr>
              <w:jc w:val="center"/>
            </w:pPr>
            <w:r>
              <w:rPr>
                <w:rFonts w:hint="eastAsia"/>
              </w:rPr>
              <w:t>6</w:t>
            </w:r>
          </w:p>
        </w:tc>
        <w:tc>
          <w:tcPr>
            <w:tcW w:w="360" w:type="dxa"/>
            <w:vAlign w:val="center"/>
          </w:tcPr>
          <w:p>
            <w:pPr>
              <w:jc w:val="center"/>
            </w:pPr>
            <w:r>
              <w:rPr>
                <w:rFonts w:hint="eastAsia"/>
              </w:rPr>
              <w:t>7</w:t>
            </w:r>
          </w:p>
        </w:tc>
        <w:tc>
          <w:tcPr>
            <w:tcW w:w="360" w:type="dxa"/>
            <w:vAlign w:val="center"/>
          </w:tcPr>
          <w:p>
            <w:pPr>
              <w:jc w:val="center"/>
            </w:pPr>
            <w:r>
              <w:rPr>
                <w:rFonts w:hint="eastAsia"/>
              </w:rPr>
              <w:t>8</w:t>
            </w:r>
          </w:p>
        </w:tc>
        <w:tc>
          <w:tcPr>
            <w:tcW w:w="364" w:type="dxa"/>
            <w:vAlign w:val="center"/>
          </w:tcPr>
          <w:p>
            <w:pPr>
              <w:jc w:val="center"/>
            </w:pPr>
            <w:r>
              <w:rPr>
                <w:rFonts w:hint="eastAsia"/>
              </w:rPr>
              <w:t>9</w:t>
            </w:r>
          </w:p>
        </w:tc>
        <w:tc>
          <w:tcPr>
            <w:tcW w:w="426" w:type="dxa"/>
            <w:vAlign w:val="center"/>
          </w:tcPr>
          <w:p>
            <w:pPr>
              <w:jc w:val="center"/>
            </w:pPr>
            <w:r>
              <w:rPr>
                <w:rFonts w:hint="eastAsia"/>
              </w:rPr>
              <w:t>10</w:t>
            </w:r>
          </w:p>
        </w:tc>
        <w:tc>
          <w:tcPr>
            <w:tcW w:w="419" w:type="dxa"/>
            <w:vAlign w:val="center"/>
          </w:tcPr>
          <w:p>
            <w:pPr>
              <w:jc w:val="center"/>
            </w:pPr>
            <w:r>
              <w:rPr>
                <w:rFonts w:hint="eastAsia"/>
              </w:rPr>
              <w:t>11</w:t>
            </w:r>
          </w:p>
        </w:tc>
        <w:tc>
          <w:tcPr>
            <w:tcW w:w="426" w:type="dxa"/>
            <w:vAlign w:val="center"/>
          </w:tcPr>
          <w:p>
            <w:pPr>
              <w:jc w:val="center"/>
            </w:pPr>
            <w:r>
              <w:rPr>
                <w:rFonts w:hint="eastAsia"/>
              </w:rPr>
              <w:t>12</w:t>
            </w:r>
          </w:p>
        </w:tc>
        <w:tc>
          <w:tcPr>
            <w:tcW w:w="360" w:type="dxa"/>
            <w:vAlign w:val="center"/>
          </w:tcPr>
          <w:p>
            <w:pPr>
              <w:jc w:val="center"/>
            </w:pPr>
            <w:r>
              <w:rPr>
                <w:rFonts w:hint="eastAsia"/>
              </w:rPr>
              <w:t>1</w:t>
            </w:r>
          </w:p>
        </w:tc>
        <w:tc>
          <w:tcPr>
            <w:tcW w:w="360" w:type="dxa"/>
            <w:vAlign w:val="center"/>
          </w:tcPr>
          <w:p>
            <w:pPr>
              <w:jc w:val="center"/>
            </w:pPr>
            <w:r>
              <w:rPr>
                <w:rFonts w:hint="eastAsia"/>
              </w:rPr>
              <w:t>2</w:t>
            </w:r>
          </w:p>
        </w:tc>
        <w:tc>
          <w:tcPr>
            <w:tcW w:w="364" w:type="dxa"/>
            <w:vAlign w:val="center"/>
          </w:tcPr>
          <w:p>
            <w:pPr>
              <w:jc w:val="center"/>
            </w:pPr>
            <w:r>
              <w:rPr>
                <w:rFonts w:hint="eastAsia"/>
              </w:rPr>
              <w:t>3</w:t>
            </w:r>
          </w:p>
        </w:tc>
        <w:tc>
          <w:tcPr>
            <w:tcW w:w="362" w:type="dxa"/>
            <w:vAlign w:val="center"/>
          </w:tcPr>
          <w:p>
            <w:pPr>
              <w:jc w:val="center"/>
            </w:pPr>
            <w:r>
              <w:rPr>
                <w:rFonts w:hint="eastAsia"/>
              </w:rPr>
              <w:t>4</w:t>
            </w:r>
          </w:p>
        </w:tc>
        <w:tc>
          <w:tcPr>
            <w:tcW w:w="362" w:type="dxa"/>
            <w:vAlign w:val="center"/>
          </w:tcPr>
          <w:p>
            <w:pPr>
              <w:jc w:val="center"/>
            </w:pPr>
            <w:r>
              <w:rPr>
                <w:rFonts w:hint="eastAsia"/>
              </w:rPr>
              <w:t>5</w:t>
            </w:r>
          </w:p>
        </w:tc>
        <w:tc>
          <w:tcPr>
            <w:tcW w:w="364" w:type="dxa"/>
            <w:vAlign w:val="center"/>
          </w:tcPr>
          <w:p>
            <w:pPr>
              <w:jc w:val="center"/>
            </w:pPr>
            <w:r>
              <w:rPr>
                <w:rFonts w:hint="eastAsia"/>
              </w:rPr>
              <w:t>6</w:t>
            </w:r>
          </w:p>
        </w:tc>
        <w:tc>
          <w:tcPr>
            <w:tcW w:w="724"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pPr>
            <w:r>
              <w:rPr>
                <w:rFonts w:hint="eastAsia"/>
              </w:rPr>
              <w:t>100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90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80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70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60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50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40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30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20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10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bl>
    <w:p>
      <w:r>
        <w:rPr>
          <w:rFonts w:hint="eastAsia" w:ascii="隶书" w:eastAsia="隶书"/>
          <w:sz w:val="24"/>
        </w:rPr>
        <mc:AlternateContent>
          <mc:Choice Requires="wps">
            <w:drawing>
              <wp:anchor distT="0" distB="0" distL="114300" distR="114300" simplePos="0" relativeHeight="251869184" behindDoc="0" locked="0" layoutInCell="1" allowOverlap="1">
                <wp:simplePos x="0" y="0"/>
                <wp:positionH relativeFrom="column">
                  <wp:posOffset>918845</wp:posOffset>
                </wp:positionH>
                <wp:positionV relativeFrom="paragraph">
                  <wp:posOffset>379095</wp:posOffset>
                </wp:positionV>
                <wp:extent cx="3657600" cy="2286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657600" cy="228600"/>
                        </a:xfrm>
                        <a:prstGeom prst="rect">
                          <a:avLst/>
                        </a:prstGeom>
                        <a:noFill/>
                        <a:ln w="9525">
                          <a:noFill/>
                        </a:ln>
                      </wps:spPr>
                      <wps:txbx>
                        <w:txbxContent>
                          <w:p>
                            <w:pPr>
                              <w:jc w:val="center"/>
                              <w:rPr>
                                <w:rFonts w:ascii="宋体" w:hAnsi="宋体"/>
                              </w:rPr>
                            </w:pPr>
                            <w:r>
                              <w:rPr>
                                <w:rFonts w:hint="eastAsia" w:ascii="宋体" w:hAnsi="宋体"/>
                              </w:rPr>
                              <w:t>工期历程的百分比（%）</w:t>
                            </w:r>
                          </w:p>
                        </w:txbxContent>
                      </wps:txbx>
                      <wps:bodyPr upright="1"/>
                    </wps:wsp>
                  </a:graphicData>
                </a:graphic>
              </wp:anchor>
            </w:drawing>
          </mc:Choice>
          <mc:Fallback>
            <w:pict>
              <v:shape id="_x0000_s1026" o:spid="_x0000_s1026" o:spt="202" type="#_x0000_t202" style="position:absolute;left:0pt;margin-left:72.35pt;margin-top:29.85pt;height:18pt;width:288pt;z-index:251869184;mso-width-relative:page;mso-height-relative:page;" filled="f" stroked="f" coordsize="21600,21600" o:gfxdata="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bpmHTWAAAACQEAAA8AAAAAAAAAAQAgAAAAIgAA&#10;AGRycy9kb3ducmV2LnhtbFBLAQIUABQAAAAIAIdO4kCUrcdTmAEAAAkDAAAOAAAAAAAAAAEAIAAA&#10;ACUBAABkcnMvZTJvRG9jLnhtbFBLBQYAAAAABgAGAFkBAAAvBQAAAAA=&#10;">
                <v:fill on="f" focussize="0,0"/>
                <v:stroke on="f"/>
                <v:imagedata o:title=""/>
                <o:lock v:ext="edit" aspectratio="f"/>
                <v:textbox>
                  <w:txbxContent>
                    <w:p>
                      <w:pPr>
                        <w:jc w:val="center"/>
                        <w:rPr>
                          <w:rFonts w:ascii="宋体" w:hAnsi="宋体"/>
                        </w:rPr>
                      </w:pPr>
                      <w:r>
                        <w:rPr>
                          <w:rFonts w:hint="eastAsia" w:ascii="宋体" w:hAnsi="宋体"/>
                        </w:rPr>
                        <w:t>工期历程的百分比（%）</w:t>
                      </w:r>
                    </w:p>
                  </w:txbxContent>
                </v:textbox>
              </v:shape>
            </w:pict>
          </mc:Fallback>
        </mc:AlternateContent>
      </w:r>
      <w:r>
        <mc:AlternateContent>
          <mc:Choice Requires="wps">
            <w:drawing>
              <wp:anchor distT="0" distB="0" distL="114300" distR="114300" simplePos="0" relativeHeight="251874304" behindDoc="0" locked="0" layoutInCell="1" allowOverlap="1">
                <wp:simplePos x="0" y="0"/>
                <wp:positionH relativeFrom="column">
                  <wp:posOffset>1149350</wp:posOffset>
                </wp:positionH>
                <wp:positionV relativeFrom="paragraph">
                  <wp:posOffset>20955</wp:posOffset>
                </wp:positionV>
                <wp:extent cx="5218430" cy="267335"/>
                <wp:effectExtent l="0" t="0" r="0" b="0"/>
                <wp:wrapNone/>
                <wp:docPr id="7" name="矩形 7"/>
                <wp:cNvGraphicFramePr/>
                <a:graphic xmlns:a="http://schemas.openxmlformats.org/drawingml/2006/main">
                  <a:graphicData uri="http://schemas.microsoft.com/office/word/2010/wordprocessingShape">
                    <wps:wsp>
                      <wps:cNvSpPr/>
                      <wps:spPr>
                        <a:xfrm>
                          <a:off x="0" y="0"/>
                          <a:ext cx="5218430" cy="267335"/>
                        </a:xfrm>
                        <a:prstGeom prst="rect">
                          <a:avLst/>
                        </a:prstGeom>
                        <a:noFill/>
                        <a:ln w="9525">
                          <a:noFill/>
                        </a:ln>
                      </wps:spPr>
                      <wps:txbx>
                        <w:txbxContent>
                          <w:p>
                            <w:r>
                              <w:rPr>
                                <w:rFonts w:hint="eastAsia"/>
                              </w:rPr>
                              <w:t>0     10     20     30     40      50     60     70     80     90    100</w:t>
                            </w:r>
                          </w:p>
                        </w:txbxContent>
                      </wps:txbx>
                      <wps:bodyPr upright="1"/>
                    </wps:wsp>
                  </a:graphicData>
                </a:graphic>
              </wp:anchor>
            </w:drawing>
          </mc:Choice>
          <mc:Fallback>
            <w:pict>
              <v:rect id="_x0000_s1026" o:spid="_x0000_s1026" o:spt="1" style="position:absolute;left:0pt;margin-left:90.5pt;margin-top:1.65pt;height:21.05pt;width:410.9pt;z-index:251874304;mso-width-relative:page;mso-height-relative:page;" filled="f" stroked="f" coordsize="21600,21600"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w/UCd2QAAAAkBAAAPAAAAAAAAAAEAIAAAACIAAABkcnMvZG93&#10;bnJldi54bWxQSwECFAAUAAAACACHTuJAl/PS940BAAD8AgAADgAAAAAAAAABACAAAAAoAQAAZHJz&#10;L2Uyb0RvYy54bWxQSwUGAAAAAAYABgBZAQAAJwUAAAAA&#10;">
                <v:fill on="f" focussize="0,0"/>
                <v:stroke on="f"/>
                <v:imagedata o:title=""/>
                <o:lock v:ext="edit" aspectratio="f"/>
                <v:textbox>
                  <w:txbxContent>
                    <w:p>
                      <w:r>
                        <w:rPr>
                          <w:rFonts w:hint="eastAsia"/>
                        </w:rPr>
                        <w:t>0     10     20     30     40      50     60     70     80     90    100</w:t>
                      </w:r>
                    </w:p>
                  </w:txbxContent>
                </v:textbox>
              </v:rect>
            </w:pict>
          </mc:Fallback>
        </mc:AlternateContent>
      </w:r>
      <w:r>
        <w:rPr>
          <w:rFonts w:hint="eastAsia"/>
        </w:rPr>
        <w:t xml:space="preserve">                 </w:t>
      </w:r>
    </w:p>
    <w:p/>
    <w:p/>
    <w:p/>
    <w:p/>
    <w:p/>
    <w:p/>
    <w:p/>
    <w:p/>
    <w:p/>
    <w:p/>
    <w:p/>
    <w:p>
      <w:pPr>
        <w:pStyle w:val="4"/>
        <w:spacing w:before="120" w:beforeLines="50" w:after="0" w:line="400" w:lineRule="exact"/>
        <w:rPr>
          <w:rFonts w:ascii="Arial" w:hAnsi="Arial" w:eastAsia="黑体"/>
          <w:kern w:val="2"/>
          <w:sz w:val="28"/>
          <w:szCs w:val="28"/>
        </w:rPr>
        <w:sectPr>
          <w:footnotePr>
            <w:numFmt w:val="decimalEnclosedCircleChinese"/>
            <w:numRestart w:val="eachPage"/>
          </w:footnotePr>
          <w:pgSz w:w="11907" w:h="16840"/>
          <w:pgMar w:top="1440" w:right="1361" w:bottom="1440" w:left="1361" w:header="720" w:footer="907" w:gutter="0"/>
          <w:cols w:space="720" w:num="1"/>
        </w:sectPr>
      </w:pPr>
    </w:p>
    <w:p>
      <w:pPr>
        <w:pStyle w:val="4"/>
        <w:spacing w:before="120" w:beforeLines="50" w:after="240" w:line="400" w:lineRule="exact"/>
        <w:rPr>
          <w:rFonts w:ascii="Arial" w:hAnsi="Arial" w:eastAsia="黑体"/>
          <w:kern w:val="2"/>
          <w:sz w:val="28"/>
          <w:szCs w:val="28"/>
        </w:rPr>
      </w:pPr>
      <w:bookmarkStart w:id="116" w:name="_Toc528314466"/>
      <w:r>
        <w:rPr>
          <w:rFonts w:ascii="Arial" w:hAnsi="Arial" w:eastAsia="黑体"/>
          <w:kern w:val="2"/>
          <w:sz w:val="28"/>
          <w:szCs w:val="28"/>
        </w:rPr>
        <w:t>附表四</w:t>
      </w:r>
      <w:r>
        <w:rPr>
          <w:rFonts w:hint="eastAsia" w:ascii="Arial" w:hAnsi="Arial" w:eastAsia="黑体"/>
          <w:kern w:val="2"/>
          <w:sz w:val="28"/>
          <w:szCs w:val="28"/>
        </w:rPr>
        <w:t xml:space="preserve">   分项工程生产率和施工周期表</w:t>
      </w:r>
      <w:bookmarkEnd w:id="116"/>
    </w:p>
    <w:tbl>
      <w:tblPr>
        <w:tblStyle w:val="13"/>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szCs w:val="21"/>
              </w:rPr>
            </w:pPr>
            <w:r>
              <w:rPr>
                <w:rFonts w:hint="eastAsia" w:ascii="宋体" w:hAnsi="宋体"/>
                <w:szCs w:val="21"/>
              </w:rPr>
              <w:t>序号</w:t>
            </w:r>
          </w:p>
        </w:tc>
        <w:tc>
          <w:tcPr>
            <w:tcW w:w="2125" w:type="dxa"/>
            <w:vAlign w:val="center"/>
          </w:tcPr>
          <w:p>
            <w:pPr>
              <w:jc w:val="center"/>
              <w:rPr>
                <w:rFonts w:ascii="宋体" w:hAnsi="宋体"/>
                <w:szCs w:val="21"/>
              </w:rPr>
            </w:pPr>
            <w:r>
              <w:rPr>
                <w:rFonts w:hint="eastAsia" w:ascii="宋体" w:hAnsi="宋体"/>
                <w:szCs w:val="21"/>
              </w:rPr>
              <w:t>工程项目</w:t>
            </w:r>
          </w:p>
        </w:tc>
        <w:tc>
          <w:tcPr>
            <w:tcW w:w="923" w:type="dxa"/>
            <w:vAlign w:val="center"/>
          </w:tcPr>
          <w:p>
            <w:pPr>
              <w:jc w:val="center"/>
              <w:rPr>
                <w:rFonts w:ascii="宋体" w:hAnsi="宋体"/>
                <w:szCs w:val="21"/>
              </w:rPr>
            </w:pPr>
            <w:r>
              <w:rPr>
                <w:rFonts w:hint="eastAsia" w:ascii="宋体" w:hAnsi="宋体"/>
                <w:szCs w:val="21"/>
              </w:rPr>
              <w:t>单位</w:t>
            </w:r>
          </w:p>
        </w:tc>
        <w:tc>
          <w:tcPr>
            <w:tcW w:w="923" w:type="dxa"/>
            <w:vAlign w:val="center"/>
          </w:tcPr>
          <w:p>
            <w:pPr>
              <w:jc w:val="center"/>
              <w:rPr>
                <w:rFonts w:ascii="宋体" w:hAnsi="宋体"/>
                <w:szCs w:val="21"/>
              </w:rPr>
            </w:pPr>
            <w:r>
              <w:rPr>
                <w:rFonts w:hint="eastAsia" w:ascii="宋体" w:hAnsi="宋体"/>
                <w:szCs w:val="21"/>
              </w:rPr>
              <w:t>数量</w:t>
            </w:r>
          </w:p>
        </w:tc>
        <w:tc>
          <w:tcPr>
            <w:tcW w:w="3400" w:type="dxa"/>
            <w:vAlign w:val="center"/>
          </w:tcPr>
          <w:p>
            <w:pPr>
              <w:jc w:val="center"/>
              <w:rPr>
                <w:rFonts w:ascii="宋体" w:hAnsi="宋体"/>
                <w:szCs w:val="21"/>
              </w:rPr>
            </w:pPr>
            <w:r>
              <w:rPr>
                <w:rFonts w:hint="eastAsia" w:ascii="宋体" w:hAnsi="宋体"/>
                <w:szCs w:val="21"/>
              </w:rPr>
              <w:t>平均每生产单位规模（</w:t>
            </w:r>
            <w:r>
              <w:rPr>
                <w:rFonts w:hint="eastAsia" w:ascii="宋体" w:hAnsi="宋体"/>
                <w:szCs w:val="21"/>
                <w:u w:val="single"/>
              </w:rPr>
              <w:t xml:space="preserve">    </w:t>
            </w:r>
            <w:r>
              <w:rPr>
                <w:rFonts w:hint="eastAsia" w:ascii="宋体" w:hAnsi="宋体"/>
                <w:szCs w:val="21"/>
              </w:rPr>
              <w:t>人，各种机械</w:t>
            </w:r>
            <w:r>
              <w:rPr>
                <w:rFonts w:hint="eastAsia" w:ascii="宋体" w:hAnsi="宋体"/>
                <w:szCs w:val="21"/>
                <w:u w:val="single"/>
              </w:rPr>
              <w:t xml:space="preserve">    </w:t>
            </w:r>
            <w:r>
              <w:rPr>
                <w:rFonts w:hint="eastAsia" w:ascii="宋体" w:hAnsi="宋体"/>
                <w:szCs w:val="21"/>
              </w:rPr>
              <w:t>台）</w:t>
            </w:r>
          </w:p>
        </w:tc>
        <w:tc>
          <w:tcPr>
            <w:tcW w:w="2185" w:type="dxa"/>
            <w:vAlign w:val="center"/>
          </w:tcPr>
          <w:p>
            <w:pPr>
              <w:jc w:val="center"/>
              <w:rPr>
                <w:rFonts w:ascii="宋体" w:hAnsi="宋体"/>
                <w:szCs w:val="21"/>
              </w:rPr>
            </w:pPr>
            <w:r>
              <w:rPr>
                <w:rFonts w:hint="eastAsia" w:ascii="宋体" w:hAnsi="宋体"/>
                <w:szCs w:val="21"/>
              </w:rPr>
              <w:t>平均每生产单位生产率（数量，每周）</w:t>
            </w:r>
          </w:p>
        </w:tc>
        <w:tc>
          <w:tcPr>
            <w:tcW w:w="2185" w:type="dxa"/>
            <w:vAlign w:val="center"/>
          </w:tcPr>
          <w:p>
            <w:pPr>
              <w:jc w:val="center"/>
              <w:rPr>
                <w:rFonts w:ascii="宋体" w:hAnsi="宋体"/>
                <w:szCs w:val="21"/>
              </w:rPr>
            </w:pPr>
            <w:r>
              <w:rPr>
                <w:rFonts w:hint="eastAsia" w:ascii="宋体" w:hAnsi="宋体"/>
                <w:szCs w:val="21"/>
              </w:rPr>
              <w:t>每生产单位</w:t>
            </w:r>
          </w:p>
          <w:p>
            <w:pPr>
              <w:jc w:val="center"/>
              <w:rPr>
                <w:rFonts w:ascii="宋体" w:hAnsi="宋体"/>
                <w:szCs w:val="21"/>
              </w:rPr>
            </w:pPr>
            <w:r>
              <w:rPr>
                <w:rFonts w:hint="eastAsia" w:ascii="宋体" w:hAnsi="宋体"/>
                <w:szCs w:val="21"/>
              </w:rPr>
              <w:t>平均施工时间（周）</w:t>
            </w:r>
          </w:p>
        </w:tc>
        <w:tc>
          <w:tcPr>
            <w:tcW w:w="2185" w:type="dxa"/>
            <w:vAlign w:val="center"/>
          </w:tcPr>
          <w:p>
            <w:pPr>
              <w:jc w:val="center"/>
              <w:rPr>
                <w:rFonts w:ascii="宋体" w:hAnsi="宋体"/>
                <w:szCs w:val="21"/>
              </w:rPr>
            </w:pPr>
            <w:r>
              <w:rPr>
                <w:rFonts w:hint="eastAsia" w:ascii="宋体" w:hAnsi="宋体"/>
                <w:szCs w:val="21"/>
              </w:rPr>
              <w:t>生产单位总数</w:t>
            </w:r>
          </w:p>
          <w:p>
            <w:pPr>
              <w:jc w:val="center"/>
              <w:rPr>
                <w:rFonts w:ascii="宋体" w:hAnsi="宋体"/>
                <w:szCs w:val="21"/>
              </w:rPr>
            </w:pPr>
            <w:r>
              <w:rPr>
                <w:rFonts w:hint="eastAsia" w:ascii="宋体" w:hAnsi="宋体"/>
                <w:szCs w:val="21"/>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1</w:t>
            </w:r>
          </w:p>
        </w:tc>
        <w:tc>
          <w:tcPr>
            <w:tcW w:w="2125" w:type="dxa"/>
            <w:vAlign w:val="center"/>
          </w:tcPr>
          <w:p>
            <w:pPr>
              <w:ind w:left="113"/>
              <w:rPr>
                <w:rFonts w:ascii="宋体" w:hAnsi="宋体"/>
                <w:szCs w:val="21"/>
              </w:rPr>
            </w:pPr>
            <w:r>
              <w:rPr>
                <w:rFonts w:hint="eastAsia" w:ascii="宋体" w:hAnsi="宋体"/>
                <w:szCs w:val="21"/>
              </w:rPr>
              <w:t>特殊路基处理</w:t>
            </w:r>
          </w:p>
        </w:tc>
        <w:tc>
          <w:tcPr>
            <w:tcW w:w="923" w:type="dxa"/>
            <w:vAlign w:val="center"/>
          </w:tcPr>
          <w:p>
            <w:pPr>
              <w:jc w:val="center"/>
              <w:rPr>
                <w:rFonts w:ascii="宋体" w:hAnsi="宋体"/>
                <w:szCs w:val="21"/>
              </w:rPr>
            </w:pPr>
            <w:r>
              <w:rPr>
                <w:rFonts w:hint="eastAsia" w:ascii="宋体" w:hAnsi="宋体"/>
                <w:szCs w:val="21"/>
              </w:rPr>
              <w:t>公里</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2</w:t>
            </w:r>
          </w:p>
        </w:tc>
        <w:tc>
          <w:tcPr>
            <w:tcW w:w="2125" w:type="dxa"/>
            <w:vAlign w:val="center"/>
          </w:tcPr>
          <w:p>
            <w:pPr>
              <w:ind w:left="113"/>
              <w:rPr>
                <w:rFonts w:ascii="宋体" w:hAnsi="宋体"/>
                <w:szCs w:val="21"/>
              </w:rPr>
            </w:pPr>
            <w:r>
              <w:rPr>
                <w:rFonts w:hint="eastAsia" w:ascii="宋体" w:hAnsi="宋体"/>
                <w:szCs w:val="21"/>
              </w:rPr>
              <w:t>路基填筑</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3</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3</w:t>
            </w:r>
          </w:p>
        </w:tc>
        <w:tc>
          <w:tcPr>
            <w:tcW w:w="2125" w:type="dxa"/>
            <w:vAlign w:val="center"/>
          </w:tcPr>
          <w:p>
            <w:pPr>
              <w:ind w:left="113"/>
              <w:rPr>
                <w:rFonts w:ascii="宋体" w:hAnsi="宋体"/>
                <w:szCs w:val="21"/>
              </w:rPr>
            </w:pPr>
            <w:r>
              <w:rPr>
                <w:rFonts w:hint="eastAsia" w:ascii="宋体" w:hAnsi="宋体"/>
                <w:szCs w:val="21"/>
              </w:rPr>
              <w:t>路面基层</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4</w:t>
            </w:r>
          </w:p>
        </w:tc>
        <w:tc>
          <w:tcPr>
            <w:tcW w:w="2125" w:type="dxa"/>
            <w:vAlign w:val="center"/>
          </w:tcPr>
          <w:p>
            <w:pPr>
              <w:ind w:left="113"/>
              <w:rPr>
                <w:rFonts w:ascii="宋体" w:hAnsi="宋体"/>
                <w:szCs w:val="21"/>
              </w:rPr>
            </w:pPr>
            <w:r>
              <w:rPr>
                <w:rFonts w:hint="eastAsia" w:ascii="宋体" w:hAnsi="宋体"/>
                <w:szCs w:val="21"/>
              </w:rPr>
              <w:t>路面面层</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5</w:t>
            </w:r>
          </w:p>
        </w:tc>
        <w:tc>
          <w:tcPr>
            <w:tcW w:w="2125" w:type="dxa"/>
            <w:vAlign w:val="center"/>
          </w:tcPr>
          <w:p>
            <w:pPr>
              <w:ind w:left="113"/>
              <w:rPr>
                <w:rFonts w:ascii="宋体" w:hAnsi="宋体"/>
                <w:szCs w:val="21"/>
              </w:rPr>
            </w:pPr>
            <w:r>
              <w:rPr>
                <w:rFonts w:hint="eastAsia" w:ascii="宋体" w:hAnsi="宋体"/>
                <w:szCs w:val="21"/>
              </w:rPr>
              <w:t>路基防护及排水</w:t>
            </w:r>
          </w:p>
        </w:tc>
        <w:tc>
          <w:tcPr>
            <w:tcW w:w="923" w:type="dxa"/>
            <w:vAlign w:val="center"/>
          </w:tcPr>
          <w:p>
            <w:pPr>
              <w:jc w:val="center"/>
              <w:rPr>
                <w:rFonts w:ascii="宋体" w:hAnsi="宋体"/>
                <w:szCs w:val="21"/>
              </w:rPr>
            </w:pPr>
            <w:r>
              <w:rPr>
                <w:rFonts w:hint="eastAsia" w:ascii="宋体" w:hAnsi="宋体"/>
                <w:szCs w:val="21"/>
              </w:rPr>
              <w:t>km</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6</w:t>
            </w:r>
          </w:p>
        </w:tc>
        <w:tc>
          <w:tcPr>
            <w:tcW w:w="2125" w:type="dxa"/>
            <w:vAlign w:val="center"/>
          </w:tcPr>
          <w:p>
            <w:pPr>
              <w:ind w:left="113"/>
              <w:rPr>
                <w:rFonts w:ascii="宋体" w:hAnsi="宋体"/>
                <w:szCs w:val="21"/>
              </w:rPr>
            </w:pPr>
            <w:r>
              <w:rPr>
                <w:rFonts w:hint="eastAsia" w:ascii="宋体" w:hAnsi="宋体"/>
                <w:szCs w:val="21"/>
              </w:rPr>
              <w:t>涵洞</w:t>
            </w:r>
          </w:p>
        </w:tc>
        <w:tc>
          <w:tcPr>
            <w:tcW w:w="923" w:type="dxa"/>
            <w:vAlign w:val="center"/>
          </w:tcPr>
          <w:p>
            <w:pPr>
              <w:jc w:val="center"/>
              <w:rPr>
                <w:rFonts w:ascii="宋体" w:hAnsi="宋体"/>
                <w:szCs w:val="21"/>
              </w:rPr>
            </w:pPr>
            <w:r>
              <w:rPr>
                <w:rFonts w:hint="eastAsia" w:ascii="宋体" w:hAnsi="宋体"/>
                <w:szCs w:val="21"/>
              </w:rPr>
              <w:t>道</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7</w:t>
            </w:r>
          </w:p>
        </w:tc>
        <w:tc>
          <w:tcPr>
            <w:tcW w:w="2125" w:type="dxa"/>
            <w:vAlign w:val="center"/>
          </w:tcPr>
          <w:p>
            <w:pPr>
              <w:ind w:left="113"/>
              <w:rPr>
                <w:rFonts w:ascii="宋体" w:hAnsi="宋体"/>
                <w:szCs w:val="21"/>
              </w:rPr>
            </w:pPr>
            <w:r>
              <w:rPr>
                <w:rFonts w:hint="eastAsia" w:ascii="宋体" w:hAnsi="宋体"/>
                <w:szCs w:val="21"/>
              </w:rPr>
              <w:t>通道</w:t>
            </w:r>
          </w:p>
        </w:tc>
        <w:tc>
          <w:tcPr>
            <w:tcW w:w="923" w:type="dxa"/>
            <w:vAlign w:val="center"/>
          </w:tcPr>
          <w:p>
            <w:pPr>
              <w:jc w:val="center"/>
              <w:rPr>
                <w:rFonts w:ascii="宋体" w:hAnsi="宋体"/>
                <w:szCs w:val="21"/>
              </w:rPr>
            </w:pPr>
            <w:r>
              <w:rPr>
                <w:rFonts w:hint="eastAsia" w:ascii="宋体" w:hAnsi="宋体"/>
                <w:szCs w:val="21"/>
              </w:rPr>
              <w:t>道</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8</w:t>
            </w:r>
          </w:p>
        </w:tc>
        <w:tc>
          <w:tcPr>
            <w:tcW w:w="2125" w:type="dxa"/>
            <w:vAlign w:val="center"/>
          </w:tcPr>
          <w:p>
            <w:pPr>
              <w:ind w:left="113"/>
              <w:rPr>
                <w:rFonts w:ascii="宋体" w:hAnsi="宋体"/>
                <w:szCs w:val="21"/>
              </w:rPr>
            </w:pPr>
            <w:r>
              <w:rPr>
                <w:rFonts w:hint="eastAsia" w:ascii="宋体" w:hAnsi="宋体"/>
                <w:szCs w:val="21"/>
              </w:rPr>
              <w:t>桥梁基桩</w:t>
            </w:r>
          </w:p>
        </w:tc>
        <w:tc>
          <w:tcPr>
            <w:tcW w:w="923" w:type="dxa"/>
            <w:vAlign w:val="center"/>
          </w:tcPr>
          <w:p>
            <w:pPr>
              <w:jc w:val="center"/>
              <w:rPr>
                <w:rFonts w:ascii="宋体" w:hAnsi="宋体"/>
                <w:szCs w:val="21"/>
              </w:rPr>
            </w:pPr>
            <w:r>
              <w:rPr>
                <w:rFonts w:hint="eastAsia" w:ascii="宋体" w:hAnsi="宋体"/>
                <w:szCs w:val="21"/>
              </w:rPr>
              <w:t>根</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9</w:t>
            </w:r>
          </w:p>
        </w:tc>
        <w:tc>
          <w:tcPr>
            <w:tcW w:w="2125" w:type="dxa"/>
            <w:vAlign w:val="center"/>
          </w:tcPr>
          <w:p>
            <w:pPr>
              <w:ind w:left="113"/>
              <w:rPr>
                <w:rFonts w:ascii="宋体" w:hAnsi="宋体"/>
                <w:szCs w:val="21"/>
              </w:rPr>
            </w:pPr>
            <w:r>
              <w:rPr>
                <w:rFonts w:hint="eastAsia" w:ascii="宋体" w:hAnsi="宋体"/>
                <w:szCs w:val="21"/>
              </w:rPr>
              <w:t>桥梁墩台</w:t>
            </w:r>
          </w:p>
        </w:tc>
        <w:tc>
          <w:tcPr>
            <w:tcW w:w="923" w:type="dxa"/>
            <w:vAlign w:val="center"/>
          </w:tcPr>
          <w:p>
            <w:pPr>
              <w:jc w:val="center"/>
              <w:rPr>
                <w:rFonts w:ascii="宋体" w:hAnsi="宋体"/>
                <w:szCs w:val="21"/>
              </w:rPr>
            </w:pPr>
            <w:r>
              <w:rPr>
                <w:rFonts w:hint="eastAsia" w:ascii="宋体" w:hAnsi="宋体"/>
                <w:szCs w:val="21"/>
              </w:rPr>
              <w:t>座</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10</w:t>
            </w:r>
          </w:p>
        </w:tc>
        <w:tc>
          <w:tcPr>
            <w:tcW w:w="2125" w:type="dxa"/>
            <w:vAlign w:val="center"/>
          </w:tcPr>
          <w:p>
            <w:pPr>
              <w:ind w:left="113"/>
              <w:rPr>
                <w:rFonts w:ascii="宋体" w:hAnsi="宋体"/>
                <w:szCs w:val="21"/>
              </w:rPr>
            </w:pPr>
            <w:r>
              <w:rPr>
                <w:rFonts w:hint="eastAsia" w:ascii="宋体" w:hAnsi="宋体"/>
                <w:szCs w:val="21"/>
              </w:rPr>
              <w:t>梁体预制安装</w:t>
            </w:r>
          </w:p>
        </w:tc>
        <w:tc>
          <w:tcPr>
            <w:tcW w:w="923" w:type="dxa"/>
            <w:vAlign w:val="center"/>
          </w:tcPr>
          <w:p>
            <w:pPr>
              <w:jc w:val="center"/>
              <w:rPr>
                <w:rFonts w:ascii="宋体" w:hAnsi="宋体"/>
                <w:szCs w:val="21"/>
              </w:rPr>
            </w:pPr>
            <w:r>
              <w:rPr>
                <w:rFonts w:hint="eastAsia" w:ascii="宋体" w:hAnsi="宋体"/>
                <w:szCs w:val="21"/>
              </w:rPr>
              <w:t>片</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bl>
    <w:p>
      <w:pPr>
        <w:rPr>
          <w:rFonts w:ascii="宋体" w:hAnsi="宋体"/>
          <w:szCs w:val="21"/>
        </w:rPr>
      </w:pPr>
      <w:r>
        <w:rPr>
          <w:rFonts w:hint="eastAsia" w:ascii="宋体" w:hAnsi="宋体"/>
          <w:szCs w:val="21"/>
        </w:rPr>
        <w:t>说明：互通立交、分离立交的匝道、匝道涵洞、通道、桥梁分别归入表中相关的项目内。</w:t>
      </w:r>
    </w:p>
    <w:p>
      <w:pPr>
        <w:rPr>
          <w:rFonts w:ascii="宋体" w:hAnsi="宋体"/>
          <w:szCs w:val="21"/>
        </w:rPr>
        <w:sectPr>
          <w:footnotePr>
            <w:numFmt w:val="decimalEnclosedCircleChinese"/>
            <w:numRestart w:val="eachPage"/>
          </w:footnotePr>
          <w:type w:val="nextColumn"/>
          <w:pgSz w:w="16840" w:h="11907" w:orient="landscape"/>
          <w:pgMar w:top="1361" w:right="1440" w:bottom="1361" w:left="1440" w:header="720" w:footer="907" w:gutter="0"/>
          <w:cols w:space="720" w:num="1"/>
        </w:sectPr>
      </w:pPr>
    </w:p>
    <w:p>
      <w:pPr>
        <w:pStyle w:val="4"/>
        <w:spacing w:before="120" w:beforeLines="50" w:after="240" w:line="400" w:lineRule="exact"/>
        <w:rPr>
          <w:rFonts w:ascii="Arial" w:hAnsi="Arial" w:eastAsia="黑体"/>
          <w:kern w:val="2"/>
          <w:sz w:val="28"/>
          <w:szCs w:val="28"/>
        </w:rPr>
      </w:pPr>
      <w:bookmarkStart w:id="117" w:name="_Toc528314467"/>
      <w:r>
        <w:rPr>
          <w:rFonts w:ascii="Arial" w:hAnsi="Arial" w:eastAsia="黑体"/>
          <w:kern w:val="2"/>
          <w:sz w:val="28"/>
          <w:szCs w:val="28"/>
        </w:rPr>
        <w:t>附表五</w:t>
      </w:r>
      <w:r>
        <w:rPr>
          <w:rFonts w:hint="eastAsia" w:ascii="Arial" w:hAnsi="Arial" w:eastAsia="黑体"/>
          <w:kern w:val="2"/>
          <w:sz w:val="28"/>
          <w:szCs w:val="28"/>
        </w:rPr>
        <w:t xml:space="preserve">   </w:t>
      </w:r>
      <w:r>
        <w:rPr>
          <w:rFonts w:ascii="Arial" w:hAnsi="Arial" w:eastAsia="黑体"/>
          <w:kern w:val="2"/>
          <w:sz w:val="28"/>
          <w:szCs w:val="28"/>
        </w:rPr>
        <w:t>施工总平面图</w:t>
      </w:r>
      <w:bookmarkEnd w:id="117"/>
    </w:p>
    <w:p>
      <w:pPr>
        <w:rPr>
          <w:rFonts w:ascii="宋体" w:hAnsi="宋体"/>
          <w:sz w:val="24"/>
        </w:rPr>
      </w:pPr>
    </w:p>
    <w:p>
      <w:pPr>
        <w:spacing w:line="400" w:lineRule="exact"/>
        <w:ind w:firstLine="480" w:firstLineChars="200"/>
        <w:rPr>
          <w:rFonts w:ascii="宋体" w:hAnsi="宋体"/>
          <w:sz w:val="24"/>
        </w:rPr>
      </w:pPr>
      <w:r>
        <w:rPr>
          <w:rFonts w:ascii="宋体" w:hAnsi="宋体"/>
          <w:sz w:val="24"/>
        </w:rPr>
        <w:t>投标人应递交一份施工总平面图，绘出现场临时设施布置图表并附文字说明，说明</w:t>
      </w:r>
      <w:r>
        <w:rPr>
          <w:rFonts w:hint="eastAsia" w:ascii="宋体" w:hAnsi="宋体"/>
          <w:sz w:val="24"/>
        </w:rPr>
        <w:t>施工营地、料场、</w:t>
      </w:r>
      <w:r>
        <w:rPr>
          <w:rFonts w:ascii="宋体" w:hAnsi="宋体"/>
          <w:sz w:val="24"/>
        </w:rPr>
        <w:t>临时设施、加工车间、现场办公、设备及仓储、供电、供水、卫生、生活、道路、消防等设施的情况和布置。</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4"/>
        <w:spacing w:before="120" w:beforeLines="50" w:after="240" w:line="400" w:lineRule="exact"/>
        <w:rPr>
          <w:rFonts w:ascii="Arial" w:hAnsi="Arial" w:eastAsia="黑体"/>
          <w:kern w:val="2"/>
          <w:sz w:val="28"/>
          <w:szCs w:val="28"/>
        </w:rPr>
      </w:pPr>
      <w:bookmarkStart w:id="118" w:name="_Toc528314468"/>
      <w:r>
        <w:rPr>
          <w:rFonts w:ascii="Arial" w:hAnsi="Arial" w:eastAsia="黑体"/>
          <w:kern w:val="2"/>
          <w:sz w:val="28"/>
          <w:szCs w:val="28"/>
        </w:rPr>
        <w:t>附表</w:t>
      </w:r>
      <w:r>
        <w:rPr>
          <w:rFonts w:hint="eastAsia" w:ascii="Arial" w:hAnsi="Arial" w:eastAsia="黑体"/>
          <w:kern w:val="2"/>
          <w:sz w:val="28"/>
          <w:szCs w:val="28"/>
        </w:rPr>
        <w:t>六   劳动力计划表</w:t>
      </w:r>
      <w:bookmarkEnd w:id="118"/>
    </w:p>
    <w:p>
      <w:pPr>
        <w:jc w:val="right"/>
        <w:rPr>
          <w:rFonts w:ascii="宋体" w:hAnsi="宋体"/>
          <w:sz w:val="24"/>
        </w:rPr>
      </w:pPr>
      <w:r>
        <w:rPr>
          <w:rFonts w:hint="eastAsia" w:ascii="宋体" w:hAnsi="宋体"/>
          <w:sz w:val="24"/>
        </w:rPr>
        <w:t>单位：人</w:t>
      </w:r>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Cs w:val="21"/>
              </w:rPr>
            </w:pPr>
            <w:r>
              <w:rPr>
                <w:rFonts w:hint="eastAsia" w:ascii="宋体" w:hAnsi="宋体"/>
                <w:szCs w:val="21"/>
              </w:rPr>
              <w:t>工种</w:t>
            </w:r>
          </w:p>
        </w:tc>
        <w:tc>
          <w:tcPr>
            <w:tcW w:w="8434" w:type="dxa"/>
            <w:gridSpan w:val="7"/>
            <w:vAlign w:val="center"/>
          </w:tcPr>
          <w:p>
            <w:pPr>
              <w:jc w:val="center"/>
              <w:rPr>
                <w:rFonts w:ascii="宋体" w:hAnsi="宋体"/>
                <w:szCs w:val="21"/>
              </w:rPr>
            </w:pPr>
            <w:r>
              <w:rPr>
                <w:rFonts w:hint="eastAsia" w:ascii="宋体" w:hAnsi="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bl>
    <w:p>
      <w:pPr>
        <w:ind w:firstLine="6600" w:firstLineChars="2750"/>
        <w:rPr>
          <w:rFonts w:ascii="宋体" w:hAnsi="宋体"/>
          <w:sz w:val="24"/>
        </w:rPr>
      </w:pPr>
    </w:p>
    <w:p>
      <w:pPr>
        <w:pStyle w:val="4"/>
        <w:spacing w:before="120" w:beforeLines="50" w:after="240" w:line="400" w:lineRule="exact"/>
        <w:rPr>
          <w:rFonts w:ascii="Arial" w:hAnsi="Arial" w:eastAsia="黑体"/>
          <w:kern w:val="2"/>
          <w:sz w:val="28"/>
          <w:szCs w:val="28"/>
        </w:rPr>
      </w:pPr>
      <w:r>
        <w:rPr>
          <w:rFonts w:ascii="宋体"/>
          <w:sz w:val="24"/>
        </w:rPr>
        <w:br w:type="page"/>
      </w:r>
      <w:bookmarkStart w:id="119" w:name="_Toc528314469"/>
      <w:r>
        <w:rPr>
          <w:rFonts w:ascii="Arial" w:hAnsi="Arial" w:eastAsia="黑体"/>
          <w:kern w:val="2"/>
          <w:sz w:val="28"/>
          <w:szCs w:val="28"/>
        </w:rPr>
        <w:t>附表</w:t>
      </w:r>
      <w:r>
        <w:rPr>
          <w:rFonts w:hint="eastAsia" w:ascii="Arial" w:hAnsi="Arial" w:eastAsia="黑体"/>
          <w:kern w:val="2"/>
          <w:sz w:val="28"/>
          <w:szCs w:val="28"/>
        </w:rPr>
        <w:t>七  临时占地计划表</w:t>
      </w:r>
      <w:bookmarkEnd w:id="119"/>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szCs w:val="21"/>
              </w:rPr>
            </w:pPr>
            <w:r>
              <w:rPr>
                <w:rFonts w:hint="eastAsia" w:ascii="宋体" w:hAnsi="宋体"/>
                <w:szCs w:val="21"/>
              </w:rPr>
              <w:t>用   途</w:t>
            </w:r>
          </w:p>
        </w:tc>
        <w:tc>
          <w:tcPr>
            <w:tcW w:w="3507" w:type="dxa"/>
            <w:gridSpan w:val="5"/>
            <w:vAlign w:val="center"/>
          </w:tcPr>
          <w:p>
            <w:pPr>
              <w:jc w:val="center"/>
              <w:rPr>
                <w:rFonts w:ascii="宋体" w:hAnsi="宋体"/>
                <w:szCs w:val="21"/>
              </w:rPr>
            </w:pPr>
            <w:r>
              <w:rPr>
                <w:rFonts w:hint="eastAsia" w:ascii="宋体" w:hAnsi="宋体"/>
                <w:szCs w:val="21"/>
              </w:rPr>
              <w:t>面积（m</w:t>
            </w:r>
            <w:r>
              <w:rPr>
                <w:rFonts w:hint="eastAsia" w:ascii="宋体" w:hAnsi="宋体"/>
                <w:szCs w:val="21"/>
                <w:vertAlign w:val="superscript"/>
              </w:rPr>
              <w:t>2</w:t>
            </w:r>
            <w:r>
              <w:rPr>
                <w:rFonts w:hint="eastAsia" w:ascii="宋体" w:hAnsi="宋体"/>
                <w:szCs w:val="21"/>
              </w:rPr>
              <w:t>）</w:t>
            </w:r>
          </w:p>
        </w:tc>
        <w:tc>
          <w:tcPr>
            <w:tcW w:w="1779" w:type="dxa"/>
            <w:vMerge w:val="restart"/>
            <w:vAlign w:val="center"/>
          </w:tcPr>
          <w:p>
            <w:pPr>
              <w:jc w:val="center"/>
              <w:rPr>
                <w:rFonts w:ascii="宋体" w:hAnsi="宋体"/>
                <w:szCs w:val="21"/>
              </w:rPr>
            </w:pPr>
            <w:r>
              <w:rPr>
                <w:rFonts w:hint="eastAsia" w:ascii="宋体" w:hAnsi="宋体"/>
                <w:szCs w:val="21"/>
              </w:rPr>
              <w:t>需用时间</w:t>
            </w:r>
          </w:p>
          <w:p>
            <w:pPr>
              <w:ind w:firstLine="5"/>
              <w:jc w:val="center"/>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p>
        </w:tc>
        <w:tc>
          <w:tcPr>
            <w:tcW w:w="2156" w:type="dxa"/>
            <w:gridSpan w:val="3"/>
            <w:vAlign w:val="center"/>
          </w:tcPr>
          <w:p>
            <w:pPr>
              <w:jc w:val="center"/>
              <w:rPr>
                <w:rFonts w:ascii="宋体" w:hAnsi="宋体"/>
                <w:szCs w:val="21"/>
              </w:rPr>
            </w:pPr>
            <w:r>
              <w:rPr>
                <w:rFonts w:hint="eastAsia" w:ascii="宋体" w:hAnsi="宋体"/>
                <w:szCs w:val="21"/>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97" w:type="dxa"/>
            <w:vMerge w:val="continue"/>
            <w:vAlign w:val="center"/>
          </w:tcPr>
          <w:p>
            <w:pPr>
              <w:jc w:val="center"/>
              <w:rPr>
                <w:rFonts w:ascii="宋体" w:hAnsi="宋体"/>
                <w:szCs w:val="21"/>
              </w:rPr>
            </w:pPr>
          </w:p>
        </w:tc>
        <w:tc>
          <w:tcPr>
            <w:tcW w:w="699" w:type="dxa"/>
            <w:vAlign w:val="center"/>
          </w:tcPr>
          <w:p>
            <w:pPr>
              <w:jc w:val="center"/>
              <w:rPr>
                <w:rFonts w:ascii="宋体" w:hAnsi="宋体"/>
                <w:szCs w:val="21"/>
              </w:rPr>
            </w:pPr>
            <w:r>
              <w:rPr>
                <w:rFonts w:hint="eastAsia" w:ascii="宋体" w:hAnsi="宋体"/>
                <w:szCs w:val="21"/>
              </w:rPr>
              <w:t>菜地</w:t>
            </w:r>
          </w:p>
        </w:tc>
        <w:tc>
          <w:tcPr>
            <w:tcW w:w="700" w:type="dxa"/>
            <w:vAlign w:val="center"/>
          </w:tcPr>
          <w:p>
            <w:pPr>
              <w:jc w:val="center"/>
              <w:rPr>
                <w:rFonts w:ascii="宋体" w:hAnsi="宋体"/>
                <w:szCs w:val="21"/>
              </w:rPr>
            </w:pPr>
            <w:r>
              <w:rPr>
                <w:rFonts w:hint="eastAsia" w:ascii="宋体" w:hAnsi="宋体"/>
                <w:szCs w:val="21"/>
              </w:rPr>
              <w:t>水田</w:t>
            </w:r>
          </w:p>
        </w:tc>
        <w:tc>
          <w:tcPr>
            <w:tcW w:w="702" w:type="dxa"/>
            <w:vAlign w:val="center"/>
          </w:tcPr>
          <w:p>
            <w:pPr>
              <w:jc w:val="center"/>
              <w:rPr>
                <w:rFonts w:ascii="宋体" w:hAnsi="宋体"/>
                <w:szCs w:val="21"/>
              </w:rPr>
            </w:pPr>
            <w:r>
              <w:rPr>
                <w:rFonts w:hint="eastAsia" w:ascii="宋体" w:hAnsi="宋体"/>
                <w:szCs w:val="21"/>
              </w:rPr>
              <w:t>旱地</w:t>
            </w:r>
          </w:p>
        </w:tc>
        <w:tc>
          <w:tcPr>
            <w:tcW w:w="700" w:type="dxa"/>
            <w:vAlign w:val="center"/>
          </w:tcPr>
          <w:p>
            <w:pPr>
              <w:jc w:val="center"/>
              <w:rPr>
                <w:rFonts w:ascii="宋体" w:hAnsi="宋体"/>
                <w:szCs w:val="21"/>
              </w:rPr>
            </w:pPr>
            <w:r>
              <w:rPr>
                <w:rFonts w:hint="eastAsia" w:ascii="宋体" w:hAnsi="宋体"/>
                <w:szCs w:val="21"/>
              </w:rPr>
              <w:t>果园</w:t>
            </w:r>
          </w:p>
        </w:tc>
        <w:tc>
          <w:tcPr>
            <w:tcW w:w="706" w:type="dxa"/>
            <w:vAlign w:val="center"/>
          </w:tcPr>
          <w:p>
            <w:pPr>
              <w:jc w:val="center"/>
              <w:rPr>
                <w:rFonts w:ascii="宋体" w:hAnsi="宋体"/>
                <w:szCs w:val="21"/>
              </w:rPr>
            </w:pPr>
            <w:r>
              <w:rPr>
                <w:rFonts w:hint="eastAsia" w:ascii="宋体" w:hAnsi="宋体"/>
                <w:szCs w:val="21"/>
              </w:rPr>
              <w:t>荒地</w:t>
            </w:r>
          </w:p>
        </w:tc>
        <w:tc>
          <w:tcPr>
            <w:tcW w:w="1779" w:type="dxa"/>
            <w:vMerge w:val="continue"/>
            <w:vAlign w:val="center"/>
          </w:tcPr>
          <w:p>
            <w:pPr>
              <w:jc w:val="center"/>
              <w:rPr>
                <w:rFonts w:ascii="宋体" w:hAnsi="宋体"/>
                <w:szCs w:val="21"/>
              </w:rPr>
            </w:pPr>
          </w:p>
        </w:tc>
        <w:tc>
          <w:tcPr>
            <w:tcW w:w="673" w:type="dxa"/>
            <w:vAlign w:val="center"/>
          </w:tcPr>
          <w:p>
            <w:pPr>
              <w:jc w:val="center"/>
              <w:rPr>
                <w:rFonts w:ascii="宋体" w:hAnsi="宋体"/>
                <w:szCs w:val="21"/>
              </w:rPr>
            </w:pPr>
            <w:r>
              <w:rPr>
                <w:rFonts w:hint="eastAsia" w:ascii="宋体" w:hAnsi="宋体"/>
                <w:szCs w:val="21"/>
              </w:rPr>
              <w:t>桩</w:t>
            </w:r>
          </w:p>
          <w:p>
            <w:pPr>
              <w:jc w:val="center"/>
              <w:rPr>
                <w:rFonts w:ascii="宋体" w:hAnsi="宋体"/>
                <w:szCs w:val="21"/>
              </w:rPr>
            </w:pPr>
            <w:r>
              <w:rPr>
                <w:rFonts w:hint="eastAsia" w:ascii="宋体" w:hAnsi="宋体"/>
                <w:szCs w:val="21"/>
              </w:rPr>
              <w:t>号</w:t>
            </w:r>
          </w:p>
        </w:tc>
        <w:tc>
          <w:tcPr>
            <w:tcW w:w="741" w:type="dxa"/>
            <w:vAlign w:val="center"/>
          </w:tcPr>
          <w:p>
            <w:pPr>
              <w:jc w:val="center"/>
              <w:rPr>
                <w:rFonts w:ascii="宋体" w:hAnsi="宋体"/>
                <w:szCs w:val="21"/>
              </w:rPr>
            </w:pPr>
            <w:r>
              <w:rPr>
                <w:rFonts w:hint="eastAsia" w:ascii="宋体" w:hAnsi="宋体"/>
                <w:szCs w:val="21"/>
              </w:rPr>
              <w:t>左侧（m）</w:t>
            </w:r>
          </w:p>
        </w:tc>
        <w:tc>
          <w:tcPr>
            <w:tcW w:w="742" w:type="dxa"/>
            <w:vAlign w:val="center"/>
          </w:tcPr>
          <w:p>
            <w:pPr>
              <w:jc w:val="center"/>
              <w:rPr>
                <w:rFonts w:ascii="宋体" w:hAnsi="宋体"/>
                <w:szCs w:val="21"/>
              </w:rPr>
            </w:pPr>
            <w:r>
              <w:rPr>
                <w:rFonts w:hint="eastAsia" w:ascii="宋体" w:hAnsi="宋体"/>
                <w:szCs w:val="21"/>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200" w:firstLineChars="100"/>
              <w:rPr>
                <w:rFonts w:ascii="宋体" w:hAnsi="宋体"/>
                <w:szCs w:val="21"/>
              </w:rPr>
            </w:pPr>
            <w:r>
              <w:rPr>
                <w:rFonts w:hint="eastAsia" w:ascii="宋体" w:hAnsi="宋体"/>
                <w:szCs w:val="21"/>
              </w:rPr>
              <w:t>一、临时工程</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00" w:firstLineChars="200"/>
              <w:rPr>
                <w:rFonts w:ascii="宋体" w:hAnsi="宋体"/>
                <w:szCs w:val="21"/>
              </w:rPr>
            </w:pPr>
            <w:r>
              <w:rPr>
                <w:rFonts w:hint="eastAsia" w:ascii="宋体" w:hAnsi="宋体"/>
                <w:szCs w:val="21"/>
              </w:rPr>
              <w:t>1.便道</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00" w:firstLineChars="200"/>
              <w:rPr>
                <w:rFonts w:ascii="宋体" w:hAnsi="宋体"/>
                <w:szCs w:val="21"/>
              </w:rPr>
            </w:pPr>
            <w:r>
              <w:rPr>
                <w:rFonts w:hint="eastAsia" w:ascii="宋体" w:hAnsi="宋体"/>
                <w:szCs w:val="21"/>
              </w:rPr>
              <w:t>2.便桥</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00" w:firstLineChars="200"/>
              <w:rPr>
                <w:rFonts w:ascii="宋体" w:hAnsi="宋体"/>
                <w:szCs w:val="21"/>
              </w:rPr>
            </w:pPr>
            <w:r>
              <w:rPr>
                <w:rFonts w:hint="eastAsia" w:ascii="宋体" w:hAnsi="宋体"/>
                <w:szCs w:val="21"/>
              </w:rPr>
              <w:t>3.……</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00" w:firstLineChars="200"/>
              <w:rPr>
                <w:rFonts w:ascii="宋体" w:hAnsi="宋体"/>
                <w:szCs w:val="21"/>
              </w:rPr>
            </w:pPr>
            <w:r>
              <w:rPr>
                <w:rFonts w:hint="eastAsia" w:ascii="宋体" w:hAnsi="宋体"/>
                <w:szCs w:val="21"/>
              </w:rPr>
              <w:t>……</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200" w:firstLineChars="100"/>
              <w:rPr>
                <w:rFonts w:ascii="宋体" w:hAnsi="宋体"/>
                <w:szCs w:val="21"/>
              </w:rPr>
            </w:pPr>
            <w:r>
              <w:rPr>
                <w:rFonts w:hint="eastAsia" w:ascii="宋体" w:hAnsi="宋体"/>
                <w:szCs w:val="21"/>
              </w:rPr>
              <w:t>二、生产及生活临时设施</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00" w:firstLineChars="200"/>
              <w:rPr>
                <w:rFonts w:ascii="宋体" w:hAnsi="宋体"/>
                <w:szCs w:val="21"/>
              </w:rPr>
            </w:pPr>
            <w:r>
              <w:rPr>
                <w:rFonts w:hint="eastAsia" w:ascii="宋体" w:hAnsi="宋体"/>
                <w:szCs w:val="21"/>
              </w:rPr>
              <w:t>1.临时住房</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400" w:firstLineChars="200"/>
              <w:rPr>
                <w:rFonts w:ascii="宋体" w:hAnsi="宋体"/>
                <w:szCs w:val="21"/>
              </w:rPr>
            </w:pPr>
            <w:r>
              <w:rPr>
                <w:rFonts w:hint="eastAsia" w:ascii="宋体" w:hAnsi="宋体"/>
                <w:szCs w:val="21"/>
              </w:rPr>
              <w:t>2.办公等公用房屋</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00" w:firstLineChars="200"/>
              <w:rPr>
                <w:rFonts w:ascii="宋体" w:hAnsi="宋体"/>
                <w:szCs w:val="21"/>
              </w:rPr>
            </w:pPr>
            <w:r>
              <w:rPr>
                <w:rFonts w:hint="eastAsia" w:ascii="宋体" w:hAnsi="宋体"/>
                <w:szCs w:val="21"/>
              </w:rPr>
              <w:t>3.料场</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00" w:firstLineChars="200"/>
              <w:rPr>
                <w:rFonts w:ascii="宋体" w:hAnsi="宋体"/>
                <w:szCs w:val="21"/>
              </w:rPr>
            </w:pPr>
            <w:r>
              <w:rPr>
                <w:rFonts w:hint="eastAsia" w:ascii="宋体" w:hAnsi="宋体"/>
                <w:szCs w:val="21"/>
              </w:rPr>
              <w:t>4.预制场</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00" w:firstLineChars="200"/>
              <w:rPr>
                <w:rFonts w:ascii="宋体" w:hAnsi="宋体"/>
                <w:szCs w:val="21"/>
              </w:rPr>
            </w:pPr>
            <w:r>
              <w:rPr>
                <w:rFonts w:hint="eastAsia" w:ascii="宋体" w:hAnsi="宋体"/>
                <w:szCs w:val="21"/>
              </w:rPr>
              <w:t>……</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0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0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0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0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0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0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0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0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0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00" w:firstLineChars="100"/>
              <w:rPr>
                <w:rFonts w:ascii="宋体" w:hAnsi="宋体"/>
                <w:szCs w:val="21"/>
              </w:rPr>
            </w:pPr>
            <w:r>
              <w:rPr>
                <w:rFonts w:hint="eastAsia" w:ascii="宋体" w:hAnsi="宋体"/>
                <w:szCs w:val="21"/>
              </w:rPr>
              <w:t>租用面积合计</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bl>
    <w:p>
      <w:pPr>
        <w:pStyle w:val="4"/>
        <w:spacing w:before="120" w:beforeLines="50" w:after="240" w:line="400" w:lineRule="exact"/>
        <w:rPr>
          <w:rFonts w:ascii="隶书" w:hAnsi="宋体" w:eastAsia="隶书"/>
          <w:sz w:val="30"/>
          <w:szCs w:val="30"/>
        </w:rPr>
      </w:pPr>
      <w:r>
        <w:rPr>
          <w:rFonts w:ascii="宋体" w:hAnsi="宋体"/>
          <w:sz w:val="24"/>
        </w:rPr>
        <w:br w:type="page"/>
      </w:r>
      <w:bookmarkStart w:id="120" w:name="_Toc528314470"/>
      <w:r>
        <w:rPr>
          <w:rFonts w:hint="eastAsia" w:ascii="Arial" w:hAnsi="Arial" w:eastAsia="黑体"/>
          <w:kern w:val="2"/>
          <w:sz w:val="28"/>
          <w:szCs w:val="28"/>
        </w:rPr>
        <w:t>附表八  外供电力需求计划表</w:t>
      </w:r>
      <w:bookmarkEnd w:id="120"/>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szCs w:val="21"/>
              </w:rPr>
            </w:pPr>
            <w:r>
              <w:rPr>
                <w:rFonts w:hint="eastAsia" w:ascii="宋体" w:hAnsi="宋体"/>
                <w:szCs w:val="21"/>
              </w:rPr>
              <w:t>用电位置</w:t>
            </w:r>
          </w:p>
        </w:tc>
        <w:tc>
          <w:tcPr>
            <w:tcW w:w="1984" w:type="dxa"/>
            <w:vMerge w:val="restart"/>
            <w:vAlign w:val="center"/>
          </w:tcPr>
          <w:p>
            <w:pPr>
              <w:jc w:val="center"/>
              <w:rPr>
                <w:rFonts w:ascii="宋体" w:hAnsi="宋体"/>
                <w:szCs w:val="21"/>
              </w:rPr>
            </w:pPr>
            <w:r>
              <w:rPr>
                <w:rFonts w:hint="eastAsia" w:ascii="宋体" w:hAnsi="宋体"/>
                <w:szCs w:val="21"/>
              </w:rPr>
              <w:t>计划用电数量（KW·h）</w:t>
            </w:r>
          </w:p>
        </w:tc>
        <w:tc>
          <w:tcPr>
            <w:tcW w:w="1701" w:type="dxa"/>
            <w:vMerge w:val="restart"/>
            <w:vAlign w:val="center"/>
          </w:tcPr>
          <w:p>
            <w:pPr>
              <w:jc w:val="center"/>
              <w:rPr>
                <w:rFonts w:ascii="宋体" w:hAnsi="宋体"/>
                <w:szCs w:val="21"/>
              </w:rPr>
            </w:pPr>
            <w:r>
              <w:rPr>
                <w:rFonts w:hint="eastAsia" w:ascii="宋体" w:hAnsi="宋体"/>
                <w:szCs w:val="21"/>
              </w:rPr>
              <w:t>用  途</w:t>
            </w:r>
          </w:p>
        </w:tc>
        <w:tc>
          <w:tcPr>
            <w:tcW w:w="2552" w:type="dxa"/>
            <w:vMerge w:val="restart"/>
            <w:vAlign w:val="center"/>
          </w:tcPr>
          <w:p>
            <w:pPr>
              <w:jc w:val="center"/>
              <w:rPr>
                <w:rFonts w:ascii="宋体" w:hAnsi="宋体"/>
                <w:szCs w:val="21"/>
              </w:rPr>
            </w:pPr>
            <w:r>
              <w:rPr>
                <w:rFonts w:hint="eastAsia" w:ascii="宋体" w:hAnsi="宋体"/>
                <w:szCs w:val="21"/>
              </w:rPr>
              <w:t>需 用 时 间</w:t>
            </w:r>
          </w:p>
          <w:p>
            <w:pPr>
              <w:ind w:left="700" w:hanging="700" w:hangingChars="350"/>
              <w:jc w:val="center"/>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p>
          <w:p>
            <w:pPr>
              <w:ind w:left="700" w:hanging="700" w:hangingChars="350"/>
              <w:jc w:val="center"/>
              <w:rPr>
                <w:rFonts w:ascii="宋体" w:hAnsi="宋体"/>
                <w:szCs w:val="21"/>
              </w:rPr>
            </w:pPr>
            <w:r>
              <w:rPr>
                <w:rFonts w:hint="eastAsia" w:ascii="宋体" w:hAnsi="宋体"/>
                <w:szCs w:val="21"/>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p>
        </w:tc>
        <w:tc>
          <w:tcPr>
            <w:tcW w:w="1190" w:type="dxa"/>
            <w:vMerge w:val="restart"/>
            <w:vAlign w:val="center"/>
          </w:tcPr>
          <w:p>
            <w:pPr>
              <w:jc w:val="center"/>
              <w:rPr>
                <w:rFonts w:ascii="宋体" w:hAnsi="宋体"/>
                <w:szCs w:val="21"/>
              </w:rPr>
            </w:pPr>
            <w:r>
              <w:rPr>
                <w:rFonts w:hint="eastAsia" w:ascii="宋体" w:hAnsi="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szCs w:val="21"/>
              </w:rPr>
            </w:pPr>
            <w:r>
              <w:rPr>
                <w:rFonts w:hint="eastAsia" w:ascii="宋体" w:hAnsi="宋体"/>
                <w:szCs w:val="21"/>
              </w:rPr>
              <w:t>桩号</w:t>
            </w:r>
          </w:p>
        </w:tc>
        <w:tc>
          <w:tcPr>
            <w:tcW w:w="1106" w:type="dxa"/>
            <w:vAlign w:val="center"/>
          </w:tcPr>
          <w:p>
            <w:pPr>
              <w:jc w:val="center"/>
              <w:rPr>
                <w:rFonts w:ascii="宋体" w:hAnsi="宋体"/>
                <w:szCs w:val="21"/>
              </w:rPr>
            </w:pPr>
            <w:r>
              <w:rPr>
                <w:rFonts w:hint="eastAsia" w:ascii="宋体" w:hAnsi="宋体"/>
                <w:szCs w:val="21"/>
              </w:rPr>
              <w:t>左或右（m）</w:t>
            </w:r>
          </w:p>
        </w:tc>
        <w:tc>
          <w:tcPr>
            <w:tcW w:w="1984" w:type="dxa"/>
            <w:vMerge w:val="continue"/>
            <w:vAlign w:val="center"/>
          </w:tcPr>
          <w:p>
            <w:pPr>
              <w:jc w:val="center"/>
              <w:rPr>
                <w:rFonts w:ascii="宋体" w:hAnsi="宋体"/>
                <w:szCs w:val="21"/>
              </w:rPr>
            </w:pPr>
          </w:p>
        </w:tc>
        <w:tc>
          <w:tcPr>
            <w:tcW w:w="1701" w:type="dxa"/>
            <w:vMerge w:val="continue"/>
            <w:vAlign w:val="center"/>
          </w:tcPr>
          <w:p>
            <w:pPr>
              <w:jc w:val="center"/>
              <w:rPr>
                <w:rFonts w:ascii="宋体" w:hAnsi="宋体"/>
                <w:szCs w:val="21"/>
              </w:rPr>
            </w:pPr>
          </w:p>
        </w:tc>
        <w:tc>
          <w:tcPr>
            <w:tcW w:w="2552" w:type="dxa"/>
            <w:vMerge w:val="continue"/>
            <w:vAlign w:val="center"/>
          </w:tcPr>
          <w:p>
            <w:pPr>
              <w:jc w:val="center"/>
              <w:rPr>
                <w:rFonts w:ascii="宋体" w:hAnsi="宋体"/>
                <w:szCs w:val="21"/>
              </w:rPr>
            </w:pPr>
          </w:p>
        </w:tc>
        <w:tc>
          <w:tcPr>
            <w:tcW w:w="119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bl>
    <w:p>
      <w:pPr>
        <w:rPr>
          <w:rFonts w:ascii="宋体" w:hAnsi="宋体"/>
          <w:sz w:val="24"/>
        </w:rPr>
      </w:pPr>
    </w:p>
    <w:p>
      <w:pPr>
        <w:pStyle w:val="4"/>
        <w:spacing w:before="120" w:beforeLines="50" w:after="240" w:line="400" w:lineRule="exact"/>
        <w:rPr>
          <w:rFonts w:ascii="Arial" w:hAnsi="Arial" w:eastAsia="黑体"/>
          <w:kern w:val="2"/>
          <w:sz w:val="28"/>
          <w:szCs w:val="28"/>
        </w:rPr>
      </w:pPr>
      <w:bookmarkStart w:id="121" w:name="_Toc528314471"/>
      <w:r>
        <w:rPr>
          <w:rFonts w:hint="eastAsia" w:ascii="Arial" w:hAnsi="Arial" w:eastAsia="黑体"/>
          <w:kern w:val="2"/>
          <w:sz w:val="28"/>
          <w:szCs w:val="28"/>
        </w:rPr>
        <w:t>附表九   合同用款估算表</w:t>
      </w:r>
      <w:bookmarkEnd w:id="121"/>
    </w:p>
    <w:tbl>
      <w:tblPr>
        <w:tblStyle w:val="13"/>
        <w:tblpPr w:leftFromText="180" w:rightFromText="180" w:vertAnchor="text" w:horzAnchor="margin"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rPr>
            </w:pPr>
            <w:r>
              <w:rPr>
                <w:rFonts w:hint="eastAsia" w:ascii="宋体" w:hAnsi="宋体"/>
                <w:szCs w:val="21"/>
              </w:rPr>
              <w:t>从开工月算起的时间（月）</w:t>
            </w:r>
          </w:p>
        </w:tc>
        <w:tc>
          <w:tcPr>
            <w:tcW w:w="6925" w:type="dxa"/>
            <w:gridSpan w:val="4"/>
            <w:vAlign w:val="center"/>
          </w:tcPr>
          <w:p>
            <w:pPr>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3462" w:type="dxa"/>
            <w:gridSpan w:val="2"/>
            <w:vAlign w:val="center"/>
          </w:tcPr>
          <w:p>
            <w:pPr>
              <w:tabs>
                <w:tab w:val="left" w:pos="4863"/>
              </w:tabs>
              <w:jc w:val="center"/>
              <w:rPr>
                <w:rFonts w:ascii="宋体" w:hAnsi="宋体"/>
                <w:szCs w:val="21"/>
              </w:rPr>
            </w:pPr>
            <w:r>
              <w:rPr>
                <w:rFonts w:hint="eastAsia" w:ascii="宋体" w:hAnsi="宋体"/>
                <w:szCs w:val="21"/>
              </w:rPr>
              <w:t>分  期</w:t>
            </w:r>
          </w:p>
        </w:tc>
        <w:tc>
          <w:tcPr>
            <w:tcW w:w="3463" w:type="dxa"/>
            <w:gridSpan w:val="2"/>
            <w:vAlign w:val="center"/>
          </w:tcPr>
          <w:p>
            <w:pPr>
              <w:tabs>
                <w:tab w:val="left" w:pos="4863"/>
              </w:tabs>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金额（元）</w:t>
            </w:r>
          </w:p>
        </w:tc>
        <w:tc>
          <w:tcPr>
            <w:tcW w:w="1731" w:type="dxa"/>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r>
              <w:rPr>
                <w:rFonts w:hint="eastAsia" w:ascii="宋体" w:hAnsi="宋体"/>
                <w:szCs w:val="21"/>
              </w:rPr>
              <w:t>金额（元）</w:t>
            </w:r>
          </w:p>
        </w:tc>
        <w:tc>
          <w:tcPr>
            <w:tcW w:w="1732"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第一次开工预付款</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1～3</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4～6</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7～9</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10～12</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13～15</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缺陷责任期</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小计</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100．00</w:t>
            </w: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rPr>
                <w:rFonts w:ascii="宋体" w:hAnsi="宋体"/>
                <w:szCs w:val="21"/>
              </w:rPr>
            </w:pPr>
            <w:r>
              <w:rPr>
                <w:rFonts w:hint="eastAsia" w:ascii="宋体" w:hAnsi="宋体"/>
                <w:szCs w:val="21"/>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7" w:hRule="atLeast"/>
        </w:trPr>
        <w:tc>
          <w:tcPr>
            <w:tcW w:w="717" w:type="dxa"/>
            <w:vAlign w:val="center"/>
          </w:tcPr>
          <w:p>
            <w:pPr>
              <w:jc w:val="center"/>
              <w:rPr>
                <w:rFonts w:ascii="宋体" w:hAnsi="宋体"/>
                <w:szCs w:val="21"/>
              </w:rPr>
            </w:pPr>
            <w:r>
              <w:rPr>
                <w:rFonts w:hint="eastAsia" w:ascii="宋体" w:hAnsi="宋体"/>
                <w:szCs w:val="21"/>
              </w:rPr>
              <w:t>说</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明</w:t>
            </w:r>
          </w:p>
        </w:tc>
        <w:tc>
          <w:tcPr>
            <w:tcW w:w="8922" w:type="dxa"/>
            <w:gridSpan w:val="5"/>
            <w:vAlign w:val="center"/>
          </w:tcPr>
          <w:p>
            <w:pPr>
              <w:jc w:val="center"/>
              <w:rPr>
                <w:rFonts w:ascii="宋体" w:hAnsi="宋体"/>
                <w:szCs w:val="21"/>
              </w:rPr>
            </w:pPr>
          </w:p>
          <w:p>
            <w:pPr>
              <w:jc w:val="center"/>
              <w:rPr>
                <w:rFonts w:ascii="宋体" w:hAnsi="宋体"/>
                <w:szCs w:val="21"/>
              </w:rPr>
            </w:pPr>
          </w:p>
        </w:tc>
      </w:tr>
    </w:tbl>
    <w:p>
      <w:pPr>
        <w:jc w:val="center"/>
        <w:rPr>
          <w:rFonts w:ascii="隶书" w:hAnsi="宋体" w:eastAsia="隶书"/>
          <w:sz w:val="24"/>
        </w:rPr>
      </w:pPr>
    </w:p>
    <w:p>
      <w:pPr>
        <w:rPr>
          <w:rFonts w:ascii="宋体" w:hAnsi="宋体"/>
          <w:szCs w:val="21"/>
        </w:rPr>
      </w:pPr>
      <w:r>
        <w:rPr>
          <w:rFonts w:hint="eastAsia" w:ascii="宋体" w:hAnsi="宋体"/>
          <w:szCs w:val="21"/>
        </w:rPr>
        <w:t>注：1.投标人可按附表一的工程进度估算并填写本表。</w:t>
      </w:r>
    </w:p>
    <w:p>
      <w:pPr>
        <w:ind w:left="630" w:hanging="630"/>
        <w:rPr>
          <w:rFonts w:ascii="宋体" w:hAnsi="宋体"/>
          <w:szCs w:val="21"/>
        </w:rPr>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2.用款额按所报单价和总额价估算，不包括价格调整和暂列金额、暂估价，但应考虑开工预付款的扣回、质量保证金的扣留以及签发付款证书后到实际支付的时间间隔。</w:t>
      </w:r>
    </w:p>
    <w:p>
      <w:pPr>
        <w:rPr>
          <w:rFonts w:ascii="宋体" w:hAnsi="宋体"/>
          <w:sz w:val="24"/>
        </w:rPr>
      </w:pPr>
    </w:p>
    <w:p>
      <w:pPr>
        <w:rPr>
          <w:rFonts w:ascii="宋体" w:hAnsi="宋体"/>
          <w:sz w:val="24"/>
        </w:rPr>
      </w:pPr>
    </w:p>
    <w:p>
      <w:pPr>
        <w:pStyle w:val="4"/>
        <w:spacing w:before="240" w:beforeLines="100" w:after="360" w:afterLines="150" w:line="360" w:lineRule="exact"/>
        <w:jc w:val="center"/>
        <w:rPr>
          <w:rFonts w:ascii="黑体" w:hAnsi="宋体" w:eastAsia="黑体"/>
          <w:sz w:val="28"/>
          <w:szCs w:val="28"/>
        </w:rPr>
      </w:pPr>
      <w:bookmarkStart w:id="122" w:name="_Toc528314472"/>
      <w:r>
        <w:rPr>
          <w:rFonts w:hint="eastAsia" w:ascii="黑体" w:hAnsi="宋体" w:eastAsia="黑体"/>
          <w:sz w:val="28"/>
          <w:szCs w:val="28"/>
        </w:rPr>
        <w:t>五</w:t>
      </w:r>
      <w:r>
        <w:rPr>
          <w:rFonts w:ascii="黑体" w:hAnsi="宋体" w:eastAsia="黑体"/>
          <w:sz w:val="28"/>
          <w:szCs w:val="28"/>
        </w:rPr>
        <w:t>、项目管理机构</w:t>
      </w:r>
      <w:bookmarkEnd w:id="122"/>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88"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8"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说明</w:t>
            </w:r>
          </w:p>
        </w:tc>
      </w:tr>
    </w:tbl>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39" w:lineRule="auto"/>
        <w:jc w:val="right"/>
        <w:rPr>
          <w:rFonts w:eastAsia="Times New Roman"/>
          <w:sz w:val="18"/>
        </w:rPr>
        <w:sectPr>
          <w:pgSz w:w="11906" w:h="16838"/>
          <w:pgMar w:top="1440" w:right="1440" w:bottom="1440" w:left="1440" w:header="0" w:footer="567" w:gutter="0"/>
          <w:cols w:space="720" w:num="1"/>
          <w:docGrid w:linePitch="360" w:charSpace="0"/>
        </w:sectPr>
      </w:pPr>
    </w:p>
    <w:p>
      <w:pPr>
        <w:pStyle w:val="4"/>
        <w:spacing w:before="240" w:beforeLines="100" w:after="360" w:afterLines="150" w:line="360" w:lineRule="exact"/>
        <w:jc w:val="center"/>
        <w:rPr>
          <w:rFonts w:ascii="黑体" w:hAnsi="宋体" w:eastAsia="黑体"/>
          <w:sz w:val="28"/>
          <w:szCs w:val="28"/>
        </w:rPr>
      </w:pPr>
      <w:bookmarkStart w:id="123" w:name="page234"/>
      <w:bookmarkEnd w:id="123"/>
      <w:bookmarkStart w:id="124" w:name="page254"/>
      <w:bookmarkEnd w:id="124"/>
      <w:bookmarkStart w:id="125" w:name="_Toc528314473"/>
      <w:r>
        <w:rPr>
          <w:rFonts w:hint="eastAsia" w:ascii="黑体" w:hAnsi="宋体" w:eastAsia="黑体"/>
          <w:sz w:val="28"/>
          <w:szCs w:val="28"/>
        </w:rPr>
        <w:t>六</w:t>
      </w:r>
      <w:r>
        <w:rPr>
          <w:rFonts w:ascii="黑体" w:hAnsi="宋体" w:eastAsia="黑体"/>
          <w:sz w:val="28"/>
          <w:szCs w:val="28"/>
        </w:rPr>
        <w:t>、</w:t>
      </w:r>
      <w:r>
        <w:rPr>
          <w:rFonts w:hint="eastAsia" w:ascii="黑体" w:hAnsi="宋体" w:eastAsia="黑体"/>
          <w:sz w:val="28"/>
          <w:szCs w:val="28"/>
        </w:rPr>
        <w:t>拟分包项目情况表</w:t>
      </w:r>
      <w:bookmarkEnd w:id="125"/>
    </w:p>
    <w:tbl>
      <w:tblPr>
        <w:tblStyle w:val="13"/>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r>
              <w:rPr>
                <w:rFonts w:hint="eastAsia" w:ascii="宋体" w:hAnsi="宋体"/>
                <w:szCs w:val="21"/>
              </w:rPr>
              <w:t>分包人名称</w:t>
            </w: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r>
              <w:rPr>
                <w:rFonts w:hint="eastAsia" w:ascii="宋体" w:hAnsi="宋体"/>
                <w:szCs w:val="21"/>
              </w:rPr>
              <w:t>地址</w:t>
            </w:r>
          </w:p>
        </w:tc>
        <w:tc>
          <w:tcPr>
            <w:tcW w:w="241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r>
              <w:rPr>
                <w:rFonts w:hint="eastAsia" w:ascii="宋体" w:hAnsi="宋体"/>
                <w:szCs w:val="21"/>
              </w:rPr>
              <w:t>法定代表人</w:t>
            </w: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r>
              <w:rPr>
                <w:rFonts w:hint="eastAsia" w:ascii="宋体" w:hAnsi="宋体"/>
                <w:szCs w:val="21"/>
              </w:rPr>
              <w:t>电话</w:t>
            </w:r>
          </w:p>
        </w:tc>
        <w:tc>
          <w:tcPr>
            <w:tcW w:w="241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r>
              <w:rPr>
                <w:rFonts w:hint="eastAsia" w:ascii="宋体" w:hAnsi="宋体"/>
                <w:szCs w:val="21"/>
              </w:rPr>
              <w:t>营业执照号码</w:t>
            </w: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r>
              <w:rPr>
                <w:rFonts w:hint="eastAsia" w:ascii="宋体" w:hAnsi="宋体"/>
                <w:szCs w:val="21"/>
              </w:rPr>
              <w:t>资质等级</w:t>
            </w:r>
          </w:p>
        </w:tc>
        <w:tc>
          <w:tcPr>
            <w:tcW w:w="241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r>
              <w:rPr>
                <w:rFonts w:hint="eastAsia" w:ascii="宋体" w:hAnsi="宋体"/>
                <w:szCs w:val="21"/>
              </w:rPr>
              <w:t>拟分包的工程项目</w:t>
            </w:r>
          </w:p>
        </w:tc>
        <w:tc>
          <w:tcPr>
            <w:tcW w:w="2410" w:type="dxa"/>
            <w:vAlign w:val="center"/>
          </w:tcPr>
          <w:p>
            <w:pPr>
              <w:jc w:val="center"/>
              <w:rPr>
                <w:rFonts w:ascii="宋体" w:hAnsi="宋体"/>
                <w:szCs w:val="21"/>
              </w:rPr>
            </w:pPr>
            <w:r>
              <w:rPr>
                <w:rFonts w:hint="eastAsia" w:ascii="宋体" w:hAnsi="宋体"/>
                <w:szCs w:val="21"/>
              </w:rPr>
              <w:t>主要内容</w:t>
            </w:r>
          </w:p>
        </w:tc>
        <w:tc>
          <w:tcPr>
            <w:tcW w:w="2410" w:type="dxa"/>
            <w:vAlign w:val="center"/>
          </w:tcPr>
          <w:p>
            <w:pPr>
              <w:jc w:val="center"/>
              <w:rPr>
                <w:rFonts w:ascii="宋体" w:hAnsi="宋体"/>
                <w:szCs w:val="21"/>
              </w:rPr>
            </w:pPr>
            <w:r>
              <w:rPr>
                <w:rFonts w:hint="eastAsia" w:ascii="宋体" w:hAnsi="宋体"/>
                <w:szCs w:val="21"/>
              </w:rPr>
              <w:t>预计造价（万元）</w:t>
            </w:r>
          </w:p>
        </w:tc>
        <w:tc>
          <w:tcPr>
            <w:tcW w:w="2410" w:type="dxa"/>
            <w:vAlign w:val="center"/>
          </w:tcPr>
          <w:p>
            <w:pPr>
              <w:jc w:val="center"/>
              <w:rPr>
                <w:rFonts w:ascii="宋体" w:hAnsi="宋体"/>
                <w:szCs w:val="21"/>
              </w:rPr>
            </w:pPr>
            <w:r>
              <w:rPr>
                <w:rFonts w:hint="eastAsia" w:ascii="宋体" w:hAnsi="宋体"/>
                <w:szCs w:val="21"/>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restart"/>
          </w:tcPr>
          <w:p>
            <w:pPr>
              <w:ind w:firstLine="200" w:firstLineChars="100"/>
              <w:rPr>
                <w:rFonts w:ascii="宋体" w:hAnsi="宋体"/>
                <w:szCs w:val="21"/>
              </w:rPr>
            </w:pPr>
          </w:p>
          <w:p>
            <w:pPr>
              <w:ind w:firstLine="200" w:firstLineChars="100"/>
              <w:rPr>
                <w:rFonts w:ascii="宋体" w:hAnsi="宋体"/>
                <w:szCs w:val="21"/>
              </w:rPr>
            </w:pPr>
            <w:r>
              <w:rPr>
                <w:rFonts w:hint="eastAsia" w:ascii="宋体" w:hAnsi="宋体"/>
                <w:szCs w:val="21"/>
              </w:rPr>
              <w:t>注：</w:t>
            </w:r>
          </w:p>
          <w:p>
            <w:pPr>
              <w:ind w:firstLine="200" w:firstLineChars="100"/>
              <w:rPr>
                <w:rFonts w:ascii="宋体" w:hAnsi="宋体"/>
                <w:szCs w:val="21"/>
              </w:rPr>
            </w:pPr>
            <w:r>
              <w:rPr>
                <w:rFonts w:hint="eastAsia" w:ascii="宋体" w:hAnsi="宋体"/>
                <w:szCs w:val="21"/>
              </w:rPr>
              <w:t>1.本栏应写明分包人以往做过的类似工程，包括工程名称、地点、造价、工期、交工年份和其发包人与总监理工程师的姓名和地址。</w:t>
            </w:r>
          </w:p>
          <w:p>
            <w:pPr>
              <w:ind w:firstLine="200" w:firstLineChars="100"/>
              <w:rPr>
                <w:rFonts w:ascii="宋体" w:hAnsi="宋体"/>
                <w:szCs w:val="21"/>
              </w:rPr>
            </w:pPr>
            <w:r>
              <w:rPr>
                <w:rFonts w:hint="eastAsia" w:ascii="宋体" w:hAnsi="宋体"/>
                <w:szCs w:val="21"/>
              </w:rPr>
              <w:t>2.若无分包人，则投标人应填写“无”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4819" w:type="dxa"/>
            <w:gridSpan w:val="2"/>
            <w:vAlign w:val="center"/>
          </w:tcPr>
          <w:p>
            <w:pPr>
              <w:jc w:val="center"/>
              <w:rPr>
                <w:rFonts w:ascii="宋体" w:hAnsi="宋体"/>
                <w:szCs w:val="21"/>
              </w:rPr>
            </w:pPr>
            <w:r>
              <w:rPr>
                <w:rFonts w:hint="eastAsia" w:ascii="宋体" w:hAnsi="宋体"/>
                <w:szCs w:val="21"/>
              </w:rPr>
              <w:t>分包值合计（万元）</w:t>
            </w: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bl>
    <w:p>
      <w:pPr>
        <w:pStyle w:val="4"/>
        <w:spacing w:before="240" w:beforeLines="100" w:after="360" w:afterLines="150" w:line="360" w:lineRule="exact"/>
        <w:jc w:val="center"/>
        <w:rPr>
          <w:rFonts w:ascii="黑体" w:hAnsi="宋体" w:eastAsia="黑体"/>
          <w:sz w:val="28"/>
          <w:szCs w:val="28"/>
        </w:rPr>
      </w:pPr>
      <w:bookmarkStart w:id="126" w:name="_Toc528314474"/>
      <w:r>
        <w:rPr>
          <w:rFonts w:hint="eastAsia" w:ascii="黑体" w:hAnsi="宋体" w:eastAsia="黑体"/>
          <w:sz w:val="28"/>
          <w:szCs w:val="28"/>
        </w:rPr>
        <w:t>七、资格审查资料</w:t>
      </w:r>
      <w:bookmarkEnd w:id="126"/>
    </w:p>
    <w:p>
      <w:pPr>
        <w:pStyle w:val="4"/>
        <w:spacing w:before="240" w:beforeLines="100" w:after="360" w:afterLines="150" w:line="360" w:lineRule="exact"/>
        <w:jc w:val="center"/>
        <w:rPr>
          <w:rFonts w:ascii="黑体" w:eastAsia="黑体"/>
          <w:color w:val="000000"/>
          <w:sz w:val="28"/>
          <w:szCs w:val="28"/>
        </w:rPr>
      </w:pPr>
      <w:bookmarkStart w:id="127" w:name="_Toc9432"/>
      <w:bookmarkStart w:id="128" w:name="_Toc486277939"/>
      <w:bookmarkStart w:id="129" w:name="_Toc234382978"/>
      <w:bookmarkStart w:id="130" w:name="_Toc485889073"/>
      <w:r>
        <w:rPr>
          <w:rFonts w:hint="eastAsia" w:ascii="黑体" w:eastAsia="黑体"/>
          <w:color w:val="000000"/>
          <w:sz w:val="28"/>
          <w:szCs w:val="28"/>
        </w:rPr>
        <w:t>（一）投标人基本情况表</w:t>
      </w:r>
      <w:bookmarkEnd w:id="127"/>
      <w:bookmarkEnd w:id="128"/>
      <w:bookmarkEnd w:id="129"/>
      <w:bookmarkEnd w:id="130"/>
    </w:p>
    <w:tbl>
      <w:tblPr>
        <w:tblStyle w:val="13"/>
        <w:tblW w:w="9639" w:type="dxa"/>
        <w:jc w:val="center"/>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投标人名称</w:t>
            </w:r>
          </w:p>
        </w:tc>
        <w:tc>
          <w:tcPr>
            <w:tcW w:w="7697" w:type="dxa"/>
            <w:gridSpan w:val="8"/>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注册地址</w:t>
            </w:r>
          </w:p>
        </w:tc>
        <w:tc>
          <w:tcPr>
            <w:tcW w:w="3846" w:type="dxa"/>
            <w:gridSpan w:val="4"/>
            <w:vAlign w:val="center"/>
          </w:tcPr>
          <w:p>
            <w:pPr>
              <w:adjustRightInd w:val="0"/>
              <w:jc w:val="center"/>
              <w:rPr>
                <w:color w:val="000000"/>
                <w:szCs w:val="21"/>
              </w:rPr>
            </w:pPr>
          </w:p>
        </w:tc>
        <w:tc>
          <w:tcPr>
            <w:tcW w:w="1212" w:type="dxa"/>
            <w:vAlign w:val="center"/>
          </w:tcPr>
          <w:p>
            <w:pPr>
              <w:adjustRightInd w:val="0"/>
              <w:jc w:val="center"/>
              <w:rPr>
                <w:color w:val="000000"/>
                <w:szCs w:val="21"/>
              </w:rPr>
            </w:pPr>
            <w:r>
              <w:rPr>
                <w:rFonts w:hint="eastAsia" w:cs="MingLiU"/>
                <w:color w:val="000000"/>
                <w:szCs w:val="21"/>
              </w:rPr>
              <w:t>邮政编码</w:t>
            </w:r>
          </w:p>
        </w:tc>
        <w:tc>
          <w:tcPr>
            <w:tcW w:w="2639" w:type="dxa"/>
            <w:gridSpan w:val="3"/>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restart"/>
            <w:vAlign w:val="center"/>
          </w:tcPr>
          <w:p>
            <w:pPr>
              <w:adjustRightInd w:val="0"/>
              <w:jc w:val="center"/>
              <w:rPr>
                <w:color w:val="000000"/>
                <w:szCs w:val="21"/>
              </w:rPr>
            </w:pPr>
            <w:r>
              <w:rPr>
                <w:rFonts w:hint="eastAsia" w:cs="MingLiU"/>
                <w:color w:val="000000"/>
                <w:szCs w:val="21"/>
              </w:rPr>
              <w:t>联系方式</w:t>
            </w:r>
          </w:p>
        </w:tc>
        <w:tc>
          <w:tcPr>
            <w:tcW w:w="1010" w:type="dxa"/>
            <w:vAlign w:val="center"/>
          </w:tcPr>
          <w:p>
            <w:pPr>
              <w:adjustRightInd w:val="0"/>
              <w:jc w:val="center"/>
              <w:rPr>
                <w:color w:val="000000"/>
                <w:szCs w:val="21"/>
              </w:rPr>
            </w:pPr>
            <w:r>
              <w:rPr>
                <w:rFonts w:hint="eastAsia" w:cs="MingLiU"/>
                <w:color w:val="000000"/>
                <w:szCs w:val="21"/>
              </w:rPr>
              <w:t>联系人</w:t>
            </w:r>
          </w:p>
        </w:tc>
        <w:tc>
          <w:tcPr>
            <w:tcW w:w="2836" w:type="dxa"/>
            <w:gridSpan w:val="3"/>
            <w:vAlign w:val="center"/>
          </w:tcPr>
          <w:p>
            <w:pPr>
              <w:adjustRightInd w:val="0"/>
              <w:jc w:val="center"/>
              <w:rPr>
                <w:color w:val="000000"/>
                <w:szCs w:val="21"/>
              </w:rPr>
            </w:pPr>
          </w:p>
        </w:tc>
        <w:tc>
          <w:tcPr>
            <w:tcW w:w="1212" w:type="dxa"/>
            <w:vAlign w:val="center"/>
          </w:tcPr>
          <w:p>
            <w:pPr>
              <w:adjustRightInd w:val="0"/>
              <w:jc w:val="center"/>
              <w:rPr>
                <w:color w:val="000000"/>
                <w:szCs w:val="21"/>
              </w:rPr>
            </w:pPr>
            <w:r>
              <w:rPr>
                <w:rFonts w:hint="eastAsia" w:cs="MingLiU"/>
                <w:color w:val="000000"/>
                <w:szCs w:val="21"/>
              </w:rPr>
              <w:t>电话</w:t>
            </w:r>
          </w:p>
        </w:tc>
        <w:tc>
          <w:tcPr>
            <w:tcW w:w="2639" w:type="dxa"/>
            <w:gridSpan w:val="3"/>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continue"/>
            <w:vAlign w:val="center"/>
          </w:tcPr>
          <w:p>
            <w:pPr>
              <w:adjustRightInd w:val="0"/>
              <w:jc w:val="center"/>
              <w:rPr>
                <w:color w:val="000000"/>
                <w:szCs w:val="21"/>
              </w:rPr>
            </w:pPr>
          </w:p>
        </w:tc>
        <w:tc>
          <w:tcPr>
            <w:tcW w:w="1010" w:type="dxa"/>
            <w:vAlign w:val="center"/>
          </w:tcPr>
          <w:p>
            <w:pPr>
              <w:tabs>
                <w:tab w:val="left" w:pos="540"/>
              </w:tabs>
              <w:adjustRightInd w:val="0"/>
              <w:jc w:val="center"/>
              <w:rPr>
                <w:color w:val="000000"/>
                <w:szCs w:val="21"/>
              </w:rPr>
            </w:pPr>
            <w:r>
              <w:rPr>
                <w:rFonts w:hint="eastAsia" w:cs="MingLiU"/>
                <w:color w:val="000000"/>
                <w:szCs w:val="21"/>
              </w:rPr>
              <w:t>传真</w:t>
            </w:r>
          </w:p>
        </w:tc>
        <w:tc>
          <w:tcPr>
            <w:tcW w:w="2836" w:type="dxa"/>
            <w:gridSpan w:val="3"/>
            <w:vAlign w:val="center"/>
          </w:tcPr>
          <w:p>
            <w:pPr>
              <w:adjustRightInd w:val="0"/>
              <w:jc w:val="center"/>
              <w:rPr>
                <w:color w:val="000000"/>
                <w:szCs w:val="21"/>
              </w:rPr>
            </w:pPr>
          </w:p>
        </w:tc>
        <w:tc>
          <w:tcPr>
            <w:tcW w:w="1212" w:type="dxa"/>
            <w:vAlign w:val="center"/>
          </w:tcPr>
          <w:p>
            <w:pPr>
              <w:adjustRightInd w:val="0"/>
              <w:jc w:val="center"/>
              <w:rPr>
                <w:color w:val="000000"/>
                <w:szCs w:val="21"/>
              </w:rPr>
            </w:pPr>
            <w:r>
              <w:rPr>
                <w:rFonts w:hint="eastAsia" w:cs="MingLiU"/>
                <w:color w:val="000000"/>
                <w:szCs w:val="21"/>
              </w:rPr>
              <w:t>电子邮件</w:t>
            </w:r>
          </w:p>
        </w:tc>
        <w:tc>
          <w:tcPr>
            <w:tcW w:w="2639" w:type="dxa"/>
            <w:gridSpan w:val="3"/>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法定代表人</w:t>
            </w:r>
          </w:p>
        </w:tc>
        <w:tc>
          <w:tcPr>
            <w:tcW w:w="1010" w:type="dxa"/>
            <w:vAlign w:val="center"/>
          </w:tcPr>
          <w:p>
            <w:pPr>
              <w:adjustRightInd w:val="0"/>
              <w:jc w:val="center"/>
              <w:rPr>
                <w:color w:val="000000"/>
                <w:szCs w:val="21"/>
              </w:rPr>
            </w:pPr>
            <w:r>
              <w:rPr>
                <w:rFonts w:hint="eastAsia" w:cs="MingLiU"/>
                <w:color w:val="000000"/>
                <w:szCs w:val="21"/>
              </w:rPr>
              <w:t>姓名</w:t>
            </w:r>
          </w:p>
        </w:tc>
        <w:tc>
          <w:tcPr>
            <w:tcW w:w="1070" w:type="dxa"/>
            <w:vAlign w:val="center"/>
          </w:tcPr>
          <w:p>
            <w:pPr>
              <w:adjustRightInd w:val="0"/>
              <w:jc w:val="center"/>
              <w:rPr>
                <w:color w:val="000000"/>
                <w:szCs w:val="21"/>
              </w:rPr>
            </w:pPr>
          </w:p>
        </w:tc>
        <w:tc>
          <w:tcPr>
            <w:tcW w:w="1416" w:type="dxa"/>
            <w:vAlign w:val="center"/>
          </w:tcPr>
          <w:p>
            <w:pPr>
              <w:adjustRightInd w:val="0"/>
              <w:jc w:val="center"/>
              <w:rPr>
                <w:color w:val="000000"/>
                <w:szCs w:val="21"/>
              </w:rPr>
            </w:pPr>
            <w:r>
              <w:rPr>
                <w:rFonts w:hint="eastAsia" w:cs="MingLiU"/>
                <w:color w:val="000000"/>
                <w:szCs w:val="21"/>
              </w:rPr>
              <w:t>技术职称</w:t>
            </w:r>
          </w:p>
        </w:tc>
        <w:tc>
          <w:tcPr>
            <w:tcW w:w="2119" w:type="dxa"/>
            <w:gridSpan w:val="3"/>
            <w:vAlign w:val="center"/>
          </w:tcPr>
          <w:p>
            <w:pPr>
              <w:adjustRightInd w:val="0"/>
              <w:jc w:val="center"/>
              <w:rPr>
                <w:color w:val="000000"/>
                <w:szCs w:val="21"/>
              </w:rPr>
            </w:pPr>
          </w:p>
        </w:tc>
        <w:tc>
          <w:tcPr>
            <w:tcW w:w="966" w:type="dxa"/>
            <w:vAlign w:val="center"/>
          </w:tcPr>
          <w:p>
            <w:pPr>
              <w:adjustRightInd w:val="0"/>
              <w:jc w:val="center"/>
              <w:rPr>
                <w:color w:val="000000"/>
                <w:szCs w:val="21"/>
              </w:rPr>
            </w:pPr>
            <w:r>
              <w:rPr>
                <w:rFonts w:hint="eastAsia" w:cs="MingLiU"/>
                <w:color w:val="000000"/>
                <w:szCs w:val="21"/>
              </w:rPr>
              <w:t>电话</w:t>
            </w:r>
          </w:p>
        </w:tc>
        <w:tc>
          <w:tcPr>
            <w:tcW w:w="1116" w:type="dxa"/>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技术负责人</w:t>
            </w:r>
          </w:p>
        </w:tc>
        <w:tc>
          <w:tcPr>
            <w:tcW w:w="1010" w:type="dxa"/>
            <w:vAlign w:val="center"/>
          </w:tcPr>
          <w:p>
            <w:pPr>
              <w:adjustRightInd w:val="0"/>
              <w:jc w:val="center"/>
              <w:rPr>
                <w:color w:val="000000"/>
                <w:szCs w:val="21"/>
              </w:rPr>
            </w:pPr>
            <w:r>
              <w:rPr>
                <w:rFonts w:hint="eastAsia" w:cs="MingLiU"/>
                <w:color w:val="000000"/>
                <w:szCs w:val="21"/>
              </w:rPr>
              <w:t>姓名</w:t>
            </w:r>
          </w:p>
        </w:tc>
        <w:tc>
          <w:tcPr>
            <w:tcW w:w="1070" w:type="dxa"/>
            <w:vAlign w:val="center"/>
          </w:tcPr>
          <w:p>
            <w:pPr>
              <w:adjustRightInd w:val="0"/>
              <w:jc w:val="center"/>
              <w:rPr>
                <w:color w:val="000000"/>
                <w:szCs w:val="21"/>
              </w:rPr>
            </w:pPr>
          </w:p>
        </w:tc>
        <w:tc>
          <w:tcPr>
            <w:tcW w:w="1416" w:type="dxa"/>
            <w:vAlign w:val="center"/>
          </w:tcPr>
          <w:p>
            <w:pPr>
              <w:adjustRightInd w:val="0"/>
              <w:jc w:val="center"/>
              <w:rPr>
                <w:color w:val="000000"/>
                <w:szCs w:val="21"/>
              </w:rPr>
            </w:pPr>
            <w:r>
              <w:rPr>
                <w:rFonts w:hint="eastAsia" w:cs="MingLiU"/>
                <w:color w:val="000000"/>
                <w:szCs w:val="21"/>
              </w:rPr>
              <w:t>技术职称</w:t>
            </w:r>
          </w:p>
        </w:tc>
        <w:tc>
          <w:tcPr>
            <w:tcW w:w="2119" w:type="dxa"/>
            <w:gridSpan w:val="3"/>
            <w:vAlign w:val="center"/>
          </w:tcPr>
          <w:p>
            <w:pPr>
              <w:adjustRightInd w:val="0"/>
              <w:jc w:val="center"/>
              <w:rPr>
                <w:color w:val="000000"/>
                <w:szCs w:val="21"/>
              </w:rPr>
            </w:pPr>
          </w:p>
        </w:tc>
        <w:tc>
          <w:tcPr>
            <w:tcW w:w="966" w:type="dxa"/>
            <w:vAlign w:val="center"/>
          </w:tcPr>
          <w:p>
            <w:pPr>
              <w:adjustRightInd w:val="0"/>
              <w:jc w:val="center"/>
              <w:rPr>
                <w:color w:val="000000"/>
                <w:szCs w:val="21"/>
              </w:rPr>
            </w:pPr>
            <w:r>
              <w:rPr>
                <w:rFonts w:hint="eastAsia" w:cs="MingLiU"/>
                <w:color w:val="000000"/>
                <w:szCs w:val="21"/>
              </w:rPr>
              <w:t>电话</w:t>
            </w:r>
          </w:p>
        </w:tc>
        <w:tc>
          <w:tcPr>
            <w:tcW w:w="1116" w:type="dxa"/>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成立时间</w:t>
            </w:r>
          </w:p>
        </w:tc>
        <w:tc>
          <w:tcPr>
            <w:tcW w:w="2080" w:type="dxa"/>
            <w:gridSpan w:val="2"/>
            <w:vAlign w:val="center"/>
          </w:tcPr>
          <w:p>
            <w:pPr>
              <w:adjustRightInd w:val="0"/>
              <w:jc w:val="center"/>
              <w:rPr>
                <w:color w:val="000000"/>
                <w:szCs w:val="21"/>
              </w:rPr>
            </w:pPr>
          </w:p>
        </w:tc>
        <w:tc>
          <w:tcPr>
            <w:tcW w:w="5617" w:type="dxa"/>
            <w:gridSpan w:val="6"/>
            <w:vAlign w:val="center"/>
          </w:tcPr>
          <w:p>
            <w:pPr>
              <w:adjustRightInd w:val="0"/>
              <w:ind w:left="100" w:leftChars="50"/>
              <w:jc w:val="center"/>
              <w:rPr>
                <w:color w:val="000000"/>
                <w:szCs w:val="21"/>
                <w:u w:val="single"/>
              </w:rPr>
            </w:pPr>
            <w:r>
              <w:rPr>
                <w:rFonts w:hint="eastAsia" w:cs="MingLiU"/>
                <w:color w:val="000000"/>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企业资质等级</w:t>
            </w:r>
          </w:p>
        </w:tc>
        <w:tc>
          <w:tcPr>
            <w:tcW w:w="2080" w:type="dxa"/>
            <w:gridSpan w:val="2"/>
            <w:vAlign w:val="center"/>
          </w:tcPr>
          <w:p>
            <w:pPr>
              <w:adjustRightInd w:val="0"/>
              <w:jc w:val="center"/>
              <w:rPr>
                <w:color w:val="000000"/>
                <w:szCs w:val="21"/>
              </w:rPr>
            </w:pPr>
          </w:p>
        </w:tc>
        <w:tc>
          <w:tcPr>
            <w:tcW w:w="1416" w:type="dxa"/>
            <w:vMerge w:val="restart"/>
            <w:vAlign w:val="center"/>
          </w:tcPr>
          <w:p>
            <w:pPr>
              <w:adjustRightInd w:val="0"/>
              <w:jc w:val="center"/>
              <w:rPr>
                <w:color w:val="000000"/>
                <w:szCs w:val="21"/>
              </w:rPr>
            </w:pPr>
            <w:r>
              <w:rPr>
                <w:rFonts w:hint="eastAsia" w:cs="MingLiU"/>
                <w:color w:val="000000"/>
                <w:szCs w:val="21"/>
              </w:rPr>
              <w:t>其中</w:t>
            </w:r>
          </w:p>
        </w:tc>
        <w:tc>
          <w:tcPr>
            <w:tcW w:w="2119" w:type="dxa"/>
            <w:gridSpan w:val="3"/>
            <w:vAlign w:val="center"/>
          </w:tcPr>
          <w:p>
            <w:pPr>
              <w:adjustRightInd w:val="0"/>
              <w:jc w:val="center"/>
              <w:rPr>
                <w:color w:val="000000"/>
                <w:szCs w:val="21"/>
              </w:rPr>
            </w:pPr>
            <w:r>
              <w:rPr>
                <w:rFonts w:hint="eastAsia" w:cs="MingLiU"/>
                <w:color w:val="000000"/>
                <w:szCs w:val="21"/>
              </w:rPr>
              <w:t>项目经理</w:t>
            </w:r>
          </w:p>
        </w:tc>
        <w:tc>
          <w:tcPr>
            <w:tcW w:w="2082" w:type="dxa"/>
            <w:gridSpan w:val="2"/>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营业执照号</w:t>
            </w:r>
          </w:p>
        </w:tc>
        <w:tc>
          <w:tcPr>
            <w:tcW w:w="2080" w:type="dxa"/>
            <w:gridSpan w:val="2"/>
            <w:vAlign w:val="center"/>
          </w:tcPr>
          <w:p>
            <w:pPr>
              <w:adjustRightInd w:val="0"/>
              <w:jc w:val="center"/>
              <w:rPr>
                <w:color w:val="000000"/>
                <w:szCs w:val="21"/>
              </w:rPr>
            </w:pPr>
          </w:p>
        </w:tc>
        <w:tc>
          <w:tcPr>
            <w:tcW w:w="1416" w:type="dxa"/>
            <w:vMerge w:val="continue"/>
            <w:vAlign w:val="center"/>
          </w:tcPr>
          <w:p>
            <w:pPr>
              <w:adjustRightInd w:val="0"/>
              <w:jc w:val="center"/>
              <w:rPr>
                <w:color w:val="000000"/>
                <w:szCs w:val="21"/>
              </w:rPr>
            </w:pPr>
          </w:p>
        </w:tc>
        <w:tc>
          <w:tcPr>
            <w:tcW w:w="2119" w:type="dxa"/>
            <w:gridSpan w:val="3"/>
            <w:vAlign w:val="center"/>
          </w:tcPr>
          <w:p>
            <w:pPr>
              <w:adjustRightInd w:val="0"/>
              <w:jc w:val="center"/>
              <w:rPr>
                <w:color w:val="000000"/>
                <w:szCs w:val="21"/>
              </w:rPr>
            </w:pPr>
            <w:r>
              <w:rPr>
                <w:rFonts w:hint="eastAsia" w:cs="MingLiU"/>
                <w:color w:val="000000"/>
                <w:szCs w:val="21"/>
              </w:rPr>
              <w:t>高级职称人员</w:t>
            </w:r>
          </w:p>
        </w:tc>
        <w:tc>
          <w:tcPr>
            <w:tcW w:w="2082" w:type="dxa"/>
            <w:gridSpan w:val="2"/>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注册资金</w:t>
            </w:r>
          </w:p>
        </w:tc>
        <w:tc>
          <w:tcPr>
            <w:tcW w:w="2080" w:type="dxa"/>
            <w:gridSpan w:val="2"/>
            <w:vAlign w:val="center"/>
          </w:tcPr>
          <w:p>
            <w:pPr>
              <w:adjustRightInd w:val="0"/>
              <w:jc w:val="center"/>
              <w:rPr>
                <w:color w:val="000000"/>
                <w:szCs w:val="21"/>
              </w:rPr>
            </w:pPr>
          </w:p>
        </w:tc>
        <w:tc>
          <w:tcPr>
            <w:tcW w:w="1416" w:type="dxa"/>
            <w:vMerge w:val="continue"/>
            <w:vAlign w:val="center"/>
          </w:tcPr>
          <w:p>
            <w:pPr>
              <w:adjustRightInd w:val="0"/>
              <w:jc w:val="center"/>
              <w:rPr>
                <w:color w:val="000000"/>
                <w:szCs w:val="21"/>
              </w:rPr>
            </w:pPr>
          </w:p>
        </w:tc>
        <w:tc>
          <w:tcPr>
            <w:tcW w:w="2119" w:type="dxa"/>
            <w:gridSpan w:val="3"/>
            <w:vAlign w:val="center"/>
          </w:tcPr>
          <w:p>
            <w:pPr>
              <w:adjustRightInd w:val="0"/>
              <w:jc w:val="center"/>
              <w:rPr>
                <w:color w:val="000000"/>
                <w:szCs w:val="21"/>
              </w:rPr>
            </w:pPr>
            <w:r>
              <w:rPr>
                <w:rFonts w:hint="eastAsia" w:cs="MingLiU"/>
                <w:color w:val="000000"/>
                <w:szCs w:val="21"/>
              </w:rPr>
              <w:t>中级职称人员</w:t>
            </w:r>
          </w:p>
        </w:tc>
        <w:tc>
          <w:tcPr>
            <w:tcW w:w="2082" w:type="dxa"/>
            <w:gridSpan w:val="2"/>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基本账户开户银行</w:t>
            </w:r>
          </w:p>
        </w:tc>
        <w:tc>
          <w:tcPr>
            <w:tcW w:w="2080" w:type="dxa"/>
            <w:gridSpan w:val="2"/>
            <w:vAlign w:val="center"/>
          </w:tcPr>
          <w:p>
            <w:pPr>
              <w:adjustRightInd w:val="0"/>
              <w:jc w:val="center"/>
              <w:rPr>
                <w:color w:val="000000"/>
                <w:szCs w:val="21"/>
              </w:rPr>
            </w:pPr>
          </w:p>
        </w:tc>
        <w:tc>
          <w:tcPr>
            <w:tcW w:w="1416" w:type="dxa"/>
            <w:vMerge w:val="continue"/>
            <w:vAlign w:val="center"/>
          </w:tcPr>
          <w:p>
            <w:pPr>
              <w:adjustRightInd w:val="0"/>
              <w:jc w:val="center"/>
              <w:rPr>
                <w:color w:val="000000"/>
                <w:szCs w:val="21"/>
              </w:rPr>
            </w:pPr>
          </w:p>
        </w:tc>
        <w:tc>
          <w:tcPr>
            <w:tcW w:w="2119" w:type="dxa"/>
            <w:gridSpan w:val="3"/>
            <w:vAlign w:val="center"/>
          </w:tcPr>
          <w:p>
            <w:pPr>
              <w:adjustRightInd w:val="0"/>
              <w:jc w:val="center"/>
              <w:rPr>
                <w:color w:val="000000"/>
                <w:szCs w:val="21"/>
              </w:rPr>
            </w:pPr>
            <w:r>
              <w:rPr>
                <w:rFonts w:hint="eastAsia" w:cs="MingLiU"/>
                <w:color w:val="000000"/>
                <w:szCs w:val="21"/>
              </w:rPr>
              <w:t>初级职称人员</w:t>
            </w:r>
          </w:p>
        </w:tc>
        <w:tc>
          <w:tcPr>
            <w:tcW w:w="2082" w:type="dxa"/>
            <w:gridSpan w:val="2"/>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基本账户账号</w:t>
            </w:r>
          </w:p>
        </w:tc>
        <w:tc>
          <w:tcPr>
            <w:tcW w:w="2080" w:type="dxa"/>
            <w:gridSpan w:val="2"/>
            <w:vAlign w:val="center"/>
          </w:tcPr>
          <w:p>
            <w:pPr>
              <w:adjustRightInd w:val="0"/>
              <w:jc w:val="center"/>
              <w:rPr>
                <w:color w:val="000000"/>
                <w:szCs w:val="21"/>
              </w:rPr>
            </w:pPr>
          </w:p>
        </w:tc>
        <w:tc>
          <w:tcPr>
            <w:tcW w:w="1416" w:type="dxa"/>
            <w:vMerge w:val="continue"/>
            <w:vAlign w:val="center"/>
          </w:tcPr>
          <w:p>
            <w:pPr>
              <w:adjustRightInd w:val="0"/>
              <w:jc w:val="center"/>
              <w:rPr>
                <w:color w:val="000000"/>
                <w:szCs w:val="21"/>
              </w:rPr>
            </w:pPr>
          </w:p>
        </w:tc>
        <w:tc>
          <w:tcPr>
            <w:tcW w:w="2119" w:type="dxa"/>
            <w:gridSpan w:val="3"/>
            <w:vAlign w:val="center"/>
          </w:tcPr>
          <w:p>
            <w:pPr>
              <w:tabs>
                <w:tab w:val="left" w:pos="1240"/>
              </w:tabs>
              <w:adjustRightInd w:val="0"/>
              <w:spacing w:before="98"/>
              <w:jc w:val="center"/>
              <w:rPr>
                <w:color w:val="000000"/>
                <w:szCs w:val="21"/>
              </w:rPr>
            </w:pPr>
            <w:r>
              <w:rPr>
                <w:rFonts w:hint="eastAsia" w:cs="MingLiU"/>
                <w:color w:val="000000"/>
                <w:szCs w:val="21"/>
              </w:rPr>
              <w:t>技工</w:t>
            </w:r>
          </w:p>
        </w:tc>
        <w:tc>
          <w:tcPr>
            <w:tcW w:w="2082" w:type="dxa"/>
            <w:gridSpan w:val="2"/>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58" w:hRule="exact"/>
          <w:jc w:val="center"/>
        </w:trPr>
        <w:tc>
          <w:tcPr>
            <w:tcW w:w="1942" w:type="dxa"/>
            <w:vAlign w:val="center"/>
          </w:tcPr>
          <w:p>
            <w:pPr>
              <w:adjustRightInd w:val="0"/>
              <w:jc w:val="center"/>
              <w:rPr>
                <w:color w:val="000000"/>
                <w:szCs w:val="21"/>
              </w:rPr>
            </w:pPr>
            <w:r>
              <w:rPr>
                <w:rFonts w:hint="eastAsia" w:cs="MingLiU"/>
                <w:color w:val="000000"/>
                <w:szCs w:val="21"/>
              </w:rPr>
              <w:t>经营范围</w:t>
            </w:r>
          </w:p>
        </w:tc>
        <w:tc>
          <w:tcPr>
            <w:tcW w:w="7697" w:type="dxa"/>
            <w:gridSpan w:val="8"/>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23" w:hRule="exact"/>
          <w:jc w:val="center"/>
        </w:trPr>
        <w:tc>
          <w:tcPr>
            <w:tcW w:w="1942" w:type="dxa"/>
            <w:vAlign w:val="center"/>
          </w:tcPr>
          <w:p>
            <w:pPr>
              <w:adjustRightInd w:val="0"/>
              <w:jc w:val="center"/>
              <w:rPr>
                <w:rFonts w:cs="MingLiU"/>
                <w:color w:val="000000"/>
                <w:szCs w:val="21"/>
              </w:rPr>
            </w:pPr>
            <w:r>
              <w:rPr>
                <w:rFonts w:hint="eastAsia" w:cs="MingLiU"/>
                <w:color w:val="000000"/>
                <w:szCs w:val="21"/>
              </w:rPr>
              <w:t>资产构成情况及申请人投资参股的关联企业情况</w:t>
            </w:r>
          </w:p>
        </w:tc>
        <w:tc>
          <w:tcPr>
            <w:tcW w:w="7697" w:type="dxa"/>
            <w:gridSpan w:val="8"/>
            <w:vAlign w:val="center"/>
          </w:tcPr>
          <w:p>
            <w:pPr>
              <w:adjustRightInd w:val="0"/>
              <w:jc w:val="center"/>
              <w:rPr>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color w:val="000000"/>
                <w:szCs w:val="21"/>
              </w:rPr>
            </w:pPr>
            <w:r>
              <w:rPr>
                <w:rFonts w:hint="eastAsia" w:cs="MingLiU"/>
                <w:color w:val="000000"/>
                <w:szCs w:val="21"/>
              </w:rPr>
              <w:t>备    注</w:t>
            </w:r>
          </w:p>
        </w:tc>
        <w:tc>
          <w:tcPr>
            <w:tcW w:w="7697" w:type="dxa"/>
            <w:gridSpan w:val="8"/>
            <w:vAlign w:val="center"/>
          </w:tcPr>
          <w:p>
            <w:pPr>
              <w:adjustRightInd w:val="0"/>
              <w:jc w:val="center"/>
              <w:rPr>
                <w:color w:val="000000"/>
                <w:szCs w:val="21"/>
              </w:rPr>
            </w:pPr>
          </w:p>
        </w:tc>
      </w:tr>
    </w:tbl>
    <w:p>
      <w:pPr>
        <w:rPr>
          <w:color w:val="000000"/>
        </w:rPr>
      </w:pPr>
      <w:r>
        <w:rPr>
          <w:rFonts w:hint="eastAsia"/>
          <w:color w:val="000000"/>
          <w:szCs w:val="21"/>
        </w:rPr>
        <w:t>注：1.企业法人营业执照副本（全本）、施工资质证书副本（全本）、安全生产许可证副本（全本）和基本账户开户许可证的彩色扫描件并加盖单位章。</w:t>
      </w:r>
    </w:p>
    <w:p>
      <w:pPr>
        <w:spacing w:line="400" w:lineRule="exact"/>
        <w:jc w:val="center"/>
        <w:rPr>
          <w:rFonts w:ascii="黑体" w:eastAsia="黑体"/>
          <w:sz w:val="28"/>
        </w:rPr>
      </w:pPr>
    </w:p>
    <w:p>
      <w:pPr>
        <w:pStyle w:val="2"/>
        <w:ind w:firstLine="340"/>
      </w:pPr>
    </w:p>
    <w:p>
      <w:pPr>
        <w:pStyle w:val="2"/>
        <w:ind w:firstLine="340"/>
      </w:pPr>
    </w:p>
    <w:p>
      <w:pPr>
        <w:pStyle w:val="3"/>
        <w:numPr>
          <w:ilvl w:val="0"/>
          <w:numId w:val="83"/>
        </w:numPr>
        <w:spacing w:before="108"/>
        <w:jc w:val="center"/>
        <w:rPr>
          <w:rFonts w:ascii="黑体" w:eastAsia="黑体"/>
          <w:sz w:val="30"/>
          <w:szCs w:val="30"/>
        </w:rPr>
      </w:pPr>
      <w:r>
        <w:rPr>
          <w:rFonts w:hint="eastAsia" w:ascii="黑体" w:eastAsia="黑体"/>
          <w:sz w:val="30"/>
          <w:szCs w:val="30"/>
        </w:rPr>
        <w:t>投标人企业组织机构框图</w:t>
      </w:r>
    </w:p>
    <w:p>
      <w:pPr>
        <w:pStyle w:val="3"/>
        <w:spacing w:before="108"/>
        <w:jc w:val="both"/>
        <w:rPr>
          <w:rFonts w:ascii="黑体" w:eastAsia="黑体"/>
          <w:sz w:val="30"/>
          <w:szCs w:val="30"/>
        </w:rPr>
      </w:pPr>
    </w:p>
    <w:tbl>
      <w:tblPr>
        <w:tblStyle w:val="13"/>
        <w:tblW w:w="8894" w:type="dxa"/>
        <w:jc w:val="center"/>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26" w:hRule="atLeast"/>
          <w:jc w:val="center"/>
        </w:trPr>
        <w:tc>
          <w:tcPr>
            <w:tcW w:w="8894" w:type="dxa"/>
          </w:tcPr>
          <w:p>
            <w:pPr>
              <w:pStyle w:val="14"/>
              <w:rPr>
                <w:rFonts w:ascii="黑体"/>
              </w:rPr>
            </w:pPr>
          </w:p>
          <w:p>
            <w:pPr>
              <w:pStyle w:val="14"/>
              <w:rPr>
                <w:rFonts w:ascii="黑体"/>
              </w:rPr>
            </w:pPr>
          </w:p>
          <w:p>
            <w:pPr>
              <w:pStyle w:val="14"/>
              <w:spacing w:before="136"/>
              <w:ind w:left="378"/>
              <w:rPr>
                <w:sz w:val="21"/>
              </w:rPr>
            </w:pPr>
            <w:r>
              <w:rPr>
                <w:sz w:val="21"/>
              </w:rPr>
              <w:t>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3" w:hRule="atLeast"/>
          <w:jc w:val="center"/>
        </w:trPr>
        <w:tc>
          <w:tcPr>
            <w:tcW w:w="8894" w:type="dxa"/>
          </w:tcPr>
          <w:p>
            <w:pPr>
              <w:pStyle w:val="14"/>
              <w:spacing w:before="128"/>
              <w:ind w:left="378"/>
              <w:rPr>
                <w:sz w:val="21"/>
              </w:rPr>
            </w:pPr>
            <w:r>
              <w:rPr>
                <w:sz w:val="21"/>
              </w:rPr>
              <w:t>说明</w:t>
            </w:r>
          </w:p>
        </w:tc>
      </w:tr>
    </w:tbl>
    <w:p>
      <w:pPr>
        <w:spacing w:line="400" w:lineRule="exact"/>
        <w:jc w:val="center"/>
        <w:rPr>
          <w:rFonts w:ascii="黑体" w:eastAsia="黑体"/>
          <w:sz w:val="28"/>
        </w:rPr>
      </w:pPr>
    </w:p>
    <w:p>
      <w:pPr>
        <w:spacing w:line="400" w:lineRule="exact"/>
        <w:jc w:val="both"/>
        <w:rPr>
          <w:rFonts w:ascii="黑体" w:eastAsia="黑体"/>
          <w:sz w:val="28"/>
        </w:rPr>
      </w:pPr>
    </w:p>
    <w:p>
      <w:pPr>
        <w:pStyle w:val="3"/>
        <w:spacing w:before="108"/>
        <w:jc w:val="center"/>
        <w:rPr>
          <w:rFonts w:ascii="黑体" w:eastAsia="黑体"/>
          <w:sz w:val="30"/>
          <w:szCs w:val="30"/>
        </w:rPr>
      </w:pPr>
    </w:p>
    <w:p>
      <w:pPr>
        <w:pStyle w:val="3"/>
        <w:spacing w:before="108"/>
        <w:jc w:val="center"/>
        <w:rPr>
          <w:rFonts w:ascii="黑体" w:eastAsia="黑体"/>
          <w:sz w:val="30"/>
          <w:szCs w:val="30"/>
        </w:rPr>
      </w:pPr>
    </w:p>
    <w:p>
      <w:pPr>
        <w:pStyle w:val="3"/>
        <w:spacing w:before="108"/>
        <w:jc w:val="center"/>
        <w:rPr>
          <w:rFonts w:ascii="黑体" w:eastAsia="黑体"/>
          <w:sz w:val="30"/>
          <w:szCs w:val="30"/>
        </w:rPr>
      </w:pPr>
      <w:r>
        <w:rPr>
          <w:rFonts w:hint="eastAsia" w:ascii="黑体" w:eastAsia="黑体"/>
          <w:sz w:val="30"/>
          <w:szCs w:val="30"/>
        </w:rPr>
        <w:t>（三）近年财务状况表</w:t>
      </w:r>
    </w:p>
    <w:p>
      <w:pPr>
        <w:pStyle w:val="3"/>
        <w:spacing w:before="108"/>
        <w:jc w:val="center"/>
        <w:rPr>
          <w:rFonts w:ascii="黑体" w:eastAsia="黑体"/>
          <w:sz w:val="30"/>
          <w:szCs w:val="30"/>
        </w:rPr>
      </w:pPr>
      <w:r>
        <w:rPr>
          <w:rFonts w:hint="eastAsia" w:ascii="黑体" w:eastAsia="黑体"/>
          <w:sz w:val="30"/>
          <w:szCs w:val="30"/>
        </w:rPr>
        <w:t>财务状况表</w:t>
      </w:r>
    </w:p>
    <w:p>
      <w:pPr>
        <w:spacing w:line="400" w:lineRule="exact"/>
        <w:jc w:val="center"/>
        <w:rPr>
          <w:rFonts w:ascii="黑体" w:eastAsia="黑体"/>
          <w:sz w:val="28"/>
        </w:rPr>
      </w:pPr>
    </w:p>
    <w:tbl>
      <w:tblPr>
        <w:tblStyle w:val="13"/>
        <w:tblW w:w="8927" w:type="dxa"/>
        <w:jc w:val="center"/>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66"/>
        <w:gridCol w:w="900"/>
        <w:gridCol w:w="1320"/>
        <w:gridCol w:w="1321"/>
        <w:gridCol w:w="1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14"/>
              <w:spacing w:before="169"/>
              <w:ind w:right="1426"/>
              <w:jc w:val="right"/>
              <w:rPr>
                <w:sz w:val="21"/>
              </w:rPr>
            </w:pPr>
            <w:r>
              <w:rPr>
                <w:sz w:val="21"/>
              </w:rPr>
              <w:t>项目或指标</w:t>
            </w:r>
          </w:p>
        </w:tc>
        <w:tc>
          <w:tcPr>
            <w:tcW w:w="900" w:type="dxa"/>
          </w:tcPr>
          <w:p>
            <w:pPr>
              <w:pStyle w:val="14"/>
              <w:spacing w:before="169"/>
              <w:ind w:left="167" w:right="136"/>
              <w:jc w:val="center"/>
              <w:rPr>
                <w:sz w:val="21"/>
              </w:rPr>
            </w:pPr>
            <w:r>
              <w:rPr>
                <w:sz w:val="21"/>
              </w:rPr>
              <w:t>单位</w:t>
            </w:r>
          </w:p>
        </w:tc>
        <w:tc>
          <w:tcPr>
            <w:tcW w:w="1320" w:type="dxa"/>
          </w:tcPr>
          <w:p>
            <w:pPr>
              <w:pStyle w:val="14"/>
              <w:tabs>
                <w:tab w:val="left" w:pos="878"/>
              </w:tabs>
              <w:spacing w:before="169"/>
              <w:ind w:left="247"/>
              <w:rPr>
                <w:sz w:val="21"/>
              </w:rPr>
            </w:pPr>
            <w:r>
              <w:rPr>
                <w:rFonts w:eastAsia="Times New Roman"/>
                <w:sz w:val="21"/>
                <w:u w:val="single"/>
              </w:rPr>
              <w:t xml:space="preserve"> </w:t>
            </w:r>
            <w:r>
              <w:rPr>
                <w:rFonts w:eastAsia="Times New Roman"/>
                <w:sz w:val="21"/>
                <w:u w:val="single"/>
              </w:rPr>
              <w:tab/>
            </w:r>
            <w:r>
              <w:rPr>
                <w:sz w:val="21"/>
              </w:rPr>
              <w:t>年</w:t>
            </w:r>
          </w:p>
        </w:tc>
        <w:tc>
          <w:tcPr>
            <w:tcW w:w="1321" w:type="dxa"/>
          </w:tcPr>
          <w:p>
            <w:pPr>
              <w:pStyle w:val="14"/>
              <w:tabs>
                <w:tab w:val="left" w:pos="878"/>
              </w:tabs>
              <w:spacing w:before="169"/>
              <w:ind w:left="247"/>
              <w:rPr>
                <w:sz w:val="21"/>
              </w:rPr>
            </w:pPr>
            <w:r>
              <w:rPr>
                <w:rFonts w:eastAsia="Times New Roman"/>
                <w:sz w:val="21"/>
                <w:u w:val="single"/>
              </w:rPr>
              <w:t xml:space="preserve"> </w:t>
            </w:r>
            <w:r>
              <w:rPr>
                <w:rFonts w:eastAsia="Times New Roman"/>
                <w:sz w:val="21"/>
                <w:u w:val="single"/>
              </w:rPr>
              <w:tab/>
            </w:r>
            <w:r>
              <w:rPr>
                <w:sz w:val="21"/>
              </w:rPr>
              <w:t>年</w:t>
            </w:r>
          </w:p>
        </w:tc>
        <w:tc>
          <w:tcPr>
            <w:tcW w:w="1320" w:type="dxa"/>
          </w:tcPr>
          <w:p>
            <w:pPr>
              <w:pStyle w:val="14"/>
              <w:tabs>
                <w:tab w:val="left" w:pos="878"/>
              </w:tabs>
              <w:spacing w:before="169"/>
              <w:ind w:left="247"/>
              <w:rPr>
                <w:sz w:val="21"/>
              </w:rPr>
            </w:pPr>
            <w:r>
              <w:rPr>
                <w:rFonts w:eastAsia="Times New Roman"/>
                <w:sz w:val="21"/>
                <w:u w:val="single"/>
              </w:rPr>
              <w:t xml:space="preserve"> </w:t>
            </w:r>
            <w:r>
              <w:rPr>
                <w:rFonts w:eastAsia="Times New Roman"/>
                <w:sz w:val="21"/>
                <w:u w:val="single"/>
              </w:rPr>
              <w:tab/>
            </w:r>
            <w:r>
              <w:rPr>
                <w:sz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0" w:hRule="atLeast"/>
          <w:jc w:val="center"/>
        </w:trPr>
        <w:tc>
          <w:tcPr>
            <w:tcW w:w="4066" w:type="dxa"/>
          </w:tcPr>
          <w:p>
            <w:pPr>
              <w:pStyle w:val="14"/>
              <w:spacing w:before="166"/>
              <w:ind w:left="155"/>
              <w:rPr>
                <w:sz w:val="21"/>
              </w:rPr>
            </w:pPr>
            <w:r>
              <w:rPr>
                <w:sz w:val="21"/>
              </w:rPr>
              <w:t>一、 注册资本</w:t>
            </w:r>
          </w:p>
        </w:tc>
        <w:tc>
          <w:tcPr>
            <w:tcW w:w="900" w:type="dxa"/>
          </w:tcPr>
          <w:p>
            <w:pPr>
              <w:pStyle w:val="14"/>
              <w:spacing w:before="166"/>
              <w:ind w:left="167" w:right="136"/>
              <w:jc w:val="center"/>
              <w:rPr>
                <w:sz w:val="21"/>
              </w:rPr>
            </w:pPr>
            <w:r>
              <w:rPr>
                <w:sz w:val="21"/>
              </w:rPr>
              <w:t>万元</w:t>
            </w:r>
          </w:p>
        </w:tc>
        <w:tc>
          <w:tcPr>
            <w:tcW w:w="1320" w:type="dxa"/>
          </w:tcPr>
          <w:p>
            <w:pPr>
              <w:pStyle w:val="14"/>
            </w:pPr>
          </w:p>
        </w:tc>
        <w:tc>
          <w:tcPr>
            <w:tcW w:w="1321" w:type="dxa"/>
          </w:tcPr>
          <w:p>
            <w:pPr>
              <w:pStyle w:val="14"/>
            </w:pPr>
          </w:p>
        </w:tc>
        <w:tc>
          <w:tcPr>
            <w:tcW w:w="1320"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9" w:hRule="atLeast"/>
          <w:jc w:val="center"/>
        </w:trPr>
        <w:tc>
          <w:tcPr>
            <w:tcW w:w="4066" w:type="dxa"/>
          </w:tcPr>
          <w:p>
            <w:pPr>
              <w:pStyle w:val="14"/>
              <w:spacing w:before="166"/>
              <w:ind w:left="155"/>
              <w:rPr>
                <w:sz w:val="21"/>
              </w:rPr>
            </w:pPr>
            <w:r>
              <w:rPr>
                <w:sz w:val="21"/>
              </w:rPr>
              <w:t>二、 净资产</w:t>
            </w:r>
          </w:p>
        </w:tc>
        <w:tc>
          <w:tcPr>
            <w:tcW w:w="900" w:type="dxa"/>
          </w:tcPr>
          <w:p>
            <w:pPr>
              <w:pStyle w:val="14"/>
              <w:spacing w:before="166"/>
              <w:ind w:left="167" w:right="136"/>
              <w:jc w:val="center"/>
              <w:rPr>
                <w:sz w:val="21"/>
              </w:rPr>
            </w:pPr>
            <w:r>
              <w:rPr>
                <w:sz w:val="21"/>
              </w:rPr>
              <w:t>万元</w:t>
            </w:r>
          </w:p>
        </w:tc>
        <w:tc>
          <w:tcPr>
            <w:tcW w:w="1320" w:type="dxa"/>
          </w:tcPr>
          <w:p>
            <w:pPr>
              <w:pStyle w:val="14"/>
            </w:pPr>
          </w:p>
        </w:tc>
        <w:tc>
          <w:tcPr>
            <w:tcW w:w="1321" w:type="dxa"/>
          </w:tcPr>
          <w:p>
            <w:pPr>
              <w:pStyle w:val="14"/>
            </w:pPr>
          </w:p>
        </w:tc>
        <w:tc>
          <w:tcPr>
            <w:tcW w:w="1320"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0" w:hRule="atLeast"/>
          <w:jc w:val="center"/>
        </w:trPr>
        <w:tc>
          <w:tcPr>
            <w:tcW w:w="4066" w:type="dxa"/>
          </w:tcPr>
          <w:p>
            <w:pPr>
              <w:pStyle w:val="14"/>
              <w:spacing w:before="166"/>
              <w:ind w:left="155"/>
              <w:rPr>
                <w:sz w:val="21"/>
              </w:rPr>
            </w:pPr>
            <w:r>
              <w:rPr>
                <w:sz w:val="21"/>
              </w:rPr>
              <w:t>三、 总资产</w:t>
            </w:r>
          </w:p>
        </w:tc>
        <w:tc>
          <w:tcPr>
            <w:tcW w:w="900" w:type="dxa"/>
          </w:tcPr>
          <w:p>
            <w:pPr>
              <w:pStyle w:val="14"/>
              <w:spacing w:before="166"/>
              <w:ind w:left="167" w:right="136"/>
              <w:jc w:val="center"/>
              <w:rPr>
                <w:sz w:val="21"/>
              </w:rPr>
            </w:pPr>
            <w:r>
              <w:rPr>
                <w:sz w:val="21"/>
              </w:rPr>
              <w:t>万元</w:t>
            </w:r>
          </w:p>
        </w:tc>
        <w:tc>
          <w:tcPr>
            <w:tcW w:w="1320" w:type="dxa"/>
          </w:tcPr>
          <w:p>
            <w:pPr>
              <w:pStyle w:val="14"/>
            </w:pPr>
          </w:p>
        </w:tc>
        <w:tc>
          <w:tcPr>
            <w:tcW w:w="1321" w:type="dxa"/>
          </w:tcPr>
          <w:p>
            <w:pPr>
              <w:pStyle w:val="14"/>
            </w:pPr>
          </w:p>
        </w:tc>
        <w:tc>
          <w:tcPr>
            <w:tcW w:w="1320"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jc w:val="center"/>
        </w:trPr>
        <w:tc>
          <w:tcPr>
            <w:tcW w:w="4066" w:type="dxa"/>
          </w:tcPr>
          <w:p>
            <w:pPr>
              <w:pStyle w:val="14"/>
              <w:spacing w:before="166"/>
              <w:ind w:left="155"/>
              <w:rPr>
                <w:sz w:val="21"/>
              </w:rPr>
            </w:pPr>
            <w:r>
              <w:rPr>
                <w:sz w:val="21"/>
              </w:rPr>
              <w:t>四、 固定资产</w:t>
            </w:r>
          </w:p>
        </w:tc>
        <w:tc>
          <w:tcPr>
            <w:tcW w:w="900" w:type="dxa"/>
          </w:tcPr>
          <w:p>
            <w:pPr>
              <w:pStyle w:val="14"/>
              <w:spacing w:before="166"/>
              <w:ind w:left="167" w:right="136"/>
              <w:jc w:val="center"/>
              <w:rPr>
                <w:sz w:val="21"/>
              </w:rPr>
            </w:pPr>
            <w:r>
              <w:rPr>
                <w:sz w:val="21"/>
              </w:rPr>
              <w:t>万元</w:t>
            </w:r>
          </w:p>
        </w:tc>
        <w:tc>
          <w:tcPr>
            <w:tcW w:w="1320" w:type="dxa"/>
          </w:tcPr>
          <w:p>
            <w:pPr>
              <w:pStyle w:val="14"/>
            </w:pPr>
          </w:p>
        </w:tc>
        <w:tc>
          <w:tcPr>
            <w:tcW w:w="1321" w:type="dxa"/>
          </w:tcPr>
          <w:p>
            <w:pPr>
              <w:pStyle w:val="14"/>
            </w:pPr>
          </w:p>
        </w:tc>
        <w:tc>
          <w:tcPr>
            <w:tcW w:w="1320"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14"/>
              <w:spacing w:before="169"/>
              <w:ind w:left="155"/>
              <w:rPr>
                <w:sz w:val="21"/>
              </w:rPr>
            </w:pPr>
            <w:r>
              <w:rPr>
                <w:sz w:val="21"/>
              </w:rPr>
              <w:t>五、 流动资产</w:t>
            </w:r>
          </w:p>
        </w:tc>
        <w:tc>
          <w:tcPr>
            <w:tcW w:w="900" w:type="dxa"/>
          </w:tcPr>
          <w:p>
            <w:pPr>
              <w:pStyle w:val="14"/>
              <w:spacing w:before="169"/>
              <w:ind w:left="167" w:right="136"/>
              <w:jc w:val="center"/>
              <w:rPr>
                <w:sz w:val="21"/>
              </w:rPr>
            </w:pPr>
            <w:r>
              <w:rPr>
                <w:sz w:val="21"/>
              </w:rPr>
              <w:t>万元</w:t>
            </w:r>
          </w:p>
        </w:tc>
        <w:tc>
          <w:tcPr>
            <w:tcW w:w="1320" w:type="dxa"/>
          </w:tcPr>
          <w:p>
            <w:pPr>
              <w:pStyle w:val="14"/>
            </w:pPr>
          </w:p>
        </w:tc>
        <w:tc>
          <w:tcPr>
            <w:tcW w:w="1321" w:type="dxa"/>
          </w:tcPr>
          <w:p>
            <w:pPr>
              <w:pStyle w:val="14"/>
            </w:pPr>
          </w:p>
        </w:tc>
        <w:tc>
          <w:tcPr>
            <w:tcW w:w="1320"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0" w:hRule="atLeast"/>
          <w:jc w:val="center"/>
        </w:trPr>
        <w:tc>
          <w:tcPr>
            <w:tcW w:w="4066" w:type="dxa"/>
          </w:tcPr>
          <w:p>
            <w:pPr>
              <w:pStyle w:val="14"/>
              <w:spacing w:before="166"/>
              <w:ind w:left="155"/>
              <w:rPr>
                <w:sz w:val="21"/>
              </w:rPr>
            </w:pPr>
            <w:r>
              <w:rPr>
                <w:sz w:val="21"/>
              </w:rPr>
              <w:t>六、 流动负债</w:t>
            </w:r>
          </w:p>
        </w:tc>
        <w:tc>
          <w:tcPr>
            <w:tcW w:w="900" w:type="dxa"/>
          </w:tcPr>
          <w:p>
            <w:pPr>
              <w:pStyle w:val="14"/>
              <w:spacing w:before="166"/>
              <w:ind w:left="167" w:right="136"/>
              <w:jc w:val="center"/>
              <w:rPr>
                <w:sz w:val="21"/>
              </w:rPr>
            </w:pPr>
            <w:r>
              <w:rPr>
                <w:sz w:val="21"/>
              </w:rPr>
              <w:t>万元</w:t>
            </w:r>
          </w:p>
        </w:tc>
        <w:tc>
          <w:tcPr>
            <w:tcW w:w="1320" w:type="dxa"/>
          </w:tcPr>
          <w:p>
            <w:pPr>
              <w:pStyle w:val="14"/>
            </w:pPr>
          </w:p>
        </w:tc>
        <w:tc>
          <w:tcPr>
            <w:tcW w:w="1321" w:type="dxa"/>
          </w:tcPr>
          <w:p>
            <w:pPr>
              <w:pStyle w:val="14"/>
            </w:pPr>
          </w:p>
        </w:tc>
        <w:tc>
          <w:tcPr>
            <w:tcW w:w="1320"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jc w:val="center"/>
        </w:trPr>
        <w:tc>
          <w:tcPr>
            <w:tcW w:w="4066" w:type="dxa"/>
          </w:tcPr>
          <w:p>
            <w:pPr>
              <w:pStyle w:val="14"/>
              <w:spacing w:before="166"/>
              <w:ind w:left="155"/>
              <w:rPr>
                <w:sz w:val="21"/>
              </w:rPr>
            </w:pPr>
            <w:r>
              <w:rPr>
                <w:sz w:val="21"/>
              </w:rPr>
              <w:t>七、 负债合计</w:t>
            </w:r>
          </w:p>
        </w:tc>
        <w:tc>
          <w:tcPr>
            <w:tcW w:w="900" w:type="dxa"/>
          </w:tcPr>
          <w:p>
            <w:pPr>
              <w:pStyle w:val="14"/>
              <w:spacing w:before="166"/>
              <w:ind w:left="167" w:right="136"/>
              <w:jc w:val="center"/>
              <w:rPr>
                <w:sz w:val="21"/>
              </w:rPr>
            </w:pPr>
            <w:r>
              <w:rPr>
                <w:sz w:val="21"/>
              </w:rPr>
              <w:t>万元</w:t>
            </w:r>
          </w:p>
        </w:tc>
        <w:tc>
          <w:tcPr>
            <w:tcW w:w="1320" w:type="dxa"/>
          </w:tcPr>
          <w:p>
            <w:pPr>
              <w:pStyle w:val="14"/>
            </w:pPr>
          </w:p>
        </w:tc>
        <w:tc>
          <w:tcPr>
            <w:tcW w:w="1321" w:type="dxa"/>
          </w:tcPr>
          <w:p>
            <w:pPr>
              <w:pStyle w:val="14"/>
            </w:pPr>
          </w:p>
        </w:tc>
        <w:tc>
          <w:tcPr>
            <w:tcW w:w="1320"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14"/>
              <w:spacing w:before="167"/>
              <w:ind w:left="155"/>
              <w:rPr>
                <w:sz w:val="21"/>
              </w:rPr>
            </w:pPr>
            <w:r>
              <w:rPr>
                <w:sz w:val="21"/>
              </w:rPr>
              <w:t>八、 营业收入</w:t>
            </w:r>
          </w:p>
        </w:tc>
        <w:tc>
          <w:tcPr>
            <w:tcW w:w="900" w:type="dxa"/>
          </w:tcPr>
          <w:p>
            <w:pPr>
              <w:pStyle w:val="14"/>
              <w:spacing w:before="167"/>
              <w:ind w:left="167" w:right="136"/>
              <w:jc w:val="center"/>
              <w:rPr>
                <w:sz w:val="21"/>
              </w:rPr>
            </w:pPr>
            <w:r>
              <w:rPr>
                <w:sz w:val="21"/>
              </w:rPr>
              <w:t>万元</w:t>
            </w:r>
          </w:p>
        </w:tc>
        <w:tc>
          <w:tcPr>
            <w:tcW w:w="1320" w:type="dxa"/>
          </w:tcPr>
          <w:p>
            <w:pPr>
              <w:pStyle w:val="14"/>
            </w:pPr>
          </w:p>
        </w:tc>
        <w:tc>
          <w:tcPr>
            <w:tcW w:w="1321" w:type="dxa"/>
          </w:tcPr>
          <w:p>
            <w:pPr>
              <w:pStyle w:val="14"/>
            </w:pPr>
          </w:p>
        </w:tc>
        <w:tc>
          <w:tcPr>
            <w:tcW w:w="1320"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jc w:val="center"/>
        </w:trPr>
        <w:tc>
          <w:tcPr>
            <w:tcW w:w="4066" w:type="dxa"/>
          </w:tcPr>
          <w:p>
            <w:pPr>
              <w:pStyle w:val="14"/>
              <w:spacing w:before="166"/>
              <w:ind w:left="155"/>
              <w:rPr>
                <w:sz w:val="21"/>
              </w:rPr>
            </w:pPr>
            <w:r>
              <w:rPr>
                <w:sz w:val="21"/>
              </w:rPr>
              <w:t>九、 净利润</w:t>
            </w:r>
          </w:p>
        </w:tc>
        <w:tc>
          <w:tcPr>
            <w:tcW w:w="900" w:type="dxa"/>
          </w:tcPr>
          <w:p>
            <w:pPr>
              <w:pStyle w:val="14"/>
              <w:spacing w:before="166"/>
              <w:ind w:left="167" w:right="136"/>
              <w:jc w:val="center"/>
              <w:rPr>
                <w:sz w:val="21"/>
              </w:rPr>
            </w:pPr>
            <w:r>
              <w:rPr>
                <w:sz w:val="21"/>
              </w:rPr>
              <w:t>万元</w:t>
            </w:r>
          </w:p>
        </w:tc>
        <w:tc>
          <w:tcPr>
            <w:tcW w:w="1320" w:type="dxa"/>
          </w:tcPr>
          <w:p>
            <w:pPr>
              <w:pStyle w:val="14"/>
            </w:pPr>
          </w:p>
        </w:tc>
        <w:tc>
          <w:tcPr>
            <w:tcW w:w="1321" w:type="dxa"/>
          </w:tcPr>
          <w:p>
            <w:pPr>
              <w:pStyle w:val="14"/>
            </w:pPr>
          </w:p>
        </w:tc>
        <w:tc>
          <w:tcPr>
            <w:tcW w:w="1320"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14"/>
              <w:spacing w:before="169"/>
              <w:ind w:left="155"/>
              <w:rPr>
                <w:sz w:val="21"/>
              </w:rPr>
            </w:pPr>
            <w:r>
              <w:rPr>
                <w:sz w:val="21"/>
              </w:rPr>
              <w:t>十、 现金流量净额</w:t>
            </w:r>
          </w:p>
        </w:tc>
        <w:tc>
          <w:tcPr>
            <w:tcW w:w="900" w:type="dxa"/>
          </w:tcPr>
          <w:p>
            <w:pPr>
              <w:pStyle w:val="14"/>
              <w:spacing w:before="169"/>
              <w:ind w:left="167" w:right="136"/>
              <w:jc w:val="center"/>
              <w:rPr>
                <w:sz w:val="21"/>
              </w:rPr>
            </w:pPr>
            <w:r>
              <w:rPr>
                <w:sz w:val="21"/>
              </w:rPr>
              <w:t>万元</w:t>
            </w:r>
          </w:p>
        </w:tc>
        <w:tc>
          <w:tcPr>
            <w:tcW w:w="1320" w:type="dxa"/>
          </w:tcPr>
          <w:p>
            <w:pPr>
              <w:pStyle w:val="14"/>
            </w:pPr>
          </w:p>
        </w:tc>
        <w:tc>
          <w:tcPr>
            <w:tcW w:w="1321" w:type="dxa"/>
          </w:tcPr>
          <w:p>
            <w:pPr>
              <w:pStyle w:val="14"/>
            </w:pPr>
          </w:p>
        </w:tc>
        <w:tc>
          <w:tcPr>
            <w:tcW w:w="1320"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jc w:val="center"/>
        </w:trPr>
        <w:tc>
          <w:tcPr>
            <w:tcW w:w="4066" w:type="dxa"/>
          </w:tcPr>
          <w:p>
            <w:pPr>
              <w:pStyle w:val="14"/>
              <w:spacing w:before="166"/>
              <w:ind w:left="155"/>
              <w:rPr>
                <w:sz w:val="21"/>
              </w:rPr>
            </w:pPr>
            <w:r>
              <w:rPr>
                <w:sz w:val="21"/>
              </w:rPr>
              <w:t>十一、 主要财务指标</w:t>
            </w:r>
          </w:p>
        </w:tc>
        <w:tc>
          <w:tcPr>
            <w:tcW w:w="900" w:type="dxa"/>
          </w:tcPr>
          <w:p>
            <w:pPr>
              <w:pStyle w:val="14"/>
            </w:pPr>
          </w:p>
        </w:tc>
        <w:tc>
          <w:tcPr>
            <w:tcW w:w="1320" w:type="dxa"/>
          </w:tcPr>
          <w:p>
            <w:pPr>
              <w:pStyle w:val="14"/>
            </w:pPr>
          </w:p>
        </w:tc>
        <w:tc>
          <w:tcPr>
            <w:tcW w:w="1321" w:type="dxa"/>
          </w:tcPr>
          <w:p>
            <w:pPr>
              <w:pStyle w:val="14"/>
            </w:pPr>
          </w:p>
        </w:tc>
        <w:tc>
          <w:tcPr>
            <w:tcW w:w="1320"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14"/>
              <w:spacing w:before="169"/>
              <w:ind w:left="952"/>
              <w:rPr>
                <w:sz w:val="21"/>
              </w:rPr>
            </w:pPr>
            <w:r>
              <w:rPr>
                <w:rFonts w:eastAsia="Times New Roman"/>
                <w:sz w:val="21"/>
              </w:rPr>
              <w:t xml:space="preserve">1. </w:t>
            </w:r>
            <w:r>
              <w:rPr>
                <w:sz w:val="21"/>
              </w:rPr>
              <w:t>净资产收益率</w:t>
            </w:r>
          </w:p>
        </w:tc>
        <w:tc>
          <w:tcPr>
            <w:tcW w:w="900" w:type="dxa"/>
          </w:tcPr>
          <w:p>
            <w:pPr>
              <w:pStyle w:val="14"/>
              <w:spacing w:before="180"/>
              <w:ind w:left="29"/>
              <w:jc w:val="center"/>
              <w:rPr>
                <w:sz w:val="21"/>
              </w:rPr>
            </w:pPr>
            <w:r>
              <w:rPr>
                <w:sz w:val="21"/>
              </w:rPr>
              <w:t>%</w:t>
            </w:r>
          </w:p>
        </w:tc>
        <w:tc>
          <w:tcPr>
            <w:tcW w:w="1320" w:type="dxa"/>
          </w:tcPr>
          <w:p>
            <w:pPr>
              <w:pStyle w:val="14"/>
            </w:pPr>
          </w:p>
        </w:tc>
        <w:tc>
          <w:tcPr>
            <w:tcW w:w="1321" w:type="dxa"/>
          </w:tcPr>
          <w:p>
            <w:pPr>
              <w:pStyle w:val="14"/>
            </w:pPr>
          </w:p>
        </w:tc>
        <w:tc>
          <w:tcPr>
            <w:tcW w:w="1320"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14"/>
              <w:spacing w:before="167"/>
              <w:ind w:left="952"/>
              <w:rPr>
                <w:sz w:val="21"/>
              </w:rPr>
            </w:pPr>
            <w:r>
              <w:rPr>
                <w:rFonts w:eastAsia="Times New Roman"/>
                <w:sz w:val="21"/>
              </w:rPr>
              <w:t xml:space="preserve">2. </w:t>
            </w:r>
            <w:r>
              <w:rPr>
                <w:sz w:val="21"/>
              </w:rPr>
              <w:t>总资产报酬率</w:t>
            </w:r>
          </w:p>
        </w:tc>
        <w:tc>
          <w:tcPr>
            <w:tcW w:w="900" w:type="dxa"/>
          </w:tcPr>
          <w:p>
            <w:pPr>
              <w:pStyle w:val="14"/>
              <w:spacing w:before="178"/>
              <w:ind w:left="29"/>
              <w:jc w:val="center"/>
              <w:rPr>
                <w:sz w:val="21"/>
              </w:rPr>
            </w:pPr>
            <w:r>
              <w:rPr>
                <w:sz w:val="21"/>
              </w:rPr>
              <w:t>%</w:t>
            </w:r>
          </w:p>
        </w:tc>
        <w:tc>
          <w:tcPr>
            <w:tcW w:w="1320" w:type="dxa"/>
          </w:tcPr>
          <w:p>
            <w:pPr>
              <w:pStyle w:val="14"/>
            </w:pPr>
          </w:p>
        </w:tc>
        <w:tc>
          <w:tcPr>
            <w:tcW w:w="1321" w:type="dxa"/>
          </w:tcPr>
          <w:p>
            <w:pPr>
              <w:pStyle w:val="14"/>
            </w:pPr>
          </w:p>
        </w:tc>
        <w:tc>
          <w:tcPr>
            <w:tcW w:w="1320"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jc w:val="center"/>
        </w:trPr>
        <w:tc>
          <w:tcPr>
            <w:tcW w:w="4066" w:type="dxa"/>
          </w:tcPr>
          <w:p>
            <w:pPr>
              <w:pStyle w:val="14"/>
              <w:spacing w:before="166"/>
              <w:ind w:right="1361"/>
              <w:jc w:val="right"/>
              <w:rPr>
                <w:sz w:val="21"/>
              </w:rPr>
            </w:pPr>
            <w:r>
              <w:rPr>
                <w:rFonts w:eastAsia="Times New Roman"/>
                <w:sz w:val="21"/>
              </w:rPr>
              <w:t xml:space="preserve">3. </w:t>
            </w:r>
            <w:r>
              <w:rPr>
                <w:sz w:val="21"/>
              </w:rPr>
              <w:t>主营业务利润率</w:t>
            </w:r>
          </w:p>
        </w:tc>
        <w:tc>
          <w:tcPr>
            <w:tcW w:w="900" w:type="dxa"/>
          </w:tcPr>
          <w:p>
            <w:pPr>
              <w:pStyle w:val="14"/>
              <w:spacing w:before="178"/>
              <w:ind w:left="29"/>
              <w:jc w:val="center"/>
              <w:rPr>
                <w:sz w:val="21"/>
              </w:rPr>
            </w:pPr>
            <w:r>
              <w:rPr>
                <w:sz w:val="21"/>
              </w:rPr>
              <w:t>%</w:t>
            </w:r>
          </w:p>
        </w:tc>
        <w:tc>
          <w:tcPr>
            <w:tcW w:w="1320" w:type="dxa"/>
          </w:tcPr>
          <w:p>
            <w:pPr>
              <w:pStyle w:val="14"/>
            </w:pPr>
          </w:p>
        </w:tc>
        <w:tc>
          <w:tcPr>
            <w:tcW w:w="1321" w:type="dxa"/>
          </w:tcPr>
          <w:p>
            <w:pPr>
              <w:pStyle w:val="14"/>
            </w:pPr>
          </w:p>
        </w:tc>
        <w:tc>
          <w:tcPr>
            <w:tcW w:w="1320"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14"/>
              <w:spacing w:before="166"/>
              <w:ind w:left="952"/>
              <w:rPr>
                <w:sz w:val="21"/>
              </w:rPr>
            </w:pPr>
            <w:r>
              <w:rPr>
                <w:rFonts w:eastAsia="Times New Roman"/>
                <w:sz w:val="21"/>
              </w:rPr>
              <w:t xml:space="preserve">4. </w:t>
            </w:r>
            <w:r>
              <w:rPr>
                <w:sz w:val="21"/>
              </w:rPr>
              <w:t>资产负债率</w:t>
            </w:r>
          </w:p>
        </w:tc>
        <w:tc>
          <w:tcPr>
            <w:tcW w:w="900" w:type="dxa"/>
          </w:tcPr>
          <w:p>
            <w:pPr>
              <w:pStyle w:val="14"/>
              <w:spacing w:before="178"/>
              <w:ind w:left="29"/>
              <w:jc w:val="center"/>
              <w:rPr>
                <w:sz w:val="21"/>
              </w:rPr>
            </w:pPr>
            <w:r>
              <w:rPr>
                <w:sz w:val="21"/>
              </w:rPr>
              <w:t>%</w:t>
            </w:r>
          </w:p>
        </w:tc>
        <w:tc>
          <w:tcPr>
            <w:tcW w:w="1320" w:type="dxa"/>
          </w:tcPr>
          <w:p>
            <w:pPr>
              <w:pStyle w:val="14"/>
            </w:pPr>
          </w:p>
        </w:tc>
        <w:tc>
          <w:tcPr>
            <w:tcW w:w="1321" w:type="dxa"/>
          </w:tcPr>
          <w:p>
            <w:pPr>
              <w:pStyle w:val="14"/>
            </w:pPr>
          </w:p>
        </w:tc>
        <w:tc>
          <w:tcPr>
            <w:tcW w:w="1320"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jc w:val="center"/>
        </w:trPr>
        <w:tc>
          <w:tcPr>
            <w:tcW w:w="4066" w:type="dxa"/>
          </w:tcPr>
          <w:p>
            <w:pPr>
              <w:pStyle w:val="14"/>
              <w:spacing w:before="166"/>
              <w:ind w:left="952"/>
              <w:rPr>
                <w:sz w:val="21"/>
              </w:rPr>
            </w:pPr>
            <w:r>
              <w:rPr>
                <w:rFonts w:eastAsia="Times New Roman"/>
                <w:sz w:val="21"/>
              </w:rPr>
              <w:t xml:space="preserve">5. </w:t>
            </w:r>
            <w:r>
              <w:rPr>
                <w:sz w:val="21"/>
              </w:rPr>
              <w:t>流动比率</w:t>
            </w:r>
          </w:p>
        </w:tc>
        <w:tc>
          <w:tcPr>
            <w:tcW w:w="900" w:type="dxa"/>
          </w:tcPr>
          <w:p>
            <w:pPr>
              <w:pStyle w:val="14"/>
              <w:spacing w:before="178"/>
              <w:ind w:left="29"/>
              <w:jc w:val="center"/>
              <w:rPr>
                <w:sz w:val="21"/>
              </w:rPr>
            </w:pPr>
            <w:r>
              <w:rPr>
                <w:sz w:val="21"/>
              </w:rPr>
              <w:t>%</w:t>
            </w:r>
          </w:p>
        </w:tc>
        <w:tc>
          <w:tcPr>
            <w:tcW w:w="1320" w:type="dxa"/>
          </w:tcPr>
          <w:p>
            <w:pPr>
              <w:pStyle w:val="14"/>
            </w:pPr>
          </w:p>
        </w:tc>
        <w:tc>
          <w:tcPr>
            <w:tcW w:w="1321" w:type="dxa"/>
          </w:tcPr>
          <w:p>
            <w:pPr>
              <w:pStyle w:val="14"/>
            </w:pPr>
          </w:p>
        </w:tc>
        <w:tc>
          <w:tcPr>
            <w:tcW w:w="1320"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14"/>
              <w:spacing w:before="169"/>
              <w:ind w:left="952"/>
              <w:rPr>
                <w:sz w:val="21"/>
              </w:rPr>
            </w:pPr>
            <w:r>
              <w:rPr>
                <w:rFonts w:eastAsia="Times New Roman"/>
                <w:sz w:val="21"/>
              </w:rPr>
              <w:t xml:space="preserve">6. </w:t>
            </w:r>
            <w:r>
              <w:rPr>
                <w:sz w:val="21"/>
              </w:rPr>
              <w:t>速动比率</w:t>
            </w:r>
          </w:p>
        </w:tc>
        <w:tc>
          <w:tcPr>
            <w:tcW w:w="900" w:type="dxa"/>
          </w:tcPr>
          <w:p>
            <w:pPr>
              <w:pStyle w:val="14"/>
              <w:spacing w:before="180"/>
              <w:ind w:left="29"/>
              <w:jc w:val="center"/>
              <w:rPr>
                <w:sz w:val="21"/>
              </w:rPr>
            </w:pPr>
            <w:r>
              <w:rPr>
                <w:sz w:val="21"/>
              </w:rPr>
              <w:t>%</w:t>
            </w:r>
          </w:p>
        </w:tc>
        <w:tc>
          <w:tcPr>
            <w:tcW w:w="1320" w:type="dxa"/>
          </w:tcPr>
          <w:p>
            <w:pPr>
              <w:pStyle w:val="14"/>
            </w:pPr>
          </w:p>
        </w:tc>
        <w:tc>
          <w:tcPr>
            <w:tcW w:w="1321" w:type="dxa"/>
          </w:tcPr>
          <w:p>
            <w:pPr>
              <w:pStyle w:val="14"/>
            </w:pPr>
          </w:p>
        </w:tc>
        <w:tc>
          <w:tcPr>
            <w:tcW w:w="1320" w:type="dxa"/>
          </w:tcPr>
          <w:p>
            <w:pPr>
              <w:pStyle w:val="14"/>
            </w:pPr>
          </w:p>
        </w:tc>
      </w:tr>
    </w:tbl>
    <w:p>
      <w:pPr>
        <w:spacing w:before="179" w:line="360" w:lineRule="auto"/>
        <w:rPr>
          <w:sz w:val="21"/>
        </w:rPr>
      </w:pPr>
      <w:r>
        <w:rPr>
          <w:sz w:val="21"/>
        </w:rPr>
        <w:t>注：</w:t>
      </w:r>
      <w:r>
        <w:rPr>
          <w:rFonts w:eastAsia="Times New Roman"/>
          <w:sz w:val="21"/>
        </w:rPr>
        <w:t>1.</w:t>
      </w:r>
      <w:r>
        <w:rPr>
          <w:sz w:val="21"/>
        </w:rPr>
        <w:t xml:space="preserve">投标人应根据招标文件第二章“投标人须知”第 </w:t>
      </w:r>
      <w:r>
        <w:rPr>
          <w:rFonts w:eastAsia="Times New Roman"/>
          <w:sz w:val="21"/>
        </w:rPr>
        <w:t xml:space="preserve">3.5.2 </w:t>
      </w:r>
      <w:r>
        <w:rPr>
          <w:sz w:val="21"/>
        </w:rPr>
        <w:t>项的要求在本表后附相关证明材料。</w:t>
      </w:r>
    </w:p>
    <w:p>
      <w:pPr>
        <w:numPr>
          <w:ilvl w:val="0"/>
          <w:numId w:val="84"/>
        </w:numPr>
        <w:spacing w:before="132" w:line="360" w:lineRule="auto"/>
        <w:ind w:firstLine="420" w:firstLineChars="200"/>
        <w:rPr>
          <w:rFonts w:ascii="黑体" w:eastAsia="黑体"/>
          <w:sz w:val="28"/>
        </w:rPr>
      </w:pPr>
      <w:r>
        <w:rPr>
          <w:sz w:val="21"/>
        </w:rPr>
        <w:t>本表所列数据必须与本表各附件中的数据相一致。</w:t>
      </w:r>
    </w:p>
    <w:p>
      <w:pPr>
        <w:pStyle w:val="3"/>
        <w:spacing w:before="108"/>
        <w:jc w:val="center"/>
        <w:rPr>
          <w:rFonts w:ascii="黑体" w:eastAsia="黑体"/>
          <w:sz w:val="30"/>
          <w:szCs w:val="30"/>
        </w:rPr>
      </w:pPr>
    </w:p>
    <w:p>
      <w:pPr>
        <w:pStyle w:val="3"/>
        <w:spacing w:before="108"/>
        <w:jc w:val="center"/>
        <w:rPr>
          <w:rFonts w:ascii="黑体" w:eastAsia="黑体"/>
          <w:sz w:val="30"/>
          <w:szCs w:val="30"/>
        </w:rPr>
      </w:pPr>
      <w:r>
        <w:rPr>
          <w:rFonts w:hint="eastAsia" w:ascii="黑体" w:eastAsia="黑体"/>
          <w:sz w:val="30"/>
          <w:szCs w:val="30"/>
        </w:rPr>
        <w:t>（四）近年完成的类似项目情况表</w:t>
      </w:r>
    </w:p>
    <w:tbl>
      <w:tblPr>
        <w:tblStyle w:val="13"/>
        <w:tblW w:w="8894"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7"/>
        <w:gridCol w:w="6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1" w:hRule="atLeast"/>
          <w:jc w:val="center"/>
        </w:trPr>
        <w:tc>
          <w:tcPr>
            <w:tcW w:w="2367" w:type="dxa"/>
          </w:tcPr>
          <w:p>
            <w:pPr>
              <w:pStyle w:val="14"/>
              <w:spacing w:before="1"/>
              <w:rPr>
                <w:rFonts w:ascii="黑体"/>
              </w:rPr>
            </w:pPr>
          </w:p>
          <w:p>
            <w:pPr>
              <w:pStyle w:val="14"/>
              <w:tabs>
                <w:tab w:val="left" w:pos="642"/>
              </w:tabs>
              <w:ind w:left="11"/>
              <w:jc w:val="center"/>
              <w:rPr>
                <w:sz w:val="21"/>
              </w:rPr>
            </w:pPr>
            <w:r>
              <w:rPr>
                <w:sz w:val="21"/>
              </w:rPr>
              <w:t>序</w:t>
            </w:r>
            <w:r>
              <w:rPr>
                <w:sz w:val="21"/>
              </w:rPr>
              <w:tab/>
            </w:r>
            <w:r>
              <w:rPr>
                <w:sz w:val="21"/>
              </w:rPr>
              <w:t>号</w:t>
            </w:r>
          </w:p>
        </w:tc>
        <w:tc>
          <w:tcPr>
            <w:tcW w:w="6527"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jc w:val="center"/>
        </w:trPr>
        <w:tc>
          <w:tcPr>
            <w:tcW w:w="2367" w:type="dxa"/>
          </w:tcPr>
          <w:p>
            <w:pPr>
              <w:pStyle w:val="14"/>
              <w:spacing w:before="11"/>
              <w:rPr>
                <w:rFonts w:ascii="黑体"/>
              </w:rPr>
            </w:pPr>
          </w:p>
          <w:p>
            <w:pPr>
              <w:pStyle w:val="14"/>
              <w:ind w:left="4"/>
              <w:jc w:val="center"/>
            </w:pPr>
            <w:r>
              <w:t>项目名称</w:t>
            </w:r>
          </w:p>
        </w:tc>
        <w:tc>
          <w:tcPr>
            <w:tcW w:w="6527"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jc w:val="center"/>
        </w:trPr>
        <w:tc>
          <w:tcPr>
            <w:tcW w:w="2367" w:type="dxa"/>
          </w:tcPr>
          <w:p>
            <w:pPr>
              <w:pStyle w:val="14"/>
              <w:spacing w:before="5"/>
              <w:rPr>
                <w:rFonts w:ascii="黑体"/>
                <w:sz w:val="18"/>
              </w:rPr>
            </w:pPr>
          </w:p>
          <w:p>
            <w:pPr>
              <w:pStyle w:val="14"/>
              <w:spacing w:before="1"/>
              <w:ind w:left="3"/>
              <w:jc w:val="center"/>
            </w:pPr>
            <w:r>
              <w:t>项目所在地</w:t>
            </w:r>
          </w:p>
        </w:tc>
        <w:tc>
          <w:tcPr>
            <w:tcW w:w="6527"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jc w:val="center"/>
        </w:trPr>
        <w:tc>
          <w:tcPr>
            <w:tcW w:w="2367" w:type="dxa"/>
          </w:tcPr>
          <w:p>
            <w:pPr>
              <w:pStyle w:val="14"/>
              <w:spacing w:before="8"/>
              <w:rPr>
                <w:rFonts w:ascii="黑体"/>
                <w:sz w:val="18"/>
              </w:rPr>
            </w:pPr>
          </w:p>
          <w:p>
            <w:pPr>
              <w:pStyle w:val="14"/>
              <w:spacing w:before="1"/>
              <w:ind w:left="3"/>
              <w:jc w:val="center"/>
            </w:pPr>
            <w:r>
              <w:t>发包人名称</w:t>
            </w:r>
          </w:p>
        </w:tc>
        <w:tc>
          <w:tcPr>
            <w:tcW w:w="6527"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jc w:val="center"/>
        </w:trPr>
        <w:tc>
          <w:tcPr>
            <w:tcW w:w="2367" w:type="dxa"/>
          </w:tcPr>
          <w:p>
            <w:pPr>
              <w:pStyle w:val="14"/>
              <w:spacing w:before="5"/>
              <w:rPr>
                <w:rFonts w:ascii="黑体"/>
                <w:sz w:val="18"/>
              </w:rPr>
            </w:pPr>
          </w:p>
          <w:p>
            <w:pPr>
              <w:pStyle w:val="14"/>
              <w:spacing w:before="1"/>
              <w:ind w:left="3"/>
              <w:jc w:val="center"/>
            </w:pPr>
            <w:r>
              <w:t>发包人地址</w:t>
            </w:r>
          </w:p>
        </w:tc>
        <w:tc>
          <w:tcPr>
            <w:tcW w:w="6527"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6" w:hRule="atLeast"/>
          <w:jc w:val="center"/>
        </w:trPr>
        <w:tc>
          <w:tcPr>
            <w:tcW w:w="2367" w:type="dxa"/>
          </w:tcPr>
          <w:p>
            <w:pPr>
              <w:pStyle w:val="14"/>
              <w:spacing w:before="10"/>
              <w:rPr>
                <w:rFonts w:ascii="黑体"/>
                <w:sz w:val="18"/>
              </w:rPr>
            </w:pPr>
          </w:p>
          <w:p>
            <w:pPr>
              <w:pStyle w:val="14"/>
              <w:ind w:left="3"/>
              <w:jc w:val="center"/>
            </w:pPr>
            <w:r>
              <w:t>发包人电话</w:t>
            </w:r>
          </w:p>
        </w:tc>
        <w:tc>
          <w:tcPr>
            <w:tcW w:w="6527"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jc w:val="center"/>
        </w:trPr>
        <w:tc>
          <w:tcPr>
            <w:tcW w:w="2367" w:type="dxa"/>
          </w:tcPr>
          <w:p>
            <w:pPr>
              <w:pStyle w:val="14"/>
              <w:spacing w:before="8"/>
              <w:rPr>
                <w:rFonts w:ascii="黑体"/>
                <w:sz w:val="18"/>
              </w:rPr>
            </w:pPr>
          </w:p>
          <w:p>
            <w:pPr>
              <w:pStyle w:val="14"/>
              <w:ind w:left="4"/>
              <w:jc w:val="center"/>
            </w:pPr>
            <w:r>
              <w:t>合同价格</w:t>
            </w:r>
          </w:p>
        </w:tc>
        <w:tc>
          <w:tcPr>
            <w:tcW w:w="6527"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jc w:val="center"/>
        </w:trPr>
        <w:tc>
          <w:tcPr>
            <w:tcW w:w="2367" w:type="dxa"/>
          </w:tcPr>
          <w:p>
            <w:pPr>
              <w:pStyle w:val="14"/>
              <w:spacing w:before="5"/>
              <w:rPr>
                <w:rFonts w:ascii="黑体"/>
                <w:sz w:val="18"/>
              </w:rPr>
            </w:pPr>
          </w:p>
          <w:p>
            <w:pPr>
              <w:pStyle w:val="14"/>
              <w:spacing w:before="1"/>
              <w:ind w:left="4"/>
              <w:jc w:val="center"/>
            </w:pPr>
            <w:r>
              <w:t>开工日期</w:t>
            </w:r>
          </w:p>
        </w:tc>
        <w:tc>
          <w:tcPr>
            <w:tcW w:w="6527"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jc w:val="center"/>
        </w:trPr>
        <w:tc>
          <w:tcPr>
            <w:tcW w:w="2367" w:type="dxa"/>
          </w:tcPr>
          <w:p>
            <w:pPr>
              <w:pStyle w:val="14"/>
              <w:spacing w:before="3"/>
              <w:rPr>
                <w:rFonts w:ascii="黑体"/>
                <w:sz w:val="19"/>
              </w:rPr>
            </w:pPr>
          </w:p>
          <w:p>
            <w:pPr>
              <w:pStyle w:val="14"/>
              <w:ind w:left="4"/>
              <w:jc w:val="center"/>
            </w:pPr>
            <w:r>
              <w:t>交工日期</w:t>
            </w:r>
          </w:p>
        </w:tc>
        <w:tc>
          <w:tcPr>
            <w:tcW w:w="6527"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jc w:val="center"/>
        </w:trPr>
        <w:tc>
          <w:tcPr>
            <w:tcW w:w="2367" w:type="dxa"/>
          </w:tcPr>
          <w:p>
            <w:pPr>
              <w:pStyle w:val="14"/>
              <w:spacing w:before="5"/>
              <w:rPr>
                <w:rFonts w:ascii="黑体"/>
                <w:sz w:val="18"/>
              </w:rPr>
            </w:pPr>
          </w:p>
          <w:p>
            <w:pPr>
              <w:pStyle w:val="14"/>
              <w:spacing w:before="1"/>
              <w:ind w:left="3"/>
              <w:jc w:val="center"/>
            </w:pPr>
            <w:r>
              <w:t>承担的工作</w:t>
            </w:r>
          </w:p>
        </w:tc>
        <w:tc>
          <w:tcPr>
            <w:tcW w:w="6527"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jc w:val="center"/>
        </w:trPr>
        <w:tc>
          <w:tcPr>
            <w:tcW w:w="2367" w:type="dxa"/>
          </w:tcPr>
          <w:p>
            <w:pPr>
              <w:pStyle w:val="14"/>
              <w:spacing w:before="8"/>
              <w:rPr>
                <w:rFonts w:ascii="黑体"/>
                <w:sz w:val="18"/>
              </w:rPr>
            </w:pPr>
          </w:p>
          <w:p>
            <w:pPr>
              <w:pStyle w:val="14"/>
              <w:ind w:left="4"/>
              <w:jc w:val="center"/>
            </w:pPr>
            <w:r>
              <w:t>工程质量</w:t>
            </w:r>
          </w:p>
        </w:tc>
        <w:tc>
          <w:tcPr>
            <w:tcW w:w="6527"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jc w:val="center"/>
        </w:trPr>
        <w:tc>
          <w:tcPr>
            <w:tcW w:w="2367" w:type="dxa"/>
          </w:tcPr>
          <w:p>
            <w:pPr>
              <w:pStyle w:val="14"/>
              <w:spacing w:before="5"/>
              <w:rPr>
                <w:rFonts w:ascii="黑体"/>
                <w:sz w:val="18"/>
              </w:rPr>
            </w:pPr>
          </w:p>
          <w:p>
            <w:pPr>
              <w:pStyle w:val="14"/>
              <w:spacing w:before="1"/>
              <w:ind w:left="4"/>
              <w:jc w:val="center"/>
            </w:pPr>
            <w:r>
              <w:t>项目经理</w:t>
            </w:r>
          </w:p>
        </w:tc>
        <w:tc>
          <w:tcPr>
            <w:tcW w:w="6527"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6" w:hRule="atLeast"/>
          <w:jc w:val="center"/>
        </w:trPr>
        <w:tc>
          <w:tcPr>
            <w:tcW w:w="2367" w:type="dxa"/>
          </w:tcPr>
          <w:p>
            <w:pPr>
              <w:pStyle w:val="14"/>
              <w:spacing w:before="10"/>
              <w:rPr>
                <w:rFonts w:ascii="黑体"/>
                <w:sz w:val="18"/>
              </w:rPr>
            </w:pPr>
          </w:p>
          <w:p>
            <w:pPr>
              <w:pStyle w:val="14"/>
              <w:ind w:left="4"/>
              <w:jc w:val="center"/>
            </w:pPr>
            <w:r>
              <w:t>项目总工</w:t>
            </w:r>
          </w:p>
        </w:tc>
        <w:tc>
          <w:tcPr>
            <w:tcW w:w="6527"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2" w:hRule="atLeast"/>
          <w:jc w:val="center"/>
        </w:trPr>
        <w:tc>
          <w:tcPr>
            <w:tcW w:w="2367" w:type="dxa"/>
          </w:tcPr>
          <w:p>
            <w:pPr>
              <w:pStyle w:val="14"/>
              <w:spacing w:before="8"/>
              <w:rPr>
                <w:rFonts w:ascii="黑体"/>
                <w:sz w:val="18"/>
              </w:rPr>
            </w:pPr>
          </w:p>
          <w:p>
            <w:pPr>
              <w:pStyle w:val="14"/>
              <w:spacing w:before="1"/>
              <w:ind w:left="6"/>
              <w:jc w:val="center"/>
            </w:pPr>
            <w:r>
              <w:t>总监理工程师及电话</w:t>
            </w:r>
          </w:p>
        </w:tc>
        <w:tc>
          <w:tcPr>
            <w:tcW w:w="6527"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9" w:hRule="atLeast"/>
          <w:jc w:val="center"/>
        </w:trPr>
        <w:tc>
          <w:tcPr>
            <w:tcW w:w="2367" w:type="dxa"/>
          </w:tcPr>
          <w:p>
            <w:pPr>
              <w:pStyle w:val="14"/>
              <w:rPr>
                <w:rFonts w:ascii="黑体"/>
              </w:rPr>
            </w:pPr>
          </w:p>
          <w:p>
            <w:pPr>
              <w:pStyle w:val="14"/>
              <w:spacing w:before="2"/>
              <w:rPr>
                <w:rFonts w:ascii="黑体"/>
                <w:sz w:val="26"/>
              </w:rPr>
            </w:pPr>
          </w:p>
          <w:p>
            <w:pPr>
              <w:pStyle w:val="14"/>
              <w:ind w:left="4"/>
              <w:jc w:val="center"/>
            </w:pPr>
            <w:r>
              <w:t>项目描述</w:t>
            </w:r>
          </w:p>
        </w:tc>
        <w:tc>
          <w:tcPr>
            <w:tcW w:w="6527"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jc w:val="center"/>
        </w:trPr>
        <w:tc>
          <w:tcPr>
            <w:tcW w:w="2367" w:type="dxa"/>
          </w:tcPr>
          <w:p>
            <w:pPr>
              <w:pStyle w:val="14"/>
              <w:spacing w:before="3"/>
              <w:rPr>
                <w:rFonts w:ascii="黑体"/>
                <w:sz w:val="18"/>
              </w:rPr>
            </w:pPr>
          </w:p>
          <w:p>
            <w:pPr>
              <w:pStyle w:val="14"/>
              <w:ind w:left="4"/>
              <w:jc w:val="center"/>
            </w:pPr>
            <w:r>
              <w:t>备注</w:t>
            </w:r>
          </w:p>
        </w:tc>
        <w:tc>
          <w:tcPr>
            <w:tcW w:w="6527" w:type="dxa"/>
          </w:tcPr>
          <w:p>
            <w:pPr>
              <w:pStyle w:val="14"/>
            </w:pPr>
          </w:p>
        </w:tc>
      </w:tr>
    </w:tbl>
    <w:p>
      <w:pPr>
        <w:spacing w:before="128"/>
        <w:rPr>
          <w:sz w:val="21"/>
        </w:rPr>
      </w:pPr>
    </w:p>
    <w:p>
      <w:pPr>
        <w:spacing w:before="128"/>
        <w:rPr>
          <w:sz w:val="21"/>
        </w:rPr>
      </w:pPr>
      <w:r>
        <w:rPr>
          <w:sz w:val="21"/>
        </w:rPr>
        <w:t>注：</w:t>
      </w:r>
      <w:r>
        <w:rPr>
          <w:rFonts w:eastAsia="Times New Roman"/>
          <w:sz w:val="21"/>
        </w:rPr>
        <w:t>1.</w:t>
      </w:r>
      <w:r>
        <w:rPr>
          <w:sz w:val="21"/>
        </w:rPr>
        <w:t>每张表格只填写一个项目，并标明序号。</w:t>
      </w:r>
    </w:p>
    <w:p>
      <w:pPr>
        <w:spacing w:before="130"/>
        <w:ind w:firstLine="420" w:firstLineChars="200"/>
        <w:rPr>
          <w:sz w:val="21"/>
        </w:rPr>
      </w:pPr>
      <w:r>
        <w:rPr>
          <w:rFonts w:eastAsia="Times New Roman"/>
          <w:sz w:val="21"/>
        </w:rPr>
        <w:t>2.</w:t>
      </w:r>
      <w:r>
        <w:rPr>
          <w:sz w:val="21"/>
        </w:rPr>
        <w:t xml:space="preserve">投标人应根据招标文件第二章“投标人须知”第 </w:t>
      </w:r>
      <w:r>
        <w:rPr>
          <w:rFonts w:eastAsia="Times New Roman"/>
          <w:sz w:val="21"/>
        </w:rPr>
        <w:t xml:space="preserve">3.5.3 </w:t>
      </w:r>
      <w:r>
        <w:rPr>
          <w:sz w:val="21"/>
        </w:rPr>
        <w:t>项的要求在本表后附相关证明材料。</w:t>
      </w:r>
    </w:p>
    <w:p>
      <w:pPr>
        <w:spacing w:before="132" w:line="357" w:lineRule="auto"/>
        <w:ind w:right="440" w:firstLine="420" w:firstLineChars="200"/>
        <w:rPr>
          <w:sz w:val="21"/>
        </w:rPr>
      </w:pPr>
      <w:r>
        <w:rPr>
          <w:rFonts w:eastAsia="Times New Roman"/>
          <w:sz w:val="21"/>
        </w:rPr>
        <w:t>3.</w:t>
      </w:r>
      <w:r>
        <w:rPr>
          <w:spacing w:val="-10"/>
          <w:sz w:val="21"/>
        </w:rPr>
        <w:t>如近年来，投标人法人机构发生合法变更或重组或法人名称变更时，应提供相关部门的合</w:t>
      </w:r>
      <w:r>
        <w:rPr>
          <w:spacing w:val="-5"/>
          <w:sz w:val="21"/>
        </w:rPr>
        <w:t>法批件或其他相关证明材料来证明其所附业绩的继承性。</w:t>
      </w:r>
    </w:p>
    <w:p>
      <w:pPr>
        <w:pStyle w:val="3"/>
        <w:spacing w:before="66"/>
        <w:ind w:right="180"/>
        <w:jc w:val="center"/>
        <w:rPr>
          <w:rFonts w:ascii="黑体" w:eastAsia="黑体"/>
          <w:sz w:val="30"/>
          <w:szCs w:val="30"/>
        </w:rPr>
      </w:pPr>
    </w:p>
    <w:p>
      <w:pPr>
        <w:pStyle w:val="3"/>
        <w:spacing w:before="66"/>
        <w:ind w:right="180"/>
        <w:jc w:val="center"/>
        <w:rPr>
          <w:rFonts w:ascii="黑体" w:eastAsia="黑体"/>
          <w:sz w:val="30"/>
          <w:szCs w:val="30"/>
        </w:rPr>
      </w:pPr>
      <w:r>
        <w:rPr>
          <w:rFonts w:hint="eastAsia" w:ascii="黑体" w:eastAsia="黑体"/>
          <w:sz w:val="30"/>
          <w:szCs w:val="30"/>
        </w:rPr>
        <w:t>（五）投标人的信誉情况表</w:t>
      </w:r>
    </w:p>
    <w:tbl>
      <w:tblPr>
        <w:tblStyle w:val="13"/>
        <w:tblW w:w="8525"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atLeast"/>
          <w:jc w:val="center"/>
        </w:trPr>
        <w:tc>
          <w:tcPr>
            <w:tcW w:w="4261" w:type="dxa"/>
          </w:tcPr>
          <w:p>
            <w:pPr>
              <w:pStyle w:val="14"/>
              <w:rPr>
                <w:rFonts w:ascii="黑体"/>
              </w:rPr>
            </w:pPr>
          </w:p>
          <w:p>
            <w:pPr>
              <w:pStyle w:val="14"/>
              <w:spacing w:before="8"/>
              <w:rPr>
                <w:rFonts w:ascii="黑体"/>
                <w:sz w:val="15"/>
              </w:rPr>
            </w:pPr>
          </w:p>
          <w:p>
            <w:pPr>
              <w:pStyle w:val="14"/>
              <w:ind w:left="1848" w:right="1838"/>
              <w:jc w:val="center"/>
              <w:rPr>
                <w:sz w:val="21"/>
              </w:rPr>
            </w:pPr>
            <w:r>
              <w:rPr>
                <w:sz w:val="21"/>
              </w:rPr>
              <w:t>项 目</w:t>
            </w:r>
          </w:p>
        </w:tc>
        <w:tc>
          <w:tcPr>
            <w:tcW w:w="4264" w:type="dxa"/>
          </w:tcPr>
          <w:p>
            <w:pPr>
              <w:pStyle w:val="14"/>
              <w:rPr>
                <w:rFonts w:ascii="黑体"/>
              </w:rPr>
            </w:pPr>
          </w:p>
          <w:p>
            <w:pPr>
              <w:pStyle w:val="14"/>
              <w:spacing w:before="8"/>
              <w:rPr>
                <w:rFonts w:ascii="黑体"/>
                <w:sz w:val="15"/>
              </w:rPr>
            </w:pPr>
          </w:p>
          <w:p>
            <w:pPr>
              <w:pStyle w:val="14"/>
              <w:ind w:left="1394"/>
              <w:rPr>
                <w:sz w:val="21"/>
              </w:rPr>
            </w:pPr>
            <w:r>
              <w:rPr>
                <w:sz w:val="21"/>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14"/>
            </w:pPr>
          </w:p>
        </w:tc>
        <w:tc>
          <w:tcPr>
            <w:tcW w:w="4264"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14"/>
            </w:pPr>
          </w:p>
        </w:tc>
        <w:tc>
          <w:tcPr>
            <w:tcW w:w="4264"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14"/>
            </w:pPr>
          </w:p>
        </w:tc>
        <w:tc>
          <w:tcPr>
            <w:tcW w:w="4264"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14"/>
            </w:pPr>
          </w:p>
        </w:tc>
        <w:tc>
          <w:tcPr>
            <w:tcW w:w="4264"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14"/>
            </w:pPr>
          </w:p>
        </w:tc>
        <w:tc>
          <w:tcPr>
            <w:tcW w:w="4264"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14"/>
            </w:pPr>
          </w:p>
        </w:tc>
        <w:tc>
          <w:tcPr>
            <w:tcW w:w="4264"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14"/>
            </w:pPr>
          </w:p>
        </w:tc>
        <w:tc>
          <w:tcPr>
            <w:tcW w:w="4264"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14"/>
            </w:pPr>
          </w:p>
        </w:tc>
        <w:tc>
          <w:tcPr>
            <w:tcW w:w="4264" w:type="dxa"/>
          </w:tcPr>
          <w:p>
            <w:pPr>
              <w:pStyle w:val="14"/>
            </w:pPr>
          </w:p>
        </w:tc>
      </w:tr>
    </w:tbl>
    <w:p>
      <w:pPr>
        <w:spacing w:line="360" w:lineRule="auto"/>
        <w:jc w:val="both"/>
        <w:rPr>
          <w:rFonts w:ascii="黑体" w:eastAsia="黑体"/>
          <w:sz w:val="28"/>
        </w:rPr>
      </w:pPr>
    </w:p>
    <w:p>
      <w:pPr>
        <w:spacing w:before="128" w:line="357" w:lineRule="auto"/>
        <w:ind w:right="380"/>
        <w:rPr>
          <w:sz w:val="21"/>
        </w:rPr>
      </w:pPr>
      <w:r>
        <w:rPr>
          <w:sz w:val="21"/>
        </w:rPr>
        <w:t>注：</w:t>
      </w:r>
      <w:r>
        <w:rPr>
          <w:rFonts w:eastAsia="Times New Roman"/>
          <w:sz w:val="21"/>
        </w:rPr>
        <w:t>1.</w:t>
      </w:r>
      <w:r>
        <w:rPr>
          <w:sz w:val="21"/>
        </w:rPr>
        <w:t>投标人应按照招标文件第二章</w:t>
      </w:r>
      <w:r>
        <w:rPr>
          <w:rFonts w:eastAsia="Times New Roman"/>
          <w:sz w:val="21"/>
        </w:rPr>
        <w:t>“</w:t>
      </w:r>
      <w:r>
        <w:rPr>
          <w:sz w:val="21"/>
        </w:rPr>
        <w:t>投标人须知</w:t>
      </w:r>
      <w:r>
        <w:rPr>
          <w:rFonts w:eastAsia="Times New Roman"/>
          <w:sz w:val="21"/>
        </w:rPr>
        <w:t>”</w:t>
      </w:r>
      <w:r>
        <w:rPr>
          <w:sz w:val="21"/>
        </w:rPr>
        <w:t xml:space="preserve">前附表附录 </w:t>
      </w:r>
      <w:r>
        <w:rPr>
          <w:rFonts w:eastAsia="Times New Roman"/>
          <w:sz w:val="21"/>
        </w:rPr>
        <w:t xml:space="preserve">4 </w:t>
      </w:r>
      <w:r>
        <w:rPr>
          <w:sz w:val="21"/>
        </w:rPr>
        <w:t>和</w:t>
      </w:r>
      <w:r>
        <w:rPr>
          <w:rFonts w:eastAsia="Times New Roman"/>
          <w:sz w:val="21"/>
        </w:rPr>
        <w:t>“</w:t>
      </w:r>
      <w:r>
        <w:rPr>
          <w:sz w:val="21"/>
        </w:rPr>
        <w:t>投标人须知</w:t>
      </w:r>
      <w:r>
        <w:rPr>
          <w:rFonts w:eastAsia="Times New Roman"/>
          <w:sz w:val="21"/>
        </w:rPr>
        <w:t>”</w:t>
      </w:r>
      <w:r>
        <w:rPr>
          <w:sz w:val="21"/>
        </w:rPr>
        <w:t xml:space="preserve">正文第 </w:t>
      </w:r>
      <w:r>
        <w:rPr>
          <w:rFonts w:eastAsia="Times New Roman"/>
          <w:sz w:val="21"/>
        </w:rPr>
        <w:t xml:space="preserve">1.4.4 </w:t>
      </w:r>
      <w:r>
        <w:rPr>
          <w:sz w:val="21"/>
        </w:rPr>
        <w:t>项规定，逐条说明其信誉情况。</w:t>
      </w:r>
    </w:p>
    <w:p>
      <w:pPr>
        <w:spacing w:line="267" w:lineRule="exact"/>
        <w:ind w:firstLine="420" w:firstLineChars="200"/>
        <w:rPr>
          <w:sz w:val="21"/>
        </w:rPr>
      </w:pPr>
      <w:r>
        <w:rPr>
          <w:rFonts w:eastAsia="Times New Roman"/>
          <w:sz w:val="21"/>
        </w:rPr>
        <w:t>2.</w:t>
      </w:r>
      <w:r>
        <w:rPr>
          <w:sz w:val="21"/>
        </w:rPr>
        <w:t xml:space="preserve">投标人应根据招标文件第二章“投标人须知”第 </w:t>
      </w:r>
      <w:r>
        <w:rPr>
          <w:rFonts w:eastAsia="Times New Roman"/>
          <w:sz w:val="21"/>
        </w:rPr>
        <w:t xml:space="preserve">3.5.4 </w:t>
      </w:r>
      <w:r>
        <w:rPr>
          <w:sz w:val="21"/>
        </w:rPr>
        <w:t>项的要求在本表后附相关证明材料。</w:t>
      </w:r>
    </w:p>
    <w:p>
      <w:pPr>
        <w:spacing w:line="360" w:lineRule="auto"/>
        <w:rPr>
          <w:rFonts w:ascii="黑体" w:eastAsia="黑体"/>
          <w:sz w:val="28"/>
        </w:rPr>
      </w:pPr>
    </w:p>
    <w:p>
      <w:pPr>
        <w:spacing w:line="360" w:lineRule="auto"/>
        <w:rPr>
          <w:rFonts w:ascii="黑体" w:eastAsia="黑体"/>
          <w:sz w:val="28"/>
        </w:rPr>
      </w:pPr>
    </w:p>
    <w:p>
      <w:pPr>
        <w:pStyle w:val="2"/>
        <w:ind w:firstLine="280"/>
        <w:rPr>
          <w:rFonts w:ascii="黑体" w:eastAsia="黑体"/>
          <w:sz w:val="28"/>
        </w:rPr>
      </w:pPr>
    </w:p>
    <w:p>
      <w:pPr>
        <w:pStyle w:val="3"/>
        <w:spacing w:before="108"/>
        <w:jc w:val="center"/>
        <w:rPr>
          <w:rFonts w:ascii="黑体" w:eastAsia="黑体"/>
          <w:sz w:val="30"/>
          <w:szCs w:val="30"/>
        </w:rPr>
      </w:pPr>
      <w:r>
        <w:rPr>
          <w:rFonts w:hint="eastAsia" w:ascii="黑体" w:eastAsia="黑体"/>
          <w:sz w:val="30"/>
          <w:szCs w:val="30"/>
        </w:rPr>
        <w:t>（六）拟委任的项目经理和项目总工资历表</w:t>
      </w:r>
    </w:p>
    <w:tbl>
      <w:tblPr>
        <w:tblStyle w:val="13"/>
        <w:tblW w:w="8737"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jc w:val="center"/>
        </w:trPr>
        <w:tc>
          <w:tcPr>
            <w:tcW w:w="1261" w:type="dxa"/>
          </w:tcPr>
          <w:p>
            <w:pPr>
              <w:pStyle w:val="14"/>
              <w:spacing w:before="6"/>
              <w:rPr>
                <w:rFonts w:ascii="黑体"/>
                <w:sz w:val="14"/>
              </w:rPr>
            </w:pPr>
          </w:p>
          <w:p>
            <w:pPr>
              <w:pStyle w:val="14"/>
              <w:tabs>
                <w:tab w:val="left" w:pos="631"/>
              </w:tabs>
              <w:ind w:right="13"/>
              <w:jc w:val="center"/>
              <w:rPr>
                <w:sz w:val="21"/>
              </w:rPr>
            </w:pPr>
            <w:r>
              <w:rPr>
                <w:sz w:val="21"/>
              </w:rPr>
              <w:t>姓</w:t>
            </w:r>
            <w:r>
              <w:rPr>
                <w:sz w:val="21"/>
              </w:rPr>
              <w:tab/>
            </w:r>
            <w:r>
              <w:rPr>
                <w:sz w:val="21"/>
              </w:rPr>
              <w:t>名</w:t>
            </w:r>
          </w:p>
        </w:tc>
        <w:tc>
          <w:tcPr>
            <w:tcW w:w="1480" w:type="dxa"/>
            <w:gridSpan w:val="2"/>
          </w:tcPr>
          <w:p>
            <w:pPr>
              <w:pStyle w:val="14"/>
            </w:pPr>
          </w:p>
        </w:tc>
        <w:tc>
          <w:tcPr>
            <w:tcW w:w="1061" w:type="dxa"/>
          </w:tcPr>
          <w:p>
            <w:pPr>
              <w:pStyle w:val="14"/>
              <w:spacing w:before="6"/>
              <w:rPr>
                <w:rFonts w:ascii="黑体"/>
                <w:sz w:val="14"/>
              </w:rPr>
            </w:pPr>
          </w:p>
          <w:p>
            <w:pPr>
              <w:pStyle w:val="14"/>
              <w:tabs>
                <w:tab w:val="left" w:pos="643"/>
              </w:tabs>
              <w:ind w:left="12"/>
              <w:jc w:val="center"/>
              <w:rPr>
                <w:sz w:val="21"/>
              </w:rPr>
            </w:pPr>
            <w:r>
              <w:rPr>
                <w:sz w:val="21"/>
              </w:rPr>
              <w:t>年</w:t>
            </w:r>
            <w:r>
              <w:rPr>
                <w:sz w:val="21"/>
              </w:rPr>
              <w:tab/>
            </w:r>
            <w:r>
              <w:rPr>
                <w:sz w:val="21"/>
              </w:rPr>
              <w:t>龄</w:t>
            </w:r>
          </w:p>
        </w:tc>
        <w:tc>
          <w:tcPr>
            <w:tcW w:w="1381" w:type="dxa"/>
          </w:tcPr>
          <w:p>
            <w:pPr>
              <w:pStyle w:val="14"/>
            </w:pPr>
          </w:p>
        </w:tc>
        <w:tc>
          <w:tcPr>
            <w:tcW w:w="1883" w:type="dxa"/>
            <w:gridSpan w:val="2"/>
          </w:tcPr>
          <w:p>
            <w:pPr>
              <w:pStyle w:val="14"/>
              <w:spacing w:before="6"/>
              <w:rPr>
                <w:rFonts w:ascii="黑体"/>
                <w:sz w:val="14"/>
              </w:rPr>
            </w:pPr>
          </w:p>
          <w:p>
            <w:pPr>
              <w:pStyle w:val="14"/>
              <w:tabs>
                <w:tab w:val="left" w:pos="1151"/>
              </w:tabs>
              <w:ind w:left="520"/>
              <w:rPr>
                <w:sz w:val="21"/>
              </w:rPr>
            </w:pPr>
            <w:r>
              <w:rPr>
                <w:sz w:val="21"/>
              </w:rPr>
              <w:t>专</w:t>
            </w:r>
            <w:r>
              <w:rPr>
                <w:sz w:val="21"/>
              </w:rPr>
              <w:tab/>
            </w:r>
            <w:r>
              <w:rPr>
                <w:sz w:val="21"/>
              </w:rPr>
              <w:t>业</w:t>
            </w:r>
          </w:p>
        </w:tc>
        <w:tc>
          <w:tcPr>
            <w:tcW w:w="1671" w:type="dxa"/>
            <w:gridSpan w:val="2"/>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1" w:hRule="atLeast"/>
          <w:jc w:val="center"/>
        </w:trPr>
        <w:tc>
          <w:tcPr>
            <w:tcW w:w="1261" w:type="dxa"/>
          </w:tcPr>
          <w:p>
            <w:pPr>
              <w:pStyle w:val="14"/>
              <w:rPr>
                <w:rFonts w:ascii="黑体"/>
              </w:rPr>
            </w:pPr>
          </w:p>
          <w:p>
            <w:pPr>
              <w:pStyle w:val="14"/>
              <w:spacing w:before="160"/>
              <w:ind w:right="15"/>
              <w:jc w:val="center"/>
              <w:rPr>
                <w:sz w:val="21"/>
              </w:rPr>
            </w:pPr>
            <w:r>
              <w:rPr>
                <w:sz w:val="21"/>
              </w:rPr>
              <w:t>技术职称</w:t>
            </w:r>
          </w:p>
        </w:tc>
        <w:tc>
          <w:tcPr>
            <w:tcW w:w="1480" w:type="dxa"/>
            <w:gridSpan w:val="2"/>
          </w:tcPr>
          <w:p>
            <w:pPr>
              <w:pStyle w:val="14"/>
            </w:pPr>
          </w:p>
        </w:tc>
        <w:tc>
          <w:tcPr>
            <w:tcW w:w="1061" w:type="dxa"/>
          </w:tcPr>
          <w:p>
            <w:pPr>
              <w:pStyle w:val="14"/>
              <w:rPr>
                <w:rFonts w:ascii="黑体"/>
              </w:rPr>
            </w:pPr>
          </w:p>
          <w:p>
            <w:pPr>
              <w:pStyle w:val="14"/>
              <w:tabs>
                <w:tab w:val="left" w:pos="643"/>
              </w:tabs>
              <w:spacing w:before="160"/>
              <w:ind w:left="12"/>
              <w:jc w:val="center"/>
              <w:rPr>
                <w:sz w:val="21"/>
              </w:rPr>
            </w:pPr>
            <w:r>
              <w:rPr>
                <w:sz w:val="21"/>
              </w:rPr>
              <w:t>学</w:t>
            </w:r>
            <w:r>
              <w:rPr>
                <w:sz w:val="21"/>
              </w:rPr>
              <w:tab/>
            </w:r>
            <w:r>
              <w:rPr>
                <w:sz w:val="21"/>
              </w:rPr>
              <w:t>历</w:t>
            </w:r>
          </w:p>
        </w:tc>
        <w:tc>
          <w:tcPr>
            <w:tcW w:w="1381" w:type="dxa"/>
          </w:tcPr>
          <w:p>
            <w:pPr>
              <w:pStyle w:val="14"/>
            </w:pPr>
          </w:p>
        </w:tc>
        <w:tc>
          <w:tcPr>
            <w:tcW w:w="1883" w:type="dxa"/>
            <w:gridSpan w:val="2"/>
          </w:tcPr>
          <w:p>
            <w:pPr>
              <w:pStyle w:val="14"/>
              <w:spacing w:before="31" w:line="458" w:lineRule="exact"/>
              <w:ind w:left="520" w:right="402" w:hanging="106"/>
              <w:rPr>
                <w:sz w:val="21"/>
              </w:rPr>
            </w:pPr>
            <w:r>
              <w:rPr>
                <w:sz w:val="21"/>
              </w:rPr>
              <w:t>拟在本标段工程任职</w:t>
            </w:r>
          </w:p>
        </w:tc>
        <w:tc>
          <w:tcPr>
            <w:tcW w:w="1671" w:type="dxa"/>
            <w:gridSpan w:val="2"/>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14"/>
              <w:spacing w:before="6"/>
              <w:rPr>
                <w:rFonts w:ascii="黑体"/>
                <w:sz w:val="14"/>
              </w:rPr>
            </w:pPr>
          </w:p>
          <w:p>
            <w:pPr>
              <w:pStyle w:val="14"/>
              <w:ind w:right="15"/>
              <w:jc w:val="center"/>
              <w:rPr>
                <w:sz w:val="21"/>
              </w:rPr>
            </w:pPr>
            <w:r>
              <w:rPr>
                <w:sz w:val="21"/>
              </w:rPr>
              <w:t>工作年限</w:t>
            </w:r>
          </w:p>
        </w:tc>
        <w:tc>
          <w:tcPr>
            <w:tcW w:w="3922" w:type="dxa"/>
            <w:gridSpan w:val="4"/>
          </w:tcPr>
          <w:p>
            <w:pPr>
              <w:pStyle w:val="14"/>
            </w:pPr>
          </w:p>
        </w:tc>
        <w:tc>
          <w:tcPr>
            <w:tcW w:w="1883" w:type="dxa"/>
            <w:gridSpan w:val="2"/>
          </w:tcPr>
          <w:p>
            <w:pPr>
              <w:pStyle w:val="14"/>
              <w:spacing w:before="6"/>
              <w:rPr>
                <w:rFonts w:ascii="黑体"/>
                <w:sz w:val="14"/>
              </w:rPr>
            </w:pPr>
          </w:p>
          <w:p>
            <w:pPr>
              <w:pStyle w:val="14"/>
              <w:ind w:left="100"/>
              <w:rPr>
                <w:sz w:val="21"/>
              </w:rPr>
            </w:pPr>
            <w:r>
              <w:rPr>
                <w:sz w:val="21"/>
              </w:rPr>
              <w:t>类似施工经验年限</w:t>
            </w:r>
          </w:p>
        </w:tc>
        <w:tc>
          <w:tcPr>
            <w:tcW w:w="1671" w:type="dxa"/>
            <w:gridSpan w:val="2"/>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14"/>
              <w:spacing w:before="7"/>
              <w:rPr>
                <w:rFonts w:ascii="黑体"/>
                <w:sz w:val="14"/>
              </w:rPr>
            </w:pPr>
          </w:p>
          <w:p>
            <w:pPr>
              <w:pStyle w:val="14"/>
              <w:ind w:right="13"/>
              <w:jc w:val="center"/>
              <w:rPr>
                <w:sz w:val="21"/>
              </w:rPr>
            </w:pPr>
            <w:r>
              <w:rPr>
                <w:sz w:val="21"/>
              </w:rPr>
              <w:t>毕业学校</w:t>
            </w:r>
          </w:p>
        </w:tc>
        <w:tc>
          <w:tcPr>
            <w:tcW w:w="7476" w:type="dxa"/>
            <w:gridSpan w:val="8"/>
          </w:tcPr>
          <w:p>
            <w:pPr>
              <w:pStyle w:val="14"/>
              <w:tabs>
                <w:tab w:val="left" w:pos="531"/>
                <w:tab w:val="left" w:pos="1057"/>
                <w:tab w:val="left" w:pos="3892"/>
                <w:tab w:val="left" w:pos="5466"/>
                <w:tab w:val="left" w:pos="7145"/>
              </w:tabs>
              <w:spacing w:before="186"/>
              <w:ind w:left="5"/>
              <w:rPr>
                <w:sz w:val="21"/>
              </w:rPr>
            </w:pPr>
            <w:r>
              <w:rPr>
                <w:rFonts w:eastAsia="Times New Roman"/>
                <w:sz w:val="21"/>
                <w:u w:val="single"/>
              </w:rPr>
              <w:t xml:space="preserve"> </w:t>
            </w:r>
            <w:r>
              <w:rPr>
                <w:rFonts w:eastAsia="Times New Roman"/>
                <w:sz w:val="21"/>
                <w:u w:val="single"/>
              </w:rPr>
              <w:tab/>
            </w:r>
            <w:r>
              <w:rPr>
                <w:sz w:val="21"/>
              </w:rPr>
              <w:t>年</w:t>
            </w:r>
            <w:r>
              <w:rPr>
                <w:sz w:val="21"/>
                <w:u w:val="single"/>
              </w:rPr>
              <w:t xml:space="preserve"> </w:t>
            </w:r>
            <w:r>
              <w:rPr>
                <w:sz w:val="21"/>
                <w:u w:val="single"/>
              </w:rPr>
              <w:tab/>
            </w:r>
            <w:r>
              <w:rPr>
                <w:spacing w:val="-3"/>
                <w:sz w:val="21"/>
              </w:rPr>
              <w:t>月</w:t>
            </w:r>
            <w:r>
              <w:rPr>
                <w:sz w:val="21"/>
              </w:rPr>
              <w:t>毕</w:t>
            </w:r>
            <w:r>
              <w:rPr>
                <w:spacing w:val="-3"/>
                <w:sz w:val="21"/>
              </w:rPr>
              <w:t>业</w:t>
            </w:r>
            <w:r>
              <w:rPr>
                <w:sz w:val="21"/>
              </w:rPr>
              <w:t>于</w:t>
            </w:r>
            <w:r>
              <w:rPr>
                <w:sz w:val="21"/>
                <w:u w:val="single"/>
              </w:rPr>
              <w:t xml:space="preserve"> </w:t>
            </w:r>
            <w:r>
              <w:rPr>
                <w:sz w:val="21"/>
                <w:u w:val="single"/>
              </w:rPr>
              <w:tab/>
            </w:r>
            <w:r>
              <w:rPr>
                <w:spacing w:val="-3"/>
                <w:sz w:val="21"/>
              </w:rPr>
              <w:t>学</w:t>
            </w:r>
            <w:r>
              <w:rPr>
                <w:sz w:val="21"/>
              </w:rPr>
              <w:t>校</w:t>
            </w:r>
            <w:r>
              <w:rPr>
                <w:sz w:val="21"/>
                <w:u w:val="single"/>
              </w:rPr>
              <w:t xml:space="preserve"> </w:t>
            </w:r>
            <w:r>
              <w:rPr>
                <w:sz w:val="21"/>
                <w:u w:val="single"/>
              </w:rPr>
              <w:tab/>
            </w:r>
            <w:r>
              <w:rPr>
                <w:spacing w:val="-3"/>
                <w:sz w:val="21"/>
              </w:rPr>
              <w:t>专</w:t>
            </w:r>
            <w:r>
              <w:rPr>
                <w:sz w:val="21"/>
              </w:rPr>
              <w:t>业</w:t>
            </w:r>
            <w:r>
              <w:rPr>
                <w:spacing w:val="-3"/>
                <w:sz w:val="21"/>
              </w:rPr>
              <w:t>，</w:t>
            </w:r>
            <w:r>
              <w:rPr>
                <w:sz w:val="21"/>
              </w:rPr>
              <w:t>学制</w:t>
            </w:r>
            <w:r>
              <w:rPr>
                <w:sz w:val="21"/>
                <w:u w:val="single"/>
              </w:rPr>
              <w:t xml:space="preserve"> </w:t>
            </w:r>
            <w:r>
              <w:rPr>
                <w:sz w:val="21"/>
                <w:u w:val="single"/>
              </w:rPr>
              <w:tab/>
            </w:r>
            <w:r>
              <w:rPr>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jc w:val="center"/>
        </w:trPr>
        <w:tc>
          <w:tcPr>
            <w:tcW w:w="8737" w:type="dxa"/>
            <w:gridSpan w:val="9"/>
          </w:tcPr>
          <w:p>
            <w:pPr>
              <w:pStyle w:val="14"/>
              <w:spacing w:before="6"/>
              <w:rPr>
                <w:rFonts w:ascii="黑体"/>
                <w:sz w:val="14"/>
              </w:rPr>
            </w:pPr>
          </w:p>
          <w:p>
            <w:pPr>
              <w:pStyle w:val="14"/>
              <w:tabs>
                <w:tab w:val="left" w:pos="1167"/>
              </w:tabs>
              <w:ind w:left="10"/>
              <w:jc w:val="center"/>
              <w:rPr>
                <w:sz w:val="21"/>
              </w:rPr>
            </w:pPr>
            <w:r>
              <w:rPr>
                <w:sz w:val="21"/>
              </w:rPr>
              <w:t>经</w:t>
            </w:r>
            <w:r>
              <w:rPr>
                <w:sz w:val="21"/>
              </w:rPr>
              <w:tab/>
            </w:r>
            <w:r>
              <w:rPr>
                <w:sz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1" w:hRule="atLeast"/>
          <w:jc w:val="center"/>
        </w:trPr>
        <w:tc>
          <w:tcPr>
            <w:tcW w:w="1261" w:type="dxa"/>
          </w:tcPr>
          <w:p>
            <w:pPr>
              <w:pStyle w:val="14"/>
              <w:rPr>
                <w:rFonts w:ascii="黑体"/>
              </w:rPr>
            </w:pPr>
          </w:p>
          <w:p>
            <w:pPr>
              <w:pStyle w:val="14"/>
              <w:tabs>
                <w:tab w:val="left" w:pos="457"/>
              </w:tabs>
              <w:spacing w:before="131"/>
              <w:ind w:left="34"/>
              <w:jc w:val="center"/>
              <w:rPr>
                <w:sz w:val="21"/>
              </w:rPr>
            </w:pPr>
            <w:r>
              <w:rPr>
                <w:sz w:val="21"/>
              </w:rPr>
              <w:t>时</w:t>
            </w:r>
            <w:r>
              <w:rPr>
                <w:sz w:val="21"/>
              </w:rPr>
              <w:tab/>
            </w:r>
            <w:r>
              <w:rPr>
                <w:sz w:val="21"/>
              </w:rPr>
              <w:t>间</w:t>
            </w:r>
          </w:p>
        </w:tc>
        <w:tc>
          <w:tcPr>
            <w:tcW w:w="4261" w:type="dxa"/>
            <w:gridSpan w:val="5"/>
          </w:tcPr>
          <w:p>
            <w:pPr>
              <w:pStyle w:val="14"/>
              <w:rPr>
                <w:rFonts w:ascii="黑体"/>
              </w:rPr>
            </w:pPr>
          </w:p>
          <w:p>
            <w:pPr>
              <w:pStyle w:val="14"/>
              <w:spacing w:before="131"/>
              <w:ind w:left="877"/>
              <w:rPr>
                <w:sz w:val="21"/>
              </w:rPr>
            </w:pPr>
            <w:r>
              <w:rPr>
                <w:sz w:val="21"/>
              </w:rPr>
              <w:t>参加过的</w:t>
            </w:r>
            <w:r>
              <w:rPr>
                <w:rFonts w:hint="eastAsia"/>
                <w:sz w:val="21"/>
              </w:rPr>
              <w:t>公路工程</w:t>
            </w:r>
            <w:r>
              <w:rPr>
                <w:sz w:val="21"/>
              </w:rPr>
              <w:t>项目名称</w:t>
            </w:r>
          </w:p>
        </w:tc>
        <w:tc>
          <w:tcPr>
            <w:tcW w:w="1932" w:type="dxa"/>
            <w:gridSpan w:val="2"/>
          </w:tcPr>
          <w:p>
            <w:pPr>
              <w:pStyle w:val="14"/>
              <w:rPr>
                <w:rFonts w:ascii="黑体"/>
              </w:rPr>
            </w:pPr>
          </w:p>
          <w:p>
            <w:pPr>
              <w:pStyle w:val="14"/>
              <w:spacing w:before="131"/>
              <w:ind w:left="541"/>
              <w:rPr>
                <w:sz w:val="21"/>
              </w:rPr>
            </w:pPr>
            <w:r>
              <w:rPr>
                <w:sz w:val="21"/>
              </w:rPr>
              <w:t>担任职务</w:t>
            </w:r>
          </w:p>
        </w:tc>
        <w:tc>
          <w:tcPr>
            <w:tcW w:w="1283" w:type="dxa"/>
          </w:tcPr>
          <w:p>
            <w:pPr>
              <w:pStyle w:val="14"/>
              <w:spacing w:before="57" w:line="400" w:lineRule="atLeast"/>
              <w:ind w:left="320" w:right="107" w:hanging="212"/>
              <w:rPr>
                <w:sz w:val="21"/>
              </w:rPr>
            </w:pPr>
            <w:r>
              <w:rPr>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14"/>
            </w:pPr>
          </w:p>
        </w:tc>
        <w:tc>
          <w:tcPr>
            <w:tcW w:w="4261" w:type="dxa"/>
            <w:gridSpan w:val="5"/>
          </w:tcPr>
          <w:p>
            <w:pPr>
              <w:pStyle w:val="14"/>
            </w:pPr>
          </w:p>
        </w:tc>
        <w:tc>
          <w:tcPr>
            <w:tcW w:w="1932" w:type="dxa"/>
            <w:gridSpan w:val="2"/>
          </w:tcPr>
          <w:p>
            <w:pPr>
              <w:pStyle w:val="14"/>
            </w:pPr>
          </w:p>
        </w:tc>
        <w:tc>
          <w:tcPr>
            <w:tcW w:w="1283"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14"/>
            </w:pPr>
          </w:p>
        </w:tc>
        <w:tc>
          <w:tcPr>
            <w:tcW w:w="4261" w:type="dxa"/>
            <w:gridSpan w:val="5"/>
          </w:tcPr>
          <w:p>
            <w:pPr>
              <w:pStyle w:val="14"/>
            </w:pPr>
          </w:p>
        </w:tc>
        <w:tc>
          <w:tcPr>
            <w:tcW w:w="1932" w:type="dxa"/>
            <w:gridSpan w:val="2"/>
          </w:tcPr>
          <w:p>
            <w:pPr>
              <w:pStyle w:val="14"/>
            </w:pPr>
          </w:p>
        </w:tc>
        <w:tc>
          <w:tcPr>
            <w:tcW w:w="1283"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1261" w:type="dxa"/>
          </w:tcPr>
          <w:p>
            <w:pPr>
              <w:pStyle w:val="14"/>
            </w:pPr>
          </w:p>
        </w:tc>
        <w:tc>
          <w:tcPr>
            <w:tcW w:w="4261" w:type="dxa"/>
            <w:gridSpan w:val="5"/>
          </w:tcPr>
          <w:p>
            <w:pPr>
              <w:pStyle w:val="14"/>
            </w:pPr>
          </w:p>
        </w:tc>
        <w:tc>
          <w:tcPr>
            <w:tcW w:w="1932" w:type="dxa"/>
            <w:gridSpan w:val="2"/>
          </w:tcPr>
          <w:p>
            <w:pPr>
              <w:pStyle w:val="14"/>
            </w:pPr>
          </w:p>
        </w:tc>
        <w:tc>
          <w:tcPr>
            <w:tcW w:w="1283"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14"/>
            </w:pPr>
          </w:p>
        </w:tc>
        <w:tc>
          <w:tcPr>
            <w:tcW w:w="4261" w:type="dxa"/>
            <w:gridSpan w:val="5"/>
          </w:tcPr>
          <w:p>
            <w:pPr>
              <w:pStyle w:val="14"/>
            </w:pPr>
          </w:p>
        </w:tc>
        <w:tc>
          <w:tcPr>
            <w:tcW w:w="1932" w:type="dxa"/>
            <w:gridSpan w:val="2"/>
          </w:tcPr>
          <w:p>
            <w:pPr>
              <w:pStyle w:val="14"/>
            </w:pPr>
          </w:p>
        </w:tc>
        <w:tc>
          <w:tcPr>
            <w:tcW w:w="1283"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14"/>
            </w:pPr>
          </w:p>
        </w:tc>
        <w:tc>
          <w:tcPr>
            <w:tcW w:w="4261" w:type="dxa"/>
            <w:gridSpan w:val="5"/>
          </w:tcPr>
          <w:p>
            <w:pPr>
              <w:pStyle w:val="14"/>
            </w:pPr>
          </w:p>
        </w:tc>
        <w:tc>
          <w:tcPr>
            <w:tcW w:w="1932" w:type="dxa"/>
            <w:gridSpan w:val="2"/>
          </w:tcPr>
          <w:p>
            <w:pPr>
              <w:pStyle w:val="14"/>
            </w:pPr>
          </w:p>
        </w:tc>
        <w:tc>
          <w:tcPr>
            <w:tcW w:w="1283"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14"/>
            </w:pPr>
          </w:p>
        </w:tc>
        <w:tc>
          <w:tcPr>
            <w:tcW w:w="4261" w:type="dxa"/>
            <w:gridSpan w:val="5"/>
          </w:tcPr>
          <w:p>
            <w:pPr>
              <w:pStyle w:val="14"/>
            </w:pPr>
          </w:p>
        </w:tc>
        <w:tc>
          <w:tcPr>
            <w:tcW w:w="1932" w:type="dxa"/>
            <w:gridSpan w:val="2"/>
          </w:tcPr>
          <w:p>
            <w:pPr>
              <w:pStyle w:val="14"/>
            </w:pPr>
          </w:p>
        </w:tc>
        <w:tc>
          <w:tcPr>
            <w:tcW w:w="1283"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14"/>
            </w:pPr>
          </w:p>
        </w:tc>
        <w:tc>
          <w:tcPr>
            <w:tcW w:w="4261" w:type="dxa"/>
            <w:gridSpan w:val="5"/>
          </w:tcPr>
          <w:p>
            <w:pPr>
              <w:pStyle w:val="14"/>
            </w:pPr>
          </w:p>
        </w:tc>
        <w:tc>
          <w:tcPr>
            <w:tcW w:w="1932" w:type="dxa"/>
            <w:gridSpan w:val="2"/>
          </w:tcPr>
          <w:p>
            <w:pPr>
              <w:pStyle w:val="14"/>
            </w:pPr>
          </w:p>
        </w:tc>
        <w:tc>
          <w:tcPr>
            <w:tcW w:w="1283"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14"/>
            </w:pPr>
          </w:p>
        </w:tc>
        <w:tc>
          <w:tcPr>
            <w:tcW w:w="4261" w:type="dxa"/>
            <w:gridSpan w:val="5"/>
          </w:tcPr>
          <w:p>
            <w:pPr>
              <w:pStyle w:val="14"/>
            </w:pPr>
          </w:p>
        </w:tc>
        <w:tc>
          <w:tcPr>
            <w:tcW w:w="1932" w:type="dxa"/>
            <w:gridSpan w:val="2"/>
          </w:tcPr>
          <w:p>
            <w:pPr>
              <w:pStyle w:val="14"/>
            </w:pPr>
          </w:p>
        </w:tc>
        <w:tc>
          <w:tcPr>
            <w:tcW w:w="1283"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1261" w:type="dxa"/>
          </w:tcPr>
          <w:p>
            <w:pPr>
              <w:pStyle w:val="14"/>
            </w:pPr>
          </w:p>
        </w:tc>
        <w:tc>
          <w:tcPr>
            <w:tcW w:w="4261" w:type="dxa"/>
            <w:gridSpan w:val="5"/>
          </w:tcPr>
          <w:p>
            <w:pPr>
              <w:pStyle w:val="14"/>
            </w:pPr>
          </w:p>
        </w:tc>
        <w:tc>
          <w:tcPr>
            <w:tcW w:w="1932" w:type="dxa"/>
            <w:gridSpan w:val="2"/>
          </w:tcPr>
          <w:p>
            <w:pPr>
              <w:pStyle w:val="14"/>
            </w:pPr>
          </w:p>
        </w:tc>
        <w:tc>
          <w:tcPr>
            <w:tcW w:w="1283"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2638" w:type="dxa"/>
            <w:gridSpan w:val="2"/>
          </w:tcPr>
          <w:p>
            <w:pPr>
              <w:pStyle w:val="14"/>
              <w:spacing w:before="8"/>
              <w:rPr>
                <w:rFonts w:ascii="黑体"/>
                <w:sz w:val="14"/>
              </w:rPr>
            </w:pPr>
          </w:p>
          <w:p>
            <w:pPr>
              <w:pStyle w:val="14"/>
              <w:spacing w:before="1"/>
              <w:ind w:left="878" w:right="869"/>
              <w:jc w:val="center"/>
              <w:rPr>
                <w:sz w:val="21"/>
              </w:rPr>
            </w:pPr>
            <w:r>
              <w:rPr>
                <w:sz w:val="21"/>
              </w:rPr>
              <w:t>获奖情况</w:t>
            </w:r>
          </w:p>
        </w:tc>
        <w:tc>
          <w:tcPr>
            <w:tcW w:w="6099" w:type="dxa"/>
            <w:gridSpan w:val="7"/>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1" w:hRule="atLeast"/>
          <w:jc w:val="center"/>
        </w:trPr>
        <w:tc>
          <w:tcPr>
            <w:tcW w:w="2638" w:type="dxa"/>
            <w:gridSpan w:val="2"/>
          </w:tcPr>
          <w:p>
            <w:pPr>
              <w:pStyle w:val="14"/>
              <w:rPr>
                <w:rFonts w:ascii="黑体"/>
              </w:rPr>
            </w:pPr>
          </w:p>
          <w:p>
            <w:pPr>
              <w:pStyle w:val="14"/>
              <w:spacing w:before="7"/>
              <w:rPr>
                <w:rFonts w:ascii="黑体"/>
                <w:sz w:val="19"/>
              </w:rPr>
            </w:pPr>
          </w:p>
          <w:p>
            <w:pPr>
              <w:pStyle w:val="14"/>
              <w:ind w:left="688"/>
              <w:rPr>
                <w:sz w:val="21"/>
              </w:rPr>
            </w:pPr>
            <w:r>
              <w:rPr>
                <w:sz w:val="21"/>
              </w:rPr>
              <w:t>说明在岗情况</w:t>
            </w:r>
          </w:p>
        </w:tc>
        <w:tc>
          <w:tcPr>
            <w:tcW w:w="6099" w:type="dxa"/>
            <w:gridSpan w:val="7"/>
          </w:tcPr>
          <w:p>
            <w:pPr>
              <w:pStyle w:val="14"/>
              <w:tabs>
                <w:tab w:val="left" w:pos="5780"/>
              </w:tabs>
              <w:spacing w:before="90"/>
              <w:ind w:left="107"/>
              <w:rPr>
                <w:sz w:val="21"/>
              </w:rPr>
            </w:pPr>
            <w:r>
              <w:rPr>
                <w:sz w:val="21"/>
              </w:rPr>
              <w:t>□目前未在其他项目上任职，现从事工作为：</w:t>
            </w:r>
            <w:r>
              <w:rPr>
                <w:sz w:val="21"/>
                <w:u w:val="single"/>
              </w:rPr>
              <w:t xml:space="preserve"> </w:t>
            </w:r>
            <w:r>
              <w:rPr>
                <w:sz w:val="21"/>
                <w:u w:val="single"/>
              </w:rPr>
              <w:tab/>
            </w:r>
            <w:r>
              <w:rPr>
                <w:sz w:val="21"/>
              </w:rPr>
              <w:t>。</w:t>
            </w:r>
          </w:p>
          <w:p>
            <w:pPr>
              <w:pStyle w:val="14"/>
              <w:tabs>
                <w:tab w:val="left" w:pos="3626"/>
                <w:tab w:val="left" w:pos="5883"/>
              </w:tabs>
              <w:spacing w:before="16" w:line="400" w:lineRule="exact"/>
              <w:ind w:left="107" w:right="-15"/>
              <w:rPr>
                <w:sz w:val="21"/>
              </w:rPr>
            </w:pPr>
            <w:r>
              <w:rPr>
                <w:sz w:val="21"/>
              </w:rPr>
              <w:t>□目前虽在其他项目上任职，但本项目中标后能够从该项目撤离，目前任职项目</w:t>
            </w:r>
            <w:r>
              <w:rPr>
                <w:sz w:val="21"/>
                <w:u w:val="single"/>
              </w:rPr>
              <w:t>：</w:t>
            </w:r>
            <w:r>
              <w:rPr>
                <w:sz w:val="21"/>
                <w:u w:val="single"/>
              </w:rPr>
              <w:tab/>
            </w:r>
            <w:r>
              <w:rPr>
                <w:sz w:val="21"/>
              </w:rPr>
              <w:t>，担任职位：</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1" w:hRule="atLeast"/>
          <w:jc w:val="center"/>
        </w:trPr>
        <w:tc>
          <w:tcPr>
            <w:tcW w:w="2638" w:type="dxa"/>
            <w:gridSpan w:val="2"/>
          </w:tcPr>
          <w:p>
            <w:pPr>
              <w:pStyle w:val="14"/>
              <w:rPr>
                <w:rFonts w:ascii="黑体"/>
              </w:rPr>
            </w:pPr>
          </w:p>
          <w:p>
            <w:pPr>
              <w:pStyle w:val="14"/>
              <w:spacing w:before="5"/>
              <w:rPr>
                <w:rFonts w:ascii="黑体"/>
                <w:sz w:val="17"/>
              </w:rPr>
            </w:pPr>
          </w:p>
          <w:p>
            <w:pPr>
              <w:pStyle w:val="14"/>
              <w:tabs>
                <w:tab w:val="left" w:pos="1581"/>
              </w:tabs>
              <w:ind w:left="844"/>
              <w:rPr>
                <w:sz w:val="21"/>
              </w:rPr>
            </w:pPr>
            <w:r>
              <w:rPr>
                <w:sz w:val="21"/>
              </w:rPr>
              <w:t>备</w:t>
            </w:r>
            <w:r>
              <w:rPr>
                <w:sz w:val="21"/>
              </w:rPr>
              <w:tab/>
            </w:r>
            <w:r>
              <w:rPr>
                <w:sz w:val="21"/>
              </w:rPr>
              <w:t>注</w:t>
            </w:r>
          </w:p>
        </w:tc>
        <w:tc>
          <w:tcPr>
            <w:tcW w:w="6099" w:type="dxa"/>
            <w:gridSpan w:val="7"/>
          </w:tcPr>
          <w:p>
            <w:pPr>
              <w:pStyle w:val="14"/>
            </w:pPr>
          </w:p>
        </w:tc>
      </w:tr>
    </w:tbl>
    <w:p>
      <w:pPr>
        <w:spacing w:before="128"/>
        <w:rPr>
          <w:sz w:val="21"/>
        </w:rPr>
      </w:pPr>
      <w:r>
        <w:rPr>
          <w:sz w:val="21"/>
        </w:rPr>
        <w:t>注：</w:t>
      </w:r>
      <w:r>
        <w:rPr>
          <w:rFonts w:eastAsia="Times New Roman"/>
          <w:sz w:val="21"/>
        </w:rPr>
        <w:t>1.</w:t>
      </w:r>
      <w:r>
        <w:rPr>
          <w:sz w:val="21"/>
        </w:rPr>
        <w:t>本表应填写项目经理和项目总工相关情况。</w:t>
      </w:r>
    </w:p>
    <w:p>
      <w:pPr>
        <w:spacing w:before="129"/>
        <w:ind w:firstLine="420" w:firstLineChars="200"/>
        <w:rPr>
          <w:sz w:val="21"/>
        </w:rPr>
      </w:pPr>
      <w:r>
        <w:rPr>
          <w:rFonts w:eastAsia="Times New Roman"/>
          <w:sz w:val="21"/>
        </w:rPr>
        <w:t>2.</w:t>
      </w:r>
      <w:r>
        <w:rPr>
          <w:sz w:val="21"/>
        </w:rPr>
        <w:t xml:space="preserve">投标人应根据招标文件第二章“投标人须知”第 </w:t>
      </w:r>
      <w:r>
        <w:rPr>
          <w:rFonts w:eastAsia="Times New Roman"/>
          <w:sz w:val="21"/>
        </w:rPr>
        <w:t xml:space="preserve">3.5.5 </w:t>
      </w:r>
      <w:r>
        <w:rPr>
          <w:sz w:val="21"/>
        </w:rPr>
        <w:t>项的要求在本表后附相关证明材料。</w:t>
      </w:r>
    </w:p>
    <w:p>
      <w:pPr>
        <w:spacing w:before="129"/>
        <w:rPr>
          <w:sz w:val="21"/>
        </w:rPr>
      </w:pPr>
      <w:bookmarkStart w:id="131" w:name="_bookmark320"/>
      <w:bookmarkEnd w:id="131"/>
      <w:bookmarkStart w:id="132" w:name="_bookmark318"/>
      <w:bookmarkEnd w:id="132"/>
    </w:p>
    <w:p>
      <w:pPr>
        <w:spacing w:line="360" w:lineRule="auto"/>
        <w:jc w:val="center"/>
        <w:rPr>
          <w:rFonts w:ascii="黑体" w:hAnsi="黑体" w:eastAsia="黑体"/>
          <w:sz w:val="30"/>
          <w:szCs w:val="30"/>
        </w:rPr>
      </w:pPr>
      <w:bookmarkStart w:id="133" w:name="_bookmark321"/>
      <w:bookmarkEnd w:id="133"/>
      <w:r>
        <w:rPr>
          <w:rFonts w:hint="eastAsia" w:ascii="黑体" w:hAnsi="黑体" w:eastAsia="黑体"/>
          <w:sz w:val="30"/>
          <w:szCs w:val="30"/>
        </w:rPr>
        <w:br w:type="page"/>
      </w:r>
      <w:r>
        <w:rPr>
          <w:rFonts w:hint="eastAsia" w:ascii="黑体" w:eastAsia="黑体"/>
          <w:sz w:val="30"/>
          <w:szCs w:val="30"/>
        </w:rPr>
        <w:t>（七）</w:t>
      </w:r>
      <w:r>
        <w:rPr>
          <w:rFonts w:hint="eastAsia" w:ascii="黑体" w:hAnsi="黑体" w:eastAsia="黑体"/>
          <w:sz w:val="30"/>
          <w:szCs w:val="30"/>
        </w:rPr>
        <w:t>拟委任的其他管理和技术人员汇总表</w:t>
      </w:r>
    </w:p>
    <w:tbl>
      <w:tblPr>
        <w:tblStyle w:val="13"/>
        <w:tblW w:w="8899"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927"/>
        <w:gridCol w:w="2682"/>
        <w:gridCol w:w="1103"/>
        <w:gridCol w:w="1307"/>
        <w:gridCol w:w="1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1" w:hRule="atLeast"/>
          <w:jc w:val="center"/>
        </w:trPr>
        <w:tc>
          <w:tcPr>
            <w:tcW w:w="934" w:type="dxa"/>
          </w:tcPr>
          <w:p>
            <w:pPr>
              <w:pStyle w:val="14"/>
              <w:spacing w:before="12"/>
              <w:rPr>
                <w:rFonts w:ascii="黑体"/>
                <w:sz w:val="27"/>
              </w:rPr>
            </w:pPr>
          </w:p>
          <w:p>
            <w:pPr>
              <w:pStyle w:val="14"/>
              <w:ind w:left="256"/>
              <w:rPr>
                <w:sz w:val="21"/>
              </w:rPr>
            </w:pPr>
            <w:r>
              <w:rPr>
                <w:sz w:val="21"/>
              </w:rPr>
              <w:t>姓名</w:t>
            </w:r>
          </w:p>
        </w:tc>
        <w:tc>
          <w:tcPr>
            <w:tcW w:w="927" w:type="dxa"/>
          </w:tcPr>
          <w:p>
            <w:pPr>
              <w:pStyle w:val="14"/>
              <w:spacing w:before="12"/>
              <w:rPr>
                <w:rFonts w:ascii="黑体"/>
                <w:sz w:val="27"/>
              </w:rPr>
            </w:pPr>
          </w:p>
          <w:p>
            <w:pPr>
              <w:pStyle w:val="14"/>
              <w:ind w:left="251"/>
              <w:rPr>
                <w:sz w:val="21"/>
              </w:rPr>
            </w:pPr>
            <w:r>
              <w:rPr>
                <w:sz w:val="21"/>
              </w:rPr>
              <w:t>年龄</w:t>
            </w:r>
          </w:p>
        </w:tc>
        <w:tc>
          <w:tcPr>
            <w:tcW w:w="2682" w:type="dxa"/>
          </w:tcPr>
          <w:p>
            <w:pPr>
              <w:pStyle w:val="14"/>
              <w:spacing w:before="12"/>
              <w:rPr>
                <w:rFonts w:ascii="黑体"/>
                <w:sz w:val="27"/>
              </w:rPr>
            </w:pPr>
          </w:p>
          <w:p>
            <w:pPr>
              <w:pStyle w:val="14"/>
              <w:ind w:left="394"/>
              <w:rPr>
                <w:sz w:val="21"/>
              </w:rPr>
            </w:pPr>
            <w:r>
              <w:rPr>
                <w:sz w:val="21"/>
              </w:rPr>
              <w:t>拟在本标段工程任职</w:t>
            </w:r>
          </w:p>
        </w:tc>
        <w:tc>
          <w:tcPr>
            <w:tcW w:w="1103" w:type="dxa"/>
          </w:tcPr>
          <w:p>
            <w:pPr>
              <w:pStyle w:val="14"/>
              <w:spacing w:before="12"/>
              <w:rPr>
                <w:rFonts w:ascii="黑体"/>
                <w:sz w:val="27"/>
              </w:rPr>
            </w:pPr>
          </w:p>
          <w:p>
            <w:pPr>
              <w:pStyle w:val="14"/>
              <w:ind w:left="127"/>
              <w:rPr>
                <w:sz w:val="21"/>
              </w:rPr>
            </w:pPr>
            <w:r>
              <w:rPr>
                <w:sz w:val="21"/>
              </w:rPr>
              <w:t>技术职称</w:t>
            </w:r>
          </w:p>
        </w:tc>
        <w:tc>
          <w:tcPr>
            <w:tcW w:w="1307" w:type="dxa"/>
          </w:tcPr>
          <w:p>
            <w:pPr>
              <w:pStyle w:val="14"/>
              <w:spacing w:before="12"/>
              <w:rPr>
                <w:rFonts w:ascii="黑体"/>
                <w:sz w:val="27"/>
              </w:rPr>
            </w:pPr>
          </w:p>
          <w:p>
            <w:pPr>
              <w:pStyle w:val="14"/>
              <w:ind w:left="229"/>
              <w:rPr>
                <w:sz w:val="21"/>
              </w:rPr>
            </w:pPr>
            <w:r>
              <w:rPr>
                <w:sz w:val="21"/>
              </w:rPr>
              <w:t>工作年限</w:t>
            </w:r>
          </w:p>
        </w:tc>
        <w:tc>
          <w:tcPr>
            <w:tcW w:w="1946" w:type="dxa"/>
          </w:tcPr>
          <w:p>
            <w:pPr>
              <w:pStyle w:val="14"/>
              <w:spacing w:before="12"/>
              <w:rPr>
                <w:rFonts w:ascii="黑体"/>
                <w:sz w:val="27"/>
              </w:rPr>
            </w:pPr>
          </w:p>
          <w:p>
            <w:pPr>
              <w:pStyle w:val="14"/>
              <w:ind w:left="125"/>
              <w:rPr>
                <w:sz w:val="21"/>
              </w:rPr>
            </w:pPr>
            <w:r>
              <w:rPr>
                <w:sz w:val="21"/>
              </w:rPr>
              <w:t>类似施工经验年限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7" w:hRule="atLeast"/>
          <w:jc w:val="center"/>
        </w:trPr>
        <w:tc>
          <w:tcPr>
            <w:tcW w:w="934" w:type="dxa"/>
          </w:tcPr>
          <w:p>
            <w:pPr>
              <w:pStyle w:val="14"/>
            </w:pPr>
          </w:p>
        </w:tc>
        <w:tc>
          <w:tcPr>
            <w:tcW w:w="927" w:type="dxa"/>
          </w:tcPr>
          <w:p>
            <w:pPr>
              <w:pStyle w:val="14"/>
            </w:pPr>
          </w:p>
        </w:tc>
        <w:tc>
          <w:tcPr>
            <w:tcW w:w="2682" w:type="dxa"/>
          </w:tcPr>
          <w:p>
            <w:pPr>
              <w:pStyle w:val="14"/>
            </w:pPr>
          </w:p>
        </w:tc>
        <w:tc>
          <w:tcPr>
            <w:tcW w:w="1103" w:type="dxa"/>
          </w:tcPr>
          <w:p>
            <w:pPr>
              <w:pStyle w:val="14"/>
            </w:pPr>
          </w:p>
        </w:tc>
        <w:tc>
          <w:tcPr>
            <w:tcW w:w="1307" w:type="dxa"/>
          </w:tcPr>
          <w:p>
            <w:pPr>
              <w:pStyle w:val="14"/>
            </w:pPr>
          </w:p>
        </w:tc>
        <w:tc>
          <w:tcPr>
            <w:tcW w:w="1946"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7" w:hRule="atLeast"/>
          <w:jc w:val="center"/>
        </w:trPr>
        <w:tc>
          <w:tcPr>
            <w:tcW w:w="934" w:type="dxa"/>
          </w:tcPr>
          <w:p>
            <w:pPr>
              <w:pStyle w:val="14"/>
            </w:pPr>
          </w:p>
        </w:tc>
        <w:tc>
          <w:tcPr>
            <w:tcW w:w="927" w:type="dxa"/>
          </w:tcPr>
          <w:p>
            <w:pPr>
              <w:pStyle w:val="14"/>
            </w:pPr>
          </w:p>
        </w:tc>
        <w:tc>
          <w:tcPr>
            <w:tcW w:w="2682" w:type="dxa"/>
          </w:tcPr>
          <w:p>
            <w:pPr>
              <w:pStyle w:val="14"/>
            </w:pPr>
          </w:p>
        </w:tc>
        <w:tc>
          <w:tcPr>
            <w:tcW w:w="1103" w:type="dxa"/>
          </w:tcPr>
          <w:p>
            <w:pPr>
              <w:pStyle w:val="14"/>
            </w:pPr>
          </w:p>
        </w:tc>
        <w:tc>
          <w:tcPr>
            <w:tcW w:w="1307" w:type="dxa"/>
          </w:tcPr>
          <w:p>
            <w:pPr>
              <w:pStyle w:val="14"/>
            </w:pPr>
          </w:p>
        </w:tc>
        <w:tc>
          <w:tcPr>
            <w:tcW w:w="1946"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jc w:val="center"/>
        </w:trPr>
        <w:tc>
          <w:tcPr>
            <w:tcW w:w="934" w:type="dxa"/>
          </w:tcPr>
          <w:p>
            <w:pPr>
              <w:pStyle w:val="14"/>
            </w:pPr>
          </w:p>
        </w:tc>
        <w:tc>
          <w:tcPr>
            <w:tcW w:w="927" w:type="dxa"/>
          </w:tcPr>
          <w:p>
            <w:pPr>
              <w:pStyle w:val="14"/>
            </w:pPr>
          </w:p>
        </w:tc>
        <w:tc>
          <w:tcPr>
            <w:tcW w:w="2682" w:type="dxa"/>
          </w:tcPr>
          <w:p>
            <w:pPr>
              <w:pStyle w:val="14"/>
            </w:pPr>
          </w:p>
        </w:tc>
        <w:tc>
          <w:tcPr>
            <w:tcW w:w="1103" w:type="dxa"/>
          </w:tcPr>
          <w:p>
            <w:pPr>
              <w:pStyle w:val="14"/>
            </w:pPr>
          </w:p>
        </w:tc>
        <w:tc>
          <w:tcPr>
            <w:tcW w:w="1307" w:type="dxa"/>
          </w:tcPr>
          <w:p>
            <w:pPr>
              <w:pStyle w:val="14"/>
            </w:pPr>
          </w:p>
        </w:tc>
        <w:tc>
          <w:tcPr>
            <w:tcW w:w="1946"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2" w:hRule="atLeast"/>
          <w:jc w:val="center"/>
        </w:trPr>
        <w:tc>
          <w:tcPr>
            <w:tcW w:w="934" w:type="dxa"/>
          </w:tcPr>
          <w:p>
            <w:pPr>
              <w:pStyle w:val="14"/>
            </w:pPr>
          </w:p>
        </w:tc>
        <w:tc>
          <w:tcPr>
            <w:tcW w:w="927" w:type="dxa"/>
          </w:tcPr>
          <w:p>
            <w:pPr>
              <w:pStyle w:val="14"/>
            </w:pPr>
          </w:p>
        </w:tc>
        <w:tc>
          <w:tcPr>
            <w:tcW w:w="2682" w:type="dxa"/>
          </w:tcPr>
          <w:p>
            <w:pPr>
              <w:pStyle w:val="14"/>
            </w:pPr>
          </w:p>
        </w:tc>
        <w:tc>
          <w:tcPr>
            <w:tcW w:w="1103" w:type="dxa"/>
          </w:tcPr>
          <w:p>
            <w:pPr>
              <w:pStyle w:val="14"/>
            </w:pPr>
          </w:p>
        </w:tc>
        <w:tc>
          <w:tcPr>
            <w:tcW w:w="1307" w:type="dxa"/>
          </w:tcPr>
          <w:p>
            <w:pPr>
              <w:pStyle w:val="14"/>
            </w:pPr>
          </w:p>
        </w:tc>
        <w:tc>
          <w:tcPr>
            <w:tcW w:w="1946"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jc w:val="center"/>
        </w:trPr>
        <w:tc>
          <w:tcPr>
            <w:tcW w:w="934" w:type="dxa"/>
          </w:tcPr>
          <w:p>
            <w:pPr>
              <w:pStyle w:val="14"/>
            </w:pPr>
          </w:p>
        </w:tc>
        <w:tc>
          <w:tcPr>
            <w:tcW w:w="927" w:type="dxa"/>
          </w:tcPr>
          <w:p>
            <w:pPr>
              <w:pStyle w:val="14"/>
            </w:pPr>
          </w:p>
        </w:tc>
        <w:tc>
          <w:tcPr>
            <w:tcW w:w="2682" w:type="dxa"/>
          </w:tcPr>
          <w:p>
            <w:pPr>
              <w:pStyle w:val="14"/>
            </w:pPr>
          </w:p>
        </w:tc>
        <w:tc>
          <w:tcPr>
            <w:tcW w:w="1103" w:type="dxa"/>
          </w:tcPr>
          <w:p>
            <w:pPr>
              <w:pStyle w:val="14"/>
            </w:pPr>
          </w:p>
        </w:tc>
        <w:tc>
          <w:tcPr>
            <w:tcW w:w="1307" w:type="dxa"/>
          </w:tcPr>
          <w:p>
            <w:pPr>
              <w:pStyle w:val="14"/>
            </w:pPr>
          </w:p>
        </w:tc>
        <w:tc>
          <w:tcPr>
            <w:tcW w:w="1946"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jc w:val="center"/>
        </w:trPr>
        <w:tc>
          <w:tcPr>
            <w:tcW w:w="934" w:type="dxa"/>
          </w:tcPr>
          <w:p>
            <w:pPr>
              <w:pStyle w:val="14"/>
            </w:pPr>
          </w:p>
        </w:tc>
        <w:tc>
          <w:tcPr>
            <w:tcW w:w="927" w:type="dxa"/>
          </w:tcPr>
          <w:p>
            <w:pPr>
              <w:pStyle w:val="14"/>
            </w:pPr>
          </w:p>
        </w:tc>
        <w:tc>
          <w:tcPr>
            <w:tcW w:w="2682" w:type="dxa"/>
          </w:tcPr>
          <w:p>
            <w:pPr>
              <w:pStyle w:val="14"/>
            </w:pPr>
          </w:p>
        </w:tc>
        <w:tc>
          <w:tcPr>
            <w:tcW w:w="1103" w:type="dxa"/>
          </w:tcPr>
          <w:p>
            <w:pPr>
              <w:pStyle w:val="14"/>
            </w:pPr>
          </w:p>
        </w:tc>
        <w:tc>
          <w:tcPr>
            <w:tcW w:w="1307" w:type="dxa"/>
          </w:tcPr>
          <w:p>
            <w:pPr>
              <w:pStyle w:val="14"/>
            </w:pPr>
          </w:p>
        </w:tc>
        <w:tc>
          <w:tcPr>
            <w:tcW w:w="1946"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6" w:hRule="atLeast"/>
          <w:jc w:val="center"/>
        </w:trPr>
        <w:tc>
          <w:tcPr>
            <w:tcW w:w="934" w:type="dxa"/>
          </w:tcPr>
          <w:p>
            <w:pPr>
              <w:pStyle w:val="14"/>
            </w:pPr>
          </w:p>
        </w:tc>
        <w:tc>
          <w:tcPr>
            <w:tcW w:w="927" w:type="dxa"/>
          </w:tcPr>
          <w:p>
            <w:pPr>
              <w:pStyle w:val="14"/>
            </w:pPr>
          </w:p>
        </w:tc>
        <w:tc>
          <w:tcPr>
            <w:tcW w:w="2682" w:type="dxa"/>
          </w:tcPr>
          <w:p>
            <w:pPr>
              <w:pStyle w:val="14"/>
            </w:pPr>
          </w:p>
        </w:tc>
        <w:tc>
          <w:tcPr>
            <w:tcW w:w="1103" w:type="dxa"/>
          </w:tcPr>
          <w:p>
            <w:pPr>
              <w:pStyle w:val="14"/>
            </w:pPr>
          </w:p>
        </w:tc>
        <w:tc>
          <w:tcPr>
            <w:tcW w:w="1307" w:type="dxa"/>
          </w:tcPr>
          <w:p>
            <w:pPr>
              <w:pStyle w:val="14"/>
            </w:pPr>
          </w:p>
        </w:tc>
        <w:tc>
          <w:tcPr>
            <w:tcW w:w="1946"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7" w:hRule="atLeast"/>
          <w:jc w:val="center"/>
        </w:trPr>
        <w:tc>
          <w:tcPr>
            <w:tcW w:w="934" w:type="dxa"/>
          </w:tcPr>
          <w:p>
            <w:pPr>
              <w:pStyle w:val="14"/>
            </w:pPr>
          </w:p>
        </w:tc>
        <w:tc>
          <w:tcPr>
            <w:tcW w:w="927" w:type="dxa"/>
          </w:tcPr>
          <w:p>
            <w:pPr>
              <w:pStyle w:val="14"/>
            </w:pPr>
          </w:p>
        </w:tc>
        <w:tc>
          <w:tcPr>
            <w:tcW w:w="2682" w:type="dxa"/>
          </w:tcPr>
          <w:p>
            <w:pPr>
              <w:pStyle w:val="14"/>
            </w:pPr>
          </w:p>
        </w:tc>
        <w:tc>
          <w:tcPr>
            <w:tcW w:w="1103" w:type="dxa"/>
          </w:tcPr>
          <w:p>
            <w:pPr>
              <w:pStyle w:val="14"/>
            </w:pPr>
          </w:p>
        </w:tc>
        <w:tc>
          <w:tcPr>
            <w:tcW w:w="1307" w:type="dxa"/>
          </w:tcPr>
          <w:p>
            <w:pPr>
              <w:pStyle w:val="14"/>
            </w:pPr>
          </w:p>
        </w:tc>
        <w:tc>
          <w:tcPr>
            <w:tcW w:w="1946"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jc w:val="center"/>
        </w:trPr>
        <w:tc>
          <w:tcPr>
            <w:tcW w:w="934" w:type="dxa"/>
          </w:tcPr>
          <w:p>
            <w:pPr>
              <w:pStyle w:val="14"/>
            </w:pPr>
          </w:p>
        </w:tc>
        <w:tc>
          <w:tcPr>
            <w:tcW w:w="927" w:type="dxa"/>
          </w:tcPr>
          <w:p>
            <w:pPr>
              <w:pStyle w:val="14"/>
            </w:pPr>
          </w:p>
        </w:tc>
        <w:tc>
          <w:tcPr>
            <w:tcW w:w="2682" w:type="dxa"/>
          </w:tcPr>
          <w:p>
            <w:pPr>
              <w:pStyle w:val="14"/>
            </w:pPr>
          </w:p>
        </w:tc>
        <w:tc>
          <w:tcPr>
            <w:tcW w:w="1103" w:type="dxa"/>
          </w:tcPr>
          <w:p>
            <w:pPr>
              <w:pStyle w:val="14"/>
            </w:pPr>
          </w:p>
        </w:tc>
        <w:tc>
          <w:tcPr>
            <w:tcW w:w="1307" w:type="dxa"/>
          </w:tcPr>
          <w:p>
            <w:pPr>
              <w:pStyle w:val="14"/>
            </w:pPr>
          </w:p>
        </w:tc>
        <w:tc>
          <w:tcPr>
            <w:tcW w:w="1946"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jc w:val="center"/>
        </w:trPr>
        <w:tc>
          <w:tcPr>
            <w:tcW w:w="934" w:type="dxa"/>
          </w:tcPr>
          <w:p>
            <w:pPr>
              <w:pStyle w:val="14"/>
            </w:pPr>
          </w:p>
        </w:tc>
        <w:tc>
          <w:tcPr>
            <w:tcW w:w="927" w:type="dxa"/>
          </w:tcPr>
          <w:p>
            <w:pPr>
              <w:pStyle w:val="14"/>
            </w:pPr>
          </w:p>
        </w:tc>
        <w:tc>
          <w:tcPr>
            <w:tcW w:w="2682" w:type="dxa"/>
          </w:tcPr>
          <w:p>
            <w:pPr>
              <w:pStyle w:val="14"/>
            </w:pPr>
          </w:p>
        </w:tc>
        <w:tc>
          <w:tcPr>
            <w:tcW w:w="1103" w:type="dxa"/>
          </w:tcPr>
          <w:p>
            <w:pPr>
              <w:pStyle w:val="14"/>
            </w:pPr>
          </w:p>
        </w:tc>
        <w:tc>
          <w:tcPr>
            <w:tcW w:w="1307" w:type="dxa"/>
          </w:tcPr>
          <w:p>
            <w:pPr>
              <w:pStyle w:val="14"/>
            </w:pPr>
          </w:p>
        </w:tc>
        <w:tc>
          <w:tcPr>
            <w:tcW w:w="1946"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jc w:val="center"/>
        </w:trPr>
        <w:tc>
          <w:tcPr>
            <w:tcW w:w="934" w:type="dxa"/>
          </w:tcPr>
          <w:p>
            <w:pPr>
              <w:pStyle w:val="14"/>
            </w:pPr>
          </w:p>
        </w:tc>
        <w:tc>
          <w:tcPr>
            <w:tcW w:w="927" w:type="dxa"/>
          </w:tcPr>
          <w:p>
            <w:pPr>
              <w:pStyle w:val="14"/>
            </w:pPr>
          </w:p>
        </w:tc>
        <w:tc>
          <w:tcPr>
            <w:tcW w:w="2682" w:type="dxa"/>
          </w:tcPr>
          <w:p>
            <w:pPr>
              <w:pStyle w:val="14"/>
            </w:pPr>
          </w:p>
        </w:tc>
        <w:tc>
          <w:tcPr>
            <w:tcW w:w="1103" w:type="dxa"/>
          </w:tcPr>
          <w:p>
            <w:pPr>
              <w:pStyle w:val="14"/>
            </w:pPr>
          </w:p>
        </w:tc>
        <w:tc>
          <w:tcPr>
            <w:tcW w:w="1307" w:type="dxa"/>
          </w:tcPr>
          <w:p>
            <w:pPr>
              <w:pStyle w:val="14"/>
            </w:pPr>
          </w:p>
        </w:tc>
        <w:tc>
          <w:tcPr>
            <w:tcW w:w="1946"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2" w:hRule="atLeast"/>
          <w:jc w:val="center"/>
        </w:trPr>
        <w:tc>
          <w:tcPr>
            <w:tcW w:w="934" w:type="dxa"/>
          </w:tcPr>
          <w:p>
            <w:pPr>
              <w:pStyle w:val="14"/>
            </w:pPr>
          </w:p>
        </w:tc>
        <w:tc>
          <w:tcPr>
            <w:tcW w:w="927" w:type="dxa"/>
          </w:tcPr>
          <w:p>
            <w:pPr>
              <w:pStyle w:val="14"/>
            </w:pPr>
          </w:p>
        </w:tc>
        <w:tc>
          <w:tcPr>
            <w:tcW w:w="2682" w:type="dxa"/>
          </w:tcPr>
          <w:p>
            <w:pPr>
              <w:pStyle w:val="14"/>
            </w:pPr>
          </w:p>
        </w:tc>
        <w:tc>
          <w:tcPr>
            <w:tcW w:w="1103" w:type="dxa"/>
          </w:tcPr>
          <w:p>
            <w:pPr>
              <w:pStyle w:val="14"/>
            </w:pPr>
          </w:p>
        </w:tc>
        <w:tc>
          <w:tcPr>
            <w:tcW w:w="1307" w:type="dxa"/>
          </w:tcPr>
          <w:p>
            <w:pPr>
              <w:pStyle w:val="14"/>
            </w:pPr>
          </w:p>
        </w:tc>
        <w:tc>
          <w:tcPr>
            <w:tcW w:w="1946"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7" w:hRule="atLeast"/>
          <w:jc w:val="center"/>
        </w:trPr>
        <w:tc>
          <w:tcPr>
            <w:tcW w:w="934" w:type="dxa"/>
          </w:tcPr>
          <w:p>
            <w:pPr>
              <w:pStyle w:val="14"/>
            </w:pPr>
          </w:p>
        </w:tc>
        <w:tc>
          <w:tcPr>
            <w:tcW w:w="927" w:type="dxa"/>
          </w:tcPr>
          <w:p>
            <w:pPr>
              <w:pStyle w:val="14"/>
            </w:pPr>
          </w:p>
        </w:tc>
        <w:tc>
          <w:tcPr>
            <w:tcW w:w="2682" w:type="dxa"/>
          </w:tcPr>
          <w:p>
            <w:pPr>
              <w:pStyle w:val="14"/>
            </w:pPr>
          </w:p>
        </w:tc>
        <w:tc>
          <w:tcPr>
            <w:tcW w:w="1103" w:type="dxa"/>
          </w:tcPr>
          <w:p>
            <w:pPr>
              <w:pStyle w:val="14"/>
            </w:pPr>
          </w:p>
        </w:tc>
        <w:tc>
          <w:tcPr>
            <w:tcW w:w="1307" w:type="dxa"/>
          </w:tcPr>
          <w:p>
            <w:pPr>
              <w:pStyle w:val="14"/>
            </w:pPr>
          </w:p>
        </w:tc>
        <w:tc>
          <w:tcPr>
            <w:tcW w:w="1946" w:type="dxa"/>
          </w:tcPr>
          <w:p>
            <w:pPr>
              <w:pStyle w:val="14"/>
            </w:pPr>
          </w:p>
        </w:tc>
      </w:tr>
    </w:tbl>
    <w:p>
      <w:pPr>
        <w:spacing w:before="128"/>
        <w:rPr>
          <w:sz w:val="21"/>
        </w:rPr>
      </w:pPr>
      <w:r>
        <w:rPr>
          <w:sz w:val="21"/>
        </w:rPr>
        <w:t>注：本表填报的人员应满足招标文件第二章“投标人须知”前附表附录</w:t>
      </w:r>
      <w:r>
        <w:rPr>
          <w:rFonts w:hint="eastAsia"/>
          <w:sz w:val="21"/>
        </w:rPr>
        <w:t>6</w:t>
      </w:r>
      <w:r>
        <w:rPr>
          <w:sz w:val="21"/>
        </w:rPr>
        <w:t>的要求。</w:t>
      </w:r>
    </w:p>
    <w:p>
      <w:pPr>
        <w:spacing w:line="360" w:lineRule="auto"/>
        <w:jc w:val="both"/>
        <w:rPr>
          <w:rFonts w:ascii="黑体" w:hAnsi="黑体" w:eastAsia="黑体"/>
        </w:rPr>
      </w:pPr>
    </w:p>
    <w:p>
      <w:pPr>
        <w:spacing w:line="360" w:lineRule="auto"/>
        <w:jc w:val="both"/>
        <w:rPr>
          <w:rFonts w:ascii="黑体" w:hAnsi="黑体" w:eastAsia="黑体"/>
        </w:rPr>
      </w:pPr>
    </w:p>
    <w:p>
      <w:pPr>
        <w:pStyle w:val="2"/>
        <w:ind w:firstLine="340"/>
        <w:rPr>
          <w:rFonts w:ascii="黑体" w:hAnsi="黑体" w:eastAsia="黑体"/>
        </w:rPr>
      </w:pPr>
    </w:p>
    <w:p>
      <w:pPr>
        <w:pStyle w:val="2"/>
        <w:ind w:firstLine="340"/>
        <w:rPr>
          <w:rFonts w:ascii="黑体" w:hAnsi="黑体" w:eastAsia="黑体"/>
        </w:rPr>
      </w:pPr>
    </w:p>
    <w:p>
      <w:pPr>
        <w:spacing w:line="360" w:lineRule="auto"/>
        <w:ind w:firstLine="900" w:firstLineChars="300"/>
        <w:jc w:val="both"/>
        <w:rPr>
          <w:rFonts w:ascii="黑体" w:hAnsi="黑体" w:eastAsia="黑体"/>
          <w:sz w:val="30"/>
          <w:szCs w:val="30"/>
        </w:rPr>
      </w:pPr>
      <w:r>
        <w:rPr>
          <w:rFonts w:hint="eastAsia" w:ascii="黑体" w:hAnsi="黑体" w:eastAsia="黑体"/>
          <w:sz w:val="30"/>
          <w:szCs w:val="30"/>
        </w:rPr>
        <w:t>（八）拟委任的其他管理和技术人员资历表</w:t>
      </w:r>
    </w:p>
    <w:tbl>
      <w:tblPr>
        <w:tblStyle w:val="13"/>
        <w:tblW w:w="8737"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14"/>
              <w:spacing w:before="6"/>
              <w:rPr>
                <w:rFonts w:ascii="黑体"/>
                <w:sz w:val="14"/>
              </w:rPr>
            </w:pPr>
          </w:p>
          <w:p>
            <w:pPr>
              <w:pStyle w:val="14"/>
              <w:tabs>
                <w:tab w:val="left" w:pos="631"/>
              </w:tabs>
              <w:ind w:right="13"/>
              <w:jc w:val="center"/>
              <w:rPr>
                <w:sz w:val="21"/>
              </w:rPr>
            </w:pPr>
            <w:r>
              <w:rPr>
                <w:sz w:val="21"/>
              </w:rPr>
              <w:t>姓</w:t>
            </w:r>
            <w:r>
              <w:rPr>
                <w:sz w:val="21"/>
              </w:rPr>
              <w:tab/>
            </w:r>
            <w:r>
              <w:rPr>
                <w:sz w:val="21"/>
              </w:rPr>
              <w:t>名</w:t>
            </w:r>
          </w:p>
        </w:tc>
        <w:tc>
          <w:tcPr>
            <w:tcW w:w="1480" w:type="dxa"/>
            <w:gridSpan w:val="2"/>
          </w:tcPr>
          <w:p>
            <w:pPr>
              <w:pStyle w:val="14"/>
            </w:pPr>
          </w:p>
        </w:tc>
        <w:tc>
          <w:tcPr>
            <w:tcW w:w="1061" w:type="dxa"/>
          </w:tcPr>
          <w:p>
            <w:pPr>
              <w:pStyle w:val="14"/>
              <w:spacing w:before="6"/>
              <w:rPr>
                <w:rFonts w:ascii="黑体"/>
                <w:sz w:val="14"/>
              </w:rPr>
            </w:pPr>
          </w:p>
          <w:p>
            <w:pPr>
              <w:pStyle w:val="14"/>
              <w:tabs>
                <w:tab w:val="left" w:pos="643"/>
              </w:tabs>
              <w:ind w:left="12"/>
              <w:jc w:val="center"/>
              <w:rPr>
                <w:sz w:val="21"/>
              </w:rPr>
            </w:pPr>
            <w:r>
              <w:rPr>
                <w:sz w:val="21"/>
              </w:rPr>
              <w:t>年</w:t>
            </w:r>
            <w:r>
              <w:rPr>
                <w:sz w:val="21"/>
              </w:rPr>
              <w:tab/>
            </w:r>
            <w:r>
              <w:rPr>
                <w:sz w:val="21"/>
              </w:rPr>
              <w:t>龄</w:t>
            </w:r>
          </w:p>
        </w:tc>
        <w:tc>
          <w:tcPr>
            <w:tcW w:w="1381" w:type="dxa"/>
          </w:tcPr>
          <w:p>
            <w:pPr>
              <w:pStyle w:val="14"/>
            </w:pPr>
          </w:p>
        </w:tc>
        <w:tc>
          <w:tcPr>
            <w:tcW w:w="1883" w:type="dxa"/>
            <w:gridSpan w:val="2"/>
          </w:tcPr>
          <w:p>
            <w:pPr>
              <w:pStyle w:val="14"/>
              <w:spacing w:before="6"/>
              <w:rPr>
                <w:rFonts w:ascii="黑体"/>
                <w:sz w:val="14"/>
              </w:rPr>
            </w:pPr>
          </w:p>
          <w:p>
            <w:pPr>
              <w:pStyle w:val="14"/>
              <w:tabs>
                <w:tab w:val="left" w:pos="1151"/>
              </w:tabs>
              <w:ind w:left="520"/>
              <w:rPr>
                <w:sz w:val="21"/>
              </w:rPr>
            </w:pPr>
            <w:r>
              <w:rPr>
                <w:sz w:val="21"/>
              </w:rPr>
              <w:t>专</w:t>
            </w:r>
            <w:r>
              <w:rPr>
                <w:sz w:val="21"/>
              </w:rPr>
              <w:tab/>
            </w:r>
            <w:r>
              <w:rPr>
                <w:sz w:val="21"/>
              </w:rPr>
              <w:t>业</w:t>
            </w:r>
          </w:p>
        </w:tc>
        <w:tc>
          <w:tcPr>
            <w:tcW w:w="1671" w:type="dxa"/>
            <w:gridSpan w:val="2"/>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1" w:hRule="atLeast"/>
          <w:jc w:val="center"/>
        </w:trPr>
        <w:tc>
          <w:tcPr>
            <w:tcW w:w="1261" w:type="dxa"/>
          </w:tcPr>
          <w:p>
            <w:pPr>
              <w:pStyle w:val="14"/>
              <w:rPr>
                <w:rFonts w:ascii="黑体"/>
              </w:rPr>
            </w:pPr>
          </w:p>
          <w:p>
            <w:pPr>
              <w:pStyle w:val="14"/>
              <w:spacing w:before="160"/>
              <w:ind w:right="15"/>
              <w:jc w:val="center"/>
              <w:rPr>
                <w:sz w:val="21"/>
              </w:rPr>
            </w:pPr>
            <w:r>
              <w:rPr>
                <w:sz w:val="21"/>
              </w:rPr>
              <w:t>技术职称</w:t>
            </w:r>
          </w:p>
        </w:tc>
        <w:tc>
          <w:tcPr>
            <w:tcW w:w="1480" w:type="dxa"/>
            <w:gridSpan w:val="2"/>
          </w:tcPr>
          <w:p>
            <w:pPr>
              <w:pStyle w:val="14"/>
            </w:pPr>
          </w:p>
        </w:tc>
        <w:tc>
          <w:tcPr>
            <w:tcW w:w="1061" w:type="dxa"/>
          </w:tcPr>
          <w:p>
            <w:pPr>
              <w:pStyle w:val="14"/>
              <w:rPr>
                <w:rFonts w:ascii="黑体"/>
              </w:rPr>
            </w:pPr>
          </w:p>
          <w:p>
            <w:pPr>
              <w:pStyle w:val="14"/>
              <w:tabs>
                <w:tab w:val="left" w:pos="643"/>
              </w:tabs>
              <w:spacing w:before="160"/>
              <w:ind w:left="12"/>
              <w:jc w:val="center"/>
              <w:rPr>
                <w:sz w:val="21"/>
              </w:rPr>
            </w:pPr>
            <w:r>
              <w:rPr>
                <w:sz w:val="21"/>
              </w:rPr>
              <w:t>学</w:t>
            </w:r>
            <w:r>
              <w:rPr>
                <w:sz w:val="21"/>
              </w:rPr>
              <w:tab/>
            </w:r>
            <w:r>
              <w:rPr>
                <w:sz w:val="21"/>
              </w:rPr>
              <w:t>历</w:t>
            </w:r>
          </w:p>
        </w:tc>
        <w:tc>
          <w:tcPr>
            <w:tcW w:w="1381" w:type="dxa"/>
          </w:tcPr>
          <w:p>
            <w:pPr>
              <w:pStyle w:val="14"/>
            </w:pPr>
          </w:p>
        </w:tc>
        <w:tc>
          <w:tcPr>
            <w:tcW w:w="1883" w:type="dxa"/>
            <w:gridSpan w:val="2"/>
          </w:tcPr>
          <w:p>
            <w:pPr>
              <w:pStyle w:val="14"/>
              <w:spacing w:before="28" w:line="460" w:lineRule="exact"/>
              <w:ind w:left="520" w:right="402" w:hanging="106"/>
              <w:rPr>
                <w:sz w:val="21"/>
              </w:rPr>
            </w:pPr>
            <w:r>
              <w:rPr>
                <w:sz w:val="21"/>
              </w:rPr>
              <w:t>拟在本标段工程任职</w:t>
            </w:r>
          </w:p>
        </w:tc>
        <w:tc>
          <w:tcPr>
            <w:tcW w:w="1671" w:type="dxa"/>
            <w:gridSpan w:val="2"/>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1261" w:type="dxa"/>
          </w:tcPr>
          <w:p>
            <w:pPr>
              <w:pStyle w:val="14"/>
              <w:spacing w:before="7"/>
              <w:rPr>
                <w:rFonts w:ascii="黑体"/>
                <w:sz w:val="14"/>
              </w:rPr>
            </w:pPr>
          </w:p>
          <w:p>
            <w:pPr>
              <w:pStyle w:val="14"/>
              <w:ind w:right="15"/>
              <w:jc w:val="center"/>
              <w:rPr>
                <w:sz w:val="21"/>
              </w:rPr>
            </w:pPr>
            <w:r>
              <w:rPr>
                <w:sz w:val="21"/>
              </w:rPr>
              <w:t>工作年限</w:t>
            </w:r>
          </w:p>
        </w:tc>
        <w:tc>
          <w:tcPr>
            <w:tcW w:w="3922" w:type="dxa"/>
            <w:gridSpan w:val="4"/>
          </w:tcPr>
          <w:p>
            <w:pPr>
              <w:pStyle w:val="14"/>
            </w:pPr>
          </w:p>
        </w:tc>
        <w:tc>
          <w:tcPr>
            <w:tcW w:w="1883" w:type="dxa"/>
            <w:gridSpan w:val="2"/>
          </w:tcPr>
          <w:p>
            <w:pPr>
              <w:pStyle w:val="14"/>
              <w:spacing w:before="7"/>
              <w:rPr>
                <w:rFonts w:ascii="黑体"/>
                <w:sz w:val="14"/>
              </w:rPr>
            </w:pPr>
          </w:p>
          <w:p>
            <w:pPr>
              <w:pStyle w:val="14"/>
              <w:ind w:left="100"/>
              <w:rPr>
                <w:sz w:val="21"/>
              </w:rPr>
            </w:pPr>
            <w:r>
              <w:rPr>
                <w:sz w:val="21"/>
              </w:rPr>
              <w:t>类似施工经验年限</w:t>
            </w:r>
          </w:p>
        </w:tc>
        <w:tc>
          <w:tcPr>
            <w:tcW w:w="1671" w:type="dxa"/>
            <w:gridSpan w:val="2"/>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14"/>
              <w:spacing w:before="8"/>
              <w:rPr>
                <w:rFonts w:ascii="黑体"/>
                <w:sz w:val="14"/>
              </w:rPr>
            </w:pPr>
          </w:p>
          <w:p>
            <w:pPr>
              <w:pStyle w:val="14"/>
              <w:spacing w:before="1"/>
              <w:ind w:right="13"/>
              <w:jc w:val="center"/>
              <w:rPr>
                <w:sz w:val="21"/>
              </w:rPr>
            </w:pPr>
            <w:r>
              <w:rPr>
                <w:sz w:val="21"/>
              </w:rPr>
              <w:t>毕业学校</w:t>
            </w:r>
          </w:p>
        </w:tc>
        <w:tc>
          <w:tcPr>
            <w:tcW w:w="7476" w:type="dxa"/>
            <w:gridSpan w:val="8"/>
          </w:tcPr>
          <w:p>
            <w:pPr>
              <w:pStyle w:val="14"/>
              <w:tabs>
                <w:tab w:val="left" w:pos="531"/>
                <w:tab w:val="left" w:pos="1057"/>
                <w:tab w:val="left" w:pos="3892"/>
                <w:tab w:val="left" w:pos="5466"/>
                <w:tab w:val="left" w:pos="7145"/>
              </w:tabs>
              <w:spacing w:before="188"/>
              <w:ind w:left="5"/>
              <w:rPr>
                <w:sz w:val="21"/>
              </w:rPr>
            </w:pPr>
            <w:r>
              <w:rPr>
                <w:rFonts w:eastAsia="Times New Roman"/>
                <w:sz w:val="21"/>
                <w:u w:val="single"/>
              </w:rPr>
              <w:t xml:space="preserve"> </w:t>
            </w:r>
            <w:r>
              <w:rPr>
                <w:rFonts w:eastAsia="Times New Roman"/>
                <w:sz w:val="21"/>
                <w:u w:val="single"/>
              </w:rPr>
              <w:tab/>
            </w:r>
            <w:r>
              <w:rPr>
                <w:sz w:val="21"/>
              </w:rPr>
              <w:t>年</w:t>
            </w:r>
            <w:r>
              <w:rPr>
                <w:sz w:val="21"/>
                <w:u w:val="single"/>
              </w:rPr>
              <w:t xml:space="preserve"> </w:t>
            </w:r>
            <w:r>
              <w:rPr>
                <w:sz w:val="21"/>
                <w:u w:val="single"/>
              </w:rPr>
              <w:tab/>
            </w:r>
            <w:r>
              <w:rPr>
                <w:spacing w:val="-3"/>
                <w:sz w:val="21"/>
              </w:rPr>
              <w:t>月</w:t>
            </w:r>
            <w:r>
              <w:rPr>
                <w:sz w:val="21"/>
              </w:rPr>
              <w:t>毕</w:t>
            </w:r>
            <w:r>
              <w:rPr>
                <w:spacing w:val="-3"/>
                <w:sz w:val="21"/>
              </w:rPr>
              <w:t>业</w:t>
            </w:r>
            <w:r>
              <w:rPr>
                <w:sz w:val="21"/>
              </w:rPr>
              <w:t>于</w:t>
            </w:r>
            <w:r>
              <w:rPr>
                <w:sz w:val="21"/>
                <w:u w:val="single"/>
              </w:rPr>
              <w:t xml:space="preserve"> </w:t>
            </w:r>
            <w:r>
              <w:rPr>
                <w:sz w:val="21"/>
                <w:u w:val="single"/>
              </w:rPr>
              <w:tab/>
            </w:r>
            <w:r>
              <w:rPr>
                <w:spacing w:val="-3"/>
                <w:sz w:val="21"/>
              </w:rPr>
              <w:t>学</w:t>
            </w:r>
            <w:r>
              <w:rPr>
                <w:sz w:val="21"/>
              </w:rPr>
              <w:t>校</w:t>
            </w:r>
            <w:r>
              <w:rPr>
                <w:sz w:val="21"/>
                <w:u w:val="single"/>
              </w:rPr>
              <w:t xml:space="preserve"> </w:t>
            </w:r>
            <w:r>
              <w:rPr>
                <w:sz w:val="21"/>
                <w:u w:val="single"/>
              </w:rPr>
              <w:tab/>
            </w:r>
            <w:r>
              <w:rPr>
                <w:spacing w:val="-3"/>
                <w:sz w:val="21"/>
              </w:rPr>
              <w:t>专</w:t>
            </w:r>
            <w:r>
              <w:rPr>
                <w:sz w:val="21"/>
              </w:rPr>
              <w:t>业</w:t>
            </w:r>
            <w:r>
              <w:rPr>
                <w:spacing w:val="-3"/>
                <w:sz w:val="21"/>
              </w:rPr>
              <w:t>，</w:t>
            </w:r>
            <w:r>
              <w:rPr>
                <w:sz w:val="21"/>
              </w:rPr>
              <w:t>学制</w:t>
            </w:r>
            <w:r>
              <w:rPr>
                <w:sz w:val="21"/>
                <w:u w:val="single"/>
              </w:rPr>
              <w:t xml:space="preserve"> </w:t>
            </w:r>
            <w:r>
              <w:rPr>
                <w:sz w:val="21"/>
                <w:u w:val="single"/>
              </w:rPr>
              <w:tab/>
            </w:r>
            <w:r>
              <w:rPr>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8737" w:type="dxa"/>
            <w:gridSpan w:val="9"/>
          </w:tcPr>
          <w:p>
            <w:pPr>
              <w:pStyle w:val="14"/>
              <w:spacing w:before="6"/>
              <w:rPr>
                <w:rFonts w:ascii="黑体"/>
                <w:sz w:val="14"/>
              </w:rPr>
            </w:pPr>
          </w:p>
          <w:p>
            <w:pPr>
              <w:pStyle w:val="14"/>
              <w:tabs>
                <w:tab w:val="left" w:pos="1167"/>
              </w:tabs>
              <w:ind w:left="10"/>
              <w:jc w:val="center"/>
              <w:rPr>
                <w:sz w:val="21"/>
              </w:rPr>
            </w:pPr>
            <w:r>
              <w:rPr>
                <w:sz w:val="21"/>
              </w:rPr>
              <w:t>经</w:t>
            </w:r>
            <w:r>
              <w:rPr>
                <w:sz w:val="21"/>
              </w:rPr>
              <w:tab/>
            </w:r>
            <w:r>
              <w:rPr>
                <w:sz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1" w:hRule="atLeast"/>
          <w:jc w:val="center"/>
        </w:trPr>
        <w:tc>
          <w:tcPr>
            <w:tcW w:w="1261" w:type="dxa"/>
          </w:tcPr>
          <w:p>
            <w:pPr>
              <w:pStyle w:val="14"/>
              <w:rPr>
                <w:rFonts w:ascii="黑体"/>
              </w:rPr>
            </w:pPr>
          </w:p>
          <w:p>
            <w:pPr>
              <w:pStyle w:val="14"/>
              <w:tabs>
                <w:tab w:val="left" w:pos="457"/>
              </w:tabs>
              <w:spacing w:before="131"/>
              <w:ind w:left="34"/>
              <w:jc w:val="center"/>
              <w:rPr>
                <w:sz w:val="21"/>
              </w:rPr>
            </w:pPr>
            <w:r>
              <w:rPr>
                <w:sz w:val="21"/>
              </w:rPr>
              <w:t>时</w:t>
            </w:r>
            <w:r>
              <w:rPr>
                <w:sz w:val="21"/>
              </w:rPr>
              <w:tab/>
            </w:r>
            <w:r>
              <w:rPr>
                <w:sz w:val="21"/>
              </w:rPr>
              <w:t>间</w:t>
            </w:r>
          </w:p>
        </w:tc>
        <w:tc>
          <w:tcPr>
            <w:tcW w:w="4261" w:type="dxa"/>
            <w:gridSpan w:val="5"/>
          </w:tcPr>
          <w:p>
            <w:pPr>
              <w:pStyle w:val="14"/>
              <w:rPr>
                <w:rFonts w:ascii="黑体"/>
              </w:rPr>
            </w:pPr>
          </w:p>
          <w:p>
            <w:pPr>
              <w:pStyle w:val="14"/>
              <w:spacing w:before="131"/>
              <w:ind w:left="877"/>
              <w:rPr>
                <w:sz w:val="21"/>
              </w:rPr>
            </w:pPr>
            <w:r>
              <w:rPr>
                <w:sz w:val="21"/>
              </w:rPr>
              <w:t>参加过的</w:t>
            </w:r>
            <w:r>
              <w:rPr>
                <w:rFonts w:hint="eastAsia"/>
                <w:sz w:val="21"/>
              </w:rPr>
              <w:t>公路工程</w:t>
            </w:r>
            <w:r>
              <w:rPr>
                <w:sz w:val="21"/>
              </w:rPr>
              <w:t>项目名称</w:t>
            </w:r>
          </w:p>
        </w:tc>
        <w:tc>
          <w:tcPr>
            <w:tcW w:w="1932" w:type="dxa"/>
            <w:gridSpan w:val="2"/>
          </w:tcPr>
          <w:p>
            <w:pPr>
              <w:pStyle w:val="14"/>
              <w:rPr>
                <w:rFonts w:ascii="黑体"/>
              </w:rPr>
            </w:pPr>
          </w:p>
          <w:p>
            <w:pPr>
              <w:pStyle w:val="14"/>
              <w:spacing w:before="131"/>
              <w:ind w:left="541"/>
              <w:rPr>
                <w:sz w:val="21"/>
              </w:rPr>
            </w:pPr>
            <w:r>
              <w:rPr>
                <w:sz w:val="21"/>
              </w:rPr>
              <w:t>担任职务</w:t>
            </w:r>
          </w:p>
        </w:tc>
        <w:tc>
          <w:tcPr>
            <w:tcW w:w="1283" w:type="dxa"/>
          </w:tcPr>
          <w:p>
            <w:pPr>
              <w:pStyle w:val="14"/>
              <w:spacing w:before="55" w:line="400" w:lineRule="atLeast"/>
              <w:ind w:left="320" w:right="107" w:hanging="212"/>
              <w:rPr>
                <w:sz w:val="21"/>
              </w:rPr>
            </w:pPr>
            <w:r>
              <w:rPr>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jc w:val="center"/>
        </w:trPr>
        <w:tc>
          <w:tcPr>
            <w:tcW w:w="1261" w:type="dxa"/>
          </w:tcPr>
          <w:p>
            <w:pPr>
              <w:pStyle w:val="14"/>
            </w:pPr>
          </w:p>
        </w:tc>
        <w:tc>
          <w:tcPr>
            <w:tcW w:w="4261" w:type="dxa"/>
            <w:gridSpan w:val="5"/>
          </w:tcPr>
          <w:p>
            <w:pPr>
              <w:pStyle w:val="14"/>
            </w:pPr>
          </w:p>
        </w:tc>
        <w:tc>
          <w:tcPr>
            <w:tcW w:w="1932" w:type="dxa"/>
            <w:gridSpan w:val="2"/>
          </w:tcPr>
          <w:p>
            <w:pPr>
              <w:pStyle w:val="14"/>
            </w:pPr>
          </w:p>
        </w:tc>
        <w:tc>
          <w:tcPr>
            <w:tcW w:w="1283"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14"/>
            </w:pPr>
          </w:p>
        </w:tc>
        <w:tc>
          <w:tcPr>
            <w:tcW w:w="4261" w:type="dxa"/>
            <w:gridSpan w:val="5"/>
          </w:tcPr>
          <w:p>
            <w:pPr>
              <w:pStyle w:val="14"/>
            </w:pPr>
          </w:p>
        </w:tc>
        <w:tc>
          <w:tcPr>
            <w:tcW w:w="1932" w:type="dxa"/>
            <w:gridSpan w:val="2"/>
          </w:tcPr>
          <w:p>
            <w:pPr>
              <w:pStyle w:val="14"/>
            </w:pPr>
          </w:p>
        </w:tc>
        <w:tc>
          <w:tcPr>
            <w:tcW w:w="1283"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14"/>
            </w:pPr>
          </w:p>
        </w:tc>
        <w:tc>
          <w:tcPr>
            <w:tcW w:w="4261" w:type="dxa"/>
            <w:gridSpan w:val="5"/>
          </w:tcPr>
          <w:p>
            <w:pPr>
              <w:pStyle w:val="14"/>
            </w:pPr>
          </w:p>
        </w:tc>
        <w:tc>
          <w:tcPr>
            <w:tcW w:w="1932" w:type="dxa"/>
            <w:gridSpan w:val="2"/>
          </w:tcPr>
          <w:p>
            <w:pPr>
              <w:pStyle w:val="14"/>
            </w:pPr>
          </w:p>
        </w:tc>
        <w:tc>
          <w:tcPr>
            <w:tcW w:w="1283"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14"/>
            </w:pPr>
          </w:p>
        </w:tc>
        <w:tc>
          <w:tcPr>
            <w:tcW w:w="4261" w:type="dxa"/>
            <w:gridSpan w:val="5"/>
          </w:tcPr>
          <w:p>
            <w:pPr>
              <w:pStyle w:val="14"/>
            </w:pPr>
          </w:p>
        </w:tc>
        <w:tc>
          <w:tcPr>
            <w:tcW w:w="1932" w:type="dxa"/>
            <w:gridSpan w:val="2"/>
          </w:tcPr>
          <w:p>
            <w:pPr>
              <w:pStyle w:val="14"/>
            </w:pPr>
          </w:p>
        </w:tc>
        <w:tc>
          <w:tcPr>
            <w:tcW w:w="1283"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14"/>
            </w:pPr>
          </w:p>
        </w:tc>
        <w:tc>
          <w:tcPr>
            <w:tcW w:w="4261" w:type="dxa"/>
            <w:gridSpan w:val="5"/>
          </w:tcPr>
          <w:p>
            <w:pPr>
              <w:pStyle w:val="14"/>
            </w:pPr>
          </w:p>
        </w:tc>
        <w:tc>
          <w:tcPr>
            <w:tcW w:w="1932" w:type="dxa"/>
            <w:gridSpan w:val="2"/>
          </w:tcPr>
          <w:p>
            <w:pPr>
              <w:pStyle w:val="14"/>
            </w:pPr>
          </w:p>
        </w:tc>
        <w:tc>
          <w:tcPr>
            <w:tcW w:w="1283"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261" w:type="dxa"/>
          </w:tcPr>
          <w:p>
            <w:pPr>
              <w:pStyle w:val="14"/>
            </w:pPr>
          </w:p>
        </w:tc>
        <w:tc>
          <w:tcPr>
            <w:tcW w:w="4261" w:type="dxa"/>
            <w:gridSpan w:val="5"/>
          </w:tcPr>
          <w:p>
            <w:pPr>
              <w:pStyle w:val="14"/>
            </w:pPr>
          </w:p>
        </w:tc>
        <w:tc>
          <w:tcPr>
            <w:tcW w:w="1932" w:type="dxa"/>
            <w:gridSpan w:val="2"/>
          </w:tcPr>
          <w:p>
            <w:pPr>
              <w:pStyle w:val="14"/>
            </w:pPr>
          </w:p>
        </w:tc>
        <w:tc>
          <w:tcPr>
            <w:tcW w:w="1283"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jc w:val="center"/>
        </w:trPr>
        <w:tc>
          <w:tcPr>
            <w:tcW w:w="1261" w:type="dxa"/>
          </w:tcPr>
          <w:p>
            <w:pPr>
              <w:pStyle w:val="14"/>
            </w:pPr>
          </w:p>
        </w:tc>
        <w:tc>
          <w:tcPr>
            <w:tcW w:w="4261" w:type="dxa"/>
            <w:gridSpan w:val="5"/>
          </w:tcPr>
          <w:p>
            <w:pPr>
              <w:pStyle w:val="14"/>
            </w:pPr>
          </w:p>
        </w:tc>
        <w:tc>
          <w:tcPr>
            <w:tcW w:w="1932" w:type="dxa"/>
            <w:gridSpan w:val="2"/>
          </w:tcPr>
          <w:p>
            <w:pPr>
              <w:pStyle w:val="14"/>
            </w:pPr>
          </w:p>
        </w:tc>
        <w:tc>
          <w:tcPr>
            <w:tcW w:w="1283" w:type="dxa"/>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2638" w:type="dxa"/>
            <w:gridSpan w:val="2"/>
          </w:tcPr>
          <w:p>
            <w:pPr>
              <w:pStyle w:val="14"/>
              <w:spacing w:before="9"/>
              <w:rPr>
                <w:rFonts w:ascii="黑体"/>
                <w:sz w:val="14"/>
              </w:rPr>
            </w:pPr>
          </w:p>
          <w:p>
            <w:pPr>
              <w:pStyle w:val="14"/>
              <w:ind w:left="878" w:right="869"/>
              <w:jc w:val="center"/>
              <w:rPr>
                <w:sz w:val="21"/>
              </w:rPr>
            </w:pPr>
            <w:r>
              <w:rPr>
                <w:sz w:val="21"/>
              </w:rPr>
              <w:t>获奖情况</w:t>
            </w:r>
          </w:p>
        </w:tc>
        <w:tc>
          <w:tcPr>
            <w:tcW w:w="6099" w:type="dxa"/>
            <w:gridSpan w:val="7"/>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1" w:hRule="atLeast"/>
          <w:jc w:val="center"/>
        </w:trPr>
        <w:tc>
          <w:tcPr>
            <w:tcW w:w="2638" w:type="dxa"/>
            <w:gridSpan w:val="2"/>
          </w:tcPr>
          <w:p>
            <w:pPr>
              <w:pStyle w:val="14"/>
              <w:rPr>
                <w:rFonts w:ascii="黑体"/>
              </w:rPr>
            </w:pPr>
          </w:p>
          <w:p>
            <w:pPr>
              <w:pStyle w:val="14"/>
              <w:spacing w:before="7"/>
              <w:rPr>
                <w:rFonts w:ascii="黑体"/>
                <w:sz w:val="19"/>
              </w:rPr>
            </w:pPr>
          </w:p>
          <w:p>
            <w:pPr>
              <w:pStyle w:val="14"/>
              <w:ind w:left="688"/>
              <w:rPr>
                <w:sz w:val="21"/>
              </w:rPr>
            </w:pPr>
            <w:r>
              <w:rPr>
                <w:sz w:val="21"/>
              </w:rPr>
              <w:t>说明在岗情况</w:t>
            </w:r>
          </w:p>
        </w:tc>
        <w:tc>
          <w:tcPr>
            <w:tcW w:w="6099" w:type="dxa"/>
            <w:gridSpan w:val="7"/>
          </w:tcPr>
          <w:p>
            <w:pPr>
              <w:pStyle w:val="14"/>
              <w:tabs>
                <w:tab w:val="left" w:pos="5780"/>
              </w:tabs>
              <w:spacing w:before="90"/>
              <w:ind w:left="107"/>
              <w:rPr>
                <w:sz w:val="21"/>
              </w:rPr>
            </w:pPr>
            <w:r>
              <w:rPr>
                <w:sz w:val="21"/>
              </w:rPr>
              <w:t>□目</w:t>
            </w:r>
            <w:r>
              <w:rPr>
                <w:spacing w:val="-3"/>
                <w:sz w:val="21"/>
              </w:rPr>
              <w:t>前</w:t>
            </w:r>
            <w:r>
              <w:rPr>
                <w:sz w:val="21"/>
              </w:rPr>
              <w:t>未</w:t>
            </w:r>
            <w:r>
              <w:rPr>
                <w:spacing w:val="-3"/>
                <w:sz w:val="21"/>
              </w:rPr>
              <w:t>在</w:t>
            </w:r>
            <w:r>
              <w:rPr>
                <w:sz w:val="21"/>
              </w:rPr>
              <w:t>其</w:t>
            </w:r>
            <w:r>
              <w:rPr>
                <w:spacing w:val="-3"/>
                <w:sz w:val="21"/>
              </w:rPr>
              <w:t>他</w:t>
            </w:r>
            <w:r>
              <w:rPr>
                <w:sz w:val="21"/>
              </w:rPr>
              <w:t>项</w:t>
            </w:r>
            <w:r>
              <w:rPr>
                <w:spacing w:val="-3"/>
                <w:sz w:val="21"/>
              </w:rPr>
              <w:t>目</w:t>
            </w:r>
            <w:r>
              <w:rPr>
                <w:sz w:val="21"/>
              </w:rPr>
              <w:t>上</w:t>
            </w:r>
            <w:r>
              <w:rPr>
                <w:spacing w:val="-3"/>
                <w:sz w:val="21"/>
              </w:rPr>
              <w:t>任</w:t>
            </w:r>
            <w:r>
              <w:rPr>
                <w:sz w:val="21"/>
              </w:rPr>
              <w:t>职，</w:t>
            </w:r>
            <w:r>
              <w:rPr>
                <w:spacing w:val="-3"/>
                <w:sz w:val="21"/>
              </w:rPr>
              <w:t>现</w:t>
            </w:r>
            <w:r>
              <w:rPr>
                <w:sz w:val="21"/>
              </w:rPr>
              <w:t>从</w:t>
            </w:r>
            <w:r>
              <w:rPr>
                <w:spacing w:val="-3"/>
                <w:sz w:val="21"/>
              </w:rPr>
              <w:t>事</w:t>
            </w:r>
            <w:r>
              <w:rPr>
                <w:sz w:val="21"/>
              </w:rPr>
              <w:t>工</w:t>
            </w:r>
            <w:r>
              <w:rPr>
                <w:spacing w:val="-3"/>
                <w:sz w:val="21"/>
              </w:rPr>
              <w:t>作</w:t>
            </w:r>
            <w:r>
              <w:rPr>
                <w:sz w:val="21"/>
              </w:rPr>
              <w:t>为</w:t>
            </w:r>
            <w:r>
              <w:rPr>
                <w:spacing w:val="-3"/>
                <w:sz w:val="21"/>
              </w:rPr>
              <w:t>：</w:t>
            </w:r>
            <w:r>
              <w:rPr>
                <w:spacing w:val="-3"/>
                <w:sz w:val="21"/>
                <w:u w:val="single"/>
              </w:rPr>
              <w:t xml:space="preserve"> </w:t>
            </w:r>
            <w:r>
              <w:rPr>
                <w:spacing w:val="-3"/>
                <w:sz w:val="21"/>
                <w:u w:val="single"/>
              </w:rPr>
              <w:tab/>
            </w:r>
            <w:r>
              <w:rPr>
                <w:sz w:val="21"/>
              </w:rPr>
              <w:t>。</w:t>
            </w:r>
          </w:p>
          <w:p>
            <w:pPr>
              <w:pStyle w:val="14"/>
              <w:tabs>
                <w:tab w:val="left" w:pos="3626"/>
                <w:tab w:val="left" w:pos="5883"/>
              </w:tabs>
              <w:spacing w:before="16" w:line="400" w:lineRule="exact"/>
              <w:ind w:left="107" w:right="-15"/>
              <w:rPr>
                <w:sz w:val="21"/>
              </w:rPr>
            </w:pPr>
            <w:r>
              <w:rPr>
                <w:spacing w:val="5"/>
                <w:sz w:val="21"/>
              </w:rPr>
              <w:t>□目前虽在其他项</w:t>
            </w:r>
            <w:r>
              <w:rPr>
                <w:spacing w:val="2"/>
                <w:sz w:val="21"/>
              </w:rPr>
              <w:t>目</w:t>
            </w:r>
            <w:r>
              <w:rPr>
                <w:spacing w:val="5"/>
                <w:sz w:val="21"/>
              </w:rPr>
              <w:t>上</w:t>
            </w:r>
            <w:r>
              <w:rPr>
                <w:spacing w:val="2"/>
                <w:sz w:val="21"/>
              </w:rPr>
              <w:t>任</w:t>
            </w:r>
            <w:r>
              <w:rPr>
                <w:spacing w:val="5"/>
                <w:sz w:val="21"/>
              </w:rPr>
              <w:t>职，但本项目中标</w:t>
            </w:r>
            <w:r>
              <w:rPr>
                <w:spacing w:val="2"/>
                <w:sz w:val="21"/>
              </w:rPr>
              <w:t>后</w:t>
            </w:r>
            <w:r>
              <w:rPr>
                <w:spacing w:val="5"/>
                <w:sz w:val="21"/>
              </w:rPr>
              <w:t>能</w:t>
            </w:r>
            <w:r>
              <w:rPr>
                <w:spacing w:val="2"/>
                <w:sz w:val="21"/>
              </w:rPr>
              <w:t>够</w:t>
            </w:r>
            <w:r>
              <w:rPr>
                <w:spacing w:val="5"/>
                <w:sz w:val="21"/>
              </w:rPr>
              <w:t>从该项目</w:t>
            </w:r>
            <w:r>
              <w:rPr>
                <w:sz w:val="21"/>
              </w:rPr>
              <w:t>撤离</w:t>
            </w:r>
            <w:r>
              <w:rPr>
                <w:spacing w:val="-82"/>
                <w:sz w:val="21"/>
              </w:rPr>
              <w:t>，</w:t>
            </w:r>
            <w:r>
              <w:rPr>
                <w:sz w:val="21"/>
              </w:rPr>
              <w:t>目前</w:t>
            </w:r>
            <w:r>
              <w:rPr>
                <w:spacing w:val="-3"/>
                <w:sz w:val="21"/>
              </w:rPr>
              <w:t>任</w:t>
            </w:r>
            <w:r>
              <w:rPr>
                <w:sz w:val="21"/>
              </w:rPr>
              <w:t>职</w:t>
            </w:r>
            <w:r>
              <w:rPr>
                <w:spacing w:val="-3"/>
                <w:sz w:val="21"/>
              </w:rPr>
              <w:t>项</w:t>
            </w:r>
            <w:r>
              <w:rPr>
                <w:sz w:val="21"/>
              </w:rPr>
              <w:t>目</w:t>
            </w:r>
            <w:r>
              <w:rPr>
                <w:sz w:val="21"/>
                <w:u w:val="single"/>
              </w:rPr>
              <w:t>：</w:t>
            </w:r>
            <w:r>
              <w:rPr>
                <w:sz w:val="21"/>
                <w:u w:val="single"/>
              </w:rPr>
              <w:tab/>
            </w:r>
            <w:r>
              <w:rPr>
                <w:spacing w:val="-82"/>
                <w:sz w:val="21"/>
              </w:rPr>
              <w:t>，</w:t>
            </w:r>
            <w:r>
              <w:rPr>
                <w:sz w:val="21"/>
              </w:rPr>
              <w:t>担</w:t>
            </w:r>
            <w:r>
              <w:rPr>
                <w:spacing w:val="-3"/>
                <w:sz w:val="21"/>
              </w:rPr>
              <w:t>任</w:t>
            </w:r>
            <w:r>
              <w:rPr>
                <w:sz w:val="21"/>
              </w:rPr>
              <w:t>职</w:t>
            </w:r>
            <w:r>
              <w:rPr>
                <w:spacing w:val="-3"/>
                <w:sz w:val="21"/>
              </w:rPr>
              <w:t>位</w:t>
            </w:r>
            <w:r>
              <w:rPr>
                <w:sz w:val="21"/>
              </w:rPr>
              <w:t>：</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0" w:hRule="atLeast"/>
          <w:jc w:val="center"/>
        </w:trPr>
        <w:tc>
          <w:tcPr>
            <w:tcW w:w="2638" w:type="dxa"/>
            <w:gridSpan w:val="2"/>
          </w:tcPr>
          <w:p>
            <w:pPr>
              <w:pStyle w:val="14"/>
              <w:rPr>
                <w:rFonts w:ascii="黑体"/>
              </w:rPr>
            </w:pPr>
          </w:p>
          <w:p>
            <w:pPr>
              <w:pStyle w:val="14"/>
              <w:spacing w:before="5"/>
              <w:rPr>
                <w:rFonts w:ascii="黑体"/>
                <w:sz w:val="17"/>
              </w:rPr>
            </w:pPr>
          </w:p>
          <w:p>
            <w:pPr>
              <w:pStyle w:val="14"/>
              <w:tabs>
                <w:tab w:val="left" w:pos="1581"/>
              </w:tabs>
              <w:ind w:left="844"/>
              <w:rPr>
                <w:sz w:val="21"/>
              </w:rPr>
            </w:pPr>
            <w:r>
              <w:rPr>
                <w:sz w:val="21"/>
              </w:rPr>
              <w:t>备</w:t>
            </w:r>
            <w:r>
              <w:rPr>
                <w:sz w:val="21"/>
              </w:rPr>
              <w:tab/>
            </w:r>
            <w:r>
              <w:rPr>
                <w:sz w:val="21"/>
              </w:rPr>
              <w:t>注</w:t>
            </w:r>
          </w:p>
        </w:tc>
        <w:tc>
          <w:tcPr>
            <w:tcW w:w="6099" w:type="dxa"/>
            <w:gridSpan w:val="7"/>
          </w:tcPr>
          <w:p>
            <w:pPr>
              <w:pStyle w:val="14"/>
            </w:pPr>
          </w:p>
        </w:tc>
      </w:tr>
    </w:tbl>
    <w:p>
      <w:pPr>
        <w:spacing w:before="128"/>
        <w:rPr>
          <w:sz w:val="21"/>
        </w:rPr>
      </w:pPr>
      <w:r>
        <w:rPr>
          <w:sz w:val="21"/>
        </w:rPr>
        <w:t>注：</w:t>
      </w:r>
      <w:r>
        <w:rPr>
          <w:rFonts w:eastAsia="Times New Roman"/>
          <w:sz w:val="21"/>
        </w:rPr>
        <w:t>1.</w:t>
      </w:r>
      <w:r>
        <w:rPr>
          <w:sz w:val="21"/>
        </w:rPr>
        <w:t>本表人员应与表（七）中所列人员相一致。</w:t>
      </w:r>
    </w:p>
    <w:p>
      <w:pPr>
        <w:spacing w:before="130"/>
        <w:ind w:firstLine="420" w:firstLineChars="200"/>
        <w:rPr>
          <w:sz w:val="21"/>
        </w:rPr>
      </w:pPr>
      <w:r>
        <w:rPr>
          <w:rFonts w:eastAsia="Times New Roman"/>
          <w:sz w:val="21"/>
        </w:rPr>
        <w:t>2.</w:t>
      </w:r>
      <w:r>
        <w:rPr>
          <w:sz w:val="21"/>
        </w:rPr>
        <w:t xml:space="preserve">投标人应根据招标文件第二章“投标人须知”第 </w:t>
      </w:r>
      <w:r>
        <w:rPr>
          <w:rFonts w:eastAsia="Times New Roman"/>
          <w:sz w:val="21"/>
        </w:rPr>
        <w:t xml:space="preserve">3.5.6 </w:t>
      </w:r>
      <w:r>
        <w:rPr>
          <w:sz w:val="21"/>
        </w:rPr>
        <w:t>项的要求在本表后附相关证明材料。</w:t>
      </w:r>
    </w:p>
    <w:p/>
    <w:p/>
    <w:p/>
    <w:p/>
    <w:p/>
    <w:p/>
    <w:p/>
    <w:p/>
    <w:p/>
    <w:p/>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0" w:lineRule="atLeast"/>
        <w:jc w:val="center"/>
        <w:rPr>
          <w:rFonts w:ascii="宋体" w:hAnsi="宋体"/>
          <w:sz w:val="40"/>
          <w:szCs w:val="28"/>
        </w:rPr>
      </w:pPr>
      <w:r>
        <w:rPr>
          <w:rFonts w:hint="eastAsia" w:ascii="宋体" w:hAnsi="宋体"/>
          <w:sz w:val="40"/>
          <w:szCs w:val="28"/>
        </w:rPr>
        <w:t>八</w:t>
      </w:r>
      <w:r>
        <w:rPr>
          <w:rFonts w:ascii="宋体" w:hAnsi="宋体"/>
          <w:sz w:val="40"/>
          <w:szCs w:val="28"/>
        </w:rPr>
        <w:t>、其他资料</w:t>
      </w:r>
    </w:p>
    <w:p>
      <w:pPr>
        <w:spacing w:line="360" w:lineRule="auto"/>
        <w:rPr>
          <w:rFonts w:ascii="宋体" w:hAnsi="宋体"/>
          <w:sz w:val="24"/>
        </w:rPr>
      </w:pPr>
      <w:r>
        <w:rPr>
          <w:rFonts w:hint="eastAsia" w:ascii="宋体" w:hAnsi="宋体"/>
          <w:sz w:val="24"/>
        </w:rPr>
        <w:br w:type="page"/>
      </w:r>
    </w:p>
    <w:p>
      <w:pPr>
        <w:pStyle w:val="2"/>
        <w:ind w:firstLine="240"/>
        <w:rPr>
          <w:rFonts w:hint="eastAsia" w:asciiTheme="minorEastAsia" w:hAnsiTheme="minorEastAsia" w:eastAsiaTheme="minorEastAsia" w:cstheme="minorEastAsia"/>
          <w:sz w:val="24"/>
        </w:rPr>
      </w:pPr>
    </w:p>
    <w:p>
      <w:pPr>
        <w:ind w:firstLine="7440" w:firstLineChars="31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2"/>
        </w:rPr>
        <w:t>正（副）本</w:t>
      </w:r>
    </w:p>
    <w:p>
      <w:pPr>
        <w:pStyle w:val="2"/>
        <w:ind w:firstLine="340"/>
        <w:rPr>
          <w:rFonts w:hint="eastAsia" w:asciiTheme="minorEastAsia" w:hAnsiTheme="minorEastAsia" w:eastAsiaTheme="minorEastAsia" w:cstheme="minorEastAsia"/>
        </w:rPr>
      </w:pPr>
    </w:p>
    <w:p>
      <w:pPr>
        <w:pStyle w:val="2"/>
        <w:ind w:firstLine="340"/>
        <w:rPr>
          <w:rFonts w:hint="eastAsia" w:asciiTheme="minorEastAsia" w:hAnsiTheme="minorEastAsia" w:eastAsiaTheme="minorEastAsia" w:cstheme="minorEastAsia"/>
        </w:rPr>
      </w:pPr>
    </w:p>
    <w:p>
      <w:pPr>
        <w:tabs>
          <w:tab w:val="left" w:pos="5440"/>
        </w:tabs>
        <w:ind w:left="28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sz w:val="24"/>
        </w:rPr>
        <w:t>标段施工招标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mc:AlternateContent>
          <mc:Choice Requires="wps">
            <w:drawing>
              <wp:anchor distT="0" distB="0" distL="114300" distR="114300" simplePos="0" relativeHeight="252092416" behindDoc="1" locked="0" layoutInCell="0" allowOverlap="1">
                <wp:simplePos x="0" y="0"/>
                <wp:positionH relativeFrom="column">
                  <wp:posOffset>346710</wp:posOffset>
                </wp:positionH>
                <wp:positionV relativeFrom="paragraph">
                  <wp:posOffset>635</wp:posOffset>
                </wp:positionV>
                <wp:extent cx="1369695" cy="0"/>
                <wp:effectExtent l="0" t="0" r="0" b="0"/>
                <wp:wrapNone/>
                <wp:docPr id="60" name="直接连接符 60"/>
                <wp:cNvGraphicFramePr/>
                <a:graphic xmlns:a="http://schemas.openxmlformats.org/drawingml/2006/main">
                  <a:graphicData uri="http://schemas.microsoft.com/office/word/2010/wordprocessingShape">
                    <wps:wsp>
                      <wps:cNvCnPr/>
                      <wps:spPr>
                        <a:xfrm>
                          <a:off x="0" y="0"/>
                          <a:ext cx="1369695" cy="0"/>
                        </a:xfrm>
                        <a:prstGeom prst="line">
                          <a:avLst/>
                        </a:prstGeom>
                        <a:ln w="7619"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3pt;margin-top:0.05pt;height:0pt;width:107.85pt;z-index:-251224064;mso-width-relative:page;mso-height-relative:page;" filled="f" stroked="t" coordsize="21600,21600" o:allowincell="f" o:gfxdata="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ueolrSAAAABAEAAA8AAAAAAAAAAQAgAAAAIgAAAGRy&#10;cy9kb3ducmV2LnhtbFBLAQIUABQAAAAIAIdO4kAJJQuy0gEAAIwDAAAOAAAAAAAAAAEAIAAAACEB&#10;AABkcnMvZTJvRG9jLnhtbFBLBQYAAAAABgAGAFkBAABlBQAAAAA=&#10;">
                <v:fill on="f" focussize="0,0"/>
                <v:stroke weight="0.59992125984252pt" color="#000000" joinstyle="round"/>
                <v:imagedata o:title=""/>
                <o:lock v:ext="edit" aspectratio="f"/>
              </v:line>
            </w:pict>
          </mc:Fallback>
        </mc:AlternateContent>
      </w:r>
      <w:r>
        <w:rPr>
          <w:rFonts w:hint="eastAsia" w:asciiTheme="minorEastAsia" w:hAnsiTheme="minorEastAsia" w:eastAsiaTheme="minorEastAsia" w:cstheme="minorEastAsia"/>
          <w:sz w:val="24"/>
        </w:rPr>
        <mc:AlternateContent>
          <mc:Choice Requires="wps">
            <w:drawing>
              <wp:anchor distT="0" distB="0" distL="114300" distR="114300" simplePos="0" relativeHeight="252093440" behindDoc="1" locked="0" layoutInCell="0" allowOverlap="1">
                <wp:simplePos x="0" y="0"/>
                <wp:positionH relativeFrom="column">
                  <wp:posOffset>2707640</wp:posOffset>
                </wp:positionH>
                <wp:positionV relativeFrom="paragraph">
                  <wp:posOffset>635</wp:posOffset>
                </wp:positionV>
                <wp:extent cx="762000" cy="0"/>
                <wp:effectExtent l="0" t="0" r="0" b="0"/>
                <wp:wrapNone/>
                <wp:docPr id="61" name="直接连接符 61"/>
                <wp:cNvGraphicFramePr/>
                <a:graphic xmlns:a="http://schemas.openxmlformats.org/drawingml/2006/main">
                  <a:graphicData uri="http://schemas.microsoft.com/office/word/2010/wordprocessingShape">
                    <wps:wsp>
                      <wps:cNvCnPr/>
                      <wps:spPr>
                        <a:xfrm>
                          <a:off x="0" y="0"/>
                          <a:ext cx="762000" cy="0"/>
                        </a:xfrm>
                        <a:prstGeom prst="line">
                          <a:avLst/>
                        </a:prstGeom>
                        <a:ln w="7619"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3.2pt;margin-top:0.05pt;height:0pt;width:60pt;z-index:-251223040;mso-width-relative:page;mso-height-relative:page;" filled="f" stroked="t" coordsize="21600,21600" o:allowincell="f" o:gfxdata="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Ug4LSAAAABQEAAA8AAAAAAAAAAQAgAAAAIgAAAGRycy9k&#10;b3ducmV2LnhtbFBLAQIUABQAAAAIAIdO4kC7A6PWzwEAAIsDAAAOAAAAAAAAAAEAIAAAACEBAABk&#10;cnMvZTJvRG9jLnhtbFBLBQYAAAAABgAGAFkBAABiBQAAAAA=&#10;">
                <v:fill on="f" focussize="0,0"/>
                <v:stroke weight="0.59992125984252pt" color="#000000" joinstyle="round"/>
                <v:imagedata o:title=""/>
                <o:lock v:ext="edit" aspectratio="f"/>
              </v:line>
            </w:pict>
          </mc:Fallback>
        </mc:AlternateContent>
      </w:r>
    </w:p>
    <w:p>
      <w:pPr>
        <w:rPr>
          <w:rFonts w:hint="eastAsia" w:asciiTheme="minorEastAsia" w:hAnsiTheme="minorEastAsia" w:eastAsiaTheme="minorEastAsia" w:cstheme="minorEastAsia"/>
        </w:rPr>
      </w:pPr>
    </w:p>
    <w:p>
      <w:pPr>
        <w:spacing w:before="120" w:beforeLines="50"/>
        <w:jc w:val="center"/>
        <w:rPr>
          <w:rFonts w:hint="eastAsia" w:asciiTheme="minorEastAsia" w:hAnsiTheme="minorEastAsia" w:eastAsiaTheme="minorEastAsia" w:cstheme="minorEastAsia"/>
        </w:rPr>
      </w:pPr>
    </w:p>
    <w:p>
      <w:pPr>
        <w:spacing w:before="120" w:beforeLines="50"/>
        <w:jc w:val="center"/>
        <w:rPr>
          <w:rFonts w:hint="eastAsia" w:asciiTheme="minorEastAsia" w:hAnsiTheme="minorEastAsia" w:eastAsiaTheme="minorEastAsia" w:cstheme="minorEastAsia"/>
          <w:sz w:val="31"/>
        </w:rPr>
      </w:pPr>
      <w:r>
        <w:rPr>
          <w:rFonts w:hint="eastAsia" w:asciiTheme="minorEastAsia" w:hAnsiTheme="minorEastAsia" w:eastAsiaTheme="minorEastAsia" w:cstheme="minorEastAsia"/>
          <w:sz w:val="31"/>
        </w:rPr>
        <w:t>建安建工公字﹝2018﹞</w:t>
      </w:r>
      <w:r>
        <w:rPr>
          <w:rFonts w:hint="eastAsia" w:asciiTheme="minorEastAsia" w:hAnsiTheme="minorEastAsia" w:eastAsiaTheme="minorEastAsia" w:cstheme="minorEastAsia"/>
          <w:sz w:val="31"/>
          <w:lang w:val="en-US" w:eastAsia="zh-CN"/>
        </w:rPr>
        <w:t>225</w:t>
      </w:r>
      <w:r>
        <w:rPr>
          <w:rFonts w:hint="eastAsia" w:asciiTheme="minorEastAsia" w:hAnsiTheme="minorEastAsia" w:eastAsiaTheme="minorEastAsia" w:cstheme="minorEastAsia"/>
          <w:sz w:val="31"/>
        </w:rPr>
        <w:t>号</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autoSpaceDE w:val="0"/>
        <w:ind w:left="236"/>
        <w:jc w:val="center"/>
        <w:rPr>
          <w:rFonts w:hint="eastAsia" w:asciiTheme="minorEastAsia" w:hAnsiTheme="minorEastAsia" w:eastAsiaTheme="minorEastAsia" w:cstheme="minorEastAsia"/>
          <w:sz w:val="56"/>
          <w:szCs w:val="56"/>
        </w:rPr>
      </w:pPr>
      <w:r>
        <w:rPr>
          <w:rFonts w:hint="eastAsia" w:asciiTheme="minorEastAsia" w:hAnsiTheme="minorEastAsia" w:eastAsiaTheme="minorEastAsia" w:cstheme="minorEastAsia"/>
          <w:sz w:val="56"/>
          <w:szCs w:val="56"/>
        </w:rPr>
        <w:t>第二信封</w:t>
      </w:r>
    </w:p>
    <w:p>
      <w:pPr>
        <w:pStyle w:val="5"/>
        <w:spacing w:before="531" w:line="24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rPr>
        <w:t>（投标报价及工程量清单）</w:t>
      </w:r>
    </w:p>
    <w:p>
      <w:pPr>
        <w:spacing w:line="360" w:lineRule="auto"/>
        <w:rPr>
          <w:rFonts w:hint="eastAsia" w:asciiTheme="minorEastAsia" w:hAnsiTheme="minorEastAsia" w:eastAsiaTheme="minorEastAsia" w:cstheme="minorEastAsia"/>
          <w:sz w:val="24"/>
        </w:rPr>
      </w:pPr>
    </w:p>
    <w:p>
      <w:pPr>
        <w:spacing w:line="360" w:lineRule="auto"/>
        <w:rPr>
          <w:rFonts w:hint="eastAsia" w:asciiTheme="minorEastAsia" w:hAnsiTheme="minorEastAsia" w:eastAsiaTheme="minorEastAsia" w:cstheme="minorEastAsia"/>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1120" w:firstLineChars="400"/>
        <w:rPr>
          <w:rFonts w:ascii="宋体" w:hAnsi="宋体"/>
          <w:color w:val="000000"/>
          <w:sz w:val="28"/>
          <w:szCs w:val="28"/>
          <w:u w:val="single"/>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（盖单位公章）</w:t>
      </w:r>
    </w:p>
    <w:p>
      <w:pPr>
        <w:spacing w:line="360" w:lineRule="auto"/>
        <w:jc w:val="center"/>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jc w:val="center"/>
        <w:rPr>
          <w:rFonts w:ascii="黑体" w:hAnsi="宋体" w:eastAsia="黑体"/>
          <w:b/>
          <w:sz w:val="36"/>
          <w:szCs w:val="36"/>
        </w:rPr>
      </w:pPr>
      <w:r>
        <w:rPr>
          <w:rFonts w:hint="eastAsia" w:ascii="黑体" w:hAnsi="宋体" w:eastAsia="黑体"/>
          <w:b/>
          <w:sz w:val="36"/>
          <w:szCs w:val="36"/>
        </w:rPr>
        <w:t>目</w:t>
      </w:r>
      <w:r>
        <w:rPr>
          <w:rFonts w:hint="eastAsia" w:ascii="黑体" w:hAnsi="宋体" w:eastAsia="黑体"/>
          <w:b/>
          <w:sz w:val="36"/>
          <w:szCs w:val="36"/>
        </w:rPr>
        <w:tab/>
      </w:r>
      <w:r>
        <w:rPr>
          <w:rFonts w:hint="eastAsia" w:ascii="黑体" w:hAnsi="宋体" w:eastAsia="黑体"/>
          <w:b/>
          <w:sz w:val="36"/>
          <w:szCs w:val="36"/>
        </w:rPr>
        <w:t>录</w:t>
      </w:r>
    </w:p>
    <w:p>
      <w:pPr>
        <w:rPr>
          <w:rFonts w:ascii="宋体" w:hAnsi="宋体"/>
          <w:sz w:val="24"/>
        </w:rPr>
      </w:pPr>
    </w:p>
    <w:p>
      <w:pPr>
        <w:spacing w:line="440" w:lineRule="exact"/>
        <w:rPr>
          <w:rFonts w:ascii="宋体" w:hAnsi="宋体"/>
          <w:sz w:val="24"/>
        </w:rPr>
      </w:pPr>
      <w:r>
        <w:rPr>
          <w:rFonts w:hint="eastAsia" w:ascii="宋体" w:hAnsi="宋体"/>
          <w:sz w:val="24"/>
        </w:rPr>
        <w:t>一</w:t>
      </w:r>
      <w:r>
        <w:rPr>
          <w:rFonts w:ascii="宋体" w:hAnsi="宋体"/>
          <w:sz w:val="24"/>
        </w:rPr>
        <w:t>、投标函</w:t>
      </w:r>
    </w:p>
    <w:p>
      <w:pPr>
        <w:rPr>
          <w:rFonts w:ascii="宋体" w:hAnsi="宋体"/>
          <w:sz w:val="24"/>
        </w:rPr>
      </w:pPr>
      <w:r>
        <w:rPr>
          <w:rFonts w:hint="eastAsia" w:ascii="宋体" w:hAnsi="宋体"/>
          <w:sz w:val="24"/>
        </w:rPr>
        <w:t>二、已标价工程量清单</w:t>
      </w:r>
    </w:p>
    <w:p>
      <w:pPr>
        <w:rPr>
          <w:rFonts w:ascii="宋体" w:hAnsi="宋体"/>
          <w:sz w:val="24"/>
        </w:rPr>
      </w:pPr>
    </w:p>
    <w:p>
      <w:pPr>
        <w:pStyle w:val="4"/>
        <w:spacing w:before="240" w:beforeLines="100" w:after="360" w:afterLines="150" w:line="360" w:lineRule="exact"/>
        <w:jc w:val="center"/>
        <w:rPr>
          <w:rFonts w:ascii="黑体" w:hAnsi="宋体" w:eastAsia="黑体"/>
          <w:sz w:val="28"/>
          <w:szCs w:val="28"/>
        </w:rPr>
      </w:pPr>
      <w:r>
        <w:rPr>
          <w:rFonts w:ascii="宋体" w:hAnsi="宋体"/>
          <w:sz w:val="24"/>
        </w:rPr>
        <w:br w:type="page"/>
      </w:r>
      <w:bookmarkStart w:id="134" w:name="_Toc528314488"/>
      <w:r>
        <w:rPr>
          <w:rFonts w:hint="eastAsia" w:ascii="黑体" w:hAnsi="宋体" w:eastAsia="黑体"/>
          <w:sz w:val="28"/>
          <w:szCs w:val="28"/>
        </w:rPr>
        <w:t>一、投标函</w:t>
      </w:r>
      <w:bookmarkEnd w:id="134"/>
    </w:p>
    <w:p>
      <w:pPr>
        <w:spacing w:line="360" w:lineRule="exact"/>
        <w:ind w:left="600"/>
        <w:rPr>
          <w:rFonts w:ascii="宋体" w:hAnsi="宋体"/>
          <w:sz w:val="24"/>
        </w:rPr>
      </w:pPr>
    </w:p>
    <w:p>
      <w:pPr>
        <w:spacing w:line="360" w:lineRule="exact"/>
        <w:rPr>
          <w:rFonts w:ascii="宋体" w:hAnsi="宋体"/>
          <w:sz w:val="24"/>
        </w:rPr>
      </w:pPr>
      <w:r>
        <w:rPr>
          <w:rFonts w:hint="eastAsia" w:ascii="宋体" w:hAnsi="宋体"/>
          <w:sz w:val="24"/>
          <w:u w:val="single"/>
        </w:rPr>
        <w:t xml:space="preserve">            </w:t>
      </w:r>
      <w:r>
        <w:rPr>
          <w:rFonts w:ascii="宋体" w:hAnsi="宋体"/>
          <w:sz w:val="24"/>
        </w:rPr>
        <w:t>（招标人名称）：</w:t>
      </w:r>
    </w:p>
    <w:p>
      <w:pPr>
        <w:spacing w:line="360" w:lineRule="exact"/>
        <w:rPr>
          <w:rFonts w:ascii="宋体" w:hAnsi="宋体"/>
          <w:sz w:val="24"/>
        </w:rPr>
      </w:pPr>
    </w:p>
    <w:p>
      <w:pPr>
        <w:spacing w:line="360" w:lineRule="exact"/>
        <w:ind w:firstLine="480" w:firstLineChars="200"/>
        <w:rPr>
          <w:rFonts w:ascii="宋体" w:hAnsi="宋体"/>
          <w:sz w:val="24"/>
        </w:rPr>
      </w:pPr>
      <w:r>
        <w:rPr>
          <w:sz w:val="24"/>
        </w:rPr>
        <w:t>1．我方已仔细研究了</w:t>
      </w:r>
      <w:r>
        <w:rPr>
          <w:sz w:val="24"/>
          <w:u w:val="single"/>
        </w:rPr>
        <w:t xml:space="preserve">          </w:t>
      </w:r>
      <w:r>
        <w:rPr>
          <w:sz w:val="24"/>
        </w:rPr>
        <w:t>（项目名称）</w:t>
      </w:r>
      <w:r>
        <w:rPr>
          <w:sz w:val="24"/>
          <w:u w:val="single"/>
        </w:rPr>
        <w:t xml:space="preserve">     </w:t>
      </w:r>
      <w:r>
        <w:rPr>
          <w:sz w:val="24"/>
        </w:rPr>
        <w:t>标段施工招标文件的全部内容，愿意以人民币（大写）</w:t>
      </w:r>
      <w:r>
        <w:rPr>
          <w:sz w:val="24"/>
          <w:u w:val="single"/>
        </w:rPr>
        <w:t xml:space="preserve">          </w:t>
      </w:r>
      <w:r>
        <w:rPr>
          <w:sz w:val="24"/>
        </w:rPr>
        <w:t>元（¥</w:t>
      </w:r>
      <w:r>
        <w:rPr>
          <w:sz w:val="24"/>
          <w:u w:val="single"/>
        </w:rPr>
        <w:t xml:space="preserve">           </w:t>
      </w:r>
      <w:r>
        <w:rPr>
          <w:sz w:val="24"/>
        </w:rPr>
        <w:t>）的投标总报价，</w:t>
      </w:r>
      <w:r>
        <w:rPr>
          <w:color w:val="000000"/>
          <w:sz w:val="24"/>
        </w:rPr>
        <w:t>工期</w:t>
      </w:r>
      <w:r>
        <w:rPr>
          <w:color w:val="000000"/>
          <w:sz w:val="24"/>
          <w:u w:val="single"/>
        </w:rPr>
        <w:t xml:space="preserve">          </w:t>
      </w:r>
      <w:r>
        <w:rPr>
          <w:color w:val="000000"/>
          <w:sz w:val="24"/>
        </w:rPr>
        <w:t>，</w:t>
      </w:r>
      <w:r>
        <w:rPr>
          <w:sz w:val="24"/>
        </w:rPr>
        <w:t>按合同约定实施和完成承包工程，修补工程中的任何缺陷，工程质量达到</w:t>
      </w:r>
      <w:r>
        <w:rPr>
          <w:sz w:val="24"/>
          <w:u w:val="single"/>
        </w:rPr>
        <w:t xml:space="preserve"> </w:t>
      </w:r>
      <w:r>
        <w:rPr>
          <w:rFonts w:hint="eastAsia"/>
          <w:sz w:val="24"/>
          <w:u w:val="single"/>
        </w:rPr>
        <w:t xml:space="preserve">         </w:t>
      </w:r>
      <w:r>
        <w:rPr>
          <w:sz w:val="24"/>
          <w:u w:val="single"/>
        </w:rPr>
        <w:t xml:space="preserve"> </w:t>
      </w:r>
      <w:r>
        <w:rPr>
          <w:sz w:val="24"/>
        </w:rPr>
        <w:t xml:space="preserve"> 。</w:t>
      </w:r>
    </w:p>
    <w:p>
      <w:pPr>
        <w:spacing w:line="36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我方承诺在投标有效期内不修改、撤销投标文件。</w:t>
      </w:r>
    </w:p>
    <w:p>
      <w:pPr>
        <w:spacing w:line="360"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随同本投标函提交投标保证金一份，金额为人民币（大写）</w:t>
      </w:r>
      <w:r>
        <w:rPr>
          <w:rFonts w:hint="eastAsia" w:ascii="宋体" w:hAnsi="宋体"/>
          <w:sz w:val="24"/>
          <w:u w:val="single"/>
        </w:rPr>
        <w:t xml:space="preserve">           </w:t>
      </w:r>
      <w:r>
        <w:rPr>
          <w:rFonts w:ascii="宋体" w:hAnsi="宋体"/>
          <w:sz w:val="24"/>
        </w:rPr>
        <w:t>元（¥</w:t>
      </w:r>
      <w:r>
        <w:rPr>
          <w:rFonts w:hint="eastAsia" w:ascii="宋体" w:hAnsi="宋体"/>
          <w:sz w:val="24"/>
          <w:u w:val="single"/>
        </w:rPr>
        <w:t xml:space="preserve">        </w:t>
      </w:r>
      <w:r>
        <w:rPr>
          <w:rFonts w:ascii="宋体" w:hAnsi="宋体"/>
          <w:sz w:val="24"/>
        </w:rPr>
        <w:t>）。</w:t>
      </w:r>
    </w:p>
    <w:p>
      <w:pPr>
        <w:spacing w:line="360" w:lineRule="exact"/>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如我方中标：</w:t>
      </w:r>
    </w:p>
    <w:p>
      <w:pPr>
        <w:spacing w:line="360" w:lineRule="exact"/>
        <w:ind w:firstLine="480" w:firstLineChars="200"/>
        <w:rPr>
          <w:rFonts w:ascii="宋体" w:hAnsi="宋体"/>
          <w:sz w:val="24"/>
        </w:rPr>
      </w:pPr>
      <w:r>
        <w:rPr>
          <w:rFonts w:ascii="宋体" w:hAnsi="宋体"/>
          <w:sz w:val="24"/>
        </w:rPr>
        <w:t>（1）我方承诺在收到中标通知书后，在中标通知书规定的期限内与你方签订合同。</w:t>
      </w:r>
    </w:p>
    <w:p>
      <w:pPr>
        <w:spacing w:line="360" w:lineRule="exact"/>
        <w:ind w:firstLine="480" w:firstLineChars="200"/>
        <w:rPr>
          <w:rFonts w:ascii="宋体" w:hAnsi="宋体"/>
          <w:sz w:val="24"/>
        </w:rPr>
      </w:pPr>
      <w:r>
        <w:rPr>
          <w:rFonts w:ascii="宋体" w:hAnsi="宋体"/>
          <w:sz w:val="24"/>
        </w:rPr>
        <w:t>（2）随同本投标函递交的投标函附录属于合同文件的组成部分。</w:t>
      </w:r>
    </w:p>
    <w:p>
      <w:pPr>
        <w:spacing w:line="360" w:lineRule="exact"/>
        <w:ind w:firstLine="480" w:firstLineChars="200"/>
        <w:rPr>
          <w:rFonts w:ascii="宋体" w:hAnsi="宋体"/>
          <w:sz w:val="24"/>
        </w:rPr>
      </w:pPr>
      <w:r>
        <w:rPr>
          <w:rFonts w:ascii="宋体" w:hAnsi="宋体"/>
          <w:sz w:val="24"/>
        </w:rPr>
        <w:t>（3）我方承诺按照招标文件规定向你方递交履约担保。</w:t>
      </w:r>
    </w:p>
    <w:p>
      <w:pPr>
        <w:spacing w:line="360" w:lineRule="exact"/>
        <w:ind w:firstLine="480" w:firstLineChars="200"/>
        <w:rPr>
          <w:rFonts w:ascii="宋体" w:hAnsi="宋体"/>
          <w:sz w:val="24"/>
        </w:rPr>
      </w:pPr>
      <w:r>
        <w:rPr>
          <w:rFonts w:ascii="宋体" w:hAnsi="宋体"/>
          <w:sz w:val="24"/>
        </w:rPr>
        <w:t>（4）我方承诺在合同约定的期限内完成并移交全部合同工程。</w:t>
      </w:r>
    </w:p>
    <w:p>
      <w:pPr>
        <w:spacing w:line="360" w:lineRule="exact"/>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我方在此声明，所递交的投标文件及有关资料内容完整、真实和准确，且不存在第二章“投标人须知”第1.4.3项规定的任何一种情形。</w:t>
      </w:r>
    </w:p>
    <w:p>
      <w:pPr>
        <w:spacing w:line="360" w:lineRule="exact"/>
        <w:ind w:firstLine="480" w:firstLineChars="200"/>
        <w:rPr>
          <w:rFonts w:ascii="宋体" w:hAnsi="宋体"/>
          <w:sz w:val="24"/>
        </w:rPr>
      </w:pPr>
      <w:r>
        <w:rPr>
          <w:rFonts w:ascii="宋体" w:hAnsi="宋体"/>
          <w:sz w:val="24"/>
        </w:rPr>
        <w:t>6</w:t>
      </w:r>
      <w:r>
        <w:rPr>
          <w:rFonts w:hint="eastAsia" w:ascii="宋体" w:hAnsi="宋体"/>
          <w:sz w:val="24"/>
        </w:rPr>
        <w:t>.在合同协议书正式签署生效之前，本投标函连同你方的中标通知书将构成我们双方之间共同遵守的文件，对双方具有约束力。</w:t>
      </w:r>
    </w:p>
    <w:p>
      <w:pPr>
        <w:spacing w:line="360" w:lineRule="exact"/>
        <w:ind w:firstLine="480" w:firstLineChars="200"/>
        <w:rPr>
          <w:rFonts w:ascii="宋体" w:hAnsi="宋体"/>
          <w:sz w:val="24"/>
        </w:rPr>
      </w:pPr>
      <w:r>
        <w:rPr>
          <w:rFonts w:hint="eastAsia" w:ascii="宋体" w:hAnsi="宋体"/>
          <w:sz w:val="24"/>
        </w:rPr>
        <w:t>7.</w:t>
      </w:r>
      <w:r>
        <w:rPr>
          <w:rFonts w:hint="eastAsia" w:ascii="宋体" w:hAnsi="宋体"/>
          <w:sz w:val="24"/>
          <w:u w:val="single"/>
        </w:rPr>
        <w:t xml:space="preserve">                              </w:t>
      </w:r>
      <w:r>
        <w:rPr>
          <w:rFonts w:ascii="宋体" w:hAnsi="宋体"/>
          <w:sz w:val="24"/>
        </w:rPr>
        <w:t>（其他补充说明）。</w:t>
      </w:r>
    </w:p>
    <w:p>
      <w:pPr>
        <w:spacing w:line="360" w:lineRule="exact"/>
        <w:rPr>
          <w:rFonts w:ascii="宋体" w:hAnsi="宋体"/>
          <w:sz w:val="18"/>
          <w:szCs w:val="18"/>
        </w:rPr>
      </w:pPr>
    </w:p>
    <w:p>
      <w:pPr>
        <w:spacing w:line="360" w:lineRule="exact"/>
        <w:rPr>
          <w:rFonts w:ascii="宋体" w:hAnsi="宋体"/>
          <w:sz w:val="18"/>
          <w:szCs w:val="18"/>
        </w:rPr>
      </w:pPr>
    </w:p>
    <w:p>
      <w:pPr>
        <w:tabs>
          <w:tab w:val="left" w:pos="2977"/>
          <w:tab w:val="left" w:pos="3261"/>
        </w:tabs>
        <w:spacing w:line="360" w:lineRule="exact"/>
        <w:rPr>
          <w:rFonts w:ascii="宋体" w:hAnsi="宋体"/>
          <w:sz w:val="24"/>
        </w:rPr>
      </w:pPr>
      <w:r>
        <w:rPr>
          <w:rFonts w:hint="eastAsia" w:ascii="宋体" w:hAnsi="宋体"/>
          <w:sz w:val="18"/>
          <w:szCs w:val="18"/>
        </w:rPr>
        <w:t xml:space="preserve"> </w:t>
      </w:r>
      <w:r>
        <w:rPr>
          <w:rFonts w:hint="eastAsia" w:ascii="宋体" w:hAnsi="宋体"/>
          <w:sz w:val="24"/>
        </w:rPr>
        <w:t xml:space="preserve">                         </w:t>
      </w:r>
      <w:r>
        <w:rPr>
          <w:rFonts w:ascii="宋体" w:hAnsi="宋体"/>
          <w:sz w:val="24"/>
        </w:rPr>
        <w:t>投</w:t>
      </w:r>
      <w:r>
        <w:rPr>
          <w:rFonts w:hint="eastAsia" w:ascii="宋体" w:hAnsi="宋体"/>
          <w:sz w:val="24"/>
        </w:rPr>
        <w:t xml:space="preserve"> </w:t>
      </w:r>
      <w:r>
        <w:rPr>
          <w:rFonts w:ascii="宋体" w:hAnsi="宋体"/>
          <w:sz w:val="24"/>
        </w:rPr>
        <w:t>标</w:t>
      </w:r>
      <w:r>
        <w:rPr>
          <w:rFonts w:hint="eastAsia" w:ascii="宋体" w:hAnsi="宋体"/>
          <w:sz w:val="24"/>
        </w:rPr>
        <w:t xml:space="preserve"> </w:t>
      </w:r>
      <w:r>
        <w:rPr>
          <w:rFonts w:ascii="宋体" w:hAnsi="宋体"/>
          <w:sz w:val="24"/>
        </w:rPr>
        <w:t>人：</w:t>
      </w:r>
      <w:r>
        <w:rPr>
          <w:rFonts w:hint="eastAsia" w:ascii="宋体" w:hAnsi="宋体"/>
          <w:sz w:val="24"/>
          <w:u w:val="single"/>
        </w:rPr>
        <w:t xml:space="preserve">                       </w:t>
      </w:r>
      <w:r>
        <w:rPr>
          <w:rFonts w:ascii="宋体" w:hAnsi="宋体"/>
          <w:sz w:val="24"/>
        </w:rPr>
        <w:t>（盖单位章）</w:t>
      </w:r>
    </w:p>
    <w:p>
      <w:pPr>
        <w:spacing w:line="360" w:lineRule="exact"/>
        <w:rPr>
          <w:rFonts w:ascii="宋体" w:hAnsi="宋体"/>
          <w:sz w:val="24"/>
        </w:rPr>
      </w:pPr>
      <w:r>
        <w:rPr>
          <w:rFonts w:hint="eastAsia" w:ascii="宋体" w:hAnsi="宋体"/>
          <w:sz w:val="24"/>
        </w:rPr>
        <w:t xml:space="preserve">                          </w:t>
      </w:r>
      <w:r>
        <w:rPr>
          <w:rFonts w:ascii="宋体" w:hAnsi="宋体"/>
          <w:sz w:val="24"/>
        </w:rPr>
        <w:t>法定代表人或其委托代理人：</w:t>
      </w:r>
      <w:r>
        <w:rPr>
          <w:rFonts w:hint="eastAsia" w:ascii="宋体" w:hAnsi="宋体"/>
          <w:sz w:val="24"/>
          <w:u w:val="single"/>
        </w:rPr>
        <w:t xml:space="preserve">           </w:t>
      </w:r>
      <w:r>
        <w:rPr>
          <w:rFonts w:ascii="宋体" w:hAnsi="宋体"/>
          <w:sz w:val="24"/>
        </w:rPr>
        <w:t>（签</w:t>
      </w:r>
      <w:r>
        <w:rPr>
          <w:rFonts w:hint="eastAsia" w:ascii="宋体" w:hAnsi="宋体"/>
          <w:sz w:val="24"/>
        </w:rPr>
        <w:t>章</w:t>
      </w:r>
      <w:r>
        <w:rPr>
          <w:rFonts w:ascii="宋体" w:hAnsi="宋体"/>
          <w:sz w:val="24"/>
        </w:rPr>
        <w:t>）</w:t>
      </w:r>
    </w:p>
    <w:p>
      <w:pPr>
        <w:spacing w:line="360" w:lineRule="exact"/>
        <w:rPr>
          <w:rFonts w:ascii="宋体" w:hAnsi="宋体"/>
          <w:sz w:val="24"/>
        </w:rPr>
      </w:pPr>
      <w:r>
        <w:rPr>
          <w:rFonts w:hint="eastAsia" w:ascii="宋体" w:hAnsi="宋体"/>
          <w:sz w:val="24"/>
        </w:rPr>
        <w:t xml:space="preserve">                          </w:t>
      </w:r>
      <w:r>
        <w:rPr>
          <w:rFonts w:ascii="宋体" w:hAnsi="宋体"/>
          <w:sz w:val="24"/>
        </w:rPr>
        <w:t>地址：</w:t>
      </w:r>
      <w:r>
        <w:rPr>
          <w:rFonts w:hint="eastAsia" w:ascii="宋体" w:hAnsi="宋体"/>
          <w:sz w:val="24"/>
          <w:u w:val="single"/>
        </w:rPr>
        <w:t xml:space="preserve">                                      </w:t>
      </w:r>
    </w:p>
    <w:p>
      <w:pPr>
        <w:spacing w:line="360" w:lineRule="exact"/>
        <w:rPr>
          <w:rFonts w:ascii="宋体" w:hAnsi="宋体"/>
          <w:sz w:val="24"/>
        </w:rPr>
      </w:pPr>
      <w:r>
        <w:rPr>
          <w:rFonts w:hint="eastAsia" w:ascii="宋体" w:hAnsi="宋体"/>
          <w:sz w:val="24"/>
        </w:rPr>
        <w:t xml:space="preserve">                          </w:t>
      </w:r>
      <w:r>
        <w:rPr>
          <w:rFonts w:ascii="宋体" w:hAnsi="宋体"/>
          <w:sz w:val="24"/>
        </w:rPr>
        <w:t>网址：</w:t>
      </w:r>
      <w:r>
        <w:rPr>
          <w:rFonts w:hint="eastAsia" w:ascii="宋体" w:hAnsi="宋体"/>
          <w:sz w:val="24"/>
          <w:u w:val="single"/>
        </w:rPr>
        <w:t xml:space="preserve">                                      </w:t>
      </w:r>
    </w:p>
    <w:p>
      <w:pPr>
        <w:spacing w:line="360" w:lineRule="exact"/>
        <w:rPr>
          <w:rFonts w:ascii="宋体" w:hAnsi="宋体"/>
          <w:sz w:val="24"/>
        </w:rPr>
      </w:pPr>
      <w:r>
        <w:rPr>
          <w:rFonts w:hint="eastAsia" w:ascii="宋体" w:hAnsi="宋体"/>
          <w:sz w:val="24"/>
        </w:rPr>
        <w:t xml:space="preserve">                          </w:t>
      </w:r>
      <w:r>
        <w:rPr>
          <w:rFonts w:ascii="宋体" w:hAnsi="宋体"/>
          <w:sz w:val="24"/>
        </w:rPr>
        <w:t>电话：</w:t>
      </w:r>
      <w:r>
        <w:rPr>
          <w:rFonts w:hint="eastAsia" w:ascii="宋体" w:hAnsi="宋体"/>
          <w:sz w:val="24"/>
          <w:u w:val="single"/>
        </w:rPr>
        <w:t xml:space="preserve">                                      </w:t>
      </w:r>
    </w:p>
    <w:p>
      <w:pPr>
        <w:spacing w:line="360" w:lineRule="exact"/>
        <w:rPr>
          <w:rFonts w:ascii="宋体" w:hAnsi="宋体"/>
          <w:sz w:val="24"/>
        </w:rPr>
      </w:pPr>
      <w:r>
        <w:rPr>
          <w:rFonts w:hint="eastAsia" w:ascii="宋体" w:hAnsi="宋体"/>
          <w:sz w:val="24"/>
        </w:rPr>
        <w:t xml:space="preserve">                          </w:t>
      </w:r>
      <w:r>
        <w:rPr>
          <w:rFonts w:ascii="宋体" w:hAnsi="宋体"/>
          <w:sz w:val="24"/>
        </w:rPr>
        <w:t>传真：</w:t>
      </w:r>
      <w:r>
        <w:rPr>
          <w:rFonts w:hint="eastAsia" w:ascii="宋体" w:hAnsi="宋体"/>
          <w:sz w:val="24"/>
          <w:u w:val="single"/>
        </w:rPr>
        <w:t xml:space="preserve">                                      </w:t>
      </w:r>
    </w:p>
    <w:p>
      <w:pPr>
        <w:spacing w:line="360" w:lineRule="exact"/>
        <w:rPr>
          <w:rFonts w:ascii="宋体" w:hAnsi="宋体"/>
          <w:sz w:val="24"/>
        </w:rPr>
      </w:pPr>
      <w:r>
        <w:rPr>
          <w:rFonts w:hint="eastAsia" w:ascii="宋体" w:hAnsi="宋体"/>
          <w:sz w:val="24"/>
        </w:rPr>
        <w:t xml:space="preserve">                          </w:t>
      </w:r>
      <w:r>
        <w:rPr>
          <w:rFonts w:ascii="宋体" w:hAnsi="宋体"/>
          <w:sz w:val="24"/>
        </w:rPr>
        <w:t>邮政编码：</w:t>
      </w:r>
      <w:r>
        <w:rPr>
          <w:rFonts w:hint="eastAsia" w:ascii="宋体" w:hAnsi="宋体"/>
          <w:sz w:val="24"/>
          <w:u w:val="single"/>
        </w:rPr>
        <w:t xml:space="preserve">                                  </w:t>
      </w: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
    <w:p/>
    <w:p/>
    <w:p/>
    <w:p/>
    <w:p>
      <w:pPr>
        <w:pStyle w:val="4"/>
        <w:spacing w:before="240" w:beforeLines="100" w:after="360" w:afterLines="150" w:line="360" w:lineRule="exact"/>
        <w:jc w:val="center"/>
        <w:rPr>
          <w:rFonts w:ascii="黑体" w:hAnsi="宋体" w:eastAsia="黑体"/>
          <w:sz w:val="28"/>
          <w:szCs w:val="28"/>
        </w:rPr>
      </w:pPr>
      <w:bookmarkStart w:id="135" w:name="_Toc528314489"/>
      <w:r>
        <w:rPr>
          <w:rFonts w:hint="eastAsia" w:ascii="黑体" w:hAnsi="宋体" w:eastAsia="黑体"/>
          <w:sz w:val="28"/>
          <w:szCs w:val="28"/>
        </w:rPr>
        <w:t>二、已标价工程量清单</w:t>
      </w:r>
      <w:bookmarkEnd w:id="135"/>
    </w:p>
    <w:p/>
    <w:p>
      <w:pPr>
        <w:ind w:firstLine="400" w:firstLineChars="200"/>
      </w:pPr>
    </w:p>
    <w:p>
      <w:pPr>
        <w:ind w:firstLine="400" w:firstLineChars="200"/>
      </w:pPr>
      <w:r>
        <w:rPr>
          <w:rFonts w:hint="eastAsia"/>
        </w:rPr>
        <w:t>投标人应按照第五章“工程量清单”的要求逐项填报工程量清单，包括工程量清单说明、投标报价说明、计日工说明、其他说明及工程量清单各项表格。</w:t>
      </w: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spacing w:line="239" w:lineRule="auto"/>
        <w:ind w:right="360"/>
        <w:rPr>
          <w:sz w:val="18"/>
        </w:rPr>
      </w:pPr>
    </w:p>
    <w:p/>
    <w:sectPr>
      <w:headerReference r:id="rId16" w:type="default"/>
      <w:footerReference r:id="rId17" w:type="default"/>
      <w:pgSz w:w="11906" w:h="16838"/>
      <w:pgMar w:top="1440" w:right="1440" w:bottom="1440" w:left="1440" w:header="0" w:footer="85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auto"/>
    <w:pitch w:val="default"/>
    <w:sig w:usb0="00000000" w:usb1="00000000" w:usb2="00000010" w:usb3="00000000" w:csb0="00040001" w:csb1="00000000"/>
  </w:font>
  <w:font w:name="方正小标宋简体">
    <w:altName w:val="Times New Roman"/>
    <w:panose1 w:val="00000000000000000000"/>
    <w:charset w:val="00"/>
    <w:family w:val="auto"/>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隶书">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986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986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9Hv0Q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70e/RBECAAAJBAAADgAAAAAAAAABACAA&#10;AAAfAQAAZHJzL2Uyb0RvYy54bWxQSwUGAAAAAAYABgBZAQAAog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985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985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XGfzERAgAACQQAAA4AAABkcnMvZTJvRG9jLnhtbK1TzY7TMBC+I/EO&#10;lu80adEu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rq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dcZ/MRECAAAJBAAADgAAAAAAAAABACAA&#10;AAAfAQAAZHJzL2Uyb0RvYy54bWxQSwUGAAAAAAYABgBZAQAAog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7EKs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TSjRTGFHpx/fTz9/n359I/CBoNb6GfI2Fpmhe2c6LHrwezjj&#10;3F3lVPxiIoI4qD5e6BVdIDxemk6m0xwhjtjwA/zs6bp1PrwXRpFoFNRhf4lWdlj70KcOKbGaNqtG&#10;yrRDqUlb0Ou3V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PLsQqxECAAAJBAAADgAAAAAAAAABACAA&#10;AAAfAQAAZHJzL2Uyb0RvYy54bWxQSwUGAAAAAAYABgBZAQAAog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lPZD6xECAAAJBAAADgAAAAAAAAABACAA&#10;AAAfAQAAZHJzL2Uyb0RvYy54bWxQSwUGAAAAAAYABgBZAQAAog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QivERAgAACQQAAA4AAABkcnMvZTJvRG9jLnhtbK1TzY7TMBC+I/EO&#10;lu80aWFX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rq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jRCK8RECAAAJBAAADgAAAAAAAAABACAA&#10;AAAfAQAAZHJzL2Uyb0RvYy54bWxQSwUGAAAAAAYABgBZAQAAog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821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1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AlXdmxEAIAAAkEAAAOAAAAAAAAAAEAIAAA&#10;AB8BAABkcnMvZTJvRG9jLnhtbFBLBQYAAAAABgAGAFkBAACh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984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984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diyxxEAIAAAkEAAAOAAAAAAAAAAEAIAAA&#10;AB8BAABkcnMvZTJvRG9jLnhtbFBLBQYAAAAABgAGAFkBAACh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CC2Kw4CAAAJ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r>
        <w:continuationSeparator/>
      </w:r>
    </w:p>
  </w:footnote>
  <w:footnote w:id="0">
    <w:p>
      <w:pPr>
        <w:pStyle w:val="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77F80"/>
    <w:multiLevelType w:val="singleLevel"/>
    <w:tmpl w:val="8AC77F80"/>
    <w:lvl w:ilvl="0" w:tentative="0">
      <w:start w:val="2"/>
      <w:numFmt w:val="chineseCounting"/>
      <w:suff w:val="nothing"/>
      <w:lvlText w:val="（%1）"/>
      <w:lvlJc w:val="left"/>
      <w:rPr>
        <w:rFonts w:hint="eastAsia"/>
      </w:rPr>
    </w:lvl>
  </w:abstractNum>
  <w:abstractNum w:abstractNumId="1">
    <w:nsid w:val="D431F4EA"/>
    <w:multiLevelType w:val="singleLevel"/>
    <w:tmpl w:val="D431F4EA"/>
    <w:lvl w:ilvl="0" w:tentative="0">
      <w:start w:val="1"/>
      <w:numFmt w:val="decimal"/>
      <w:suff w:val="nothing"/>
      <w:lvlText w:val="%1、"/>
      <w:lvlJc w:val="left"/>
    </w:lvl>
  </w:abstractNum>
  <w:abstractNum w:abstractNumId="2">
    <w:nsid w:val="D7782B9C"/>
    <w:multiLevelType w:val="singleLevel"/>
    <w:tmpl w:val="D7782B9C"/>
    <w:lvl w:ilvl="0" w:tentative="0">
      <w:start w:val="1"/>
      <w:numFmt w:val="decimal"/>
      <w:suff w:val="nothing"/>
      <w:lvlText w:val="%1、"/>
      <w:lvlJc w:val="left"/>
    </w:lvl>
  </w:abstractNum>
  <w:abstractNum w:abstractNumId="3">
    <w:nsid w:val="00000005"/>
    <w:multiLevelType w:val="multilevel"/>
    <w:tmpl w:val="00000005"/>
    <w:lvl w:ilvl="0" w:tentative="0">
      <w:start w:val="1"/>
      <w:numFmt w:val="decimal"/>
      <w:lvlText w:val="1.%1"/>
      <w:lvlJc w:val="left"/>
    </w:lvl>
    <w:lvl w:ilvl="1" w:tentative="0">
      <w:start w:val="1"/>
      <w:numFmt w:val="decimal"/>
      <w:lvlText w:val="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6"/>
    <w:multiLevelType w:val="multilevel"/>
    <w:tmpl w:val="00000006"/>
    <w:lvl w:ilvl="0" w:tentative="0">
      <w:start w:val="2"/>
      <w:numFmt w:val="decimal"/>
      <w:lvlText w:val="1.%1"/>
      <w:lvlJc w:val="left"/>
    </w:lvl>
    <w:lvl w:ilvl="1" w:tentative="0">
      <w:start w:val="1"/>
      <w:numFmt w:val="decimal"/>
      <w:lvlText w:val="1.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9"/>
    <w:multiLevelType w:val="multilevel"/>
    <w:tmpl w:val="00000009"/>
    <w:lvl w:ilvl="0" w:tentative="0">
      <w:start w:val="4"/>
      <w:numFmt w:val="decimal"/>
      <w:lvlText w:val="1.%1"/>
      <w:lvlJc w:val="left"/>
    </w:lvl>
    <w:lvl w:ilvl="1" w:tentative="0">
      <w:start w:val="1"/>
      <w:numFmt w:val="decimal"/>
      <w:lvlText w:val="1.4.%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B"/>
    <w:multiLevelType w:val="multilevel"/>
    <w:tmpl w:val="0000000B"/>
    <w:lvl w:ilvl="0" w:tentative="0">
      <w:start w:val="5"/>
      <w:numFmt w:val="decimal"/>
      <w:lvlText w:val="1.%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C"/>
    <w:multiLevelType w:val="multilevel"/>
    <w:tmpl w:val="0000000C"/>
    <w:lvl w:ilvl="0" w:tentative="0">
      <w:start w:val="7"/>
      <w:numFmt w:val="decimal"/>
      <w:lvlText w:val="1.%1"/>
      <w:lvlJc w:val="left"/>
    </w:lvl>
    <w:lvl w:ilvl="1" w:tentative="0">
      <w:start w:val="1"/>
      <w:numFmt w:val="decimal"/>
      <w:lvlText w:val="1.9.%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F"/>
    <w:multiLevelType w:val="multilevel"/>
    <w:tmpl w:val="0000000F"/>
    <w:lvl w:ilvl="0" w:tentative="0">
      <w:start w:val="11"/>
      <w:numFmt w:val="decimal"/>
      <w:lvlText w:val="1.%1"/>
      <w:lvlJc w:val="left"/>
    </w:lvl>
    <w:lvl w:ilvl="1" w:tentative="0">
      <w:start w:val="1"/>
      <w:numFmt w:val="decimal"/>
      <w:lvlText w:val="1.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10"/>
    <w:multiLevelType w:val="multilevel"/>
    <w:tmpl w:val="00000010"/>
    <w:lvl w:ilvl="0" w:tentative="0">
      <w:start w:val="1"/>
      <w:numFmt w:val="decimal"/>
      <w:lvlText w:val="%1"/>
      <w:lvlJc w:val="left"/>
    </w:lvl>
    <w:lvl w:ilvl="1" w:tentative="0">
      <w:start w:val="2"/>
      <w:numFmt w:val="decimal"/>
      <w:lvlText w:val="1.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11"/>
    <w:multiLevelType w:val="multilevel"/>
    <w:tmpl w:val="00000011"/>
    <w:lvl w:ilvl="0" w:tentative="0">
      <w:start w:val="12"/>
      <w:numFmt w:val="decimal"/>
      <w:lvlText w:val="1.%1"/>
      <w:lvlJc w:val="left"/>
    </w:lvl>
    <w:lvl w:ilvl="1" w:tentative="0">
      <w:start w:val="1"/>
      <w:numFmt w:val="decimal"/>
      <w:lvlText w:val="1.1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14"/>
    <w:multiLevelType w:val="multilevel"/>
    <w:tmpl w:val="00000014"/>
    <w:lvl w:ilvl="0" w:tentative="0">
      <w:start w:val="3"/>
      <w:numFmt w:val="decimal"/>
      <w:lvlText w:val="2.%1"/>
      <w:lvlJc w:val="left"/>
    </w:lvl>
    <w:lvl w:ilvl="1" w:tentative="0">
      <w:start w:val="1"/>
      <w:numFmt w:val="decimal"/>
      <w:lvlText w:val="2.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16"/>
    <w:multiLevelType w:val="multilevel"/>
    <w:tmpl w:val="00000016"/>
    <w:lvl w:ilvl="0" w:tentative="0">
      <w:start w:val="2"/>
      <w:numFmt w:val="decimal"/>
      <w:lvlText w:val="3.%1"/>
      <w:lvlJc w:val="left"/>
    </w:lvl>
    <w:lvl w:ilvl="1" w:tentative="0">
      <w:start w:val="1"/>
      <w:numFmt w:val="decimal"/>
      <w:lvlText w:val="3.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17"/>
    <w:multiLevelType w:val="multilevel"/>
    <w:tmpl w:val="00000017"/>
    <w:lvl w:ilvl="0" w:tentative="0">
      <w:start w:val="2"/>
      <w:numFmt w:val="decimal"/>
      <w:lvlText w:val="3.2.%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19"/>
    <w:multiLevelType w:val="multilevel"/>
    <w:tmpl w:val="00000019"/>
    <w:lvl w:ilvl="0" w:tentative="0">
      <w:start w:val="3"/>
      <w:numFmt w:val="decimal"/>
      <w:lvlText w:val="3.%1"/>
      <w:lvlJc w:val="left"/>
    </w:lvl>
    <w:lvl w:ilvl="1" w:tentative="0">
      <w:start w:val="1"/>
      <w:numFmt w:val="decimal"/>
      <w:lvlText w:val="3.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E"/>
    <w:multiLevelType w:val="multilevel"/>
    <w:tmpl w:val="0000001E"/>
    <w:lvl w:ilvl="0" w:tentative="0">
      <w:start w:val="4"/>
      <w:numFmt w:val="decimal"/>
      <w:lvlText w:val="3.5.%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00000020"/>
    <w:multiLevelType w:val="multilevel"/>
    <w:tmpl w:val="00000020"/>
    <w:lvl w:ilvl="0" w:tentative="0">
      <w:start w:val="6"/>
      <w:numFmt w:val="decimal"/>
      <w:lvlText w:val="3.%1"/>
      <w:lvlJc w:val="left"/>
    </w:lvl>
    <w:lvl w:ilvl="1" w:tentative="0">
      <w:start w:val="1"/>
      <w:numFmt w:val="decimal"/>
      <w:lvlText w:val="3.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7">
    <w:nsid w:val="00000021"/>
    <w:multiLevelType w:val="multilevel"/>
    <w:tmpl w:val="00000021"/>
    <w:lvl w:ilvl="0" w:tentative="0">
      <w:start w:val="1"/>
      <w:numFmt w:val="decimal"/>
      <w:lvlText w:val="%1"/>
      <w:lvlJc w:val="left"/>
    </w:lvl>
    <w:lvl w:ilvl="1" w:tentative="0">
      <w:start w:val="1"/>
      <w:numFmt w:val="decimal"/>
      <w:lvlText w:val="3.7.%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8">
    <w:nsid w:val="00000022"/>
    <w:multiLevelType w:val="multilevel"/>
    <w:tmpl w:val="00000022"/>
    <w:lvl w:ilvl="0" w:tentative="0">
      <w:start w:val="1"/>
      <w:numFmt w:val="decimal"/>
      <w:lvlText w:val="%1"/>
      <w:lvlJc w:val="left"/>
    </w:lvl>
    <w:lvl w:ilvl="1" w:tentative="0">
      <w:start w:val="4"/>
      <w:numFmt w:val="decimal"/>
      <w:lvlText w:val="3.7.%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9">
    <w:nsid w:val="00000028"/>
    <w:multiLevelType w:val="multilevel"/>
    <w:tmpl w:val="00000028"/>
    <w:lvl w:ilvl="0" w:tentative="0">
      <w:start w:val="3"/>
      <w:numFmt w:val="decimal"/>
      <w:lvlText w:val="4.%1"/>
      <w:lvlJc w:val="left"/>
    </w:lvl>
    <w:lvl w:ilvl="1" w:tentative="0">
      <w:start w:val="1"/>
      <w:numFmt w:val="decimal"/>
      <w:lvlText w:val="4.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0">
    <w:nsid w:val="0000002B"/>
    <w:multiLevelType w:val="multilevel"/>
    <w:tmpl w:val="0000002B"/>
    <w:lvl w:ilvl="0" w:tentative="0">
      <w:start w:val="2"/>
      <w:numFmt w:val="decimal"/>
      <w:lvlText w:val="5.%1"/>
      <w:lvlJc w:val="left"/>
    </w:lvl>
    <w:lvl w:ilvl="1" w:tentative="0">
      <w:start w:val="1"/>
      <w:numFmt w:val="decimal"/>
      <w:lvlText w:val="5.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1">
    <w:nsid w:val="0000002C"/>
    <w:multiLevelType w:val="multilevel"/>
    <w:tmpl w:val="0000002C"/>
    <w:lvl w:ilvl="0" w:tentative="0">
      <w:start w:val="2"/>
      <w:numFmt w:val="decimal"/>
      <w:lvlText w:val="5.2.%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2">
    <w:nsid w:val="00000032"/>
    <w:multiLevelType w:val="multilevel"/>
    <w:tmpl w:val="00000032"/>
    <w:lvl w:ilvl="0" w:tentative="0">
      <w:start w:val="2"/>
      <w:numFmt w:val="decimal"/>
      <w:lvlText w:val="6.%1"/>
      <w:lvlJc w:val="left"/>
    </w:lvl>
    <w:lvl w:ilvl="1" w:tentative="0">
      <w:start w:val="1"/>
      <w:numFmt w:val="decimal"/>
      <w:lvlText w:val="6.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3">
    <w:nsid w:val="0000006C"/>
    <w:multiLevelType w:val="multilevel"/>
    <w:tmpl w:val="0000006C"/>
    <w:lvl w:ilvl="0" w:tentative="0">
      <w:start w:val="1"/>
      <w:numFmt w:val="decimal"/>
      <w:lvlText w:val="1.%1"/>
      <w:lvlJc w:val="left"/>
    </w:lvl>
    <w:lvl w:ilvl="1" w:tentative="0">
      <w:start w:val="1"/>
      <w:numFmt w:val="decimal"/>
      <w:lvlText w:val="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4">
    <w:nsid w:val="0000006D"/>
    <w:multiLevelType w:val="multilevel"/>
    <w:tmpl w:val="0000006D"/>
    <w:lvl w:ilvl="0" w:tentative="0">
      <w:start w:val="1"/>
      <w:numFmt w:val="decimal"/>
      <w:lvlText w:val="%1"/>
      <w:lvlJc w:val="left"/>
    </w:lvl>
    <w:lvl w:ilvl="1" w:tentative="0">
      <w:start w:val="2"/>
      <w:numFmt w:val="decimal"/>
      <w:lvlText w:val="1.1.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5">
    <w:nsid w:val="0000006E"/>
    <w:multiLevelType w:val="multilevel"/>
    <w:tmpl w:val="0000006E"/>
    <w:lvl w:ilvl="0" w:tentative="0">
      <w:start w:val="4"/>
      <w:numFmt w:val="decimal"/>
      <w:lvlText w:val="1.%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6">
    <w:nsid w:val="0000006F"/>
    <w:multiLevelType w:val="multilevel"/>
    <w:tmpl w:val="0000006F"/>
    <w:lvl w:ilvl="0" w:tentative="0">
      <w:start w:val="1"/>
      <w:numFmt w:val="decimal"/>
      <w:lvlText w:val="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7">
    <w:nsid w:val="00000070"/>
    <w:multiLevelType w:val="multilevel"/>
    <w:tmpl w:val="00000070"/>
    <w:lvl w:ilvl="0" w:tentative="0">
      <w:start w:val="5"/>
      <w:numFmt w:val="decimal"/>
      <w:lvlText w:val="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8">
    <w:nsid w:val="00000071"/>
    <w:multiLevelType w:val="multilevel"/>
    <w:tmpl w:val="00000071"/>
    <w:lvl w:ilvl="0" w:tentative="0">
      <w:start w:val="1"/>
      <w:numFmt w:val="decimal"/>
      <w:lvlText w:val="4.%1"/>
      <w:lvlJc w:val="left"/>
    </w:lvl>
    <w:lvl w:ilvl="1" w:tentative="0">
      <w:start w:val="9"/>
      <w:numFmt w:val="decimal"/>
      <w:lvlText w:val="4.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9">
    <w:nsid w:val="00000072"/>
    <w:multiLevelType w:val="multilevel"/>
    <w:tmpl w:val="00000072"/>
    <w:lvl w:ilvl="0" w:tentative="0">
      <w:start w:val="3"/>
      <w:numFmt w:val="decimal"/>
      <w:lvlText w:val="4.%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0">
    <w:nsid w:val="00000073"/>
    <w:multiLevelType w:val="multilevel"/>
    <w:tmpl w:val="00000073"/>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1">
    <w:nsid w:val="00000074"/>
    <w:multiLevelType w:val="multilevel"/>
    <w:tmpl w:val="00000074"/>
    <w:lvl w:ilvl="0" w:tentative="0">
      <w:start w:val="6"/>
      <w:numFmt w:val="decimal"/>
      <w:lvlText w:val="4.3.%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2">
    <w:nsid w:val="00000075"/>
    <w:multiLevelType w:val="multilevel"/>
    <w:tmpl w:val="00000075"/>
    <w:lvl w:ilvl="0" w:tentative="0">
      <w:start w:val="1"/>
      <w:numFmt w:val="decimal"/>
      <w:lvlText w:val="%1"/>
      <w:lvlJc w:val="left"/>
    </w:lvl>
    <w:lvl w:ilvl="1" w:tentative="0">
      <w:start w:val="4"/>
      <w:numFmt w:val="decimal"/>
      <w:lvlText w:val="4.4.%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3">
    <w:nsid w:val="00000076"/>
    <w:multiLevelType w:val="multilevel"/>
    <w:tmpl w:val="00000076"/>
    <w:lvl w:ilvl="0" w:tentative="0">
      <w:start w:val="6"/>
      <w:numFmt w:val="decimal"/>
      <w:lvlText w:val="4.%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4">
    <w:nsid w:val="00000077"/>
    <w:multiLevelType w:val="multilevel"/>
    <w:tmpl w:val="00000077"/>
    <w:lvl w:ilvl="0" w:tentative="0">
      <w:start w:val="11"/>
      <w:numFmt w:val="decimal"/>
      <w:lvlText w:val="4.%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5">
    <w:nsid w:val="00000078"/>
    <w:multiLevelType w:val="multilevel"/>
    <w:tmpl w:val="00000078"/>
    <w:lvl w:ilvl="0" w:tentative="0">
      <w:start w:val="2"/>
      <w:numFmt w:val="decimal"/>
      <w:lvlText w:val="4.11.%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6">
    <w:nsid w:val="00000079"/>
    <w:multiLevelType w:val="multilevel"/>
    <w:tmpl w:val="00000079"/>
    <w:lvl w:ilvl="0" w:tentative="0">
      <w:start w:val="2"/>
      <w:numFmt w:val="decimal"/>
      <w:lvlText w:val="9.%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7">
    <w:nsid w:val="0000007A"/>
    <w:multiLevelType w:val="multilevel"/>
    <w:tmpl w:val="0000007A"/>
    <w:lvl w:ilvl="0" w:tentative="0">
      <w:start w:val="1"/>
      <w:numFmt w:val="decimal"/>
      <w:lvlText w:val="%1"/>
      <w:lvlJc w:val="left"/>
    </w:lvl>
    <w:lvl w:ilvl="1" w:tentative="0">
      <w:start w:val="8"/>
      <w:numFmt w:val="decimal"/>
      <w:lvlText w:val="9.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8">
    <w:nsid w:val="0000007B"/>
    <w:multiLevelType w:val="multilevel"/>
    <w:tmpl w:val="0000007B"/>
    <w:lvl w:ilvl="0" w:tentative="0">
      <w:start w:val="4"/>
      <w:numFmt w:val="decimal"/>
      <w:lvlText w:val="9.%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9">
    <w:nsid w:val="0000007C"/>
    <w:multiLevelType w:val="multilevel"/>
    <w:tmpl w:val="0000007C"/>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0">
    <w:nsid w:val="0000007D"/>
    <w:multiLevelType w:val="multilevel"/>
    <w:tmpl w:val="0000007D"/>
    <w:lvl w:ilvl="0" w:tentative="0">
      <w:start w:val="8"/>
      <w:numFmt w:val="decimal"/>
      <w:lvlText w:val="9.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1">
    <w:nsid w:val="0000007E"/>
    <w:multiLevelType w:val="multilevel"/>
    <w:tmpl w:val="0000007E"/>
    <w:lvl w:ilvl="0" w:tentative="0">
      <w:start w:val="4"/>
      <w:numFmt w:val="decimal"/>
      <w:lvlText w:val="11.%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2">
    <w:nsid w:val="0000007F"/>
    <w:multiLevelType w:val="multilevel"/>
    <w:tmpl w:val="0000007F"/>
    <w:lvl w:ilvl="0" w:tentative="0">
      <w:start w:val="1"/>
      <w:numFmt w:val="decimal"/>
      <w:lvlText w:val="1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3">
    <w:nsid w:val="00000080"/>
    <w:multiLevelType w:val="multilevel"/>
    <w:tmpl w:val="00000080"/>
    <w:lvl w:ilvl="0" w:tentative="0">
      <w:start w:val="2"/>
      <w:numFmt w:val="decimal"/>
      <w:lvlText w:val="1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4">
    <w:nsid w:val="00000081"/>
    <w:multiLevelType w:val="multilevel"/>
    <w:tmpl w:val="00000081"/>
    <w:lvl w:ilvl="0" w:tentative="0">
      <w:start w:val="3"/>
      <w:numFmt w:val="decimal"/>
      <w:lvlText w:val="13.2.%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5">
    <w:nsid w:val="00000082"/>
    <w:multiLevelType w:val="multilevel"/>
    <w:tmpl w:val="00000082"/>
    <w:lvl w:ilvl="0" w:tentative="0">
      <w:start w:val="5"/>
      <w:numFmt w:val="decimal"/>
      <w:lvlText w:val="1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6">
    <w:nsid w:val="00000083"/>
    <w:multiLevelType w:val="multilevel"/>
    <w:tmpl w:val="00000083"/>
    <w:lvl w:ilvl="0" w:tentative="0">
      <w:start w:val="1"/>
      <w:numFmt w:val="decimal"/>
      <w:lvlText w:val="%1"/>
      <w:lvlJc w:val="left"/>
    </w:lvl>
    <w:lvl w:ilvl="1" w:tentative="0">
      <w:start w:val="4"/>
      <w:numFmt w:val="decimal"/>
      <w:lvlText w:val="15.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7">
    <w:nsid w:val="00000084"/>
    <w:multiLevelType w:val="multilevel"/>
    <w:tmpl w:val="00000084"/>
    <w:lvl w:ilvl="0" w:tentative="0">
      <w:start w:val="4"/>
      <w:numFmt w:val="decimal"/>
      <w:lvlText w:val="15.%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8">
    <w:nsid w:val="00000085"/>
    <w:multiLevelType w:val="multilevel"/>
    <w:tmpl w:val="00000085"/>
    <w:lvl w:ilvl="0" w:tentative="0">
      <w:start w:val="1"/>
      <w:numFmt w:val="decimal"/>
      <w:lvlText w:val="15.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9">
    <w:nsid w:val="00000086"/>
    <w:multiLevelType w:val="multilevel"/>
    <w:tmpl w:val="00000086"/>
    <w:lvl w:ilvl="0" w:tentative="0">
      <w:start w:val="5"/>
      <w:numFmt w:val="decimal"/>
      <w:lvlText w:val="15.%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0">
    <w:nsid w:val="00000087"/>
    <w:multiLevelType w:val="multilevel"/>
    <w:tmpl w:val="00000087"/>
    <w:lvl w:ilvl="0" w:tentative="0">
      <w:start w:val="1"/>
      <w:numFmt w:val="decimal"/>
      <w:lvlText w:val="%1"/>
      <w:lvlJc w:val="left"/>
    </w:lvl>
    <w:lvl w:ilvl="1" w:tentative="0">
      <w:start w:val="1"/>
      <w:numFmt w:val="decimal"/>
      <w:lvlText w:val="15.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1">
    <w:nsid w:val="00000088"/>
    <w:multiLevelType w:val="multilevel"/>
    <w:tmpl w:val="00000088"/>
    <w:lvl w:ilvl="0" w:tentative="0">
      <w:start w:val="4"/>
      <w:numFmt w:val="decimal"/>
      <w:lvlText w:val="15.%1"/>
      <w:lvlJc w:val="left"/>
    </w:lvl>
    <w:lvl w:ilvl="1" w:tentative="0">
      <w:start w:val="3"/>
      <w:numFmt w:val="decimal"/>
      <w:lvlText w:val="15.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2">
    <w:nsid w:val="00000089"/>
    <w:multiLevelType w:val="multilevel"/>
    <w:tmpl w:val="00000089"/>
    <w:lvl w:ilvl="0" w:tentative="0">
      <w:start w:val="1"/>
      <w:numFmt w:val="decimal"/>
      <w:lvlText w:val="16.1.%1"/>
      <w:lvlJc w:val="left"/>
    </w:lvl>
    <w:lvl w:ilvl="1" w:tentative="0">
      <w:start w:val="1"/>
      <w:numFmt w:val="decimal"/>
      <w:lvlText w:val="16.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3">
    <w:nsid w:val="0000008A"/>
    <w:multiLevelType w:val="multilevel"/>
    <w:tmpl w:val="0000008A"/>
    <w:lvl w:ilvl="0" w:tentative="0">
      <w:start w:val="2"/>
      <w:numFmt w:val="decimal"/>
      <w:lvlText w:val="17.%1"/>
      <w:lvlJc w:val="left"/>
    </w:lvl>
    <w:lvl w:ilvl="1" w:tentative="0">
      <w:start w:val="1"/>
      <w:numFmt w:val="decimal"/>
      <w:lvlText w:val="17.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4">
    <w:nsid w:val="0000008B"/>
    <w:multiLevelType w:val="multilevel"/>
    <w:tmpl w:val="0000008B"/>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5">
    <w:nsid w:val="0000008C"/>
    <w:multiLevelType w:val="multilevel"/>
    <w:tmpl w:val="0000008C"/>
    <w:lvl w:ilvl="0" w:tentative="0">
      <w:start w:val="4"/>
      <w:numFmt w:val="decimal"/>
      <w:lvlText w:val="17.%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6">
    <w:nsid w:val="0000008D"/>
    <w:multiLevelType w:val="multilevel"/>
    <w:tmpl w:val="0000008D"/>
    <w:lvl w:ilvl="0" w:tentative="0">
      <w:start w:val="1"/>
      <w:numFmt w:val="decimal"/>
      <w:lvlText w:val="17.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7">
    <w:nsid w:val="0000008E"/>
    <w:multiLevelType w:val="multilevel"/>
    <w:tmpl w:val="0000008E"/>
    <w:lvl w:ilvl="0" w:tentative="0">
      <w:start w:val="5"/>
      <w:numFmt w:val="decimal"/>
      <w:lvlText w:val="17.%1"/>
      <w:lvlJc w:val="left"/>
    </w:lvl>
    <w:lvl w:ilvl="1" w:tentative="0">
      <w:start w:val="1"/>
      <w:numFmt w:val="decimal"/>
      <w:lvlText w:val="17.5.%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8">
    <w:nsid w:val="0000008F"/>
    <w:multiLevelType w:val="multilevel"/>
    <w:tmpl w:val="0000008F"/>
    <w:lvl w:ilvl="0" w:tentative="0">
      <w:start w:val="6"/>
      <w:numFmt w:val="decimal"/>
      <w:lvlText w:val="17.%1"/>
      <w:lvlJc w:val="left"/>
    </w:lvl>
    <w:lvl w:ilvl="1" w:tentative="0">
      <w:start w:val="1"/>
      <w:numFmt w:val="decimal"/>
      <w:lvlText w:val="17.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9">
    <w:nsid w:val="00000090"/>
    <w:multiLevelType w:val="multilevel"/>
    <w:tmpl w:val="00000090"/>
    <w:lvl w:ilvl="0" w:tentative="0">
      <w:start w:val="1"/>
      <w:numFmt w:val="decimal"/>
      <w:lvlText w:val="20.%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0">
    <w:nsid w:val="00000091"/>
    <w:multiLevelType w:val="multilevel"/>
    <w:tmpl w:val="00000091"/>
    <w:lvl w:ilvl="0" w:tentative="0">
      <w:start w:val="6"/>
      <w:numFmt w:val="decimal"/>
      <w:lvlText w:val="20.%1"/>
      <w:lvlJc w:val="left"/>
    </w:lvl>
    <w:lvl w:ilvl="1" w:tentative="0">
      <w:start w:val="1"/>
      <w:numFmt w:val="decimal"/>
      <w:lvlText w:val="20.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1">
    <w:nsid w:val="00000092"/>
    <w:multiLevelType w:val="multilevel"/>
    <w:tmpl w:val="00000092"/>
    <w:lvl w:ilvl="0" w:tentative="0">
      <w:start w:val="1"/>
      <w:numFmt w:val="decimal"/>
      <w:lvlText w:val="%1"/>
      <w:lvlJc w:val="left"/>
    </w:lvl>
    <w:lvl w:ilvl="1" w:tentative="0">
      <w:start w:val="3"/>
      <w:numFmt w:val="decimal"/>
      <w:lvlText w:val="20.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2">
    <w:nsid w:val="00000093"/>
    <w:multiLevelType w:val="multilevel"/>
    <w:tmpl w:val="00000093"/>
    <w:lvl w:ilvl="0" w:tentative="0">
      <w:start w:val="3"/>
      <w:numFmt w:val="decimal"/>
      <w:lvlText w:val="21.%1"/>
      <w:lvlJc w:val="left"/>
    </w:lvl>
    <w:lvl w:ilvl="1" w:tentative="0">
      <w:start w:val="4"/>
      <w:numFmt w:val="decimal"/>
      <w:lvlText w:val="21.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3">
    <w:nsid w:val="00000094"/>
    <w:multiLevelType w:val="multilevel"/>
    <w:tmpl w:val="00000094"/>
    <w:lvl w:ilvl="0" w:tentative="0">
      <w:start w:val="1"/>
      <w:numFmt w:val="decimal"/>
      <w:lvlText w:val="22.%1"/>
      <w:lvlJc w:val="left"/>
    </w:lvl>
    <w:lvl w:ilvl="1" w:tentative="0">
      <w:start w:val="1"/>
      <w:numFmt w:val="decimal"/>
      <w:lvlText w:val="22.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4">
    <w:nsid w:val="00000095"/>
    <w:multiLevelType w:val="multilevel"/>
    <w:tmpl w:val="00000095"/>
    <w:lvl w:ilvl="0" w:tentative="0">
      <w:start w:val="11"/>
      <w:numFmt w:val="decimal"/>
      <w:lvlText w:val="4.%1"/>
      <w:lvlJc w:val="left"/>
    </w:lvl>
    <w:lvl w:ilvl="1" w:tentative="0">
      <w:start w:val="1"/>
      <w:numFmt w:val="decimal"/>
      <w:lvlText w:val="4.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5">
    <w:nsid w:val="00000096"/>
    <w:multiLevelType w:val="multilevel"/>
    <w:tmpl w:val="00000096"/>
    <w:lvl w:ilvl="0" w:tentative="0">
      <w:start w:val="1"/>
      <w:numFmt w:val="decimal"/>
      <w:lvlText w:val="%1"/>
      <w:lvlJc w:val="left"/>
    </w:lvl>
    <w:lvl w:ilvl="1" w:tentative="0">
      <w:start w:val="1"/>
      <w:numFmt w:val="decimal"/>
      <w:lvlText w:val="1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6">
    <w:nsid w:val="00000098"/>
    <w:multiLevelType w:val="multilevel"/>
    <w:tmpl w:val="00000098"/>
    <w:lvl w:ilvl="0" w:tentative="0">
      <w:start w:val="1"/>
      <w:numFmt w:val="decimal"/>
      <w:lvlText w:val="%1"/>
      <w:lvlJc w:val="left"/>
    </w:lvl>
    <w:lvl w:ilvl="1" w:tentative="0">
      <w:start w:val="5"/>
      <w:numFmt w:val="decimal"/>
      <w:lvlText w:val="17.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7">
    <w:nsid w:val="00000099"/>
    <w:multiLevelType w:val="multilevel"/>
    <w:tmpl w:val="00000099"/>
    <w:lvl w:ilvl="0" w:tentative="0">
      <w:start w:val="3"/>
      <w:numFmt w:val="decimal"/>
      <w:lvlText w:val="17.%1"/>
      <w:lvlJc w:val="left"/>
    </w:lvl>
    <w:lvl w:ilvl="1" w:tentative="0">
      <w:start w:val="5"/>
      <w:numFmt w:val="decimal"/>
      <w:lvlText w:val="17.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8">
    <w:nsid w:val="0000009A"/>
    <w:multiLevelType w:val="multilevel"/>
    <w:tmpl w:val="0000009A"/>
    <w:lvl w:ilvl="0" w:tentative="0">
      <w:start w:val="1"/>
      <w:numFmt w:val="decimal"/>
      <w:lvlText w:val="%1"/>
      <w:lvlJc w:val="left"/>
    </w:lvl>
    <w:lvl w:ilvl="1" w:tentative="0">
      <w:start w:val="1"/>
      <w:numFmt w:val="decimal"/>
      <w:lvlText w:val="2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9">
    <w:nsid w:val="0000009B"/>
    <w:multiLevelType w:val="multilevel"/>
    <w:tmpl w:val="0000009B"/>
    <w:lvl w:ilvl="0" w:tentative="0">
      <w:start w:val="1"/>
      <w:numFmt w:val="decimal"/>
      <w:lvlText w:val="22.%1"/>
      <w:lvlJc w:val="left"/>
    </w:lvl>
    <w:lvl w:ilvl="1" w:tentative="0">
      <w:start w:val="2"/>
      <w:numFmt w:val="decimal"/>
      <w:lvlText w:val="22.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0">
    <w:nsid w:val="0000009C"/>
    <w:multiLevelType w:val="multilevel"/>
    <w:tmpl w:val="0000009C"/>
    <w:lvl w:ilvl="0" w:tentative="0">
      <w:start w:val="1"/>
      <w:numFmt w:val="decimal"/>
      <w:lvlText w:val="%1"/>
      <w:lvlJc w:val="left"/>
    </w:lvl>
    <w:lvl w:ilvl="1" w:tentative="0">
      <w:start w:val="2"/>
      <w:numFmt w:val="decimal"/>
      <w:lvlText w:val="22.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1">
    <w:nsid w:val="0000009D"/>
    <w:multiLevelType w:val="multilevel"/>
    <w:tmpl w:val="0000009D"/>
    <w:lvl w:ilvl="0" w:tentative="0">
      <w:start w:val="6"/>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2">
    <w:nsid w:val="0000009E"/>
    <w:multiLevelType w:val="multilevel"/>
    <w:tmpl w:val="0000009E"/>
    <w:lvl w:ilvl="0" w:tentative="0">
      <w:start w:val="9"/>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3">
    <w:nsid w:val="0000009F"/>
    <w:multiLevelType w:val="multilevel"/>
    <w:tmpl w:val="0000009F"/>
    <w:lvl w:ilvl="0" w:tentative="0">
      <w:start w:val="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4">
    <w:nsid w:val="000000A0"/>
    <w:multiLevelType w:val="multilevel"/>
    <w:tmpl w:val="000000A0"/>
    <w:lvl w:ilvl="0" w:tentative="0">
      <w:start w:val="4"/>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5">
    <w:nsid w:val="000000A1"/>
    <w:multiLevelType w:val="multilevel"/>
    <w:tmpl w:val="000000A1"/>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6">
    <w:nsid w:val="000000A2"/>
    <w:multiLevelType w:val="multilevel"/>
    <w:tmpl w:val="000000A2"/>
    <w:lvl w:ilvl="0" w:tentative="0">
      <w:start w:val="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7">
    <w:nsid w:val="00888DCD"/>
    <w:multiLevelType w:val="singleLevel"/>
    <w:tmpl w:val="00888DCD"/>
    <w:lvl w:ilvl="0" w:tentative="0">
      <w:start w:val="2"/>
      <w:numFmt w:val="decimal"/>
      <w:lvlText w:val="%1."/>
      <w:lvlJc w:val="left"/>
      <w:pPr>
        <w:tabs>
          <w:tab w:val="left" w:pos="312"/>
        </w:tabs>
      </w:pPr>
    </w:lvl>
  </w:abstractNum>
  <w:abstractNum w:abstractNumId="78">
    <w:nsid w:val="5AA627CA"/>
    <w:multiLevelType w:val="singleLevel"/>
    <w:tmpl w:val="5AA627CA"/>
    <w:lvl w:ilvl="0" w:tentative="0">
      <w:start w:val="8"/>
      <w:numFmt w:val="chineseCounting"/>
      <w:lvlText w:val="第%1章"/>
      <w:lvlJc w:val="left"/>
    </w:lvl>
  </w:abstractNum>
  <w:abstractNum w:abstractNumId="79">
    <w:nsid w:val="5AA73357"/>
    <w:multiLevelType w:val="singleLevel"/>
    <w:tmpl w:val="5AA73357"/>
    <w:lvl w:ilvl="0" w:tentative="0">
      <w:start w:val="2"/>
      <w:numFmt w:val="decimal"/>
      <w:suff w:val="nothing"/>
      <w:lvlText w:val="（%1）"/>
      <w:lvlJc w:val="left"/>
    </w:lvl>
  </w:abstractNum>
  <w:abstractNum w:abstractNumId="80">
    <w:nsid w:val="5AB0773D"/>
    <w:multiLevelType w:val="singleLevel"/>
    <w:tmpl w:val="5AB0773D"/>
    <w:lvl w:ilvl="0" w:tentative="0">
      <w:start w:val="6"/>
      <w:numFmt w:val="decimal"/>
      <w:suff w:val="nothing"/>
      <w:lvlText w:val="（%1）"/>
      <w:lvlJc w:val="left"/>
    </w:lvl>
  </w:abstractNum>
  <w:abstractNum w:abstractNumId="81">
    <w:nsid w:val="5AB09F39"/>
    <w:multiLevelType w:val="singleLevel"/>
    <w:tmpl w:val="5AB09F39"/>
    <w:lvl w:ilvl="0" w:tentative="0">
      <w:start w:val="1"/>
      <w:numFmt w:val="lowerLetter"/>
      <w:lvlText w:val="%1."/>
      <w:lvlJc w:val="left"/>
      <w:pPr>
        <w:tabs>
          <w:tab w:val="left" w:pos="312"/>
        </w:tabs>
      </w:pPr>
    </w:lvl>
  </w:abstractNum>
  <w:abstractNum w:abstractNumId="82">
    <w:nsid w:val="5AB203C0"/>
    <w:multiLevelType w:val="singleLevel"/>
    <w:tmpl w:val="5AB203C0"/>
    <w:lvl w:ilvl="0" w:tentative="0">
      <w:start w:val="1"/>
      <w:numFmt w:val="decimal"/>
      <w:suff w:val="nothing"/>
      <w:lvlText w:val="（%1）"/>
      <w:lvlJc w:val="left"/>
    </w:lvl>
  </w:abstractNum>
  <w:abstractNum w:abstractNumId="83">
    <w:nsid w:val="5AB2079B"/>
    <w:multiLevelType w:val="singleLevel"/>
    <w:tmpl w:val="5AB2079B"/>
    <w:lvl w:ilvl="0" w:tentative="0">
      <w:start w:val="6"/>
      <w:numFmt w:val="chineseCounting"/>
      <w:lvlText w:val="第%1章"/>
      <w:lvlJc w:val="left"/>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79"/>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80"/>
  </w:num>
  <w:num w:numId="23">
    <w:abstractNumId w:val="21"/>
  </w:num>
  <w:num w:numId="24">
    <w:abstractNumId w:val="22"/>
  </w:num>
  <w:num w:numId="25">
    <w:abstractNumId w:val="82"/>
  </w:num>
  <w:num w:numId="26">
    <w:abstractNumId w:val="81"/>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5"/>
  </w:num>
  <w:num w:numId="40">
    <w:abstractNumId w:val="36"/>
  </w:num>
  <w:num w:numId="41">
    <w:abstractNumId w:val="37"/>
  </w:num>
  <w:num w:numId="42">
    <w:abstractNumId w:val="38"/>
  </w:num>
  <w:num w:numId="43">
    <w:abstractNumId w:val="39"/>
  </w:num>
  <w:num w:numId="44">
    <w:abstractNumId w:val="40"/>
  </w:num>
  <w:num w:numId="45">
    <w:abstractNumId w:val="41"/>
  </w:num>
  <w:num w:numId="46">
    <w:abstractNumId w:val="42"/>
  </w:num>
  <w:num w:numId="47">
    <w:abstractNumId w:val="43"/>
  </w:num>
  <w:num w:numId="48">
    <w:abstractNumId w:val="44"/>
  </w:num>
  <w:num w:numId="49">
    <w:abstractNumId w:val="45"/>
  </w:num>
  <w:num w:numId="50">
    <w:abstractNumId w:val="46"/>
  </w:num>
  <w:num w:numId="51">
    <w:abstractNumId w:val="47"/>
  </w:num>
  <w:num w:numId="52">
    <w:abstractNumId w:val="48"/>
  </w:num>
  <w:num w:numId="53">
    <w:abstractNumId w:val="49"/>
  </w:num>
  <w:num w:numId="54">
    <w:abstractNumId w:val="50"/>
  </w:num>
  <w:num w:numId="55">
    <w:abstractNumId w:val="51"/>
  </w:num>
  <w:num w:numId="56">
    <w:abstractNumId w:val="52"/>
  </w:num>
  <w:num w:numId="57">
    <w:abstractNumId w:val="53"/>
  </w:num>
  <w:num w:numId="58">
    <w:abstractNumId w:val="54"/>
  </w:num>
  <w:num w:numId="59">
    <w:abstractNumId w:val="55"/>
  </w:num>
  <w:num w:numId="60">
    <w:abstractNumId w:val="56"/>
  </w:num>
  <w:num w:numId="61">
    <w:abstractNumId w:val="57"/>
  </w:num>
  <w:num w:numId="62">
    <w:abstractNumId w:val="58"/>
  </w:num>
  <w:num w:numId="63">
    <w:abstractNumId w:val="59"/>
  </w:num>
  <w:num w:numId="64">
    <w:abstractNumId w:val="60"/>
  </w:num>
  <w:num w:numId="65">
    <w:abstractNumId w:val="61"/>
  </w:num>
  <w:num w:numId="66">
    <w:abstractNumId w:val="62"/>
  </w:num>
  <w:num w:numId="67">
    <w:abstractNumId w:val="63"/>
  </w:num>
  <w:num w:numId="68">
    <w:abstractNumId w:val="64"/>
  </w:num>
  <w:num w:numId="69">
    <w:abstractNumId w:val="65"/>
  </w:num>
  <w:num w:numId="70">
    <w:abstractNumId w:val="66"/>
  </w:num>
  <w:num w:numId="71">
    <w:abstractNumId w:val="67"/>
  </w:num>
  <w:num w:numId="72">
    <w:abstractNumId w:val="68"/>
  </w:num>
  <w:num w:numId="73">
    <w:abstractNumId w:val="69"/>
  </w:num>
  <w:num w:numId="74">
    <w:abstractNumId w:val="70"/>
  </w:num>
  <w:num w:numId="75">
    <w:abstractNumId w:val="71"/>
  </w:num>
  <w:num w:numId="76">
    <w:abstractNumId w:val="72"/>
  </w:num>
  <w:num w:numId="77">
    <w:abstractNumId w:val="73"/>
  </w:num>
  <w:num w:numId="78">
    <w:abstractNumId w:val="74"/>
  </w:num>
  <w:num w:numId="79">
    <w:abstractNumId w:val="75"/>
  </w:num>
  <w:num w:numId="80">
    <w:abstractNumId w:val="76"/>
  </w:num>
  <w:num w:numId="81">
    <w:abstractNumId w:val="83"/>
  </w:num>
  <w:num w:numId="82">
    <w:abstractNumId w:val="78"/>
  </w:num>
  <w:num w:numId="83">
    <w:abstractNumId w:val="0"/>
  </w:num>
  <w:num w:numId="84">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9510E"/>
    <w:rsid w:val="001D165C"/>
    <w:rsid w:val="0095754F"/>
    <w:rsid w:val="00A21770"/>
    <w:rsid w:val="00B01B63"/>
    <w:rsid w:val="00C054C0"/>
    <w:rsid w:val="00F1054C"/>
    <w:rsid w:val="00F34D6D"/>
    <w:rsid w:val="03FF37CF"/>
    <w:rsid w:val="06C86626"/>
    <w:rsid w:val="07812EE2"/>
    <w:rsid w:val="086700C1"/>
    <w:rsid w:val="0B6816B3"/>
    <w:rsid w:val="0CEB4BBB"/>
    <w:rsid w:val="11D07C28"/>
    <w:rsid w:val="15201497"/>
    <w:rsid w:val="164F2708"/>
    <w:rsid w:val="18394F4F"/>
    <w:rsid w:val="203221DE"/>
    <w:rsid w:val="2BDE25BA"/>
    <w:rsid w:val="2CD373C3"/>
    <w:rsid w:val="2E620E43"/>
    <w:rsid w:val="2EA92EF8"/>
    <w:rsid w:val="3123486B"/>
    <w:rsid w:val="3A1D2B8D"/>
    <w:rsid w:val="3A4C1DDA"/>
    <w:rsid w:val="3B1006EF"/>
    <w:rsid w:val="3C7D3509"/>
    <w:rsid w:val="3EF21DB7"/>
    <w:rsid w:val="422C269D"/>
    <w:rsid w:val="425F5339"/>
    <w:rsid w:val="426F47B5"/>
    <w:rsid w:val="47D812AA"/>
    <w:rsid w:val="4829510E"/>
    <w:rsid w:val="4AC43F38"/>
    <w:rsid w:val="50087331"/>
    <w:rsid w:val="51E6778A"/>
    <w:rsid w:val="54C447C5"/>
    <w:rsid w:val="58145B90"/>
    <w:rsid w:val="58E6173A"/>
    <w:rsid w:val="59B36D11"/>
    <w:rsid w:val="59D45C2C"/>
    <w:rsid w:val="5BD135EC"/>
    <w:rsid w:val="5C8E3949"/>
    <w:rsid w:val="601637C6"/>
    <w:rsid w:val="607C198B"/>
    <w:rsid w:val="628D3119"/>
    <w:rsid w:val="63B70F47"/>
    <w:rsid w:val="63BD2C3E"/>
    <w:rsid w:val="67DA73B0"/>
    <w:rsid w:val="6C41339C"/>
    <w:rsid w:val="6F8A2DEF"/>
    <w:rsid w:val="7613581F"/>
    <w:rsid w:val="79284A4C"/>
    <w:rsid w:val="7C9A3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qFormat/>
    <w:uiPriority w:val="99"/>
    <w:pPr>
      <w:keepNext/>
      <w:keepLines/>
      <w:widowControl w:val="0"/>
      <w:spacing w:before="340" w:after="330" w:line="576" w:lineRule="auto"/>
      <w:jc w:val="both"/>
      <w:outlineLvl w:val="0"/>
    </w:pPr>
    <w:rPr>
      <w:b/>
      <w:bCs/>
      <w:kern w:val="44"/>
      <w:sz w:val="44"/>
      <w:szCs w:val="44"/>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rPr>
      <w:rFonts w:ascii="宋体"/>
      <w:sz w:val="34"/>
    </w:rPr>
  </w:style>
  <w:style w:type="paragraph" w:styleId="6">
    <w:name w:val="Balloon Text"/>
    <w:basedOn w:val="1"/>
    <w:link w:val="15"/>
    <w:qFormat/>
    <w:uiPriority w:val="0"/>
    <w:rPr>
      <w:sz w:val="18"/>
      <w:szCs w:val="18"/>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footnote text"/>
    <w:basedOn w:val="1"/>
    <w:qFormat/>
    <w:uiPriority w:val="0"/>
    <w:pPr>
      <w:snapToGrid w:val="0"/>
    </w:pPr>
    <w:rPr>
      <w:sz w:val="18"/>
      <w:szCs w:val="18"/>
    </w:rPr>
  </w:style>
  <w:style w:type="character" w:styleId="11">
    <w:name w:val="Hyperlink"/>
    <w:basedOn w:val="10"/>
    <w:qFormat/>
    <w:uiPriority w:val="0"/>
    <w:rPr>
      <w:color w:val="000000"/>
      <w:u w:val="none"/>
    </w:rPr>
  </w:style>
  <w:style w:type="character" w:styleId="12">
    <w:name w:val="footnote reference"/>
    <w:basedOn w:val="10"/>
    <w:qFormat/>
    <w:uiPriority w:val="0"/>
    <w:rPr>
      <w:vertAlign w:val="superscript"/>
    </w:rPr>
  </w:style>
  <w:style w:type="paragraph" w:customStyle="1" w:styleId="14">
    <w:name w:val="Table Paragraph"/>
    <w:basedOn w:val="1"/>
    <w:qFormat/>
    <w:uiPriority w:val="1"/>
  </w:style>
  <w:style w:type="character" w:customStyle="1" w:styleId="15">
    <w:name w:val="批注框文本 Char"/>
    <w:basedOn w:val="10"/>
    <w:link w:val="6"/>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33049</Words>
  <Characters>11254</Characters>
  <Lines>93</Lines>
  <Paragraphs>88</Paragraphs>
  <TotalTime>19</TotalTime>
  <ScaleCrop>false</ScaleCrop>
  <LinksUpToDate>false</LinksUpToDate>
  <CharactersWithSpaces>44215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2018-12-17T11:14:00Z</dcterms:created>
  <dc:creator>莫。。</dc:creator>
  <cp:lastModifiedBy>莫。。</cp:lastModifiedBy>
  <cp:lastPrinted>2018-12-28T07:04:00Z</cp:lastPrinted>
  <dcterms:modified xsi:type="dcterms:W3CDTF">2018-12-28T07:21:51Z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