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rPr>
      </w:pPr>
      <w:r>
        <w:rPr>
          <w:rFonts w:hint="eastAsia" w:ascii="宋体" w:hAnsi="宋体"/>
          <w:b/>
          <w:sz w:val="24"/>
          <w:szCs w:val="24"/>
        </w:rPr>
        <w:t>投标分项报价表</w:t>
      </w:r>
    </w:p>
    <w:p>
      <w:pPr>
        <w:spacing w:before="50" w:after="156" w:afterLines="50" w:line="360" w:lineRule="auto"/>
        <w:contextualSpacing/>
        <w:rPr>
          <w:rFonts w:ascii="宋体" w:hAnsi="宋体"/>
          <w:color w:val="000000"/>
          <w:sz w:val="18"/>
          <w:szCs w:val="21"/>
        </w:rPr>
      </w:pPr>
      <w:r>
        <w:rPr>
          <w:rFonts w:hint="eastAsia" w:ascii="宋体" w:hAnsi="宋体"/>
          <w:color w:val="000000"/>
          <w:sz w:val="18"/>
          <w:szCs w:val="21"/>
        </w:rPr>
        <w:t>项目编号：ZFCG-G2018207号</w:t>
      </w:r>
    </w:p>
    <w:p>
      <w:pPr>
        <w:spacing w:line="360" w:lineRule="auto"/>
        <w:rPr>
          <w:rFonts w:ascii="宋体" w:hAnsi="宋体"/>
          <w:b/>
          <w:snapToGrid w:val="0"/>
          <w:sz w:val="18"/>
        </w:rPr>
      </w:pPr>
      <w:r>
        <w:rPr>
          <w:rFonts w:hint="eastAsia" w:ascii="宋体" w:hAnsi="宋体"/>
          <w:sz w:val="18"/>
        </w:rPr>
        <w:t>项目名称：许昌市县级地表水政府责任目标考核断面水质自动站建设</w:t>
      </w:r>
    </w:p>
    <w:tbl>
      <w:tblPr>
        <w:tblStyle w:val="5"/>
        <w:tblW w:w="14142" w:type="dxa"/>
        <w:tblInd w:w="0" w:type="dxa"/>
        <w:tblLayout w:type="fixed"/>
        <w:tblCellMar>
          <w:top w:w="0" w:type="dxa"/>
          <w:left w:w="108" w:type="dxa"/>
          <w:bottom w:w="0" w:type="dxa"/>
          <w:right w:w="108" w:type="dxa"/>
        </w:tblCellMar>
      </w:tblPr>
      <w:tblGrid>
        <w:gridCol w:w="675"/>
        <w:gridCol w:w="1276"/>
        <w:gridCol w:w="1418"/>
        <w:gridCol w:w="5670"/>
        <w:gridCol w:w="708"/>
        <w:gridCol w:w="709"/>
        <w:gridCol w:w="1134"/>
        <w:gridCol w:w="1276"/>
        <w:gridCol w:w="1276"/>
      </w:tblGrid>
      <w:tr>
        <w:tblPrEx>
          <w:tblLayout w:type="fixed"/>
          <w:tblCellMar>
            <w:top w:w="0" w:type="dxa"/>
            <w:left w:w="108" w:type="dxa"/>
            <w:bottom w:w="0" w:type="dxa"/>
            <w:right w:w="108" w:type="dxa"/>
          </w:tblCellMar>
        </w:tblPrEx>
        <w:trPr>
          <w:trHeight w:val="397" w:hRule="atLeast"/>
          <w:tblHeader/>
        </w:trPr>
        <w:tc>
          <w:tcPr>
            <w:tcW w:w="67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序号</w:t>
            </w:r>
          </w:p>
        </w:tc>
        <w:tc>
          <w:tcPr>
            <w:tcW w:w="127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名称</w:t>
            </w:r>
          </w:p>
        </w:tc>
        <w:tc>
          <w:tcPr>
            <w:tcW w:w="1418"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品牌规格型号</w:t>
            </w:r>
          </w:p>
        </w:tc>
        <w:tc>
          <w:tcPr>
            <w:tcW w:w="5670"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技术参数</w:t>
            </w:r>
          </w:p>
        </w:tc>
        <w:tc>
          <w:tcPr>
            <w:tcW w:w="708"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单位</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数量</w:t>
            </w:r>
          </w:p>
        </w:tc>
        <w:tc>
          <w:tcPr>
            <w:tcW w:w="1134"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单价</w:t>
            </w:r>
          </w:p>
        </w:tc>
        <w:tc>
          <w:tcPr>
            <w:tcW w:w="127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总价</w:t>
            </w:r>
          </w:p>
        </w:tc>
        <w:tc>
          <w:tcPr>
            <w:tcW w:w="127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产地及厂家</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站房（含供电、避雷、空调等配套设施）</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尚洋环科、尚洋定制</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1、水站站房统一采用一体化可吊装式微型监测站房。</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站房主体、供电供水、消防、避雷、空调、混凝土地基（含租地）和断面桩，由我公司承担。</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技术参数：</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站房主要采用厚度为1mm的覆铝锌板制作，采用组件嵌装式；</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站房面积能够容纳所有的监测仪器设备，并预留人员操作。</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站房为无窗结构，墙体有较好的保温性能。安装有温湿度传感显示器。有防水、防潮措施，安装排风扇，保证室内空气流通良好。站房具有消防及火警警报设施。站房的建筑结构能经受8级以上的风力。站房供电采用三相供电，分相使用,一相用于照明、空调及其它（220V）；一相供专用稳压电源为仪器系统用电（220V），同时配电箱内还应保留一到两个三相（380伏）和两相（220V）电源接线端子备用。站房监测仪器供电线路独立走线。电源布设符合国家用电相关安全要求，并满足设计和规划中总用电功率的需要。</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站房周围有疏通雨水渠道，具备防雨、防虫、防尘、防渗漏和防电磁波干扰的相应措施。站房底座具有足够的强度，保证在拖动、起吊、荷载和空载时不变形，安装于混凝土基础上。根据周边环境可设置防护栏等外观辅助设计。</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3、站房内部要求</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配有试验台供操作人员配置试剂。</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配备具有来电自启功能的冷暖空调。</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站房内有电源系统、通道和信号系统、接地系统的防雷设计。验收时提供当地气象部门出具的防雷测试报告。</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4、设置站房铭牌。内部悬挂规章制度。</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12</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130000.00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1560000.00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中国、北京尚洋东方环境科技有限公司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网络通讯</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尚洋环科、尚洋定制</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网络通讯建设以光纤/ADSL有线网络传输为主，现场条件不具备的情况下，可选用无线网络进行传输，站点现场应通过手机等通讯设备进行通话测试，通讯方式选择至少两家通讯运营商，无线传输网络（固定IP优先）满足数据传输要求及视频远程查看要求，传输带宽不小于20兆。</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条</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12</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总价已含</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总价已含</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中国、北京尚洋东方环境科技有限公司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氨氮分析仪</w:t>
            </w:r>
          </w:p>
        </w:tc>
        <w:tc>
          <w:tcPr>
            <w:tcW w:w="1418" w:type="dxa"/>
            <w:tcBorders>
              <w:top w:val="nil"/>
              <w:left w:val="nil"/>
              <w:bottom w:val="single" w:color="auto" w:sz="4" w:space="0"/>
              <w:right w:val="single" w:color="auto" w:sz="4" w:space="0"/>
            </w:tcBorders>
            <w:shd w:val="clear" w:color="auto" w:fill="auto"/>
            <w:noWrap/>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岛津（中国）、NHN-4210</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tblLayout w:type="fixed"/>
              <w:tblCellMar>
                <w:top w:w="0" w:type="dxa"/>
                <w:left w:w="108" w:type="dxa"/>
                <w:bottom w:w="0" w:type="dxa"/>
                <w:right w:w="108" w:type="dxa"/>
              </w:tblCellMar>
            </w:tblPr>
            <w:tblGrid>
              <w:gridCol w:w="1461"/>
              <w:gridCol w:w="2463"/>
              <w:gridCol w:w="1179"/>
            </w:tblGrid>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水杨酸分光光度法</w:t>
                  </w:r>
                </w:p>
              </w:tc>
            </w:tr>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0</w:t>
                  </w:r>
                  <w:r>
                    <w:rPr>
                      <w:rFonts w:hint="eastAsia" w:asciiTheme="minorEastAsia" w:hAnsiTheme="minorEastAsia" w:eastAsiaTheme="minorEastAsia"/>
                      <w:sz w:val="18"/>
                      <w:szCs w:val="18"/>
                    </w:rPr>
                    <w:t>-</w:t>
                  </w:r>
                  <w:r>
                    <w:rPr>
                      <w:rFonts w:asciiTheme="minorEastAsia" w:hAnsiTheme="minorEastAsia" w:eastAsiaTheme="minorEastAsia"/>
                      <w:sz w:val="18"/>
                      <w:szCs w:val="18"/>
                    </w:rPr>
                    <w:t>5</w:t>
                  </w:r>
                  <w:r>
                    <w:rPr>
                      <w:rFonts w:hint="eastAsia" w:asciiTheme="minorEastAsia" w:hAnsiTheme="minorEastAsia" w:eastAsiaTheme="minorEastAsia"/>
                      <w:sz w:val="18"/>
                      <w:szCs w:val="18"/>
                    </w:rPr>
                    <w:t>～5</w:t>
                  </w:r>
                  <w:r>
                    <w:rPr>
                      <w:rFonts w:asciiTheme="minorEastAsia" w:hAnsiTheme="minorEastAsia" w:eastAsiaTheme="minorEastAsia"/>
                      <w:sz w:val="18"/>
                      <w:szCs w:val="18"/>
                    </w:rPr>
                    <w:t>00mg</w:t>
                  </w:r>
                  <w:r>
                    <w:rPr>
                      <w:rFonts w:hint="eastAsia" w:asciiTheme="minorEastAsia" w:hAnsiTheme="minorEastAsia" w:eastAsiaTheme="minorEastAsia"/>
                      <w:sz w:val="18"/>
                      <w:szCs w:val="18"/>
                    </w:rPr>
                    <w:t>N</w:t>
                  </w:r>
                  <w:r>
                    <w:rPr>
                      <w:rFonts w:asciiTheme="minorEastAsia" w:hAnsiTheme="minorEastAsia" w:eastAsiaTheme="minorEastAsia"/>
                      <w:sz w:val="18"/>
                      <w:szCs w:val="18"/>
                    </w:rPr>
                    <w:t>/L</w:t>
                  </w:r>
                  <w:r>
                    <w:rPr>
                      <w:rFonts w:hint="eastAsia" w:asciiTheme="minorEastAsia" w:hAnsiTheme="minorEastAsia" w:eastAsiaTheme="minorEastAsia"/>
                      <w:sz w:val="18"/>
                      <w:szCs w:val="18"/>
                    </w:rPr>
                    <w:t>可调，超量程自动再测量功能</w:t>
                  </w:r>
                </w:p>
              </w:tc>
            </w:tr>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零点漂移</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≤0.02mg/L</w:t>
                  </w:r>
                </w:p>
              </w:tc>
            </w:tr>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量程漂移</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r>
              <w:tblPrEx>
                <w:tblLayout w:type="fixed"/>
                <w:tblCellMar>
                  <w:top w:w="0" w:type="dxa"/>
                  <w:left w:w="108" w:type="dxa"/>
                  <w:bottom w:w="0" w:type="dxa"/>
                  <w:right w:w="108" w:type="dxa"/>
                </w:tblCellMar>
              </w:tblPrEx>
              <w:trPr>
                <w:trHeight w:val="20" w:hRule="atLeast"/>
              </w:trPr>
              <w:tc>
                <w:tcPr>
                  <w:tcW w:w="1461" w:type="dxa"/>
                  <w:vMerge w:val="restart"/>
                  <w:tcBorders>
                    <w:top w:val="nil"/>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示值误差</w:t>
                  </w:r>
                </w:p>
              </w:tc>
              <w:tc>
                <w:tcPr>
                  <w:tcW w:w="2463"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标液浓度为2.0mg/L时</w:t>
                  </w:r>
                </w:p>
              </w:tc>
              <w:tc>
                <w:tcPr>
                  <w:tcW w:w="1179"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±8.0%</w:t>
                  </w:r>
                </w:p>
              </w:tc>
            </w:tr>
            <w:tr>
              <w:tblPrEx>
                <w:tblLayout w:type="fixed"/>
                <w:tblCellMar>
                  <w:top w:w="0" w:type="dxa"/>
                  <w:left w:w="108" w:type="dxa"/>
                  <w:bottom w:w="0" w:type="dxa"/>
                  <w:right w:w="108" w:type="dxa"/>
                </w:tblCellMar>
              </w:tblPrEx>
              <w:trPr>
                <w:trHeight w:val="20" w:hRule="atLeast"/>
              </w:trPr>
              <w:tc>
                <w:tcPr>
                  <w:tcW w:w="1461" w:type="dxa"/>
                  <w:vMerge w:val="continue"/>
                  <w:tcBorders>
                    <w:top w:val="nil"/>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p>
              </w:tc>
              <w:tc>
                <w:tcPr>
                  <w:tcW w:w="2463"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标液浓度为5.0mg/L时</w:t>
                  </w:r>
                </w:p>
              </w:tc>
              <w:tc>
                <w:tcPr>
                  <w:tcW w:w="1179"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±5.0%</w:t>
                  </w:r>
                </w:p>
              </w:tc>
            </w:tr>
            <w:tr>
              <w:tblPrEx>
                <w:tblLayout w:type="fixed"/>
                <w:tblCellMar>
                  <w:top w:w="0" w:type="dxa"/>
                  <w:left w:w="108" w:type="dxa"/>
                  <w:bottom w:w="0" w:type="dxa"/>
                  <w:right w:w="108" w:type="dxa"/>
                </w:tblCellMar>
              </w:tblPrEx>
              <w:trPr>
                <w:trHeight w:val="20" w:hRule="atLeast"/>
              </w:trPr>
              <w:tc>
                <w:tcPr>
                  <w:tcW w:w="1461" w:type="dxa"/>
                  <w:vMerge w:val="continue"/>
                  <w:tcBorders>
                    <w:top w:val="nil"/>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p>
              </w:tc>
              <w:tc>
                <w:tcPr>
                  <w:tcW w:w="2463"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标液浓度为8.0mg/L时</w:t>
                  </w:r>
                </w:p>
              </w:tc>
              <w:tc>
                <w:tcPr>
                  <w:tcW w:w="1179"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±3.0%</w:t>
                  </w:r>
                </w:p>
              </w:tc>
            </w:tr>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≤2.0%</w:t>
                  </w:r>
                </w:p>
              </w:tc>
            </w:tr>
            <w:tr>
              <w:tblPrEx>
                <w:tblLayout w:type="fixed"/>
                <w:tblCellMar>
                  <w:top w:w="0" w:type="dxa"/>
                  <w:left w:w="108" w:type="dxa"/>
                  <w:bottom w:w="0" w:type="dxa"/>
                  <w:right w:w="108" w:type="dxa"/>
                </w:tblCellMar>
              </w:tblPrEx>
              <w:trPr>
                <w:trHeight w:val="20" w:hRule="atLeast"/>
              </w:trPr>
              <w:tc>
                <w:tcPr>
                  <w:tcW w:w="1461" w:type="dxa"/>
                  <w:vMerge w:val="restart"/>
                  <w:tcBorders>
                    <w:top w:val="nil"/>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记忆效应</w:t>
                  </w:r>
                </w:p>
              </w:tc>
              <w:tc>
                <w:tcPr>
                  <w:tcW w:w="2463"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标液浓度为2.0mg/L时</w:t>
                  </w:r>
                </w:p>
              </w:tc>
              <w:tc>
                <w:tcPr>
                  <w:tcW w:w="1179"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±0.3mg/L</w:t>
                  </w:r>
                </w:p>
              </w:tc>
            </w:tr>
            <w:tr>
              <w:tblPrEx>
                <w:tblLayout w:type="fixed"/>
                <w:tblCellMar>
                  <w:top w:w="0" w:type="dxa"/>
                  <w:left w:w="108" w:type="dxa"/>
                  <w:bottom w:w="0" w:type="dxa"/>
                  <w:right w:w="108" w:type="dxa"/>
                </w:tblCellMar>
              </w:tblPrEx>
              <w:trPr>
                <w:trHeight w:val="20" w:hRule="atLeast"/>
              </w:trPr>
              <w:tc>
                <w:tcPr>
                  <w:tcW w:w="1461" w:type="dxa"/>
                  <w:vMerge w:val="continue"/>
                  <w:tcBorders>
                    <w:top w:val="nil"/>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p>
              </w:tc>
              <w:tc>
                <w:tcPr>
                  <w:tcW w:w="2463"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标液浓度为8.0mg/L时</w:t>
                  </w:r>
                </w:p>
              </w:tc>
              <w:tc>
                <w:tcPr>
                  <w:tcW w:w="1179"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±0.2mg/L</w:t>
                  </w:r>
                </w:p>
              </w:tc>
            </w:tr>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检出限</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≤0.03mg/L</w:t>
                  </w:r>
                </w:p>
              </w:tc>
            </w:tr>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pH干扰试验</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±6.0%</w:t>
                  </w:r>
                </w:p>
              </w:tc>
            </w:tr>
            <w:tr>
              <w:tblPrEx>
                <w:tblLayout w:type="fixed"/>
                <w:tblCellMar>
                  <w:top w:w="0" w:type="dxa"/>
                  <w:left w:w="108" w:type="dxa"/>
                  <w:bottom w:w="0" w:type="dxa"/>
                  <w:right w:w="108" w:type="dxa"/>
                </w:tblCellMar>
              </w:tblPrEx>
              <w:trPr>
                <w:trHeight w:val="20" w:hRule="atLeast"/>
              </w:trPr>
              <w:tc>
                <w:tcPr>
                  <w:tcW w:w="1461" w:type="dxa"/>
                  <w:vMerge w:val="restart"/>
                  <w:tcBorders>
                    <w:top w:val="nil"/>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实际水样比对试验</w:t>
                  </w:r>
                </w:p>
              </w:tc>
              <w:tc>
                <w:tcPr>
                  <w:tcW w:w="2463"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水样浓度&lt;2.0mg/L</w:t>
                  </w:r>
                </w:p>
              </w:tc>
              <w:tc>
                <w:tcPr>
                  <w:tcW w:w="1179"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≤0.2mg/L</w:t>
                  </w:r>
                </w:p>
              </w:tc>
            </w:tr>
            <w:tr>
              <w:tblPrEx>
                <w:tblLayout w:type="fixed"/>
                <w:tblCellMar>
                  <w:top w:w="0" w:type="dxa"/>
                  <w:left w:w="108" w:type="dxa"/>
                  <w:bottom w:w="0" w:type="dxa"/>
                  <w:right w:w="108" w:type="dxa"/>
                </w:tblCellMar>
              </w:tblPrEx>
              <w:trPr>
                <w:trHeight w:val="20" w:hRule="atLeast"/>
              </w:trPr>
              <w:tc>
                <w:tcPr>
                  <w:tcW w:w="1461" w:type="dxa"/>
                  <w:vMerge w:val="continue"/>
                  <w:tcBorders>
                    <w:top w:val="nil"/>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p>
              </w:tc>
              <w:tc>
                <w:tcPr>
                  <w:tcW w:w="2463"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水样浓度≥2.0mg/L</w:t>
                  </w:r>
                </w:p>
              </w:tc>
              <w:tc>
                <w:tcPr>
                  <w:tcW w:w="1179" w:type="dxa"/>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≤10.0%</w:t>
                  </w:r>
                </w:p>
              </w:tc>
            </w:tr>
            <w:tr>
              <w:tblPrEx>
                <w:tblLayout w:type="fixed"/>
                <w:tblCellMar>
                  <w:top w:w="0" w:type="dxa"/>
                  <w:left w:w="108" w:type="dxa"/>
                  <w:bottom w:w="0" w:type="dxa"/>
                  <w:right w:w="108" w:type="dxa"/>
                </w:tblCellMar>
              </w:tblPrEx>
              <w:trPr>
                <w:trHeight w:val="20" w:hRule="atLeast"/>
              </w:trPr>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最小维护周期</w:t>
                  </w:r>
                </w:p>
              </w:tc>
              <w:tc>
                <w:tcPr>
                  <w:tcW w:w="3642" w:type="dxa"/>
                  <w:gridSpan w:val="2"/>
                  <w:tcBorders>
                    <w:top w:val="single" w:color="000000" w:sz="4" w:space="0"/>
                    <w:left w:val="nil"/>
                    <w:bottom w:val="single" w:color="000000" w:sz="4" w:space="0"/>
                    <w:right w:val="single" w:color="000000"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≥168h</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台</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1300000.00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中国、岛津企业管理（中国）有限公司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水质五参数分析仪</w:t>
            </w:r>
          </w:p>
        </w:tc>
        <w:tc>
          <w:tcPr>
            <w:tcW w:w="1418" w:type="dxa"/>
            <w:tcBorders>
              <w:top w:val="nil"/>
              <w:left w:val="nil"/>
              <w:bottom w:val="single" w:color="auto" w:sz="4" w:space="0"/>
              <w:right w:val="single" w:color="auto" w:sz="4" w:space="0"/>
            </w:tcBorders>
            <w:shd w:val="clear" w:color="auto" w:fill="auto"/>
            <w:noWrap/>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理工环科、WQMS2000-MS5</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1.水温水质自动分析仪</w:t>
            </w:r>
          </w:p>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296"/>
              <w:gridCol w:w="2807"/>
            </w:tblGrid>
            <w:tr>
              <w:tblPrEx>
                <w:shd w:val="clear" w:color="auto" w:fill="FFFFFF" w:themeFill="background1"/>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热电阻</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0℃～60℃，可调</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准确度</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±0.5℃</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MTBF</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≥1440h/次</w:t>
                  </w:r>
                </w:p>
              </w:tc>
            </w:tr>
          </w:tbl>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2.pH水质自动分析仪</w:t>
            </w:r>
          </w:p>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246"/>
              <w:gridCol w:w="2857"/>
            </w:tblGrid>
            <w:tr>
              <w:tblPrEx>
                <w:shd w:val="clear" w:color="auto" w:fill="FFFFFF" w:themeFill="background1"/>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玻璃电极法</w:t>
                  </w:r>
                </w:p>
              </w:tc>
            </w:tr>
            <w:tr>
              <w:tblPrEx>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pH0～14（0～40℃），可调</w:t>
                  </w:r>
                </w:p>
              </w:tc>
            </w:tr>
            <w:tr>
              <w:tblPrEx>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漂移（pH=4、7、9）</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±0.1pH</w:t>
                  </w:r>
                </w:p>
              </w:tc>
            </w:tr>
            <w:tr>
              <w:tblPrEx>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±0.1pH</w:t>
                  </w:r>
                </w:p>
              </w:tc>
            </w:tr>
            <w:tr>
              <w:tblPrEx>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响应时间</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≤30s</w:t>
                  </w:r>
                </w:p>
              </w:tc>
            </w:tr>
            <w:tr>
              <w:tblPrEx>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温度补偿精度</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±0.1pH</w:t>
                  </w:r>
                </w:p>
              </w:tc>
            </w:tr>
            <w:tr>
              <w:tblPrEx>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MTBF</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≥1440h/次</w:t>
                  </w:r>
                </w:p>
              </w:tc>
            </w:tr>
            <w:tr>
              <w:tblPrEx>
                <w:tblLayout w:type="fixed"/>
                <w:tblCellMar>
                  <w:top w:w="0" w:type="dxa"/>
                  <w:left w:w="108" w:type="dxa"/>
                  <w:bottom w:w="0" w:type="dxa"/>
                  <w:right w:w="108" w:type="dxa"/>
                </w:tblCellMar>
              </w:tblPrEx>
              <w:trPr>
                <w:trHeight w:val="283" w:hRule="atLeast"/>
              </w:trPr>
              <w:tc>
                <w:tcPr>
                  <w:tcW w:w="2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实际水样比对试验</w:t>
                  </w:r>
                </w:p>
              </w:tc>
              <w:tc>
                <w:tcPr>
                  <w:tcW w:w="285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±0.1pH</w:t>
                  </w:r>
                </w:p>
              </w:tc>
            </w:tr>
          </w:tbl>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3.溶解氧水质自动分析仪</w:t>
            </w:r>
          </w:p>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296"/>
              <w:gridCol w:w="2807"/>
            </w:tblGrid>
            <w:tr>
              <w:tblPrEx>
                <w:shd w:val="clear" w:color="auto" w:fill="FFFFFF" w:themeFill="background1"/>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电化学法</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0～20mg/L，可调</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零点漂移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±0.3mg/L</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±0.3mg/L</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±0.3mg/L</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响应时间（T90）</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≤120s</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温度补偿精度</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±0.3mg/L</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MTBF</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≥1440h/次</w:t>
                  </w:r>
                </w:p>
              </w:tc>
            </w:tr>
            <w:tr>
              <w:tblPrEx>
                <w:tblLayout w:type="fixed"/>
                <w:tblCellMar>
                  <w:top w:w="0" w:type="dxa"/>
                  <w:left w:w="108" w:type="dxa"/>
                  <w:bottom w:w="0" w:type="dxa"/>
                  <w:right w:w="108" w:type="dxa"/>
                </w:tblCellMar>
              </w:tblPrEx>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实际水样比对试验</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±0.3mg/L</w:t>
                  </w:r>
                </w:p>
              </w:tc>
            </w:tr>
          </w:tbl>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4.电导率水质自动分析仪</w:t>
            </w:r>
          </w:p>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296"/>
              <w:gridCol w:w="2807"/>
            </w:tblGrid>
            <w:tr>
              <w:tblPrEx>
                <w:shd w:val="clear" w:color="auto" w:fill="FFFFFF" w:themeFill="background1"/>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电极法</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最小检测范围</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0～500mS/m（0～40℃），可调</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重复性误差</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零点漂移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响应时间（T90）</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≤30s</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温度补偿精度</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MTBF</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≥1440h/次</w:t>
                  </w:r>
                </w:p>
              </w:tc>
            </w:tr>
          </w:tbl>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5.浊度水质自动分析仪</w:t>
            </w:r>
          </w:p>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296"/>
              <w:gridCol w:w="2807"/>
            </w:tblGrid>
            <w:tr>
              <w:tblPrEx>
                <w:shd w:val="clear" w:color="auto" w:fill="FFFFFF" w:themeFill="background1"/>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光散射法</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0～1000/4000NTU，可调</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零点漂移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线性误差</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MTBF</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≥720h/次</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实际水样比对试验</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台</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90000.00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1170000.00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中国、宁波理工环境能源科技股份有限公司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高锰酸盐指数分析仪</w:t>
            </w:r>
          </w:p>
        </w:tc>
        <w:tc>
          <w:tcPr>
            <w:tcW w:w="1418" w:type="dxa"/>
            <w:tcBorders>
              <w:top w:val="nil"/>
              <w:left w:val="nil"/>
              <w:bottom w:val="single" w:color="auto" w:sz="4" w:space="0"/>
              <w:right w:val="single" w:color="auto" w:sz="4" w:space="0"/>
            </w:tcBorders>
            <w:shd w:val="clear" w:color="auto" w:fill="auto"/>
            <w:noWrap/>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理工环科、WQMS2000-CODmn</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296"/>
              <w:gridCol w:w="2807"/>
            </w:tblGrid>
            <w:tr>
              <w:tblPrEx>
                <w:shd w:val="clear" w:color="auto" w:fill="FFFFFF" w:themeFill="background1"/>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高锰酸钾氧化法</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0～20mg/L，可调</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零点漂移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葡萄糖试验</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±5%（测量误差）</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检出限</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≤0.4mg/L</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MTBF</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≥1440h/次</w:t>
                  </w:r>
                </w:p>
              </w:tc>
            </w:tr>
            <w:tr>
              <w:tblPrEx>
                <w:tblLayout w:type="fixed"/>
                <w:tblCellMar>
                  <w:top w:w="0" w:type="dxa"/>
                  <w:left w:w="108" w:type="dxa"/>
                  <w:bottom w:w="0" w:type="dxa"/>
                  <w:right w:w="108" w:type="dxa"/>
                </w:tblCellMar>
              </w:tblPrEx>
              <w:trPr>
                <w:trHeight w:val="283"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实际水样比对试验</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台</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19</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1900000.00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中国、宁波理工环境能源科技股份有限公司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6</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总磷分析仪</w:t>
            </w:r>
          </w:p>
        </w:tc>
        <w:tc>
          <w:tcPr>
            <w:tcW w:w="1418" w:type="dxa"/>
            <w:tcBorders>
              <w:top w:val="nil"/>
              <w:left w:val="nil"/>
              <w:bottom w:val="single" w:color="auto" w:sz="4" w:space="0"/>
              <w:right w:val="single" w:color="auto" w:sz="4" w:space="0"/>
            </w:tcBorders>
            <w:shd w:val="clear" w:color="auto" w:fill="auto"/>
            <w:noWrap/>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理工环科、WQMS2000-TP</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296"/>
              <w:gridCol w:w="2807"/>
            </w:tblGrid>
            <w:tr>
              <w:tblPrEx>
                <w:shd w:val="clear" w:color="auto" w:fill="FFFFFF" w:themeFill="background1"/>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钼酸铵分光光度法</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0～2</w:t>
                  </w:r>
                  <w:r>
                    <w:rPr>
                      <w:rFonts w:asciiTheme="minorEastAsia" w:hAnsiTheme="minorEastAsia" w:eastAsiaTheme="minorEastAsia"/>
                      <w:sz w:val="18"/>
                      <w:szCs w:val="18"/>
                    </w:rPr>
                    <w:t>/5/10/</w:t>
                  </w:r>
                  <w:r>
                    <w:rPr>
                      <w:rFonts w:hint="eastAsia" w:asciiTheme="minorEastAsia" w:hAnsiTheme="minorEastAsia" w:eastAsiaTheme="minorEastAsia"/>
                      <w:sz w:val="18"/>
                      <w:szCs w:val="18"/>
                    </w:rPr>
                    <w:t>20mg/L可调</w:t>
                  </w:r>
                </w:p>
                <w:p>
                  <w:pPr>
                    <w:jc w:val="both"/>
                    <w:rPr>
                      <w:rFonts w:asciiTheme="minorEastAsia" w:hAnsiTheme="minorEastAsia" w:eastAsiaTheme="minorEastAsia"/>
                      <w:sz w:val="18"/>
                      <w:szCs w:val="18"/>
                    </w:rPr>
                  </w:pPr>
                  <w:r>
                    <w:rPr>
                      <w:rFonts w:asciiTheme="minorEastAsia" w:hAnsiTheme="minorEastAsia" w:eastAsiaTheme="minorEastAsia"/>
                      <w:sz w:val="18"/>
                      <w:szCs w:val="18"/>
                    </w:rPr>
                    <w:t>超量程自动调档再测</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零点漂移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量程漂移</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直线性</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检出限</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≤0.01mg/L</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MTBF</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≥1440h/次</w:t>
                  </w:r>
                </w:p>
              </w:tc>
            </w:tr>
            <w:tr>
              <w:tblPrEx>
                <w:tblLayout w:type="fixed"/>
                <w:tblCellMar>
                  <w:top w:w="0" w:type="dxa"/>
                  <w:left w:w="108" w:type="dxa"/>
                  <w:bottom w:w="0" w:type="dxa"/>
                  <w:right w:w="108" w:type="dxa"/>
                </w:tblCellMar>
              </w:tblPrEx>
              <w:trPr>
                <w:trHeight w:val="284" w:hRule="atLeast"/>
              </w:trPr>
              <w:tc>
                <w:tcPr>
                  <w:tcW w:w="229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实际水样比对试验</w:t>
                  </w:r>
                </w:p>
              </w:tc>
              <w:tc>
                <w:tcPr>
                  <w:tcW w:w="280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台</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12</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1200000.00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中国、宁波理工环境能源科技股份有限公司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7</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总氮分析仪</w:t>
            </w:r>
          </w:p>
        </w:tc>
        <w:tc>
          <w:tcPr>
            <w:tcW w:w="1418" w:type="dxa"/>
            <w:tcBorders>
              <w:top w:val="nil"/>
              <w:left w:val="nil"/>
              <w:bottom w:val="single" w:color="auto" w:sz="4" w:space="0"/>
              <w:right w:val="single" w:color="auto" w:sz="4" w:space="0"/>
            </w:tcBorders>
            <w:shd w:val="clear" w:color="auto" w:fill="auto"/>
            <w:noWrap/>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理工环科、WQMS2000-TN</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155"/>
              <w:gridCol w:w="2948"/>
            </w:tblGrid>
            <w:tr>
              <w:tblPrEx>
                <w:shd w:val="clear" w:color="auto" w:fill="FFFFFF" w:themeFill="background1"/>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碱性过硫酸钾消解紫外分光光度法</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0～20mg/L，可调</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零点漂移</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量程漂移</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直线性</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检出限</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≤0.1mg/L</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MTBF</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≥1440h/次</w:t>
                  </w:r>
                </w:p>
              </w:tc>
            </w:tr>
            <w:tr>
              <w:tblPrEx>
                <w:tblLayout w:type="fixed"/>
                <w:tblCellMar>
                  <w:top w:w="0" w:type="dxa"/>
                  <w:left w:w="108" w:type="dxa"/>
                  <w:bottom w:w="0" w:type="dxa"/>
                  <w:right w:w="108" w:type="dxa"/>
                </w:tblCellMar>
              </w:tblPrEx>
              <w:trPr>
                <w:trHeight w:val="340" w:hRule="atLeast"/>
              </w:trPr>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实际水样比对试验</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台</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12</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1200000.00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中国、宁波理工环境能源科技股份有限公司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8</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化学需氧量分析仪</w:t>
            </w:r>
          </w:p>
        </w:tc>
        <w:tc>
          <w:tcPr>
            <w:tcW w:w="1418" w:type="dxa"/>
            <w:tcBorders>
              <w:top w:val="nil"/>
              <w:left w:val="nil"/>
              <w:bottom w:val="single" w:color="auto" w:sz="4" w:space="0"/>
              <w:right w:val="single" w:color="auto" w:sz="4" w:space="0"/>
            </w:tcBorders>
            <w:shd w:val="clear" w:color="auto" w:fill="auto"/>
            <w:noWrap/>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深圳朗石、PhotoTek 6000</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155"/>
              <w:gridCol w:w="2948"/>
            </w:tblGrid>
            <w:tr>
              <w:tblPrEx>
                <w:shd w:val="clear" w:color="auto" w:fill="FFFFFF" w:themeFill="background1"/>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r>
            <w:tr>
              <w:tblPrEx>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测定原理</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重铬酸钾法</w:t>
                  </w:r>
                </w:p>
              </w:tc>
            </w:tr>
            <w:tr>
              <w:tblPrEx>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0～5000mg/L</w:t>
                  </w:r>
                </w:p>
              </w:tc>
            </w:tr>
            <w:tr>
              <w:tblPrEx>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分辨率</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0.1mg/L</w:t>
                  </w:r>
                </w:p>
              </w:tc>
            </w:tr>
            <w:tr>
              <w:tblPrEx>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重复性</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±2%/F.S/日以内</w:t>
                  </w:r>
                </w:p>
              </w:tc>
            </w:tr>
            <w:tr>
              <w:tblPrEx>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准确度</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r>
            <w:tr>
              <w:tblPrEx>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零点漂移</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±1%/F.S/日以内</w:t>
                  </w:r>
                </w:p>
              </w:tc>
            </w:tr>
            <w:tr>
              <w:tblPrEx>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量程漂移</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±2%/F.S/日以内</w:t>
                  </w:r>
                </w:p>
              </w:tc>
            </w:tr>
            <w:tr>
              <w:tblPrEx>
                <w:tblLayout w:type="fixed"/>
                <w:tblCellMar>
                  <w:top w:w="0" w:type="dxa"/>
                  <w:left w:w="108" w:type="dxa"/>
                  <w:bottom w:w="0" w:type="dxa"/>
                  <w:right w:w="108" w:type="dxa"/>
                </w:tblCellMar>
              </w:tblPrEx>
              <w:tc>
                <w:tcPr>
                  <w:tcW w:w="2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维护周期</w:t>
                  </w:r>
                </w:p>
              </w:tc>
              <w:tc>
                <w:tcPr>
                  <w:tcW w:w="294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≥7天</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台</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1300000.00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中国、深圳市朗石科学仪器有限公司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9</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采水系统</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尚洋环科、尚洋定制</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总体设计：采水系统由我公司根据现场情况，设计建设方案（栈桥、浮船、固定采水箱等）。采水系统要求如下：采样头在水面下0.5-1.0米浮动，并与水体底部有足够的距离（枯水期＞1米），以保证不受水体底部泥沙的影响。</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采水系统采用双泵、双管路设计，可互为备份，方便检修和维护。</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水泵选用潜水泵、自吸泵或潜污泵，可有效防止堵塞，采水泵流量保证3T/h以上；室外采水管路超过100米时，采水泵电缆选用比泵线线径大一倍的电缆，以避免压降。采水系统的总水量可以满足所有仪器的用水要求，兼顾将来增加2-3台分析仪器的需要。</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采水系统保证在河流不断流（采水点位上、下游50米无水）的情况下，能够正常采水。可以根据河流丰、枯水期点位变化情况，动态调整采水位置。</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栈桥式采水方式保证坚固稳定，能抵挡洪水</w:t>
            </w:r>
            <w:bookmarkStart w:id="0" w:name="_GoBack"/>
            <w:bookmarkEnd w:id="0"/>
            <w:r>
              <w:rPr>
                <w:rFonts w:hint="eastAsia" w:asciiTheme="minorEastAsia" w:hAnsiTheme="minorEastAsia" w:eastAsiaTheme="minorEastAsia"/>
                <w:sz w:val="18"/>
                <w:szCs w:val="18"/>
              </w:rPr>
              <w:t>的冲击不被损坏。</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采水装置有清洗反吹系统，防止藻类的生成，避免影响水质。</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取水口有防堵塞措施。</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通过流量或压力显示取水状态并能报警。</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采水系统管路和电路分开安装，采水管路材质保证不影响水质变化，管路外有必要的防水、防压、防冻保护措施，电线安装套管，采水管路和电路深埋不得小于80厘米，过路时加装钢套管。</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采水单元需要设计并制作必要的保温、防冻、防压、防淤、防撞、防盗措施，并对采水设备和设施进行必要的固定。</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390000.00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中国、北京尚洋东方环境科技有限公司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预处理系统</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尚洋环科、尚洋定制</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总体设计：所有主管路采用串联方式，管路干路中无阻拦式过滤装置，每台仪器都从各自的过滤装置中取水，任何仪器出现故障都不会影响其他仪器的工作。满足各仪器对样品的要求，满足所有仪器的需水量。测量杯至分析仪器的管路，尽可能的短。根据仪器对水样的要求，对水样进行预处理，使各仪器可以从各自专门的过滤装置中取样，且过滤后的水质不能改变水样的代表性。要求配水管路采用化学稳定性好，不影响水质的优质UPVC管材，管路要求易于拆卸清洗和安装。配水管路设取样口，便于留取样品。设观察孔，方便随时观察管路中泥沙和藻类的孳生情况。有旁路设计防止在部分管路需要维修或维护时，导致后续设备供水故障。有排空设计，在每次测试完毕后可自动用自来水冲洗管道，冲洗完毕后自动排空。各仪器配水管路采用并联取水方式，每个设备具有独立的水量控制手阀，可根据设备需水量进行供水控制。管路预留多个仪器扩展接口，可方便系统的升级。配水管线设压力变送器，用于辅助调节流量及判断配水单元工作状态。旁路设计要求：方便系统进行维护，在主管路上，每台仪器都要设有旁路系统，通过手动阀来进行调节。保证单台仪器、过滤器损坏或者需要维护时，不影响其他仪器的正常工作。</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390000.00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中国、北京尚洋东方环境科技有限公司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11</w:t>
            </w:r>
          </w:p>
        </w:tc>
        <w:tc>
          <w:tcPr>
            <w:tcW w:w="13467" w:type="dxa"/>
            <w:gridSpan w:val="8"/>
            <w:tcBorders>
              <w:top w:val="single" w:color="auto" w:sz="4" w:space="0"/>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辅助系统</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11.1</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稳压电源</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鸿宝电器、JSW-15kVA</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电源功率：15KVA</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输入电压：三相320V～430V；</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输出电压：三相380V±1%；</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频率：50±2Hz；</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过压保护：三相426±7V；</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负载效应：≤±0.5%；</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效率：＞93%；</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响应时间：20ms～100ms；</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环境温度：-10℃～+40℃；</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音频噪音：≤60dB；距离1m；</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抗电强度：1500V/min；</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绝缘电阻：三相＞5MΩ。</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4000.00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52000.00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中国、鸿宝电源集团股份有限公司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11.2</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UPS电源</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KATAR、GP806</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UPS单机功率为6KVA，在线式工频机，UPS带满载后备时间2小时，电池需配置65AH/12V蓄电池16节；</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具有输出过压保护、电池欠压保护、输入过压保护、三重过流保护功能、电池管理功能；内置输出隔离变压器；采用阀控密封式电池,要求为原厂生产，全新未使用。主机及电池免费质保3年。</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17000.00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221000.00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中国、深圳科士达科技股份有限公司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11.3</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空压机</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福建巨霸、BX1012</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配置无油静音空气压缩机，以供集成系统反吹使用。</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39000.00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中国、福建巨霸机械有限公司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11.4</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视频监控</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海康威视、海康定制</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视频监控单元由前端系统、传输网络和监控平台三部分组成，可远程监视水质自动监测站内设备（采水单元、自动监测分析仪器、供电系统、数据采集及传输系统等）的整体运行情况，观察取水工程（取样水泵、浮台等）工作状况，水站周边的水位、流量等水文情况，同时也可观察水站院落、站房、供电线路等周边环境。其中，前端系统主要对监控区域现场视音频、环境信息、报警信息等进行采集、编码、储存及上传，并通过客户端平台预置的规则进行自动化联动；传输网络主要用于前端与平台、平台之间的通信，确保前端系统的视音频、环境信息、报警信息可实时稳定上传至监控中心；监控平台主要用于对监控设备的控制和满足用户查看环境信息、视音频资料。</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微型站的视频监控单元实现对站内仪器设备的监控和对站点周围环境的不间断监控。至少能保存1月以上的高清影像（至少720p）视频。视频监控单元的软件系统很好的兼容性，具备视频回放功能。</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15</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150000.00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中国、杭州海康威视数字技术股份有限公司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11.5</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动环及门禁系统</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尚洋环科、尚洋定制</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环境温湿度、烟感、水患、电压、电流数据自动采集、存储，并可对排气扇、空调等设施进行自动控制。温度控制在8℃～30℃，相对湿度控制在80％以下，避免阳光直射仪器。配备智能门禁系统，可远程控制。</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15</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15000.00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225000.00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中国、北京尚洋东方环境科技有限公司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12</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数据采集和传输系统</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尚洋环科、尚洋定制</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数据传输单元具备监测仪器的数据采集与处理，各单元的状态收集，数据上传至省、市自动监测系统中心的作用。数据传输单元采用国家统一的通讯协议，保证以有线和无线的方式实现数据和各单元实时状态的传输。能适时采集监测分析仪器数据，对数据进行初步分析和管理，实现远程对微型站的反控，综合报表的生成与上报，上传异常和报警信息，满足监测分析仪器的扩充。</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数据传输以光纤/ADSL有线网络传输为主。现场条件不具备的情况下，可选用无线网络进行传输，站点现场通过手机等通讯设备进行通话测试，通讯方式选择至少两家通讯运营商，无线传输网络（固定IP优先）满足数据传输要求及视频远程查看要求，传输带宽不小于20兆。</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通过规定的数字通讯接口采集监测仪器实时数据并存储，数据以光纤通讯、有线或无线通讯方式进行数据传输进入省中心数据库。</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现场可动态显示系统的实时状态，实时数据，历史报表和历史报警。</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具有远程显示现场工作状态、仪器设备故障自动报警、异常值自动报警和参数超标（上、下限）报警、并能将报警信号自动发送至各级监控中心。</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测量数据及实时状态的查询功能，按需要进行各种方式的数据查询。</w:t>
            </w:r>
          </w:p>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子站能储存1年上的原始数据，同时保存相应时期发生的有关校准、断电及其他事件记录。</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19</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20000.00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380000.00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中国、北京尚洋东方环境科技有限公司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质量控制系统</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理工环科、DAQM1000</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能够按照设定周期或远程接受指令，实现对高锰酸盐指数、氨氮、总磷和总氮水质自动分析仪器进行标样自动核查、平行样品自动测试、自动加标回收率测试等质控功能；具备高锰酸盐指数、氨氮、总磷和总氮水质自动分析仪器进行24小时零点漂移和24小时量程漂移自动核查、零点校准、标样校准等质控功能；满足国家和省里出台的最新相关技术要求。</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19</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200000.00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3800000.00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中国、宁波理工环境能源科技股份有限公司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自动留样系统</w:t>
            </w:r>
          </w:p>
        </w:tc>
        <w:tc>
          <w:tcPr>
            <w:tcW w:w="1418" w:type="dxa"/>
            <w:tcBorders>
              <w:top w:val="nil"/>
              <w:left w:val="nil"/>
              <w:bottom w:val="single" w:color="auto" w:sz="4" w:space="0"/>
              <w:right w:val="single" w:color="auto" w:sz="4" w:space="0"/>
            </w:tcBorders>
            <w:shd w:val="clear" w:color="auto" w:fill="auto"/>
            <w:noWrap/>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理工环科、WQMS2000-WMC</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具备水样冷藏功能，温度在4±2℃，留样瓶数12个，留样瓶由惰性材料制成，易清洗，容量在1000mL以上，留样瓶具有密封功能，具有留样后自动排空的功能，配置门禁系统，具有留样失败报警功能。</w:t>
            </w:r>
          </w:p>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2552"/>
              <w:gridCol w:w="2551"/>
            </w:tblGrid>
            <w:tr>
              <w:tblPrEx>
                <w:shd w:val="clear" w:color="auto" w:fill="FFFFFF" w:themeFill="background1"/>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技术指标</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技术参数</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采样量</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5～1000mL/瓶</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采样精度</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≤±5%F·S</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流量测量范围</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0～2000m</w:t>
                  </w:r>
                  <w:r>
                    <w:rPr>
                      <w:rFonts w:hint="eastAsia" w:asciiTheme="minorEastAsia" w:hAnsiTheme="minorEastAsia" w:eastAsiaTheme="minorEastAsia"/>
                      <w:sz w:val="18"/>
                      <w:szCs w:val="18"/>
                      <w:vertAlign w:val="superscript"/>
                    </w:rPr>
                    <w:t>3</w:t>
                  </w:r>
                  <w:r>
                    <w:rPr>
                      <w:rFonts w:hint="eastAsia" w:asciiTheme="minorEastAsia" w:hAnsiTheme="minorEastAsia" w:eastAsiaTheme="minorEastAsia"/>
                      <w:sz w:val="18"/>
                      <w:szCs w:val="18"/>
                    </w:rPr>
                    <w:t>/h</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流量输入信号</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4～20mA</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标配通讯接口</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标准RS232或485</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工作电源</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180V.AC～250V.AC</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采样器工作温度范围</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0～60℃</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平均无故障运行时间</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≥1440h/次</w:t>
                  </w:r>
                </w:p>
              </w:tc>
            </w:tr>
            <w:tr>
              <w:tblPrEx>
                <w:tblLayout w:type="fixed"/>
                <w:tblCellMar>
                  <w:top w:w="0" w:type="dxa"/>
                  <w:left w:w="108" w:type="dxa"/>
                  <w:bottom w:w="0" w:type="dxa"/>
                  <w:right w:w="108" w:type="dxa"/>
                </w:tblCellMar>
              </w:tblPrEx>
              <w:trPr>
                <w:trHeight w:val="113" w:hRule="atLeast"/>
              </w:trPr>
              <w:tc>
                <w:tcPr>
                  <w:tcW w:w="25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绝缘阻抗</w:t>
                  </w:r>
                </w:p>
              </w:tc>
              <w:tc>
                <w:tcPr>
                  <w:tcW w:w="2551"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＞50MΩ</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19</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30000.00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570000.00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中国、宁波理工环境能源科技股份有限公司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15</w:t>
            </w:r>
          </w:p>
        </w:tc>
        <w:tc>
          <w:tcPr>
            <w:tcW w:w="13467" w:type="dxa"/>
            <w:gridSpan w:val="8"/>
            <w:tcBorders>
              <w:top w:val="single" w:color="auto" w:sz="4" w:space="0"/>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控制单元</w:t>
            </w:r>
          </w:p>
        </w:tc>
      </w:tr>
      <w:tr>
        <w:tblPrEx>
          <w:tblLayout w:type="fixed"/>
          <w:tblCellMar>
            <w:top w:w="0" w:type="dxa"/>
            <w:left w:w="108" w:type="dxa"/>
            <w:bottom w:w="0" w:type="dxa"/>
            <w:right w:w="108" w:type="dxa"/>
          </w:tblCellMar>
        </w:tblPrEx>
        <w:trPr>
          <w:trHeight w:val="397" w:hRule="atLeast"/>
        </w:trPr>
        <w:tc>
          <w:tcPr>
            <w:tcW w:w="675" w:type="dxa"/>
            <w:vMerge w:val="restart"/>
            <w:tcBorders>
              <w:top w:val="nil"/>
              <w:left w:val="single" w:color="auto" w:sz="4" w:space="0"/>
              <w:bottom w:val="single" w:color="000000"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15.1</w:t>
            </w:r>
          </w:p>
        </w:tc>
        <w:tc>
          <w:tcPr>
            <w:tcW w:w="1276" w:type="dxa"/>
            <w:vMerge w:val="restart"/>
            <w:tcBorders>
              <w:top w:val="nil"/>
              <w:left w:val="single" w:color="auto" w:sz="4" w:space="0"/>
              <w:bottom w:val="single" w:color="000000"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工控机</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得丽珑、G730CQC</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shd w:val="clear" w:color="auto" w:fill="FFFFFF" w:themeFill="background1"/>
              <w:tblLayout w:type="fixed"/>
              <w:tblCellMar>
                <w:top w:w="15" w:type="dxa"/>
                <w:left w:w="108" w:type="dxa"/>
                <w:bottom w:w="15" w:type="dxa"/>
                <w:right w:w="108" w:type="dxa"/>
              </w:tblCellMar>
            </w:tblPr>
            <w:tblGrid>
              <w:gridCol w:w="766"/>
              <w:gridCol w:w="1190"/>
              <w:gridCol w:w="3147"/>
            </w:tblGrid>
            <w:tr>
              <w:tblPrEx>
                <w:shd w:val="clear" w:color="auto" w:fill="FFFFFF" w:themeFill="background1"/>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序号</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指标名称</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性能指标</w:t>
                  </w:r>
                </w:p>
              </w:tc>
            </w:tr>
            <w:tr>
              <w:tblPrEx>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CPU</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3.</w:t>
                  </w:r>
                  <w:r>
                    <w:rPr>
                      <w:rFonts w:hint="eastAsia" w:asciiTheme="minorEastAsia" w:hAnsiTheme="minorEastAsia" w:eastAsiaTheme="minorEastAsia"/>
                      <w:sz w:val="18"/>
                      <w:szCs w:val="18"/>
                    </w:rPr>
                    <w:t>3</w:t>
                  </w:r>
                  <w:r>
                    <w:rPr>
                      <w:rFonts w:asciiTheme="minorEastAsia" w:hAnsiTheme="minorEastAsia" w:eastAsiaTheme="minorEastAsia"/>
                      <w:sz w:val="18"/>
                      <w:szCs w:val="18"/>
                    </w:rPr>
                    <w:t>GHz</w:t>
                  </w:r>
                </w:p>
              </w:tc>
            </w:tr>
            <w:tr>
              <w:tblPrEx>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内存</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8GB</w:t>
                  </w:r>
                </w:p>
              </w:tc>
            </w:tr>
            <w:tr>
              <w:tblPrEx>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硬盘容量</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1T</w:t>
                  </w:r>
                </w:p>
              </w:tc>
            </w:tr>
            <w:tr>
              <w:tblPrEx>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4</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显示器</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17英寸，液晶显示器</w:t>
                  </w:r>
                </w:p>
              </w:tc>
            </w:tr>
            <w:tr>
              <w:tblPrEx>
                <w:tblLayout w:type="fixed"/>
                <w:tblCellMar>
                  <w:top w:w="15" w:type="dxa"/>
                  <w:left w:w="108" w:type="dxa"/>
                  <w:bottom w:w="15" w:type="dxa"/>
                  <w:right w:w="108" w:type="dxa"/>
                </w:tblCellMar>
              </w:tblPrEx>
              <w:trPr>
                <w:trHeight w:val="283" w:hRule="atLeast"/>
              </w:trPr>
              <w:tc>
                <w:tcPr>
                  <w:tcW w:w="766" w:type="dxa"/>
                  <w:vMerge w:val="restart"/>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5</w:t>
                  </w:r>
                </w:p>
              </w:tc>
              <w:tc>
                <w:tcPr>
                  <w:tcW w:w="1190" w:type="dxa"/>
                  <w:vMerge w:val="restart"/>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通讯接口</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RS232/485COM</w:t>
                  </w:r>
                  <w:r>
                    <w:rPr>
                      <w:rFonts w:hint="eastAsia" w:asciiTheme="minorEastAsia" w:hAnsiTheme="minorEastAsia" w:eastAsiaTheme="minorEastAsia"/>
                      <w:sz w:val="18"/>
                      <w:szCs w:val="18"/>
                    </w:rPr>
                    <w:t>口，不小于</w:t>
                  </w:r>
                  <w:r>
                    <w:rPr>
                      <w:rFonts w:asciiTheme="minorEastAsia" w:hAnsiTheme="minorEastAsia" w:eastAsiaTheme="minorEastAsia"/>
                      <w:sz w:val="18"/>
                      <w:szCs w:val="18"/>
                    </w:rPr>
                    <w:t>8</w:t>
                  </w:r>
                  <w:r>
                    <w:rPr>
                      <w:rFonts w:hint="eastAsia" w:asciiTheme="minorEastAsia" w:hAnsiTheme="minorEastAsia" w:eastAsiaTheme="minorEastAsia"/>
                      <w:sz w:val="18"/>
                      <w:szCs w:val="18"/>
                    </w:rPr>
                    <w:t>个</w:t>
                  </w:r>
                </w:p>
              </w:tc>
            </w:tr>
            <w:tr>
              <w:tblPrEx>
                <w:tblLayout w:type="fixed"/>
                <w:tblCellMar>
                  <w:top w:w="15" w:type="dxa"/>
                  <w:left w:w="108" w:type="dxa"/>
                  <w:bottom w:w="15" w:type="dxa"/>
                  <w:right w:w="108" w:type="dxa"/>
                </w:tblCellMar>
              </w:tblPrEx>
              <w:trPr>
                <w:trHeight w:val="283" w:hRule="atLeast"/>
              </w:trPr>
              <w:tc>
                <w:tcPr>
                  <w:tcW w:w="766"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190"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网口，不少于</w:t>
                  </w:r>
                  <w:r>
                    <w:rPr>
                      <w:rFonts w:asciiTheme="minorEastAsia" w:hAnsiTheme="minorEastAsia" w:eastAsiaTheme="minorEastAsia"/>
                      <w:sz w:val="18"/>
                      <w:szCs w:val="18"/>
                    </w:rPr>
                    <w:t>2</w:t>
                  </w:r>
                  <w:r>
                    <w:rPr>
                      <w:rFonts w:hint="eastAsia" w:asciiTheme="minorEastAsia" w:hAnsiTheme="minorEastAsia" w:eastAsiaTheme="minorEastAsia"/>
                      <w:sz w:val="18"/>
                      <w:szCs w:val="18"/>
                    </w:rPr>
                    <w:t>个</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12</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6000.00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72000.00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中国、广州云慧计算机有限公司</w:t>
            </w:r>
          </w:p>
        </w:tc>
      </w:tr>
      <w:tr>
        <w:tblPrEx>
          <w:tblLayout w:type="fixed"/>
          <w:tblCellMar>
            <w:top w:w="0" w:type="dxa"/>
            <w:left w:w="108" w:type="dxa"/>
            <w:bottom w:w="0" w:type="dxa"/>
            <w:right w:w="108" w:type="dxa"/>
          </w:tblCellMar>
        </w:tblPrEx>
        <w:trPr>
          <w:trHeight w:val="397" w:hRule="atLeast"/>
        </w:trPr>
        <w:tc>
          <w:tcPr>
            <w:tcW w:w="675" w:type="dxa"/>
            <w:vMerge w:val="continue"/>
            <w:tcBorders>
              <w:top w:val="nil"/>
              <w:left w:val="single" w:color="auto" w:sz="4" w:space="0"/>
              <w:bottom w:val="single" w:color="000000" w:sz="4" w:space="0"/>
              <w:right w:val="single" w:color="auto" w:sz="4" w:space="0"/>
            </w:tcBorders>
            <w:shd w:val="clear" w:color="auto" w:fill="auto"/>
            <w:vAlign w:val="center"/>
          </w:tcPr>
          <w:p>
            <w:pPr>
              <w:jc w:val="both"/>
              <w:rPr>
                <w:rFonts w:asciiTheme="minorEastAsia" w:hAnsiTheme="minorEastAsia" w:eastAsiaTheme="minorEastAsia"/>
                <w:sz w:val="18"/>
                <w:szCs w:val="18"/>
              </w:rPr>
            </w:pPr>
          </w:p>
        </w:tc>
        <w:tc>
          <w:tcPr>
            <w:tcW w:w="1276" w:type="dxa"/>
            <w:vMerge w:val="continue"/>
            <w:tcBorders>
              <w:top w:val="nil"/>
              <w:left w:val="single" w:color="auto" w:sz="4" w:space="0"/>
              <w:bottom w:val="single" w:color="000000" w:sz="4" w:space="0"/>
              <w:right w:val="single" w:color="auto" w:sz="4" w:space="0"/>
            </w:tcBorders>
            <w:shd w:val="clear" w:color="auto" w:fill="auto"/>
            <w:vAlign w:val="center"/>
          </w:tcPr>
          <w:p>
            <w:pPr>
              <w:jc w:val="both"/>
              <w:rPr>
                <w:rFonts w:asciiTheme="minorEastAsia" w:hAnsiTheme="minorEastAsia" w:eastAsiaTheme="minorEastAsia"/>
                <w:sz w:val="18"/>
                <w:szCs w:val="18"/>
              </w:rPr>
            </w:pP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研华、IPC-610</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shd w:val="clear" w:color="auto" w:fill="FFFFFF" w:themeFill="background1"/>
              <w:tblLayout w:type="fixed"/>
              <w:tblCellMar>
                <w:top w:w="15" w:type="dxa"/>
                <w:left w:w="108" w:type="dxa"/>
                <w:bottom w:w="15" w:type="dxa"/>
                <w:right w:w="108" w:type="dxa"/>
              </w:tblCellMar>
            </w:tblPr>
            <w:tblGrid>
              <w:gridCol w:w="766"/>
              <w:gridCol w:w="1190"/>
              <w:gridCol w:w="3147"/>
            </w:tblGrid>
            <w:tr>
              <w:tblPrEx>
                <w:shd w:val="clear" w:color="auto" w:fill="FFFFFF" w:themeFill="background1"/>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序号</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指标名称</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性能指标</w:t>
                  </w:r>
                </w:p>
              </w:tc>
            </w:tr>
            <w:tr>
              <w:tblPrEx>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CPU</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3.</w:t>
                  </w:r>
                  <w:r>
                    <w:rPr>
                      <w:rFonts w:hint="eastAsia" w:asciiTheme="minorEastAsia" w:hAnsiTheme="minorEastAsia" w:eastAsiaTheme="minorEastAsia"/>
                      <w:sz w:val="18"/>
                      <w:szCs w:val="18"/>
                    </w:rPr>
                    <w:t>3</w:t>
                  </w:r>
                  <w:r>
                    <w:rPr>
                      <w:rFonts w:asciiTheme="minorEastAsia" w:hAnsiTheme="minorEastAsia" w:eastAsiaTheme="minorEastAsia"/>
                      <w:sz w:val="18"/>
                      <w:szCs w:val="18"/>
                    </w:rPr>
                    <w:t>GHz</w:t>
                  </w:r>
                </w:p>
              </w:tc>
            </w:tr>
            <w:tr>
              <w:tblPrEx>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内存</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8GB</w:t>
                  </w:r>
                </w:p>
              </w:tc>
            </w:tr>
            <w:tr>
              <w:tblPrEx>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硬盘容量</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1T</w:t>
                  </w:r>
                </w:p>
              </w:tc>
            </w:tr>
            <w:tr>
              <w:tblPrEx>
                <w:tblLayout w:type="fixed"/>
                <w:tblCellMar>
                  <w:top w:w="15" w:type="dxa"/>
                  <w:left w:w="108" w:type="dxa"/>
                  <w:bottom w:w="15" w:type="dxa"/>
                  <w:right w:w="108" w:type="dxa"/>
                </w:tblCellMar>
              </w:tblPrEx>
              <w:trPr>
                <w:trHeight w:val="283" w:hRule="atLeast"/>
              </w:trPr>
              <w:tc>
                <w:tcPr>
                  <w:tcW w:w="7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4</w:t>
                  </w:r>
                </w:p>
              </w:tc>
              <w:tc>
                <w:tcPr>
                  <w:tcW w:w="1190"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显示器</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19.5英寸，液晶显示器</w:t>
                  </w:r>
                </w:p>
              </w:tc>
            </w:tr>
            <w:tr>
              <w:tblPrEx>
                <w:tblLayout w:type="fixed"/>
                <w:tblCellMar>
                  <w:top w:w="15" w:type="dxa"/>
                  <w:left w:w="108" w:type="dxa"/>
                  <w:bottom w:w="15" w:type="dxa"/>
                  <w:right w:w="108" w:type="dxa"/>
                </w:tblCellMar>
              </w:tblPrEx>
              <w:trPr>
                <w:trHeight w:val="283" w:hRule="atLeast"/>
              </w:trPr>
              <w:tc>
                <w:tcPr>
                  <w:tcW w:w="766" w:type="dxa"/>
                  <w:vMerge w:val="restart"/>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5</w:t>
                  </w:r>
                </w:p>
              </w:tc>
              <w:tc>
                <w:tcPr>
                  <w:tcW w:w="1190" w:type="dxa"/>
                  <w:vMerge w:val="restart"/>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通讯接口</w:t>
                  </w: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asciiTheme="minorEastAsia" w:hAnsiTheme="minorEastAsia" w:eastAsiaTheme="minorEastAsia"/>
                      <w:sz w:val="18"/>
                      <w:szCs w:val="18"/>
                    </w:rPr>
                    <w:t>RS232/485COM</w:t>
                  </w:r>
                  <w:r>
                    <w:rPr>
                      <w:rFonts w:hint="eastAsia" w:asciiTheme="minorEastAsia" w:hAnsiTheme="minorEastAsia" w:eastAsiaTheme="minorEastAsia"/>
                      <w:sz w:val="18"/>
                      <w:szCs w:val="18"/>
                    </w:rPr>
                    <w:t>口，不小于</w:t>
                  </w:r>
                  <w:r>
                    <w:rPr>
                      <w:rFonts w:asciiTheme="minorEastAsia" w:hAnsiTheme="minorEastAsia" w:eastAsiaTheme="minorEastAsia"/>
                      <w:sz w:val="18"/>
                      <w:szCs w:val="18"/>
                    </w:rPr>
                    <w:t>8</w:t>
                  </w:r>
                  <w:r>
                    <w:rPr>
                      <w:rFonts w:hint="eastAsia" w:asciiTheme="minorEastAsia" w:hAnsiTheme="minorEastAsia" w:eastAsiaTheme="minorEastAsia"/>
                      <w:sz w:val="18"/>
                      <w:szCs w:val="18"/>
                    </w:rPr>
                    <w:t>个</w:t>
                  </w:r>
                </w:p>
              </w:tc>
            </w:tr>
            <w:tr>
              <w:tblPrEx>
                <w:tblLayout w:type="fixed"/>
                <w:tblCellMar>
                  <w:top w:w="15" w:type="dxa"/>
                  <w:left w:w="108" w:type="dxa"/>
                  <w:bottom w:w="15" w:type="dxa"/>
                  <w:right w:w="108" w:type="dxa"/>
                </w:tblCellMar>
              </w:tblPrEx>
              <w:trPr>
                <w:trHeight w:val="283" w:hRule="atLeast"/>
              </w:trPr>
              <w:tc>
                <w:tcPr>
                  <w:tcW w:w="766"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190"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3147"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网口，不少于</w:t>
                  </w:r>
                  <w:r>
                    <w:rPr>
                      <w:rFonts w:asciiTheme="minorEastAsia" w:hAnsiTheme="minorEastAsia" w:eastAsiaTheme="minorEastAsia"/>
                      <w:sz w:val="18"/>
                      <w:szCs w:val="18"/>
                    </w:rPr>
                    <w:t>2</w:t>
                  </w:r>
                  <w:r>
                    <w:rPr>
                      <w:rFonts w:hint="eastAsia" w:asciiTheme="minorEastAsia" w:hAnsiTheme="minorEastAsia" w:eastAsiaTheme="minorEastAsia"/>
                      <w:sz w:val="18"/>
                      <w:szCs w:val="18"/>
                    </w:rPr>
                    <w:t>个</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6000.00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18000.00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中国、研华股份有限公司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15.2</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VPN</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深信服、VPN-1000-A400</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tblLayout w:type="fixed"/>
              <w:tblCellMar>
                <w:top w:w="0" w:type="dxa"/>
                <w:left w:w="108" w:type="dxa"/>
                <w:bottom w:w="0" w:type="dxa"/>
                <w:right w:w="108" w:type="dxa"/>
              </w:tblCellMar>
            </w:tblPr>
            <w:tblGrid>
              <w:gridCol w:w="715"/>
              <w:gridCol w:w="2238"/>
              <w:gridCol w:w="2150"/>
            </w:tblGrid>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序号</w:t>
                  </w:r>
                </w:p>
              </w:tc>
              <w:tc>
                <w:tcPr>
                  <w:tcW w:w="2238" w:type="dxa"/>
                  <w:tcBorders>
                    <w:top w:val="single" w:color="000000" w:sz="4" w:space="0"/>
                    <w:left w:val="nil"/>
                    <w:bottom w:val="single" w:color="000000" w:sz="4" w:space="0"/>
                    <w:right w:val="single" w:color="000000"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项目</w:t>
                  </w:r>
                </w:p>
              </w:tc>
              <w:tc>
                <w:tcPr>
                  <w:tcW w:w="2150" w:type="dxa"/>
                  <w:tcBorders>
                    <w:top w:val="single" w:color="000000" w:sz="4" w:space="0"/>
                    <w:left w:val="nil"/>
                    <w:bottom w:val="single" w:color="000000" w:sz="4" w:space="0"/>
                    <w:right w:val="single" w:color="000000"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性能指标</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网络接口</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4个千兆电口</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防火墙吞吐量</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≥150Mbps</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最大并发会话数</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≥35万</w:t>
                  </w:r>
                </w:p>
              </w:tc>
            </w:tr>
            <w:tr>
              <w:tblPrEx>
                <w:tblLayout w:type="fixed"/>
                <w:tblCellMar>
                  <w:top w:w="0" w:type="dxa"/>
                  <w:left w:w="108" w:type="dxa"/>
                  <w:bottom w:w="0" w:type="dxa"/>
                  <w:right w:w="108" w:type="dxa"/>
                </w:tblCellMar>
              </w:tblPrEx>
              <w:trPr>
                <w:trHeight w:val="90"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SSLVPN加密速度</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≥100Mbps</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并发SSL用户数</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≥300个</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6</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IPSecVPN加密速度</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≥55Mbps</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7</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IPSecVPN隧道数</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≥300</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8</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产品尺寸</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标准1U架构</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9</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电源</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单电源</w:t>
                  </w:r>
                </w:p>
              </w:tc>
            </w:tr>
            <w:tr>
              <w:tblPrEx>
                <w:tblLayout w:type="fixed"/>
                <w:tblCellMar>
                  <w:top w:w="0" w:type="dxa"/>
                  <w:left w:w="108" w:type="dxa"/>
                  <w:bottom w:w="0" w:type="dxa"/>
                  <w:right w:w="108" w:type="dxa"/>
                </w:tblCellMar>
              </w:tblPrEx>
              <w:trPr>
                <w:trHeight w:val="283" w:hRule="atLeast"/>
              </w:trPr>
              <w:tc>
                <w:tcPr>
                  <w:tcW w:w="715" w:type="dxa"/>
                  <w:tcBorders>
                    <w:top w:val="single" w:color="000000" w:sz="4" w:space="0"/>
                    <w:left w:val="single" w:color="000000" w:sz="4" w:space="0"/>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c>
                <w:tcPr>
                  <w:tcW w:w="2238"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功能</w:t>
                  </w:r>
                </w:p>
              </w:tc>
              <w:tc>
                <w:tcPr>
                  <w:tcW w:w="2150" w:type="dxa"/>
                  <w:tcBorders>
                    <w:top w:val="single" w:color="000000" w:sz="4" w:space="0"/>
                    <w:left w:val="nil"/>
                    <w:bottom w:val="single" w:color="000000" w:sz="4" w:space="0"/>
                    <w:right w:val="single" w:color="000000" w:sz="4" w:space="0"/>
                  </w:tcBorders>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支持基于TCP、UDP、ICMP的应用；完整支持主流操作系统（Windows、Linux、Mac）；支持IE、Firefox、Safari、GoogleChrome、Opera等主流浏览器；全面支持智能手机、移动终端；支持主流商业加密算法；支持虚拟安全桌面；支持跨平台文件共享。</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19</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28000.00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532000.00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中国、深信服科技股份有限公司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16</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服务器</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Lenovo、P520</w:t>
            </w:r>
          </w:p>
        </w:tc>
        <w:tc>
          <w:tcPr>
            <w:tcW w:w="5670" w:type="dxa"/>
            <w:tcBorders>
              <w:top w:val="nil"/>
              <w:left w:val="nil"/>
              <w:bottom w:val="single" w:color="auto" w:sz="4" w:space="0"/>
              <w:right w:val="single" w:color="auto" w:sz="4" w:space="0"/>
            </w:tcBorders>
            <w:shd w:val="clear" w:color="auto" w:fill="auto"/>
            <w:vAlign w:val="center"/>
          </w:tcPr>
          <w:tbl>
            <w:tblPr>
              <w:tblStyle w:val="5"/>
              <w:tblW w:w="5103" w:type="dxa"/>
              <w:tblInd w:w="0" w:type="dxa"/>
              <w:shd w:val="clear" w:color="auto" w:fill="FFFFFF" w:themeFill="background1"/>
              <w:tblLayout w:type="fixed"/>
              <w:tblCellMar>
                <w:top w:w="0" w:type="dxa"/>
                <w:left w:w="108" w:type="dxa"/>
                <w:bottom w:w="0" w:type="dxa"/>
                <w:right w:w="108" w:type="dxa"/>
              </w:tblCellMar>
            </w:tblPr>
            <w:tblGrid>
              <w:gridCol w:w="595"/>
              <w:gridCol w:w="993"/>
              <w:gridCol w:w="1417"/>
              <w:gridCol w:w="2098"/>
            </w:tblGrid>
            <w:tr>
              <w:tblPrEx>
                <w:shd w:val="clear" w:color="auto" w:fill="FFFFFF" w:themeFill="background1"/>
                <w:tblLayout w:type="fixed"/>
                <w:tblCellMar>
                  <w:top w:w="0" w:type="dxa"/>
                  <w:left w:w="108" w:type="dxa"/>
                  <w:bottom w:w="0" w:type="dxa"/>
                  <w:right w:w="108" w:type="dxa"/>
                </w:tblCellMar>
              </w:tblPrEx>
              <w:trPr>
                <w:trHeight w:val="113" w:hRule="atLeast"/>
              </w:trPr>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名称</w:t>
                  </w:r>
                </w:p>
              </w:tc>
              <w:tc>
                <w:tcPr>
                  <w:tcW w:w="993"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规格要求</w:t>
                  </w:r>
                </w:p>
              </w:tc>
              <w:tc>
                <w:tcPr>
                  <w:tcW w:w="3515" w:type="dxa"/>
                  <w:gridSpan w:val="2"/>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技术参数</w:t>
                  </w:r>
                </w:p>
              </w:tc>
            </w:tr>
            <w:tr>
              <w:tblPrEx>
                <w:tblLayout w:type="fixed"/>
                <w:tblCellMar>
                  <w:top w:w="0" w:type="dxa"/>
                  <w:left w:w="108" w:type="dxa"/>
                  <w:bottom w:w="0" w:type="dxa"/>
                  <w:right w:w="108" w:type="dxa"/>
                </w:tblCellMar>
              </w:tblPrEx>
              <w:trPr>
                <w:trHeight w:val="113" w:hRule="atLeast"/>
              </w:trPr>
              <w:tc>
                <w:tcPr>
                  <w:tcW w:w="595" w:type="dxa"/>
                  <w:vMerge w:val="restart"/>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服务器（1台）</w:t>
                  </w:r>
                </w:p>
              </w:tc>
              <w:tc>
                <w:tcPr>
                  <w:tcW w:w="993" w:type="dxa"/>
                  <w:vMerge w:val="restart"/>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满足数据平台部署需求，含操作系统</w:t>
                  </w: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CPU主频</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3.7GHz</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最高睿频</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4.5GHz</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最大CPU数量</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1颗</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三级缓存</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11MB</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CPU线程数</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十六线程</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标配CPU数量</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1颗</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制程工艺</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14nm</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CPU核心</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八核</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主板扩展插槽</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2×PCIeGen3x161×PCIeGen3x8(开放式)1×PCIeGen2x4(开放式)1×PCIeGen2x1(开放式)1×PCI；或优于以上要求。</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操作系统</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Windowsserver/UbuntuLinux</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I/O接口</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前置：4×USB3.0接口1×耳机端口1×麦克风端口后置：4×USB3.0接口2×USB2.0接口2×PS/2接口1×RJ-45接口1×音频输出端口1×视频输出端口内部：1×USB2.0接口1×USB3.0接口；或由于以上要求。</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主板芯片组</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Intel C</w:t>
                  </w:r>
                  <w:r>
                    <w:rPr>
                      <w:rFonts w:asciiTheme="minorEastAsia" w:hAnsiTheme="minorEastAsia" w:eastAsiaTheme="minorEastAsia"/>
                      <w:sz w:val="18"/>
                      <w:szCs w:val="18"/>
                    </w:rPr>
                    <w:t>422</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内存类型</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DDR4或更高</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标准内存容量(GB)</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≥16GB</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内存插槽数量</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8</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硬盘容量(GB)</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asciiTheme="minorEastAsia" w:hAnsiTheme="minorEastAsia" w:eastAsiaTheme="minorEastAsia"/>
                      <w:sz w:val="18"/>
                      <w:szCs w:val="18"/>
                    </w:rPr>
                    <w:t>.25</w:t>
                  </w:r>
                  <w:r>
                    <w:rPr>
                      <w:rFonts w:hint="eastAsia" w:asciiTheme="minorEastAsia" w:hAnsiTheme="minorEastAsia" w:eastAsiaTheme="minorEastAsia"/>
                      <w:sz w:val="18"/>
                      <w:szCs w:val="18"/>
                    </w:rPr>
                    <w:t>TB</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硬盘类型</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SATA硬盘+固态硬盘</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光驱</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HDD/DVD刻录光驱</w:t>
                  </w:r>
                </w:p>
              </w:tc>
            </w:tr>
            <w:tr>
              <w:tblPrEx>
                <w:tblLayout w:type="fixed"/>
                <w:tblCellMar>
                  <w:top w:w="0" w:type="dxa"/>
                  <w:left w:w="108" w:type="dxa"/>
                  <w:bottom w:w="0" w:type="dxa"/>
                  <w:right w:w="108" w:type="dxa"/>
                </w:tblCellMar>
              </w:tblPrEx>
              <w:trPr>
                <w:trHeight w:val="113" w:hRule="atLeast"/>
              </w:trPr>
              <w:tc>
                <w:tcPr>
                  <w:tcW w:w="595" w:type="dxa"/>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993" w:type="dxa"/>
                  <w:vMerge w:val="continue"/>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p>
              </w:tc>
              <w:tc>
                <w:tcPr>
                  <w:tcW w:w="1417" w:type="dxa"/>
                  <w:tcBorders>
                    <w:top w:val="nil"/>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显存大小(MB)</w:t>
                  </w:r>
                </w:p>
              </w:tc>
              <w:tc>
                <w:tcPr>
                  <w:tcW w:w="2098" w:type="dxa"/>
                  <w:tcBorders>
                    <w:top w:val="single" w:color="000000" w:sz="4" w:space="0"/>
                    <w:left w:val="nil"/>
                    <w:bottom w:val="single" w:color="000000" w:sz="4" w:space="0"/>
                    <w:right w:val="single" w:color="000000" w:sz="4" w:space="0"/>
                  </w:tcBorders>
                  <w:shd w:val="clear" w:color="auto" w:fill="FFFFFF" w:themeFill="background1"/>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≥2GB</w:t>
                  </w:r>
                </w:p>
              </w:tc>
            </w:tr>
          </w:tbl>
          <w:p>
            <w:pPr>
              <w:jc w:val="both"/>
              <w:rPr>
                <w:rFonts w:asciiTheme="minorEastAsia" w:hAnsiTheme="minorEastAsia" w:eastAsiaTheme="minorEastAsia"/>
                <w:sz w:val="18"/>
                <w:szCs w:val="18"/>
              </w:rPr>
            </w:pP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台</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25000.00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25000.00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中国、联想（北京）有限公司</w:t>
            </w:r>
          </w:p>
        </w:tc>
      </w:tr>
      <w:tr>
        <w:tblPrEx>
          <w:tblLayout w:type="fixed"/>
          <w:tblCellMar>
            <w:top w:w="0" w:type="dxa"/>
            <w:left w:w="108" w:type="dxa"/>
            <w:bottom w:w="0" w:type="dxa"/>
            <w:right w:w="108" w:type="dxa"/>
          </w:tblCellMar>
        </w:tblPrEx>
        <w:trPr>
          <w:trHeight w:val="397" w:hRule="atLeast"/>
        </w:trPr>
        <w:tc>
          <w:tcPr>
            <w:tcW w:w="675" w:type="dxa"/>
            <w:tcBorders>
              <w:top w:val="nil"/>
              <w:left w:val="single" w:color="auto" w:sz="4" w:space="0"/>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17</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数据管理平台</w:t>
            </w:r>
          </w:p>
        </w:tc>
        <w:tc>
          <w:tcPr>
            <w:tcW w:w="141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尚洋环科、尚洋定制</w:t>
            </w:r>
          </w:p>
        </w:tc>
        <w:tc>
          <w:tcPr>
            <w:tcW w:w="5670"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管理平台软件由我公司负责开发，合同期内我公司提供免费升级服务。软件要实现现有市控水站数据切入。为提高监测数据的有效性、准确性和可信度，保障监测设备的长期稳定运行，实现监测设备故障的远程诊断与定位，需建设智能运维监管平台，包含：水站各单元运行状态参数实时监控、运维情况登记、质量控制报告等。以实现对分析仪器及辅助设备状态进行监测，对仪器运行进程、运维巡检登记等进行监控。我公司对提供的智能运维监管平台所能实现功能作出详细阐述。</w:t>
            </w:r>
          </w:p>
        </w:tc>
        <w:tc>
          <w:tcPr>
            <w:tcW w:w="708"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套</w:t>
            </w:r>
          </w:p>
        </w:tc>
        <w:tc>
          <w:tcPr>
            <w:tcW w:w="709"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1134"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502000.00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502000.00 </w:t>
            </w:r>
          </w:p>
        </w:tc>
        <w:tc>
          <w:tcPr>
            <w:tcW w:w="1276" w:type="dxa"/>
            <w:tcBorders>
              <w:top w:val="nil"/>
              <w:left w:val="nil"/>
              <w:bottom w:val="single" w:color="auto" w:sz="4" w:space="0"/>
              <w:right w:val="single" w:color="auto" w:sz="4" w:space="0"/>
            </w:tcBorders>
            <w:shd w:val="clear" w:color="auto" w:fill="auto"/>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中国、北京尚洋东方环境科技有限公司</w:t>
            </w:r>
          </w:p>
        </w:tc>
      </w:tr>
      <w:tr>
        <w:tblPrEx>
          <w:tblLayout w:type="fixed"/>
          <w:tblCellMar>
            <w:top w:w="0" w:type="dxa"/>
            <w:left w:w="108" w:type="dxa"/>
            <w:bottom w:w="0" w:type="dxa"/>
            <w:right w:w="108" w:type="dxa"/>
          </w:tblCellMar>
        </w:tblPrEx>
        <w:trPr>
          <w:trHeight w:val="397" w:hRule="atLeast"/>
        </w:trPr>
        <w:tc>
          <w:tcPr>
            <w:tcW w:w="1951"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合计</w:t>
            </w:r>
          </w:p>
        </w:tc>
        <w:tc>
          <w:tcPr>
            <w:tcW w:w="12191" w:type="dxa"/>
            <w:gridSpan w:val="7"/>
            <w:tcBorders>
              <w:top w:val="single" w:color="auto" w:sz="4" w:space="0"/>
              <w:left w:val="nil"/>
              <w:bottom w:val="single" w:color="auto" w:sz="4" w:space="0"/>
              <w:right w:val="single" w:color="000000" w:sz="4" w:space="0"/>
            </w:tcBorders>
            <w:shd w:val="clear" w:color="auto" w:fill="D8D8D8" w:themeFill="background1" w:themeFillShade="D9"/>
            <w:vAlign w:val="center"/>
          </w:tcPr>
          <w:p>
            <w:pPr>
              <w:jc w:val="both"/>
              <w:rPr>
                <w:rFonts w:asciiTheme="minorEastAsia" w:hAnsiTheme="minorEastAsia" w:eastAsiaTheme="minorEastAsia"/>
                <w:sz w:val="18"/>
                <w:szCs w:val="18"/>
              </w:rPr>
            </w:pPr>
            <w:r>
              <w:rPr>
                <w:rFonts w:hint="eastAsia" w:asciiTheme="minorEastAsia" w:hAnsiTheme="minorEastAsia" w:eastAsiaTheme="minorEastAsia"/>
                <w:sz w:val="18"/>
                <w:szCs w:val="18"/>
              </w:rPr>
              <w:t>大写：人民壹仟陆佰玖拾玖万陆仟元整；小写：人民币16996000.00元</w:t>
            </w:r>
          </w:p>
        </w:tc>
      </w:tr>
    </w:tbl>
    <w:p>
      <w:pPr>
        <w:autoSpaceDE w:val="0"/>
        <w:autoSpaceDN w:val="0"/>
        <w:adjustRightInd w:val="0"/>
        <w:spacing w:line="360" w:lineRule="auto"/>
        <w:rPr>
          <w:rFonts w:ascii="宋体" w:hAnsi="宋体" w:cs="宋体"/>
          <w:szCs w:val="21"/>
        </w:rPr>
      </w:pPr>
    </w:p>
    <w:p>
      <w:pPr>
        <w:autoSpaceDE w:val="0"/>
        <w:autoSpaceDN w:val="0"/>
        <w:adjustRightInd w:val="0"/>
        <w:spacing w:line="360" w:lineRule="auto"/>
        <w:jc w:val="right"/>
        <w:rPr>
          <w:rFonts w:ascii="宋体" w:hAnsi="宋体" w:cs="宋体"/>
          <w:szCs w:val="21"/>
          <w:lang w:val="zh-CN"/>
        </w:rPr>
      </w:pPr>
      <w:r>
        <w:rPr>
          <w:rFonts w:hint="eastAsia" w:ascii="宋体" w:hAnsi="宋体" w:cs="宋体"/>
          <w:szCs w:val="21"/>
          <w:lang w:val="zh-CN"/>
        </w:rPr>
        <w:t>投标人（公章）：北京尚洋东方环境科技有限公司</w:t>
      </w:r>
    </w:p>
    <w:p>
      <w:pPr>
        <w:autoSpaceDE w:val="0"/>
        <w:autoSpaceDN w:val="0"/>
        <w:adjustRightInd w:val="0"/>
        <w:spacing w:line="360" w:lineRule="auto"/>
        <w:jc w:val="right"/>
        <w:rPr>
          <w:rFonts w:ascii="宋体" w:hAnsi="宋体" w:cs="宋体"/>
          <w:szCs w:val="21"/>
          <w:lang w:val="zh-CN"/>
        </w:rPr>
      </w:pPr>
      <w:r>
        <w:rPr>
          <w:rFonts w:hint="eastAsia" w:ascii="宋体" w:hAnsi="宋体" w:cs="宋体"/>
          <w:szCs w:val="21"/>
          <w:lang w:val="zh-CN"/>
        </w:rPr>
        <w:t>投标人法定代表人（或授权代表）签字：______________________</w:t>
      </w:r>
    </w:p>
    <w:p/>
    <w:sectPr>
      <w:pgSz w:w="16838" w:h="11906" w:orient="landscape"/>
      <w:pgMar w:top="1440" w:right="1440" w:bottom="1440" w:left="1440"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82F"/>
    <w:rsid w:val="004B7BE2"/>
    <w:rsid w:val="004E382F"/>
    <w:rsid w:val="00577841"/>
    <w:rsid w:val="006D5A40"/>
    <w:rsid w:val="009E6DE3"/>
    <w:rsid w:val="00A85BFC"/>
    <w:rsid w:val="00BD39D3"/>
    <w:rsid w:val="00BF39CC"/>
    <w:rsid w:val="00C93767"/>
    <w:rsid w:val="13861C87"/>
    <w:rsid w:val="75EA2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1"/>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uiPriority w:val="99"/>
    <w:rPr>
      <w:rFonts w:ascii="Times New Roman" w:hAnsi="Times New Roman" w:eastAsia="宋体" w:cs="Times New Roman"/>
      <w:kern w:val="0"/>
      <w:sz w:val="18"/>
      <w:szCs w:val="18"/>
    </w:rPr>
  </w:style>
  <w:style w:type="character" w:customStyle="1" w:styleId="8">
    <w:name w:val="页脚 Char"/>
    <w:basedOn w:val="4"/>
    <w:link w:val="2"/>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1201</Words>
  <Characters>6850</Characters>
  <Lines>57</Lines>
  <Paragraphs>16</Paragraphs>
  <TotalTime>17</TotalTime>
  <ScaleCrop>false</ScaleCrop>
  <LinksUpToDate>false</LinksUpToDate>
  <CharactersWithSpaces>8035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2018-12-28T03:28:00Z</dcterms:created>
  <dc:creator>ld</dc:creator>
  <cp:lastModifiedBy>富春</cp:lastModifiedBy>
  <dcterms:modified xsi:type="dcterms:W3CDTF">2018-12-28T04:21:25Z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