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Theme="majorEastAsia" w:hAnsiTheme="majorEastAsia" w:eastAsiaTheme="majorEastAsia" w:cstheme="majorEastAsia"/>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8-23</w:t>
      </w:r>
    </w:p>
    <w:p>
      <w:pPr>
        <w:jc w:val="both"/>
        <w:rPr>
          <w:rFonts w:hint="eastAsia" w:asciiTheme="majorEastAsia" w:hAnsiTheme="majorEastAsia" w:eastAsiaTheme="majorEastAsia" w:cstheme="majorEastAsia"/>
          <w:b/>
          <w:bCs/>
          <w:color w:val="auto"/>
          <w:sz w:val="44"/>
          <w:szCs w:val="44"/>
          <w:lang w:eastAsia="zh-CN"/>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许昌市魏都区人民法院</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办案装备</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 </w:t>
      </w:r>
      <w:r>
        <w:rPr>
          <w:rFonts w:hint="eastAsia" w:ascii="宋体" w:hAnsi="宋体" w:eastAsia="宋体" w:cs="宋体"/>
          <w:b/>
          <w:bCs/>
          <w:color w:val="auto"/>
          <w:sz w:val="36"/>
          <w:szCs w:val="36"/>
        </w:rPr>
        <w:t>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8008-1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8108-1</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许昌市魏都区人民法院</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十二</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办案装备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（二）项目编号：魏都区政府采购中心 WZCG-G2018</w:t>
      </w:r>
      <w:r>
        <w:rPr>
          <w:rFonts w:hint="eastAsia" w:cs="仿宋_GB2312" w:asciiTheme="minorEastAsia" w:hAnsiTheme="minorEastAsia" w:eastAsiaTheme="minorEastAsia"/>
          <w:color w:val="auto"/>
          <w:shd w:val="clear" w:color="auto" w:fill="FFFFFF"/>
          <w:lang w:val="en-US" w:eastAsia="zh-CN"/>
        </w:rPr>
        <w:t>008-1</w:t>
      </w:r>
      <w:r>
        <w:rPr>
          <w:rFonts w:hint="eastAsia" w:cs="仿宋_GB2312" w:asciiTheme="minorEastAsia" w:hAnsiTheme="minorEastAsia" w:eastAsiaTheme="minorEastAsia"/>
          <w:color w:val="auto"/>
          <w:shd w:val="clear" w:color="auto" w:fill="FFFFFF"/>
        </w:rPr>
        <w:t>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许昌市公共资源交易中心 JZFCG-G2018</w:t>
      </w:r>
      <w:r>
        <w:rPr>
          <w:rFonts w:hint="eastAsia" w:cs="仿宋_GB2312" w:asciiTheme="minorEastAsia" w:hAnsiTheme="minorEastAsia" w:eastAsiaTheme="minorEastAsia"/>
          <w:color w:val="auto"/>
          <w:shd w:val="clear" w:color="auto" w:fill="FFFFFF"/>
          <w:lang w:val="en-US" w:eastAsia="zh-CN"/>
        </w:rPr>
        <w:t>108-1</w:t>
      </w:r>
      <w:r>
        <w:rPr>
          <w:rFonts w:hint="eastAsia" w:cs="仿宋_GB2312" w:asciiTheme="minorEastAsia" w:hAnsiTheme="minorEastAsia" w:eastAsiaTheme="minorEastAsia"/>
          <w:color w:val="auto"/>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（四）项目主要内容、数量及要求：专网计算机</w:t>
      </w:r>
      <w:r>
        <w:rPr>
          <w:rFonts w:hint="eastAsia" w:cs="仿宋_GB2312" w:asciiTheme="minorEastAsia" w:hAnsiTheme="minorEastAsia" w:eastAsiaTheme="minorEastAsia"/>
          <w:color w:val="auto"/>
          <w:shd w:val="clear" w:color="auto" w:fill="FFFFFF"/>
          <w:lang w:val="en-US" w:eastAsia="zh-CN"/>
        </w:rPr>
        <w:t>30台</w:t>
      </w:r>
      <w:r>
        <w:rPr>
          <w:rFonts w:hint="eastAsia" w:cs="仿宋_GB2312" w:asciiTheme="minorEastAsia" w:hAnsiTheme="minorEastAsia" w:eastAsiaTheme="minorEastAsia"/>
          <w:color w:val="auto"/>
          <w:shd w:val="clear" w:color="auto" w:fill="FFFFFF"/>
        </w:rPr>
        <w:t>、</w:t>
      </w:r>
      <w:r>
        <w:rPr>
          <w:rFonts w:hint="eastAsia" w:ascii="宋体" w:hAnsi="宋体"/>
          <w:color w:val="auto"/>
          <w:kern w:val="2"/>
          <w:sz w:val="24"/>
          <w:szCs w:val="24"/>
        </w:rPr>
        <w:t>黑白扫描仪</w:t>
      </w:r>
      <w:r>
        <w:rPr>
          <w:rFonts w:hint="eastAsia" w:ascii="宋体" w:hAnsi="宋体"/>
          <w:color w:val="auto"/>
          <w:kern w:val="2"/>
          <w:sz w:val="24"/>
          <w:szCs w:val="24"/>
          <w:lang w:val="en-US" w:eastAsia="zh-CN"/>
        </w:rPr>
        <w:t>9台、</w:t>
      </w:r>
      <w:r>
        <w:rPr>
          <w:rFonts w:hint="eastAsia" w:ascii="宋体" w:hAnsi="宋体"/>
          <w:color w:val="auto"/>
          <w:kern w:val="2"/>
          <w:sz w:val="24"/>
          <w:szCs w:val="24"/>
        </w:rPr>
        <w:t>自动刻录系统</w:t>
      </w:r>
      <w:r>
        <w:rPr>
          <w:rFonts w:hint="eastAsia" w:ascii="宋体" w:hAnsi="宋体"/>
          <w:color w:val="auto"/>
          <w:kern w:val="2"/>
          <w:sz w:val="24"/>
          <w:szCs w:val="24"/>
          <w:lang w:val="en-US" w:eastAsia="zh-CN"/>
        </w:rPr>
        <w:t>1套、</w:t>
      </w:r>
      <w:r>
        <w:rPr>
          <w:rFonts w:hint="eastAsia" w:ascii="宋体" w:hAnsi="宋体"/>
          <w:color w:val="auto"/>
          <w:kern w:val="2"/>
          <w:sz w:val="24"/>
          <w:szCs w:val="24"/>
        </w:rPr>
        <w:t>彩色扫描仪</w:t>
      </w:r>
      <w:r>
        <w:rPr>
          <w:rFonts w:hint="eastAsia" w:ascii="宋体" w:hAnsi="宋体"/>
          <w:color w:val="auto"/>
          <w:kern w:val="2"/>
          <w:sz w:val="24"/>
          <w:szCs w:val="24"/>
          <w:lang w:val="en-US" w:eastAsia="zh-CN"/>
        </w:rPr>
        <w:t>4台、</w:t>
      </w:r>
      <w:r>
        <w:rPr>
          <w:rFonts w:hint="eastAsia" w:ascii="宋体" w:hAnsi="宋体"/>
          <w:color w:val="auto"/>
          <w:kern w:val="2"/>
          <w:sz w:val="24"/>
          <w:szCs w:val="24"/>
        </w:rPr>
        <w:t>高清庭审系统</w:t>
      </w:r>
      <w:r>
        <w:rPr>
          <w:rFonts w:hint="eastAsia" w:ascii="宋体" w:hAnsi="宋体"/>
          <w:color w:val="auto"/>
          <w:kern w:val="2"/>
          <w:sz w:val="24"/>
          <w:szCs w:val="24"/>
          <w:lang w:val="en-US" w:eastAsia="zh-CN"/>
        </w:rPr>
        <w:t>4台</w:t>
      </w:r>
      <w:r>
        <w:rPr>
          <w:rFonts w:hint="eastAsia" w:cs="仿宋_GB2312" w:asciiTheme="minorEastAsia" w:hAnsiTheme="minorEastAsia" w:eastAsiaTheme="minorEastAsia"/>
          <w:color w:val="auto"/>
          <w:shd w:val="clear" w:color="auto" w:fill="FFFFFF"/>
        </w:rPr>
        <w:t>等</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（五）预算金额：1630000元。最高限价：1630000元。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（六）交付（服务、完工）时间：合同签订后</w:t>
      </w:r>
      <w:r>
        <w:rPr>
          <w:rFonts w:hint="eastAsia" w:cs="仿宋_GB2312" w:asciiTheme="minorEastAsia" w:hAnsiTheme="minorEastAsia" w:eastAsiaTheme="minorEastAsia"/>
          <w:color w:val="auto"/>
          <w:shd w:val="clear" w:color="auto" w:fill="FFFFFF"/>
          <w:lang w:val="en-US" w:eastAsia="zh-CN"/>
        </w:rPr>
        <w:t>30</w:t>
      </w:r>
      <w:r>
        <w:rPr>
          <w:rFonts w:hint="eastAsia" w:cs="仿宋_GB2312" w:asciiTheme="minorEastAsia" w:hAnsiTheme="minorEastAsia" w:eastAsiaTheme="minorEastAsia"/>
          <w:color w:val="auto"/>
          <w:shd w:val="clear" w:color="auto" w:fill="FFFFFF"/>
        </w:rPr>
        <w:t>个日历</w:t>
      </w:r>
      <w:r>
        <w:rPr>
          <w:rFonts w:hint="eastAsia" w:cs="仿宋_GB2312" w:asciiTheme="minorEastAsia" w:hAnsiTheme="minorEastAsia" w:eastAsiaTheme="minorEastAsia"/>
          <w:color w:val="auto"/>
          <w:shd w:val="clear" w:color="auto" w:fill="FFFFFF"/>
          <w:lang w:eastAsia="zh-CN"/>
        </w:rPr>
        <w:t>天内</w:t>
      </w:r>
      <w:r>
        <w:rPr>
          <w:rFonts w:hint="eastAsia" w:cs="仿宋_GB2312" w:asciiTheme="minorEastAsia" w:hAnsiTheme="minorEastAsia" w:eastAsiaTheme="minorEastAsia"/>
          <w:color w:val="auto"/>
          <w:shd w:val="clear" w:color="auto" w:fill="FFFFFF"/>
          <w:lang w:val="en-US"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（七）交付（服务、完工）地点：许昌市魏都区人民法院</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none"/>
          <w:shd w:val="clear" w:color="auto" w:fill="FFFFFF"/>
        </w:rPr>
        <w:t>节能环保、中小微型企业、监狱企业、残疾人福利性单位</w:t>
      </w:r>
      <w:r>
        <w:rPr>
          <w:rFonts w:hint="eastAsia" w:cs="仿宋_GB2312" w:asciiTheme="minorEastAsia" w:hAnsiTheme="minorEastAsia" w:eastAsiaTheme="minorEastAsia"/>
          <w:color w:val="auto"/>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ascii="宋体" w:hAnsi="宋体" w:eastAsia="宋体" w:cs="仿宋_GB2312"/>
          <w:color w:val="000000"/>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年</w:t>
      </w: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18</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val="en-US" w:eastAsia="zh-CN"/>
        </w:rPr>
        <w:t>四</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采购人：许昌市魏都区人民法院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地 址：许昌市魏都区延安路39号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联系人：蒋帅             联系电话：</w:t>
      </w:r>
      <w:r>
        <w:rPr>
          <w:rFonts w:hint="eastAsia" w:cs="仿宋_GB2312" w:asciiTheme="minorEastAsia" w:hAnsiTheme="minorEastAsia" w:eastAsiaTheme="minorEastAsia"/>
          <w:color w:val="auto"/>
          <w:lang w:val="en-US" w:eastAsia="zh-CN"/>
        </w:rPr>
        <w:t>0374-3399019</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w:t>
      </w:r>
      <w:r>
        <w:rPr>
          <w:rFonts w:hint="eastAsia" w:ascii="宋体" w:hAnsi="宋体" w:eastAsia="宋体" w:cs="仿宋_GB2312"/>
          <w:color w:val="auto"/>
          <w:lang w:eastAsia="zh-CN"/>
        </w:rPr>
        <w:t>许昌市魏都区政府采购中心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址：</w:t>
      </w:r>
      <w:r>
        <w:rPr>
          <w:rFonts w:hint="eastAsia" w:ascii="宋体" w:hAnsi="宋体" w:eastAsia="宋体" w:cs="仿宋_GB2312"/>
          <w:color w:val="auto"/>
          <w:lang w:val="zh-CN" w:eastAsia="zh-CN"/>
        </w:rPr>
        <w:t>许昌市天宝路魏都区政府办公楼5楼557室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宋坦</w:t>
      </w:r>
      <w:bookmarkStart w:id="9" w:name="_GoBack"/>
      <w:bookmarkEnd w:id="9"/>
      <w:r>
        <w:rPr>
          <w:rFonts w:hint="eastAsia" w:cs="仿宋_GB2312" w:asciiTheme="minorEastAsia" w:hAnsiTheme="minorEastAsia" w:eastAsiaTheme="minorEastAsia"/>
          <w:color w:val="auto"/>
        </w:rPr>
        <w:t xml:space="preserve">               联系电话：</w:t>
      </w:r>
      <w:r>
        <w:rPr>
          <w:rFonts w:hint="eastAsia" w:ascii="宋体" w:hAnsi="宋体" w:eastAsia="宋体" w:cs="仿宋_GB2312"/>
          <w:color w:val="auto"/>
          <w:lang w:val="zh-CN" w:eastAsia="zh-CN"/>
        </w:rPr>
        <w:t>0374-3325658</w:t>
      </w:r>
    </w:p>
    <w:p>
      <w:pPr>
        <w:rPr>
          <w:rFonts w:asciiTheme="minorEastAsia" w:hAnsiTheme="minorEastAsia"/>
          <w:color w:val="auto"/>
          <w:sz w:val="24"/>
          <w:szCs w:val="24"/>
        </w:rPr>
      </w:pPr>
    </w:p>
    <w:p>
      <w:pPr>
        <w:wordWrap w:val="0"/>
        <w:autoSpaceDE w:val="0"/>
        <w:autoSpaceDN w:val="0"/>
        <w:adjustRightInd w:val="0"/>
        <w:spacing w:line="700" w:lineRule="exact"/>
        <w:ind w:firstLine="560"/>
        <w:jc w:val="righ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 xml:space="preserve">许昌市魏都区人民法院       </w:t>
      </w:r>
    </w:p>
    <w:p>
      <w:pPr>
        <w:wordWrap w:val="0"/>
        <w:spacing w:line="360" w:lineRule="auto"/>
        <w:jc w:val="right"/>
        <w:rPr>
          <w:rFonts w:hint="eastAsia" w:hAnsi="宋体" w:eastAsiaTheme="minorEastAsia"/>
          <w:b/>
          <w:color w:val="auto"/>
          <w:sz w:val="28"/>
          <w:szCs w:val="28"/>
          <w:lang w:val="en-US" w:eastAsia="zh-CN"/>
        </w:rPr>
      </w:pPr>
      <w:r>
        <w:rPr>
          <w:rFonts w:hint="eastAsia" w:ascii="宋体" w:hAnsi="宋体" w:eastAsia="宋体" w:cs="仿宋_GB2312"/>
          <w:color w:val="auto"/>
          <w:kern w:val="2"/>
          <w:sz w:val="24"/>
          <w:szCs w:val="24"/>
          <w:lang w:val="zh-CN" w:eastAsia="zh-CN" w:bidi="ar-SA"/>
        </w:rPr>
        <w:t>二〇一八年</w:t>
      </w:r>
      <w:r>
        <w:rPr>
          <w:rFonts w:hint="eastAsia" w:ascii="宋体" w:hAnsi="宋体" w:eastAsia="宋体" w:cs="仿宋_GB2312"/>
          <w:color w:val="auto"/>
          <w:kern w:val="2"/>
          <w:sz w:val="24"/>
          <w:szCs w:val="24"/>
          <w:lang w:val="en-US" w:eastAsia="zh-CN" w:bidi="ar-SA"/>
        </w:rPr>
        <w:t>十二</w:t>
      </w:r>
      <w:r>
        <w:rPr>
          <w:rFonts w:hint="eastAsia" w:ascii="宋体" w:hAnsi="宋体" w:eastAsia="宋体" w:cs="仿宋_GB2312"/>
          <w:color w:val="auto"/>
          <w:kern w:val="2"/>
          <w:sz w:val="24"/>
          <w:szCs w:val="24"/>
          <w:lang w:val="zh-CN" w:eastAsia="zh-CN" w:bidi="ar-SA"/>
        </w:rPr>
        <w:t>月</w:t>
      </w:r>
      <w:r>
        <w:rPr>
          <w:rFonts w:hint="eastAsia" w:ascii="宋体" w:hAnsi="宋体" w:eastAsia="宋体" w:cs="仿宋_GB2312"/>
          <w:color w:val="auto"/>
          <w:kern w:val="2"/>
          <w:sz w:val="24"/>
          <w:szCs w:val="24"/>
          <w:lang w:val="en-US" w:eastAsia="zh-CN" w:bidi="ar-SA"/>
        </w:rPr>
        <w:t>二十八</w:t>
      </w:r>
      <w:r>
        <w:rPr>
          <w:rFonts w:hint="eastAsia" w:ascii="宋体" w:hAnsi="宋体" w:eastAsia="宋体" w:cs="仿宋_GB2312"/>
          <w:color w:val="auto"/>
          <w:kern w:val="2"/>
          <w:sz w:val="24"/>
          <w:szCs w:val="24"/>
          <w:lang w:val="zh-CN" w:eastAsia="zh-CN" w:bidi="ar-SA"/>
        </w:rPr>
        <w:t>日</w:t>
      </w:r>
      <w:r>
        <w:rPr>
          <w:rFonts w:hint="eastAsia" w:ascii="宋体" w:hAnsi="宋体" w:eastAsia="宋体" w:cs="仿宋_GB2312"/>
          <w:color w:val="auto"/>
          <w:kern w:val="2"/>
          <w:sz w:val="24"/>
          <w:szCs w:val="24"/>
          <w:lang w:val="en-US" w:eastAsia="zh-CN" w:bidi="ar-SA"/>
        </w:rPr>
        <w:t xml:space="preserve">   </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lang w:eastAsia="zh-CN"/>
        </w:rPr>
        <w:t>采购办案装备一批</w:t>
      </w:r>
      <w:r>
        <w:rPr>
          <w:rFonts w:hint="eastAsia" w:cs="微软雅黑" w:asciiTheme="minorEastAsia" w:hAnsiTheme="minorEastAsia"/>
          <w:b/>
          <w:color w:val="auto"/>
          <w:sz w:val="24"/>
          <w:szCs w:val="24"/>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6"/>
        <w:tblW w:w="8852"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112"/>
        <w:gridCol w:w="5685"/>
        <w:gridCol w:w="510"/>
        <w:gridCol w:w="49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1112"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设备名称</w:t>
            </w:r>
          </w:p>
        </w:tc>
        <w:tc>
          <w:tcPr>
            <w:tcW w:w="5685"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规格要求</w:t>
            </w:r>
          </w:p>
        </w:tc>
        <w:tc>
          <w:tcPr>
            <w:tcW w:w="510"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单位</w:t>
            </w:r>
          </w:p>
        </w:tc>
        <w:tc>
          <w:tcPr>
            <w:tcW w:w="495"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数量</w:t>
            </w:r>
          </w:p>
        </w:tc>
        <w:tc>
          <w:tcPr>
            <w:tcW w:w="676" w:type="dxa"/>
            <w:vAlign w:val="center"/>
          </w:tcPr>
          <w:p>
            <w:pPr>
              <w:jc w:val="center"/>
              <w:rPr>
                <w:rFonts w:hint="eastAsia" w:ascii="宋体" w:hAnsi="宋体" w:eastAsia="宋体" w:cs="宋体"/>
                <w:b/>
                <w:bCs/>
                <w:kern w:val="2"/>
                <w:sz w:val="21"/>
                <w:szCs w:val="21"/>
                <w:lang w:eastAsia="zh-CN"/>
              </w:rPr>
            </w:pPr>
            <w:r>
              <w:rPr>
                <w:rFonts w:hint="eastAsia" w:ascii="宋体" w:hAnsi="宋体" w:cs="宋体"/>
                <w:b/>
                <w:bCs/>
                <w:kern w:val="2"/>
                <w:sz w:val="21"/>
                <w:szCs w:val="21"/>
                <w:lang w:eastAsia="zh-CN"/>
              </w:rPr>
              <w:t>是否</w:t>
            </w:r>
          </w:p>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专网台式计算机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产品类型要求：商用电脑，1.处理器：英特尔酷睿I5-7400 (主频3.0GHZ或以上)，2.内存：≥8G  DDR4内存，3.硬盘： ≥240G固态硬盘 ；4.显卡：集成显卡；5.网卡：自适应千兆以太网卡；6.主板：英特尔B250,主板上直流工作电压可以承受偏离标称值±6%，电源的交流输入电压范围165V-265V之间。7.显示器：≥ 19.5寸低蓝光宽屏LED背光显示器，；8.键鼠：USB光电鼠标及键盘。9.接口：≥8个USB（前面板4个USB 3.0，后置2个USB2.0和2个USB3.0；1*PCI，2*PCI-E x1，1*PCI-E x16，1*COM，2*PS/2，前2后3共5个音频接口，1*VGA接口，1*HDMI接口。</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30</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黑白扫描仪</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扫描类型平板式扫描分辨率600×1200dpi扫描速度黑白：4.23 s/A4,彩色：7.89 s/A4色彩深度优化：48 bit,物理：27 bit灰阶256级扫描方式平板式；打印功能：分辨率600×600 dpi打印速度20页/分钟首页打印时间&lt;10 秒打印质量60 to 105g/㎡打印机语言GDI；复印功能：复印分辨率600×600dpi复印速度20页/分钟复印比例25%到400%首页复印时间：&lt;16秒复印范围A4最大复印页数99其它功能身份证、票据一键双面复印。</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自动刻录系统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 光盘容量：全自动20片光盘输入仓，及20片输出仓，支持混装CD/DVD/BD蓝光等多种不同光盘介质类型混合输入输出；2. 右边20片光盘输入、左边20片光盘输出、自带抽屉式输出槽，无需机器工作中掀盖，便于用户使用管理，3. 集成1工业级 DVD±R/CD-R档案级光盘刻录机，4. 数据接口：USB 3.0数据接口，5. 采用最新Primera第七代AccuDisc™ ，能够可靠的进行光盘传送，实现零故障生产，确保安全的光盘传送，6. 高达4800 dpi彩色打印分辨率，照片级打印质量，1670万色和单黑色，7. 彩色墨盒集成芯片式打印头，保证打印质量，终身无需更换单独的打印头，延长设备寿命，8. 内置蓝色LED 指示灯，实时监控设备工作状态；9. 光盘打印速度： 90张/小时（高质量打印模式）；10. 最快光盘打印及刻录速度：12片DVD/小时；24片CD/小时；11. 刻录机刻录速度： DVD±R: 24X ; DVD±R DL: 12X ; CD-R: 48X；12.标准配置软件，支持网络光盘刻录及打印，真正实现集中自动打印刻录一体化。</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彩色扫描仪</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扫描类型：平板式；扫描分辨率：1200 x 1200 dpi(平板)；扫描速度：14页/分钟；色彩深度24位(彩色)；8位(黑白)灰阶256扫描方式：接触式图像传感器(CIS)；打印功能：分辨率高达600 x 600 dpi打印速度黑白(A4，正常模式)：高达16页/分钟彩色(A4，正常模式)：高达16页/分钟首页打印时间黑白(A4，就绪模式)：仅需11.8秒；黑白(A4，休眠模式)：仅需12.9秒彩色(A4，就绪模式)：仅需13.7秒；彩色(A4，休眠模式)：仅需14.2秒。复印分辨率：黑白(文本和图片)：600 x 600 dpi；彩色(文本和图片)：600 x 600 dpi；复印速度：黑白：16页/分钟；彩色：17页/分钟；复印比例：25%到400%；最大复印页数：99份。支持自动双面打印。</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高清庭审系统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采用全数字化核心、嵌入式设计，模块化接口结构、每个接口模块采用板卡式设计可自由配置，支持带电插拔升级维护</w:t>
            </w:r>
            <w:r>
              <w:rPr>
                <w:rFonts w:hint="eastAsia" w:ascii="宋体" w:hAnsi="宋体" w:eastAsia="宋体" w:cs="宋体"/>
                <w:color w:val="000000"/>
                <w:kern w:val="2"/>
                <w:sz w:val="21"/>
                <w:szCs w:val="21"/>
              </w:rPr>
              <w:t>，方便使用维护</w:t>
            </w:r>
            <w:r>
              <w:rPr>
                <w:rFonts w:hint="eastAsia" w:ascii="宋体" w:hAnsi="宋体" w:eastAsia="宋体" w:cs="宋体"/>
                <w:kern w:val="2"/>
                <w:sz w:val="21"/>
                <w:szCs w:val="21"/>
              </w:rPr>
              <w:t>；</w:t>
            </w:r>
            <w:r>
              <w:rPr>
                <w:rFonts w:hint="eastAsia" w:ascii="宋体" w:hAnsi="宋体" w:eastAsia="宋体" w:cs="宋体"/>
                <w:color w:val="000000"/>
                <w:kern w:val="2"/>
                <w:sz w:val="21"/>
                <w:szCs w:val="21"/>
              </w:rPr>
              <w:t>不少于6路3G-SDI数字高清摄像机接入，4路VGA/HDMI/DVI/Ypbpr证据信号接入；可扩展支持最大9路3G-SDI数字高清摄像机接入，最大6路VGA/HDMI/DVI/Ypbpr证据信号接入</w:t>
            </w:r>
            <w:r>
              <w:rPr>
                <w:rFonts w:hint="eastAsia" w:ascii="宋体" w:hAnsi="宋体" w:eastAsia="宋体" w:cs="宋体"/>
                <w:kern w:val="2"/>
                <w:sz w:val="21"/>
                <w:szCs w:val="21"/>
              </w:rPr>
              <w:t>；具备内置矩阵，支持多路信号的同步切换，支持1080P60高清视频以信号，不少于12路麦克风接入端口，提供48V幻象电源支持；支持语音激励功能，自动将对准发言人的摄像机画面切换到画面分割模式中的主画面窗口</w:t>
            </w:r>
            <w:r>
              <w:rPr>
                <w:rFonts w:hint="eastAsia" w:ascii="宋体" w:hAnsi="宋体" w:eastAsia="宋体" w:cs="宋体"/>
                <w:color w:val="000000"/>
                <w:kern w:val="2"/>
                <w:sz w:val="21"/>
                <w:szCs w:val="21"/>
              </w:rPr>
              <w:t>；支持4路数字高清视频信号DVI-I输出接口，并可兼容HDMI、VGA、DVI、Ypbpr信号输出；可扩展支持12路数字高清视频信号DVI接口输出，并可兼容HDMI、VGA、DVI、Ypbpr信号输出</w:t>
            </w:r>
            <w:r>
              <w:rPr>
                <w:rFonts w:hint="eastAsia" w:ascii="宋体" w:hAnsi="宋体" w:eastAsia="宋体" w:cs="宋体"/>
                <w:kern w:val="2"/>
                <w:sz w:val="21"/>
                <w:szCs w:val="21"/>
              </w:rPr>
              <w:t>；每路输入具有平衡/非平衡处理、+48V幻象电源供电开关、支持激励灵敏度调节、音量调节；不少于4路线性音频输入接口，用于证据音频输入；不少于4路线性音频输出端口，不少于1路前置监听端口；每路输出都带有音量、均衡、音调调节等功能；内置数字音频处理器，支持反馈消除AFC、回声消除AEC、背景自动降噪ANC等功能，提供专业级音频效果</w:t>
            </w:r>
            <w:r>
              <w:rPr>
                <w:rFonts w:hint="eastAsia" w:ascii="宋体" w:hAnsi="宋体" w:eastAsia="宋体" w:cs="宋体"/>
                <w:color w:val="000000"/>
                <w:kern w:val="2"/>
                <w:sz w:val="21"/>
                <w:szCs w:val="21"/>
              </w:rPr>
              <w:t>；为与现有设备系统配合使用，中标供应商需配备6路调音台、反馈抑制器并把声音调试到最佳效果</w:t>
            </w:r>
            <w:r>
              <w:rPr>
                <w:rFonts w:hint="eastAsia" w:ascii="宋体" w:hAnsi="宋体" w:eastAsia="宋体" w:cs="宋体"/>
                <w:kern w:val="2"/>
                <w:sz w:val="21"/>
                <w:szCs w:val="21"/>
              </w:rPr>
              <w:t>；具备硬件高清图像合成器，可提供2/4/6/8/9等多种合成画面格式，合成画面分辨率1080P；支持不少于两路不同分割图像输出；支持不少于2路1080P格式同时编码输出，可支持各摄像机或证据或合成画面的独立编码，码流速率可设；支持不少于1路远程1080P格式解码能力，可用于远程提讯、远程三方庭审（嫌疑人、公诉人均在远端）；可扩展支持4路1080P格式同时编码输出，2路远程1080P格式解码能力；可扩展支持H.323协议，可与视频会议系统互联互通，满足不同类型远程开庭、远程提讯的应用；可扩展支持4K分辨率（4096×2160）的图像合成输出，不少于1路HDMI接口；视频输出格式：符合最高院要求的H.264编码，符合最高院要求的MPEG4文件存放格式；音频输出格式：符合最高院要求的AAC文件存放格式；具备不少于4路可编程红外发射端口，2路全双工可编程RS-232端口，2路全双工RS-485端口；具备中控功能，可连接强电开关控制器、触摸屏、控制面板等多种集控设备；可通过网络采用浏览器以WEB页面方式对主机进行远程控制、管理、系统升级；具备双网口，支持不少于2路USB接口，可挂接移动存储设备；内置1块2TB容量硬盘，提供主机庭审数据备份功能；支持可扩展到4块3TB硬盘达到12TB存储容量；可扩展支持2路光驱同步刻录，普通光驱或蓝光光驱可选；提供上述模块的场景控制，实现法庭纪律展示、证据展示控制、语音激励及控制、声音调节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庭审应用系统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1、软件采用B/S架构；2、自动同步、手动录入法院基本信息，案件信息；3、案件数据的校对、上传、存储功能；4、法院庭审数据的后期管理功能；5、案件数据的网络查询、点播等功能；6、支持 “亚伟速录系统”、 五笔输入法、拼音输入法等7、支持庭审笔录模版导入、导出8、支持文本格式庭审笔录上传至庭审资源后台管理系统9、庭审音视频资源集中管理，庭审音视频录像及笔录文件自动归档；10、多用户、多级别权限设置，可以设置法官、书记员、远程指挥用户权限，每个用户只能查看自己所属的相关信息，系统自动根据用户权限判断用户是否查看庭审现场画面，庭审录像，以及电子笔录；11、后台光盘集中刻录功能；</w:t>
            </w:r>
            <w:r>
              <w:rPr>
                <w:rFonts w:hint="eastAsia" w:ascii="宋体" w:hAnsi="宋体" w:eastAsia="宋体" w:cs="宋体"/>
                <w:color w:val="000000"/>
                <w:kern w:val="2"/>
                <w:sz w:val="21"/>
                <w:szCs w:val="21"/>
              </w:rPr>
              <w:t>12、与管理指挥中心实现无缝对接，实现管理指挥中心统一管理、数据交换</w:t>
            </w:r>
            <w:r>
              <w:rPr>
                <w:rFonts w:hint="eastAsia" w:ascii="宋体" w:hAnsi="宋体" w:eastAsia="宋体" w:cs="宋体"/>
                <w:kern w:val="2"/>
                <w:sz w:val="21"/>
                <w:szCs w:val="21"/>
              </w:rPr>
              <w:t>；13、可进行基于案件号、法庭名称、庭审相关人等的复合条件查询；14、自动显示法庭庭审状态；15、图文庭审直播功能：同屏显示庭审音视频与庭审笔录；16、统一权限认证，通过管理系统统一设置；17、支持根据多种关键字（案件号、法庭名称、庭审当事人、庭审法官等）进行快速模糊查询；18、具备统计分析功能。按年份和月份对所有案件分类显示和归档，可按存放位置进行查询，用数据库方式对案件进行管理，信息简洁方便电子调档，检索、查询方便19、支持“一键开庭”支持“一键闭庭”；20、具有休庭功能，重新开庭时不影响庭审实况录制；21、支持笔录校对；支持打点；22、支持笔录文件当庭打印，实现书记员在电脑录入庭审笔录文本信息时，笔录与音视频图像同步同屏显示的功能。23、可自主选择、切换远端音视频信号至现场展示；24、可远程控制法庭的系统配置情况，音视频设备采集情况；包括参数调整25、在线交流支持多人会讨，文字、语音、电子白板方式。</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书记员系统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书记员登录系统后，可以在案件列表中选取某一案件进行载入，在实际的庭审过程中可进行场景切换，在实际的切换过程中将包括开庭、休庭、闭庭三个场景，并支持跨天预订和跨天开庭。书记员可选择满足条件的多个案件实现并案开庭，从而方便相关案件审理及庭审记录；支持笔录模板导入。庭审笔录时，可选择相应模式或书记员事先制定的笔录模板，从而可减轻书记员的工作量；支持快速插入标记及庭审笔录校对。支持标记快速插入，后期笔录校对时，书记员可根据庭审流程阶段及标记点快速定位音视频，补录、校正遗漏的笔录文字；对庭审设备的操作，除类似取放光盘、打开展台等动作外，其它均由系统自动控制与管理，包括开关系统、庭内录像设备的使用、各种证据信号切换等控制；多媒体证据展示。通过配置多媒体证据展示设备和计算机终端，用于展现法律规定的各种类型的证据，包括纸介质证据、DVD证据、电子证据等多种证据。系统开庭前自动导入庭前交换的电子证据，并支持双输出显卡，在电子证据展示时书记员可照常进行笔录记录；支持庭审笔录录入。笔录录入支持两种模式，亚伟模式与WORD模式。支持键盘、速录设备方式，并可实现笔录的定时自动保存，确保书记员庭审笔录有效记录；书记员在庭审过程中可以根据现场情况随时暂停或者开启网络直播，随时开启或中止语音激励。休庭或闭庭后，笔录可以投影到大屏，方便当事人和旁观席人员观看；笔录自动上传。退出书记员庭审系统时，庭审笔录自动上传，减轻书记员工作量的同时，避免笔录漏传。庭审中生成的笔录每隔10秒钟可自动保存到法院信息管理系统的庭审信息中，以最大程度保证笔录数据的安全性和完整性；系统可以支持接收法官发送的短消息并查看当事人及法官对笔录进行的批注内容；支持法庭预监功能，书记员可通过法庭预监功能在笔录记录界面内，查看法庭现场状况；支持异地开庭的功能，上级院法官可以到下级院并利用其数字法庭系统进行开庭，案件信息实时从上级院同步获取，同时产生的庭审笔录、庭审录</w:t>
            </w:r>
            <w:r>
              <w:rPr>
                <w:rFonts w:hint="eastAsia" w:ascii="宋体" w:hAnsi="宋体" w:eastAsia="宋体" w:cs="宋体"/>
                <w:color w:val="000000"/>
                <w:kern w:val="2"/>
                <w:sz w:val="21"/>
                <w:szCs w:val="21"/>
              </w:rPr>
              <w:t>像信息是实时的上传至上级院。支持语音识别扩展模块，与书记员系统在同一界面展现。书记员系统支持与法院现有法院信息管理系统对接，</w:t>
            </w:r>
            <w:r>
              <w:rPr>
                <w:rFonts w:hint="eastAsia" w:ascii="宋体" w:hAnsi="宋体" w:eastAsia="宋体" w:cs="宋体"/>
                <w:kern w:val="2"/>
                <w:sz w:val="21"/>
                <w:szCs w:val="21"/>
              </w:rPr>
              <w:t>实现案件信息、预订信息的同步，并能够将庭审笔录自动上传到法院信息管理系统，减轻办案人员工作量，保证办案数据的完整性和安全性。投标时提供对接承诺，并承担对接费用。</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法官辅助系统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查看每次开庭案件的案件详情；查看本次开庭案件的实时笔录和历史笔录；给书记员发送短消息指导其笔录和其他工作；书记员在进行证据展示时，法官可以查看展示的证据；可以接收观看直播的用户发送的短消息</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音箱</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根据现场情况可选壁装、吸顶2种安装方式，高保真两分频设计，功率60瓦，定阻，标准阻抗8Ω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功放</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支持平衡输入，功率为2×210瓦</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电源时序器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额定输出电压:交流220V.50Hz、可控制电源:10路、每路动作延时时间:1秒、供电电源:VAC 50/60Hz 25A、每路输出带指示灯、锁匙开关控制电源、单路额定输出电流:30A。</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图像显示终端</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屏幕尺寸：55英寸，屏幕分辨率：4K（3840x2160），HDR显示：支持；幕比例：16:9；背光源：LED背光。刷屏率：50HZ，扫描方式：逐行扫描；支持格式（高清）2160p。</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显示终端定制支架</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显示设备安装支架，根据现场实际情况，确定支架尺寸和安装方式。</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企业级交换机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 xml:space="preserve">产品类型：POE交换机；应用层级：三层；传输速率：10/100/1000Mbps；背板带宽：336Gbps/3.024Tbps；包转发率：144Mbps/166Mbps；MAC地址表：16K；端口数量：52个；端口描述：48个10/100/1000Base-T以太网端口；4个万兆SFP+；堆叠功能：可堆叠。VLAN：支持4K个VLAN；支持Guest VLAN、Voice VLAN；支持GVRP协议；支持MUX VLAN功能；支持基于MAC/协议/IP子网/策略/端口的VLAN；支持1:1和N:1 VLAN Mapping功能；QOS；支持对端口接收和发送报文的速率进行限制；支持报文重定向；支持基于端口的流量监管，支持双速三色CAR功能，每端口支持8个队列；支持WRR、DRR、SP、WRR＋SP、DRR+SP队列调度算法；支持WRED；支持报文的802.1p和DSCP优先级重新标记；支持L2（Layer 2）-L4（Layer 4）包过滤功能，提供基于源MAC地址、目的MAC地址、源IP地址、目的IP地址、TCP/IP协议源/目的端口号、协议、VLAN的包过滤功能；支持基于队列限速和端口整形功能；组播管理：支持 PIM DM、PIM SM、PIM SSM；支持IGMP v1/v2/v3 Snooping和快速离开机制；支持VLAN内组播转发和组播多VLAN复制；支持捆绑端口的组播负载分担；支持可控组播；支持基于端口的组播流量统计。网络管理：支持智能iStack堆叠；支持虚拟电缆检测（Virtual Cable Test）支持SNMPv1/v2/v3；支持RMON；支持网管系统、支持WEB网管特性；支持系统日志、分级告警；支持sFlow 。安全管理：用户分级管理和口令保护；支持防止DOS、ARP攻击功能、ICMP防攻击；支持IP、MAC、端口、VLAN的组合绑定；支持端口隔离、端口安全、Sticky MAC：支持MFF；支持黑洞MAC地址；支持MAC地址学习数目限制；支持IEEE 802.1X认证，支持单端口最大用户数限制；支持AAA认证，支持Radius、TACACS+、NAC等多种方式；支持SSH V2.0；支持HTTPS；支持CPU保护功能；支持黑名单和白名单； 支持dot1X、MAC认证和Portal认证；支持DHCPv4/v6 client/relay/server/snooping；支持MACSec。 </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15</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全景像终端</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系统有效像素：850万像素，1/2.8英寸CMOS传感器；超高清HD多分辨率4K/30,4K/25,1080p/60,1080p/50,1080i/60,1080i/50,1080p/30,1080p/25,720p/60,720p/50；系统支持DVI-I (YPbPr、HDMI)、HD-SDI、CVBS同时输出；240倍变焦（20倍光学，12倍数字）；宽范围快速云台，水平355度精准定位；多功能红外遥控，系统所有功能均可通过遥控设备操作完成；系统支持定制RJ-45网络接口，可通过网络传输视频和控制信号；支持RS-232C和RS-422/485控制；系统兼容SONY VISCA协议以及PELCO P/D协议；支持图像翻转（适用于桌面和天花板安装）；具有宽动态功能，即使在光线明暗对比强烈的环境下，也可以拍摄到清晰的画面。具有自动曝光功能（光线很强的时候自动调节）；具有四路视频输出（DVI HDMI 分量Sdi），具有定制网口（可实现IE访问 视频传输 云台控制功能等）；可调出机芯底层菜单（镜像模式 图像冻结 ）；具有一键切换四种预设图像模式（生动 普通 RGB 自定义）。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16</w:t>
            </w:r>
          </w:p>
        </w:tc>
        <w:tc>
          <w:tcPr>
            <w:tcW w:w="1112" w:type="dxa"/>
            <w:vAlign w:val="center"/>
          </w:tcPr>
          <w:p>
            <w:pPr>
              <w:pStyle w:val="21"/>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威胁防御软件</w:t>
            </w:r>
          </w:p>
        </w:tc>
        <w:tc>
          <w:tcPr>
            <w:tcW w:w="5685" w:type="dxa"/>
            <w:vAlign w:val="top"/>
          </w:tcPr>
          <w:p>
            <w:pPr>
              <w:pStyle w:val="3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支持不少于300用户在线管理、监控； 要求病毒检测率不低于98%；至少支持WindowsXP、Windows 7、Windows 10等32位/64位操作系统，同时并支持Windows2003、Windows2008、Windows2012等32位/64位服务器操作系统。要求支持多核系统，提高硬件资源的利用率；支持IPv4和IPv6双栈协议的病毒扫描与过滤，要求默认加载的流行病毒库总数大于600万，可本地化完成病毒地检测过滤与处理，无需发送到云端检测；</w:t>
            </w:r>
          </w:p>
          <w:p>
            <w:pPr>
              <w:rPr>
                <w:rFonts w:hint="eastAsia" w:ascii="宋体" w:hAnsi="宋体" w:eastAsia="宋体" w:cs="宋体"/>
                <w:kern w:val="2"/>
                <w:sz w:val="21"/>
                <w:szCs w:val="21"/>
              </w:rPr>
            </w:pPr>
            <w:r>
              <w:rPr>
                <w:rFonts w:hint="eastAsia" w:ascii="宋体" w:hAnsi="宋体" w:eastAsia="宋体" w:cs="宋体"/>
                <w:kern w:val="2"/>
                <w:sz w:val="21"/>
                <w:szCs w:val="21"/>
              </w:rPr>
              <w:t>管理控制台支持实时显示客户端的状态，包括机器名称、IP地址、mac地址、操作系统、显卡信息、内存大小、连接状态、监控状态、当前版本信息和物理位置等信息。</w:t>
            </w:r>
          </w:p>
          <w:p>
            <w:pPr>
              <w:rPr>
                <w:rFonts w:hint="eastAsia" w:ascii="宋体" w:hAnsi="宋体" w:eastAsia="宋体" w:cs="宋体"/>
                <w:kern w:val="2"/>
                <w:sz w:val="21"/>
                <w:szCs w:val="21"/>
              </w:rPr>
            </w:pPr>
            <w:r>
              <w:rPr>
                <w:rFonts w:hint="eastAsia" w:ascii="宋体" w:hAnsi="宋体" w:eastAsia="宋体" w:cs="宋体"/>
                <w:kern w:val="2"/>
                <w:sz w:val="21"/>
                <w:szCs w:val="21"/>
              </w:rPr>
              <w:t>系统要求支持中文、英文web管理界面；支持至少3个Syslog服务器，可将不同类型的日志发送到不同服务器，当出现病毒突然爆发状况时，可向网络管理员发送报警信息，具有邮件报警、声音报警、SNMP等报警方式；支持客户端威胁日志信息上报统计功能，包含终端危险排行统计、防御类型分布统计、病毒类型分布统计、病毒排行统计等，支持图表显示。具有针对FTP流量的病毒检测过滤日志，且过滤日志能定位到具体的文件名，方便管理处理携带病毒的文件；配置文件可定时自动上传到指定服务器进行存档；支持基于SMTP/POP3协议的邮件监控，包括如：Outlook、Outlook Express、foxmail、DreamMail等邮件客户端的防（杀）病毒；</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17</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电视HDMI高清分屏器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HDMI分配器一进二出，1进2出，视频支持4k一分二1080P高清分屏器3D1分2 全高清 3D视效 共享多画面。</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18</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管理软件功能扩展</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控制中心环境：操作系统支持Windows Server 2008 R2/2012/2012 R2/2016的64位版本（简体中文版）；支持CentOS 7、Redhat 7等Linux系统（要求Docker版本务必大于1.8.2）；支持在虚拟机上安装控制中心；</w:t>
            </w:r>
          </w:p>
          <w:p>
            <w:pPr>
              <w:rPr>
                <w:rFonts w:hint="eastAsia" w:ascii="宋体" w:hAnsi="宋体" w:eastAsia="宋体" w:cs="宋体"/>
                <w:kern w:val="2"/>
                <w:sz w:val="21"/>
                <w:szCs w:val="21"/>
              </w:rPr>
            </w:pPr>
            <w:r>
              <w:rPr>
                <w:rFonts w:hint="eastAsia" w:ascii="宋体" w:hAnsi="宋体" w:eastAsia="宋体" w:cs="宋体"/>
                <w:kern w:val="2"/>
                <w:sz w:val="21"/>
                <w:szCs w:val="21"/>
              </w:rPr>
              <w:t>Windows客户端安装环境要求：操作系统：Windows XP_SP3及以上/Windows Vista/Windows 7/Windows 8/Windows 10；服务器客户端安装环境要求：操作系统:Windows Server 2003_SP2/Windows Server 2008/Windows Server 2012；SUSE Linux/Red Hat Linux/CentOS/Ubuntu；</w:t>
            </w:r>
          </w:p>
          <w:p>
            <w:pPr>
              <w:rPr>
                <w:rFonts w:hint="eastAsia" w:ascii="宋体" w:hAnsi="宋体" w:eastAsia="宋体" w:cs="宋体"/>
                <w:kern w:val="2"/>
                <w:sz w:val="21"/>
                <w:szCs w:val="21"/>
              </w:rPr>
            </w:pPr>
            <w:r>
              <w:rPr>
                <w:rFonts w:hint="eastAsia" w:ascii="宋体" w:hAnsi="宋体" w:eastAsia="宋体" w:cs="宋体"/>
                <w:kern w:val="2"/>
                <w:sz w:val="21"/>
                <w:szCs w:val="21"/>
              </w:rPr>
              <w:t>国产系统支持：中标麒麟/银河麒麟/普华/红旗桌面操作系统。控制中心：采用B/S架构管理端，具备设备分组管理、策略制定下发、全网健康状况监测、统一漏洞修复、网络流量管理、终端软件管理、硬件资产管理以及各种报表和查询等功能；客户端提供控制中心管理所需的相关数据信息，通讯可选择非明文方式；客户端执行最终的木马病毒查杀、漏洞修复等安全操作；按终端维度展示终端的硬件、软件、操作系统、网络、进程等信息；可监控CPU温度、硬盘温度和主板温度；展示全网终端健康状态、报警信息；可方便的查看不健康、亚健康终端列表；展示全网终端病毒库日期比例，可方便的查看全网终端病毒库的情况；支持大数据引擎系统，可将全网终端日常运维数据汇聚存储分析，并根据客户运维管理所需的要求定制报表；能够对网页提供安全防护，发现网页中的危险行为实时阻断；能够对网页挂马进行拦截，能够自动拦截网页中的钓鱼、欺诈信息；要求提供U盘等移动设备接入电脑自动检测功能，全面拦截和清除在移动设备接入系统可能带来的病毒木马；支持U盘等移动磁盘设备和电脑硬盘间文件传输检测；支持局域网共享文件传输检测；支持扫描发现文件遭破坏或被感染时触发修复流程，修复通过360公有云下载正常文件替换遭破坏的文件；要求能够自定义时间、自定义扫描频率，自定义扫描类型，对终端进行定时查毒，并且可以自定义查杀病毒后的处理方式自定义；支持手工导入MD5+SHA1的黑白名单方式，支持txt批量导入方式；文件被加入白名单，客户端不再查杀，加入黑名单，客户端不可执行此文件；要求支持对网内未知文件云查询的控制，可以选择直接连接互联网云查询中心查询，也可以选择采用私有云查杀引擎完成未知文件查询；可对备份区、隔离区的文件进行有效管理。能够对单个、指定的文件和全部文件，进行文件的删除、恢复等多项管理措施。</w:t>
            </w:r>
          </w:p>
          <w:p>
            <w:pPr>
              <w:rPr>
                <w:rFonts w:hint="eastAsia" w:ascii="宋体" w:hAnsi="宋体" w:eastAsia="宋体" w:cs="宋体"/>
                <w:kern w:val="2"/>
                <w:sz w:val="21"/>
                <w:szCs w:val="21"/>
              </w:rPr>
            </w:pPr>
            <w:r>
              <w:rPr>
                <w:rFonts w:hint="eastAsia" w:ascii="宋体" w:hAnsi="宋体" w:eastAsia="宋体" w:cs="宋体"/>
                <w:kern w:val="2"/>
                <w:sz w:val="21"/>
                <w:szCs w:val="21"/>
              </w:rPr>
              <w:t>对敲诈者病毒提供防护机制，同时可提供相关解密工具，解密工具为自主研发；要求产品具备本地多引擎查杀能力，且引擎可配置；支持私有云查杀，预置至少8亿黑名单及2亿白名单，终端威胁统一到控制中心查询黑白并进行查杀。要求产品具有定时修复漏洞功能，同时可以设置筛选高危漏洞、软件更新、功能性补丁等修复类型；支持漏洞修复影响文档编辑时提醒功能；支持补丁下载安装顺序设置，可以有效节省漏洞修复时间与减少CPU占用；</w:t>
            </w:r>
            <w:r>
              <w:rPr>
                <w:rFonts w:hint="eastAsia" w:ascii="宋体" w:hAnsi="宋体" w:eastAsia="宋体" w:cs="宋体"/>
                <w:sz w:val="21"/>
                <w:szCs w:val="21"/>
              </w:rPr>
              <w:t>具备面向微软官方级别漏洞发现能力；</w:t>
            </w:r>
            <w:r>
              <w:rPr>
                <w:rFonts w:hint="eastAsia" w:ascii="宋体" w:hAnsi="宋体" w:eastAsia="宋体" w:cs="宋体"/>
                <w:kern w:val="2"/>
                <w:sz w:val="21"/>
                <w:szCs w:val="21"/>
              </w:rPr>
              <w:t>支持远程协助终端（不依赖Windows远程桌面协议）、远程关机、重启终端；支持远程操作时锁定屏幕、截取屏幕，远程锁定屏幕后需要输入解锁密码才可再次使用；支持移动存储设备、网络共享服务器、本地硬盘特定扩展名或特定目录下的文件访问、修改、删除、移动等行为的审计；支持网络打印操作、本地打印操作、虚拟打印操作审计，记录包含终端ＩＰ，文件名称与类型，打印机名称，纸张类型等信息；支持自定义文档类型的打印审计；</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19</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圆八芯话筒线</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线芯材质 裸铜线 芯数 8芯 护套材质：塑胶材料</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米</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100</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20</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光纤收发器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支持通过5类以太网线的无线访问点(AP）和网络监控摄像头(surveillance cameras）供电、上联口为 1.25Gbps SC光纤接口、符合IEEE 802.3 10Base-T和IEEE 802.3u 100Base-TX，IEEE 802.3z 1000Base-TX标准、 流控方式：全双工采用IEEE 802.3x标准，半双工采用Back pressure标准、支持端口自动翻转（Auto MDI/MDIX）、支持上行端口防雷（端口5达到二级防雷要求 ）、每端口最大 15.4W、采用存储转发的交换机制。</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监控级交换机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网络标准IEEE 802.3 、IEEE 802.3u、IEEE 802.3ab、IEEE 802.3x端口8个10/100/1000Mbps RJ45 端口MAC地址表支持4K的MAC地址表深度。</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辅材</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SDI分配器、高清视频线、音频线、网线、线槽等辅材。</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系统集成</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设备安装调试、软硬件集成服务等。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机柜</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19"标准机柜，双风扇，2托盘，2个8位PDU</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投标人须明确投标产品的厂家、产地、品牌、</w:t>
      </w:r>
      <w:r>
        <w:rPr>
          <w:rFonts w:hint="eastAsia" w:cs="仿宋_GB2312" w:asciiTheme="minorEastAsia" w:hAnsiTheme="minorEastAsia"/>
          <w:color w:val="auto"/>
          <w:sz w:val="24"/>
          <w:szCs w:val="24"/>
          <w:lang w:val="en-US" w:eastAsia="zh-CN"/>
        </w:rPr>
        <w:t>型号</w:t>
      </w:r>
      <w:r>
        <w:rPr>
          <w:rFonts w:hint="eastAsia" w:cs="仿宋_GB2312" w:asciiTheme="minorEastAsia" w:hAnsiTheme="minorEastAsia"/>
          <w:color w:val="auto"/>
          <w:sz w:val="24"/>
          <w:szCs w:val="24"/>
          <w:lang w:val="zh-CN"/>
        </w:rPr>
        <w:t>详细参数，否则为无效投标。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lang w:val="zh-CN"/>
        </w:rPr>
        <w:t>本招标文件所列需求为最低要求，投标产品不得低于最低要求，否则为无效投标。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lang w:val="zh-CN"/>
        </w:rPr>
        <w:t>.投标人应就该项目完整投标。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4</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仿宋_GB2312" w:asciiTheme="minorEastAsia" w:hAnsiTheme="minorEastAsia"/>
          <w:color w:val="auto"/>
          <w:sz w:val="24"/>
          <w:szCs w:val="24"/>
          <w:lang w:val="en-US" w:eastAsia="zh-CN"/>
        </w:rPr>
        <w:t>6</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1.由采购人成立验收小组,按照采购合同的约定对中标人履约情况进行验收。验收时,按照采购合同的约定对每一项技术、服务、安全标准的履约情况进行确认。验收结束后,出具验收书。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w:t>
      </w:r>
      <w:r>
        <w:rPr>
          <w:rFonts w:hint="eastAsia" w:cs="仿宋_GB2312" w:asciiTheme="minorEastAsia" w:hAnsiTheme="minorEastAsia" w:eastAsiaTheme="minorEastAsia"/>
          <w:color w:val="auto"/>
          <w:shd w:val="clear" w:color="auto" w:fill="FFFFFF"/>
        </w:rPr>
        <w:t>1630000</w:t>
      </w:r>
      <w:r>
        <w:rPr>
          <w:rFonts w:hint="eastAsia" w:cs="黑体" w:asciiTheme="minorEastAsia" w:hAnsiTheme="minorEastAsia" w:eastAsiaTheme="minorEastAsia"/>
          <w:b/>
          <w:bCs/>
          <w:color w:val="auto"/>
          <w:shd w:val="clear" w:color="auto" w:fill="FFFFFF"/>
        </w:rPr>
        <w:t>元。最高限价</w:t>
      </w:r>
      <w:r>
        <w:rPr>
          <w:rFonts w:hint="eastAsia" w:cs="仿宋_GB2312" w:asciiTheme="minorEastAsia" w:hAnsiTheme="minorEastAsia" w:eastAsiaTheme="minorEastAsia"/>
          <w:color w:val="auto"/>
          <w:shd w:val="clear" w:color="auto" w:fill="FFFFFF"/>
        </w:rPr>
        <w:t>1630000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2</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支付时间及条件：经验收合格后付合同总价款的95%，剩余5%满半年无质量问题一次付清。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pStyle w:val="20"/>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项目名称：办案装备</w:t>
            </w:r>
          </w:p>
          <w:p>
            <w:pPr>
              <w:pStyle w:val="53"/>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8008-1</w:t>
            </w:r>
            <w:r>
              <w:rPr>
                <w:rFonts w:hint="eastAsia" w:ascii="宋体" w:hAnsi="宋体" w:eastAsia="宋体" w:cs="仿宋_GB2312"/>
                <w:color w:val="auto"/>
                <w:shd w:val="clear" w:color="auto" w:fill="FFFFFF"/>
                <w:lang w:val="zh-CN"/>
              </w:rPr>
              <w:t>号</w:t>
            </w:r>
          </w:p>
          <w:p>
            <w:pPr>
              <w:pStyle w:val="53"/>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8108-1</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w:t>
            </w:r>
            <w:r>
              <w:rPr>
                <w:rFonts w:hint="eastAsia" w:cs="仿宋_GB2312" w:asciiTheme="minorEastAsia" w:hAnsiTheme="minorEastAsia" w:eastAsiaTheme="minorEastAsia"/>
                <w:color w:val="auto"/>
                <w:shd w:val="clear" w:color="auto" w:fill="FFFFFF"/>
              </w:rPr>
              <w:t>专网计算机</w:t>
            </w:r>
            <w:r>
              <w:rPr>
                <w:rFonts w:hint="eastAsia" w:cs="仿宋_GB2312" w:asciiTheme="minorEastAsia" w:hAnsiTheme="minorEastAsia" w:eastAsiaTheme="minorEastAsia"/>
                <w:color w:val="auto"/>
                <w:shd w:val="clear" w:color="auto" w:fill="FFFFFF"/>
                <w:lang w:val="en-US" w:eastAsia="zh-CN"/>
              </w:rPr>
              <w:t>30台</w:t>
            </w:r>
            <w:r>
              <w:rPr>
                <w:rFonts w:hint="eastAsia" w:cs="仿宋_GB2312" w:asciiTheme="minorEastAsia" w:hAnsiTheme="minorEastAsia" w:eastAsiaTheme="minorEastAsia"/>
                <w:color w:val="auto"/>
                <w:shd w:val="clear" w:color="auto" w:fill="FFFFFF"/>
              </w:rPr>
              <w:t>、</w:t>
            </w:r>
            <w:r>
              <w:rPr>
                <w:rFonts w:hint="eastAsia" w:ascii="宋体" w:hAnsi="宋体"/>
                <w:color w:val="auto"/>
                <w:kern w:val="2"/>
                <w:sz w:val="24"/>
                <w:szCs w:val="24"/>
              </w:rPr>
              <w:t>黑白扫描仪</w:t>
            </w:r>
            <w:r>
              <w:rPr>
                <w:rFonts w:hint="eastAsia" w:ascii="宋体" w:hAnsi="宋体"/>
                <w:color w:val="auto"/>
                <w:kern w:val="2"/>
                <w:sz w:val="24"/>
                <w:szCs w:val="24"/>
                <w:lang w:val="en-US" w:eastAsia="zh-CN"/>
              </w:rPr>
              <w:t>9台、</w:t>
            </w:r>
            <w:r>
              <w:rPr>
                <w:rFonts w:hint="eastAsia" w:ascii="宋体" w:hAnsi="宋体"/>
                <w:color w:val="auto"/>
                <w:kern w:val="2"/>
                <w:sz w:val="24"/>
                <w:szCs w:val="24"/>
              </w:rPr>
              <w:t>自动刻录系统</w:t>
            </w:r>
            <w:r>
              <w:rPr>
                <w:rFonts w:hint="eastAsia" w:ascii="宋体" w:hAnsi="宋体"/>
                <w:color w:val="auto"/>
                <w:kern w:val="2"/>
                <w:sz w:val="24"/>
                <w:szCs w:val="24"/>
                <w:lang w:val="en-US" w:eastAsia="zh-CN"/>
              </w:rPr>
              <w:t>1套、</w:t>
            </w:r>
            <w:r>
              <w:rPr>
                <w:rFonts w:hint="eastAsia" w:ascii="宋体" w:hAnsi="宋体"/>
                <w:color w:val="auto"/>
                <w:kern w:val="2"/>
                <w:sz w:val="24"/>
                <w:szCs w:val="24"/>
              </w:rPr>
              <w:t>彩色扫描仪</w:t>
            </w:r>
            <w:r>
              <w:rPr>
                <w:rFonts w:hint="eastAsia" w:ascii="宋体" w:hAnsi="宋体"/>
                <w:color w:val="auto"/>
                <w:kern w:val="2"/>
                <w:sz w:val="24"/>
                <w:szCs w:val="24"/>
                <w:lang w:val="en-US" w:eastAsia="zh-CN"/>
              </w:rPr>
              <w:t>4台、</w:t>
            </w:r>
            <w:r>
              <w:rPr>
                <w:rFonts w:hint="eastAsia" w:ascii="宋体" w:hAnsi="宋体"/>
                <w:color w:val="auto"/>
                <w:kern w:val="2"/>
                <w:sz w:val="24"/>
                <w:szCs w:val="24"/>
              </w:rPr>
              <w:t>高清庭审系统</w:t>
            </w:r>
            <w:r>
              <w:rPr>
                <w:rFonts w:hint="eastAsia" w:ascii="宋体" w:hAnsi="宋体"/>
                <w:color w:val="auto"/>
                <w:kern w:val="2"/>
                <w:sz w:val="24"/>
                <w:szCs w:val="24"/>
                <w:lang w:val="en-US" w:eastAsia="zh-CN"/>
              </w:rPr>
              <w:t>4台</w:t>
            </w:r>
            <w:r>
              <w:rPr>
                <w:rFonts w:hint="eastAsia" w:cs="仿宋_GB2312" w:asciiTheme="minorEastAsia" w:hAnsiTheme="minorEastAsia" w:eastAsiaTheme="minorEastAsia"/>
                <w:color w:val="auto"/>
                <w:shd w:val="clear" w:color="auto" w:fill="FFFFFF"/>
              </w:rPr>
              <w:t>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项目地址：许昌市魏都区人民法院。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3"/>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采购人：许昌市魏都区人民法院</w:t>
            </w:r>
          </w:p>
          <w:p>
            <w:pPr>
              <w:pStyle w:val="53"/>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 址：许昌市魏都区延安路39号</w:t>
            </w:r>
          </w:p>
          <w:p>
            <w:pPr>
              <w:pStyle w:val="53"/>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rPr>
              <w:t xml:space="preserve">联系人：蒋帅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0374-3399019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3"/>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3"/>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cs="宋体" w:asciiTheme="minorEastAsia" w:hAnsiTheme="minorEastAsia"/>
                <w:b/>
                <w:bCs/>
                <w:color w:val="auto"/>
                <w:sz w:val="24"/>
                <w:szCs w:val="24"/>
                <w:lang w:val="zh-CN"/>
              </w:rPr>
              <w:t>七、</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1630000元，超出最高限价的投标无效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2019</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18</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金额：叁万贰仟元整（¥</w:t>
            </w:r>
            <w:r>
              <w:rPr>
                <w:rFonts w:hint="eastAsia" w:cs="仿宋_GB2312" w:asciiTheme="minorEastAsia" w:hAnsiTheme="minorEastAsia"/>
                <w:color w:val="auto"/>
                <w:sz w:val="24"/>
                <w:szCs w:val="24"/>
                <w:lang w:val="en-US" w:eastAsia="zh-CN"/>
              </w:rPr>
              <w:t>32000元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三</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（1）查询渠道：“信用中国”网站（www.creditchina.gov.cn）、“中国政府采购网”（www.ccgp.gov.cn）、“国家企业信用公示系统”网站（www.gsxt.gov.cn）；</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w:t>
            </w:r>
            <w:r>
              <w:rPr>
                <w:rFonts w:hint="eastAsia" w:asciiTheme="minorEastAsia" w:hAnsiTheme="minorEastAsia"/>
                <w:bCs/>
                <w:sz w:val="24"/>
                <w:szCs w:val="24"/>
              </w:rPr>
              <w:t>“信用中国”网站（www.creditchina.gov.cn）</w:t>
            </w:r>
            <w:r>
              <w:rPr>
                <w:rFonts w:hint="eastAsia" w:asciiTheme="minorEastAsia" w:hAnsiTheme="minorEastAsia"/>
                <w:bCs/>
                <w:sz w:val="24"/>
                <w:szCs w:val="24"/>
                <w:lang w:eastAsia="zh-CN"/>
              </w:rPr>
              <w:t>、</w:t>
            </w:r>
            <w:r>
              <w:rPr>
                <w:rFonts w:hint="eastAsia" w:asciiTheme="minorEastAsia" w:hAnsiTheme="minorEastAsia"/>
                <w:bCs/>
                <w:sz w:val="24"/>
                <w:szCs w:val="24"/>
              </w:rPr>
              <w:t>“中国政府采购网”（www.ccgp.gov.cn）</w:t>
            </w:r>
            <w:r>
              <w:rPr>
                <w:rFonts w:hint="eastAsia" w:asciiTheme="minorEastAsia" w:hAnsiTheme="minorEastAsia"/>
                <w:bCs/>
                <w:sz w:val="24"/>
                <w:szCs w:val="24"/>
                <w:lang w:eastAsia="zh-CN"/>
              </w:rPr>
              <w:t>、</w:t>
            </w:r>
            <w:r>
              <w:rPr>
                <w:rFonts w:hint="eastAsia" w:asciiTheme="minorEastAsia" w:hAnsiTheme="minorEastAsia"/>
                <w:bCs/>
                <w:sz w:val="24"/>
                <w:szCs w:val="24"/>
              </w:rPr>
              <w:t>“国家企业信用公示系统”网站（www.gsxt.gov.cn）</w:t>
            </w:r>
            <w:r>
              <w:rPr>
                <w:rFonts w:hint="eastAsia" w:asciiTheme="minorEastAsia" w:hAnsiTheme="minorEastAsia"/>
                <w:bCs/>
                <w:sz w:val="24"/>
                <w:szCs w:val="24"/>
                <w:lang w:eastAsia="zh-CN"/>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67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98" w:type="dxa"/>
            <w:vAlign w:val="center"/>
          </w:tcPr>
          <w:p>
            <w:pPr>
              <w:spacing w:line="360" w:lineRule="auto"/>
              <w:jc w:val="center"/>
              <w:rPr>
                <w:rFonts w:ascii="宋体" w:hAnsi="宋体" w:cs="宋体"/>
                <w:sz w:val="24"/>
                <w:szCs w:val="24"/>
              </w:rPr>
            </w:pPr>
            <w:r>
              <w:rPr>
                <w:rFonts w:hint="eastAsia" w:ascii="宋体" w:hAnsi="宋体" w:cs="宋体"/>
                <w:sz w:val="24"/>
                <w:szCs w:val="24"/>
              </w:rPr>
              <w:t>分值构成</w:t>
            </w:r>
          </w:p>
          <w:p>
            <w:pPr>
              <w:spacing w:line="360" w:lineRule="auto"/>
              <w:jc w:val="center"/>
              <w:rPr>
                <w:rFonts w:ascii="宋体" w:hAnsi="宋体" w:cs="宋体"/>
                <w:sz w:val="24"/>
                <w:szCs w:val="24"/>
              </w:rPr>
            </w:pPr>
            <w:r>
              <w:rPr>
                <w:rFonts w:hint="eastAsia" w:ascii="宋体" w:hAnsi="宋体" w:cs="宋体"/>
                <w:sz w:val="24"/>
                <w:szCs w:val="24"/>
              </w:rPr>
              <w:t>(总分100分)</w:t>
            </w:r>
          </w:p>
        </w:tc>
        <w:tc>
          <w:tcPr>
            <w:tcW w:w="7468" w:type="dxa"/>
            <w:gridSpan w:val="2"/>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价格分值：30分</w:t>
            </w:r>
          </w:p>
          <w:p>
            <w:pPr>
              <w:spacing w:line="360" w:lineRule="auto"/>
              <w:ind w:firstLine="480" w:firstLineChars="200"/>
              <w:rPr>
                <w:rFonts w:ascii="宋体" w:hAnsi="宋体" w:cs="宋体"/>
                <w:sz w:val="24"/>
                <w:szCs w:val="24"/>
              </w:rPr>
            </w:pPr>
            <w:r>
              <w:rPr>
                <w:rFonts w:hint="eastAsia" w:ascii="宋体" w:hAnsi="宋体" w:cs="宋体"/>
                <w:sz w:val="24"/>
                <w:szCs w:val="24"/>
              </w:rPr>
              <w:t>商务部分：35分</w:t>
            </w:r>
          </w:p>
          <w:p>
            <w:pPr>
              <w:spacing w:line="360" w:lineRule="auto"/>
              <w:ind w:firstLine="480" w:firstLineChars="200"/>
              <w:rPr>
                <w:rFonts w:ascii="宋体" w:hAnsi="宋体" w:cs="宋体"/>
                <w:sz w:val="24"/>
                <w:szCs w:val="24"/>
              </w:rPr>
            </w:pPr>
            <w:r>
              <w:rPr>
                <w:rFonts w:hint="eastAsia" w:ascii="宋体" w:hAnsi="宋体" w:cs="宋体"/>
                <w:sz w:val="24"/>
                <w:szCs w:val="24"/>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98" w:type="dxa"/>
            <w:tcBorders>
              <w:top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投标报价</w:t>
            </w:r>
          </w:p>
          <w:p>
            <w:pPr>
              <w:spacing w:line="360" w:lineRule="auto"/>
              <w:jc w:val="center"/>
              <w:rPr>
                <w:rFonts w:ascii="宋体" w:hAnsi="宋体" w:cs="宋体"/>
                <w:sz w:val="24"/>
                <w:szCs w:val="24"/>
              </w:rPr>
            </w:pPr>
            <w:r>
              <w:rPr>
                <w:rFonts w:hint="eastAsia" w:ascii="宋体" w:hAnsi="宋体" w:cs="宋体"/>
                <w:sz w:val="24"/>
                <w:szCs w:val="24"/>
              </w:rPr>
              <w:t>评分标准</w:t>
            </w:r>
          </w:p>
        </w:tc>
        <w:tc>
          <w:tcPr>
            <w:tcW w:w="6675" w:type="dxa"/>
            <w:tcBorders>
              <w:top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评标基准价：满足招标文件要求的有效投标报价中，最低的投标报价为评标基准价。</w:t>
            </w:r>
          </w:p>
          <w:p>
            <w:pPr>
              <w:spacing w:line="360" w:lineRule="auto"/>
              <w:rPr>
                <w:rFonts w:ascii="宋体" w:hAnsi="宋体" w:cs="宋体"/>
                <w:sz w:val="24"/>
                <w:szCs w:val="24"/>
              </w:rPr>
            </w:pPr>
            <w:r>
              <w:rPr>
                <w:rFonts w:hint="eastAsia" w:ascii="宋体" w:hAnsi="宋体" w:cs="宋体"/>
                <w:sz w:val="24"/>
                <w:szCs w:val="24"/>
              </w:rPr>
              <w:t>投标报价得分=（评标基准价/投标报价）×30</w:t>
            </w:r>
          </w:p>
        </w:tc>
        <w:tc>
          <w:tcPr>
            <w:tcW w:w="793" w:type="dxa"/>
            <w:tcBorders>
              <w:top w:val="single" w:color="auto" w:sz="4" w:space="0"/>
            </w:tcBorders>
            <w:vAlign w:val="center"/>
          </w:tcPr>
          <w:p>
            <w:pPr>
              <w:jc w:val="center"/>
              <w:rPr>
                <w:rFonts w:ascii="宋体" w:hAnsi="宋体" w:cs="宋体"/>
                <w:sz w:val="24"/>
                <w:szCs w:val="24"/>
              </w:rPr>
            </w:pPr>
            <w:r>
              <w:rPr>
                <w:rFonts w:hint="eastAsia" w:ascii="宋体" w:hAnsi="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cs="宋体"/>
                <w:b/>
                <w:sz w:val="24"/>
                <w:szCs w:val="24"/>
              </w:rPr>
            </w:pPr>
            <w:r>
              <w:rPr>
                <w:rFonts w:hint="eastAsia" w:ascii="宋体" w:hAnsi="宋体" w:cs="宋体"/>
                <w:b/>
                <w:sz w:val="24"/>
                <w:szCs w:val="24"/>
              </w:rPr>
              <w:t>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企业实力及信誉</w:t>
            </w:r>
          </w:p>
        </w:tc>
        <w:tc>
          <w:tcPr>
            <w:tcW w:w="6675" w:type="dxa"/>
            <w:vAlign w:val="center"/>
          </w:tcPr>
          <w:p>
            <w:pPr>
              <w:spacing w:line="360" w:lineRule="auto"/>
              <w:rPr>
                <w:rFonts w:hint="eastAsia" w:ascii="宋体" w:hAnsi="宋体" w:cs="仿宋"/>
                <w:color w:val="000000"/>
                <w:sz w:val="24"/>
                <w:szCs w:val="24"/>
              </w:rPr>
            </w:pPr>
            <w:r>
              <w:rPr>
                <w:rFonts w:hint="eastAsia" w:ascii="宋体" w:hAnsi="宋体" w:cs="仿宋"/>
                <w:color w:val="000000"/>
                <w:sz w:val="24"/>
                <w:szCs w:val="24"/>
              </w:rPr>
              <w:t>1、根据投标人在2017年度以来社会对其认可度以及行政主管部门、工商、银行、行业部门颁发的荣誉证书等情况评定，每提供一份荣誉证书得1分，满分2分。未提供不得分。</w:t>
            </w:r>
          </w:p>
          <w:p>
            <w:pPr>
              <w:spacing w:line="360" w:lineRule="auto"/>
              <w:rPr>
                <w:rFonts w:ascii="宋体" w:hAnsi="宋体" w:cs="仿宋"/>
                <w:color w:val="000000"/>
                <w:sz w:val="24"/>
                <w:szCs w:val="24"/>
              </w:rPr>
            </w:pPr>
            <w:r>
              <w:rPr>
                <w:rFonts w:hint="eastAsia" w:ascii="宋体" w:hAnsi="宋体" w:cs="仿宋"/>
                <w:color w:val="000000"/>
                <w:sz w:val="24"/>
                <w:szCs w:val="24"/>
              </w:rPr>
              <w:t>2、投标人具有国家工商行政管理总局商标局颁发的商标注册证的，提供证书复印件加盖投标单位盖章。得4分；</w:t>
            </w:r>
          </w:p>
        </w:tc>
        <w:tc>
          <w:tcPr>
            <w:tcW w:w="793" w:type="dxa"/>
            <w:vAlign w:val="center"/>
          </w:tcPr>
          <w:p>
            <w:pPr>
              <w:jc w:val="center"/>
              <w:rPr>
                <w:rFonts w:ascii="宋体" w:hAnsi="宋体" w:cs="宋体"/>
                <w:sz w:val="24"/>
                <w:szCs w:val="24"/>
                <w:shd w:val="pct10" w:color="auto" w:fill="FFFFFF"/>
              </w:rPr>
            </w:pPr>
            <w:r>
              <w:rPr>
                <w:rFonts w:hint="eastAsia"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业绩</w:t>
            </w:r>
          </w:p>
        </w:tc>
        <w:tc>
          <w:tcPr>
            <w:tcW w:w="6675" w:type="dxa"/>
            <w:vAlign w:val="center"/>
          </w:tcPr>
          <w:p>
            <w:pPr>
              <w:spacing w:line="360" w:lineRule="auto"/>
              <w:rPr>
                <w:rFonts w:ascii="宋体" w:hAnsi="宋体" w:cs="仿宋"/>
                <w:color w:val="000000"/>
                <w:sz w:val="24"/>
                <w:szCs w:val="24"/>
              </w:rPr>
            </w:pPr>
            <w:r>
              <w:rPr>
                <w:rFonts w:hint="eastAsia" w:ascii="宋体" w:hAnsi="宋体" w:cs="仿宋"/>
                <w:color w:val="000000"/>
                <w:sz w:val="24"/>
                <w:szCs w:val="24"/>
              </w:rPr>
              <w:t>投标人具有2017年以来类似项目业绩且合同金额在100万元以上（含100万），提供一份得1分，最多得2分。（招标文件中提供合同、中标通知书及验收报告复印件）。</w:t>
            </w:r>
          </w:p>
        </w:tc>
        <w:tc>
          <w:tcPr>
            <w:tcW w:w="793" w:type="dxa"/>
            <w:vAlign w:val="center"/>
          </w:tcPr>
          <w:p>
            <w:pPr>
              <w:jc w:val="center"/>
              <w:rPr>
                <w:rFonts w:ascii="宋体" w:hAnsi="宋体" w:cs="宋体"/>
                <w:sz w:val="24"/>
                <w:szCs w:val="24"/>
                <w:shd w:val="pct10" w:color="auto" w:fill="FFFFFF"/>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产品优势</w:t>
            </w:r>
          </w:p>
        </w:tc>
        <w:tc>
          <w:tcPr>
            <w:tcW w:w="6675" w:type="dxa"/>
            <w:vAlign w:val="center"/>
          </w:tcPr>
          <w:p>
            <w:pPr>
              <w:spacing w:line="330" w:lineRule="atLeast"/>
              <w:rPr>
                <w:rFonts w:hint="eastAsia" w:ascii="宋体" w:hAnsi="宋体" w:cs="仿宋"/>
                <w:sz w:val="24"/>
                <w:szCs w:val="24"/>
              </w:rPr>
            </w:pPr>
            <w:r>
              <w:rPr>
                <w:rFonts w:hint="eastAsia" w:ascii="宋体" w:hAnsi="宋体" w:cs="仿宋"/>
                <w:sz w:val="24"/>
                <w:szCs w:val="24"/>
              </w:rPr>
              <w:t>1、序号1“专用台式计算机”的生产厂商通过ISO20000信息技术服务管理体系认证、ISO27001信息安全管理体系认证、“中国信息安全测评中心”颁发的信息安全服务资质（安全工程类）一级以上认证。每项1分，最高3分；提供证书复印件并加盖生产厂商公章，未提供不得分。</w:t>
            </w:r>
          </w:p>
          <w:p>
            <w:pPr>
              <w:spacing w:line="330" w:lineRule="atLeast"/>
              <w:rPr>
                <w:rFonts w:ascii="宋体" w:hAnsi="宋体" w:cs="仿宋"/>
                <w:sz w:val="24"/>
                <w:szCs w:val="24"/>
              </w:rPr>
            </w:pPr>
            <w:r>
              <w:rPr>
                <w:rFonts w:hint="eastAsia" w:ascii="宋体" w:hAnsi="宋体" w:cs="仿宋"/>
                <w:sz w:val="24"/>
                <w:szCs w:val="24"/>
              </w:rPr>
              <w:t>2、序号1“专用台式计算机”通过“国家广播电视产品质量监督检验中心”颁发的CNAS认可的平均无故障运行时间的稳定性（MTBF值)指标，当MTBF值≥80万，得1分；MTBF值每增加10万加1分，最多得3分；提供证书复印件并加盖生产厂商公章，未提供不得分。</w:t>
            </w:r>
          </w:p>
          <w:p>
            <w:pPr>
              <w:spacing w:line="330" w:lineRule="atLeast"/>
              <w:rPr>
                <w:rFonts w:ascii="宋体" w:hAnsi="宋体" w:cs="仿宋"/>
                <w:sz w:val="24"/>
                <w:szCs w:val="24"/>
              </w:rPr>
            </w:pPr>
            <w:r>
              <w:rPr>
                <w:rFonts w:hint="eastAsia" w:ascii="宋体" w:hAnsi="宋体" w:cs="仿宋"/>
                <w:sz w:val="24"/>
                <w:szCs w:val="24"/>
              </w:rPr>
              <w:t>3、序号5“</w:t>
            </w:r>
            <w:r>
              <w:rPr>
                <w:rFonts w:hint="eastAsia" w:ascii="宋体" w:hAnsi="宋体"/>
                <w:sz w:val="24"/>
                <w:szCs w:val="24"/>
              </w:rPr>
              <w:t>高清庭审系统</w:t>
            </w:r>
            <w:r>
              <w:rPr>
                <w:rFonts w:hint="eastAsia" w:ascii="宋体" w:hAnsi="宋体" w:cs="仿宋"/>
                <w:sz w:val="24"/>
                <w:szCs w:val="24"/>
              </w:rPr>
              <w:t>”产品的生产厂商具有在有效期内的质量管理体系认证ISO 9001质量管理体系认证、ISO 14001环境管理体系认证、ISO 20000信息技术服务管理体系认证、ISO 27001信息安全管理体系认证、OHSAS 18001职业健康安全管理体系认证，每项0.5分,最高2分，未提供不得分。</w:t>
            </w:r>
          </w:p>
          <w:p>
            <w:pPr>
              <w:spacing w:line="330" w:lineRule="atLeast"/>
              <w:rPr>
                <w:rFonts w:ascii="宋体" w:hAnsi="宋体" w:cs="仿宋"/>
                <w:sz w:val="24"/>
                <w:szCs w:val="24"/>
              </w:rPr>
            </w:pPr>
            <w:r>
              <w:rPr>
                <w:rFonts w:hint="eastAsia" w:ascii="宋体" w:hAnsi="宋体" w:cs="仿宋"/>
                <w:sz w:val="24"/>
                <w:szCs w:val="24"/>
              </w:rPr>
              <w:t>4、序号6“</w:t>
            </w:r>
            <w:r>
              <w:rPr>
                <w:rFonts w:hint="eastAsia" w:ascii="宋体" w:hAnsi="宋体"/>
                <w:sz w:val="24"/>
                <w:szCs w:val="24"/>
              </w:rPr>
              <w:t>庭审应用系统</w:t>
            </w:r>
            <w:r>
              <w:rPr>
                <w:rFonts w:hint="eastAsia" w:ascii="宋体" w:hAnsi="宋体" w:cs="仿宋"/>
                <w:sz w:val="24"/>
                <w:szCs w:val="24"/>
              </w:rPr>
              <w:t>”生产厂商具有软件成熟度 CMMI5等级证书、《计算机软件著作权登记证》。以上证书投标时需提供相关证书复印件，每项0.5分，最高1分，未提供不得分。</w:t>
            </w:r>
          </w:p>
          <w:p>
            <w:pPr>
              <w:spacing w:line="330" w:lineRule="atLeast"/>
              <w:rPr>
                <w:rFonts w:ascii="宋体" w:hAnsi="宋体" w:cs="仿宋"/>
                <w:sz w:val="24"/>
                <w:szCs w:val="24"/>
              </w:rPr>
            </w:pPr>
            <w:r>
              <w:rPr>
                <w:rFonts w:hint="eastAsia" w:ascii="宋体" w:hAnsi="宋体" w:cs="仿宋"/>
                <w:sz w:val="24"/>
                <w:szCs w:val="24"/>
              </w:rPr>
              <w:t>5、序号16“威胁防御软件”生产厂商具有《T</w:t>
            </w:r>
            <w:r>
              <w:rPr>
                <w:rFonts w:ascii="宋体" w:hAnsi="宋体" w:cs="仿宋"/>
                <w:sz w:val="24"/>
                <w:szCs w:val="24"/>
              </w:rPr>
              <w:t>L9000</w:t>
            </w:r>
            <w:r>
              <w:rPr>
                <w:rFonts w:hint="eastAsia" w:ascii="宋体" w:hAnsi="宋体" w:cs="仿宋"/>
                <w:sz w:val="24"/>
                <w:szCs w:val="24"/>
              </w:rPr>
              <w:t>通信行业质量证书》、《中国国家信息安全漏洞库CNNVD》一级技术支撑单位证书并提供CNNVD官网链接截图；以上证明文件投标时需提供加盖生产厂商公章的复印件，每项得1分，最高2分。未提供不得分。</w:t>
            </w:r>
          </w:p>
          <w:p>
            <w:pPr>
              <w:spacing w:line="330" w:lineRule="atLeast"/>
              <w:rPr>
                <w:rFonts w:hint="eastAsia" w:ascii="宋体" w:hAnsi="宋体" w:cs="仿宋"/>
                <w:sz w:val="24"/>
                <w:szCs w:val="24"/>
              </w:rPr>
            </w:pPr>
            <w:r>
              <w:rPr>
                <w:rFonts w:hint="eastAsia" w:ascii="宋体" w:hAnsi="宋体" w:cs="仿宋"/>
                <w:sz w:val="24"/>
                <w:szCs w:val="24"/>
              </w:rPr>
              <w:t>6、序号16“威胁防御软件”生产厂商具备有效CISP及CISSP培训资质，以上资质投标时需提供加盖生产厂商公章的复印件，每项得1分，最高2分。未提供不得分。</w:t>
            </w:r>
          </w:p>
          <w:p>
            <w:pPr>
              <w:spacing w:line="330" w:lineRule="atLeast"/>
              <w:rPr>
                <w:rFonts w:hint="eastAsia" w:ascii="宋体" w:hAnsi="宋体" w:cs="仿宋"/>
                <w:sz w:val="24"/>
                <w:szCs w:val="24"/>
              </w:rPr>
            </w:pPr>
            <w:r>
              <w:rPr>
                <w:rFonts w:hint="eastAsia" w:ascii="宋体" w:hAnsi="宋体" w:cs="仿宋"/>
                <w:sz w:val="24"/>
                <w:szCs w:val="24"/>
              </w:rPr>
              <w:t>7、序号18“管理软件功能扩展”生产厂商具备公安部颁发的《计算机信息系统安全专用产品销售许可证》、内网主机监测（一级）资质证书，以上证书投标时需提供复印件，每项得1分，最高2分，未提供不得分。</w:t>
            </w:r>
          </w:p>
          <w:p>
            <w:pPr>
              <w:spacing w:line="330" w:lineRule="atLeast"/>
              <w:rPr>
                <w:rFonts w:ascii="宋体" w:hAnsi="宋体" w:cs="仿宋"/>
                <w:sz w:val="24"/>
                <w:szCs w:val="24"/>
              </w:rPr>
            </w:pPr>
            <w:r>
              <w:rPr>
                <w:rFonts w:hint="eastAsia" w:ascii="宋体" w:hAnsi="宋体" w:cs="仿宋"/>
                <w:sz w:val="24"/>
                <w:szCs w:val="24"/>
              </w:rPr>
              <w:t>8、序号18“</w:t>
            </w:r>
            <w:r>
              <w:rPr>
                <w:rFonts w:hint="eastAsia" w:ascii="宋体" w:hAnsi="宋体"/>
                <w:sz w:val="24"/>
                <w:szCs w:val="24"/>
              </w:rPr>
              <w:t>管理软件功能扩展</w:t>
            </w:r>
            <w:r>
              <w:rPr>
                <w:rFonts w:hint="eastAsia" w:ascii="宋体" w:hAnsi="宋体" w:cs="仿宋"/>
                <w:sz w:val="24"/>
                <w:szCs w:val="24"/>
              </w:rPr>
              <w:t>”生产厂商具备中国信息安全测评中心颁发的《国家信息安全测评信息技术产品安全测评证书 EAL2》资质证书、以及连续2年以上入选Gartner终端安全魔力象限。以上证书或者证明文件投标时需提供加盖生产厂商公章的复印件，每项得1分，最高2分，未提供不得分。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售后服务及承诺</w:t>
            </w:r>
          </w:p>
        </w:tc>
        <w:tc>
          <w:tcPr>
            <w:tcW w:w="6675" w:type="dxa"/>
            <w:vAlign w:val="center"/>
          </w:tcPr>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1、免费保修时间以年为单位，以1年为起点，每增加1年加1分，满分2分。</w:t>
            </w:r>
          </w:p>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2、序号1“专用计算机产品”能通过微信服务平台提供：预约保修；实现保修期、配置、驱动查询；咨询在线客服等功能，提供功能截图证明文件，加盖生产厂商公章的得2分，不提供不得分。</w:t>
            </w:r>
          </w:p>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3、提供</w:t>
            </w:r>
            <w:r>
              <w:rPr>
                <w:rFonts w:hint="eastAsia" w:ascii="宋体" w:hAnsi="宋体" w:cs="仿宋"/>
                <w:kern w:val="0"/>
                <w:sz w:val="24"/>
                <w:szCs w:val="24"/>
              </w:rPr>
              <w:t>序号6“</w:t>
            </w:r>
            <w:r>
              <w:rPr>
                <w:rFonts w:hint="eastAsia" w:ascii="宋体" w:hAnsi="宋体"/>
                <w:sz w:val="24"/>
                <w:szCs w:val="24"/>
              </w:rPr>
              <w:t>庭审应用系统</w:t>
            </w:r>
            <w:r>
              <w:rPr>
                <w:rFonts w:hint="eastAsia" w:ascii="宋体" w:hAnsi="宋体" w:cs="仿宋"/>
                <w:kern w:val="0"/>
                <w:sz w:val="24"/>
                <w:szCs w:val="24"/>
              </w:rPr>
              <w:t>”</w:t>
            </w:r>
            <w:r>
              <w:rPr>
                <w:rFonts w:hint="eastAsia" w:ascii="宋体" w:hAnsi="宋体" w:cs="仿宋_GB2312"/>
                <w:kern w:val="0"/>
                <w:sz w:val="24"/>
                <w:szCs w:val="24"/>
                <w:lang w:val="zh-CN"/>
              </w:rPr>
              <w:t>生产厂商针对本项目加盖公章的售后服务承诺。得1分，不提供不得分。</w:t>
            </w:r>
          </w:p>
          <w:p>
            <w:pPr>
              <w:spacing w:line="330" w:lineRule="atLeast"/>
              <w:rPr>
                <w:rFonts w:ascii="宋体" w:hAnsi="宋体" w:cs="仿宋"/>
                <w:sz w:val="24"/>
                <w:szCs w:val="24"/>
              </w:rPr>
            </w:pPr>
            <w:r>
              <w:rPr>
                <w:rFonts w:hint="eastAsia" w:ascii="宋体" w:hAnsi="宋体" w:cs="仿宋"/>
                <w:sz w:val="24"/>
                <w:szCs w:val="24"/>
              </w:rPr>
              <w:t xml:space="preserve">  4、序号16“</w:t>
            </w:r>
            <w:r>
              <w:rPr>
                <w:rFonts w:hint="eastAsia" w:ascii="宋体" w:hAnsi="宋体"/>
                <w:sz w:val="24"/>
                <w:szCs w:val="24"/>
              </w:rPr>
              <w:t>威胁防御软件</w:t>
            </w:r>
            <w:r>
              <w:rPr>
                <w:rFonts w:hint="eastAsia" w:ascii="宋体" w:hAnsi="宋体" w:cs="仿宋"/>
                <w:sz w:val="24"/>
                <w:szCs w:val="24"/>
              </w:rPr>
              <w:t>”的生产厂商免费为用户提供一个CISP或者CISSP培训名额，提供证明文件，并加盖厂商公章，得3分，未提供不得分。</w:t>
            </w:r>
          </w:p>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rPr>
              <w:t>5</w:t>
            </w:r>
            <w:r>
              <w:rPr>
                <w:rFonts w:hint="eastAsia" w:ascii="宋体" w:hAnsi="宋体" w:cs="仿宋_GB2312"/>
                <w:kern w:val="0"/>
                <w:sz w:val="24"/>
                <w:szCs w:val="24"/>
                <w:lang w:val="zh-CN"/>
              </w:rPr>
              <w:t>、提供</w:t>
            </w:r>
            <w:r>
              <w:rPr>
                <w:rFonts w:hint="eastAsia" w:ascii="宋体" w:hAnsi="宋体" w:cs="仿宋"/>
                <w:kern w:val="0"/>
                <w:sz w:val="24"/>
                <w:szCs w:val="24"/>
              </w:rPr>
              <w:t>序号18“</w:t>
            </w:r>
            <w:r>
              <w:rPr>
                <w:rFonts w:hint="eastAsia" w:ascii="宋体" w:hAnsi="宋体"/>
                <w:sz w:val="24"/>
                <w:szCs w:val="24"/>
              </w:rPr>
              <w:t>管理软件功能扩展</w:t>
            </w:r>
            <w:r>
              <w:rPr>
                <w:rFonts w:hint="eastAsia" w:ascii="宋体" w:hAnsi="宋体" w:cs="仿宋"/>
                <w:kern w:val="0"/>
                <w:sz w:val="24"/>
                <w:szCs w:val="24"/>
              </w:rPr>
              <w:t>”</w:t>
            </w:r>
            <w:r>
              <w:rPr>
                <w:rFonts w:hint="eastAsia" w:ascii="宋体" w:hAnsi="宋体" w:cs="仿宋_GB2312"/>
                <w:kern w:val="0"/>
                <w:sz w:val="24"/>
                <w:szCs w:val="24"/>
                <w:lang w:val="zh-CN"/>
              </w:rPr>
              <w:t>的生产厂商针对本项目加盖公章的售后服务承诺。得2分，不提供不得分。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cs="宋体"/>
                <w:b/>
                <w:sz w:val="24"/>
                <w:szCs w:val="24"/>
              </w:rPr>
            </w:pPr>
            <w:r>
              <w:rPr>
                <w:rFonts w:hint="eastAsia" w:ascii="宋体" w:hAnsi="宋体" w:cs="宋体"/>
                <w:b/>
                <w:sz w:val="24"/>
                <w:szCs w:val="24"/>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jc w:val="center"/>
              <w:rPr>
                <w:rFonts w:ascii="宋体" w:hAnsi="宋体" w:cs="宋体"/>
                <w:sz w:val="24"/>
                <w:szCs w:val="24"/>
              </w:rPr>
            </w:pPr>
            <w:r>
              <w:rPr>
                <w:rFonts w:hint="eastAsia" w:ascii="宋体" w:hAnsi="宋体" w:cs="宋体"/>
                <w:sz w:val="24"/>
                <w:szCs w:val="24"/>
              </w:rPr>
              <w:t>产品响应程度</w:t>
            </w:r>
          </w:p>
        </w:tc>
        <w:tc>
          <w:tcPr>
            <w:tcW w:w="6675" w:type="dxa"/>
            <w:vAlign w:val="center"/>
          </w:tcPr>
          <w:p>
            <w:pPr>
              <w:spacing w:line="360" w:lineRule="auto"/>
              <w:ind w:firstLine="240" w:firstLineChars="100"/>
              <w:rPr>
                <w:rFonts w:hint="eastAsia" w:ascii="宋体" w:hAnsi="宋体" w:cs="仿宋"/>
                <w:sz w:val="24"/>
                <w:szCs w:val="24"/>
              </w:rPr>
            </w:pPr>
            <w:r>
              <w:rPr>
                <w:rFonts w:hint="eastAsia" w:ascii="宋体" w:hAnsi="宋体" w:cs="仿宋"/>
                <w:sz w:val="24"/>
                <w:szCs w:val="24"/>
              </w:rPr>
              <w:t>1、序号6“庭审应用系统”支持“一键开庭”、“一键闭庭”，具有休庭功能，重新开庭时不影响庭审实况录制，提供功能截图或者证明文件，得1分, 不提供不得分。</w:t>
            </w:r>
          </w:p>
          <w:p>
            <w:pPr>
              <w:spacing w:line="360" w:lineRule="auto"/>
              <w:ind w:firstLine="240" w:firstLineChars="100"/>
              <w:rPr>
                <w:rFonts w:hint="eastAsia" w:ascii="宋体" w:hAnsi="宋体" w:cs="仿宋"/>
                <w:sz w:val="24"/>
                <w:szCs w:val="24"/>
              </w:rPr>
            </w:pPr>
            <w:r>
              <w:rPr>
                <w:rFonts w:hint="eastAsia" w:ascii="宋体" w:hAnsi="宋体" w:cs="仿宋"/>
                <w:sz w:val="24"/>
                <w:szCs w:val="24"/>
              </w:rPr>
              <w:t>2、序号6“庭审应用系统”可自主选择、切换远端音视频信号至现场展示；可远程控制法庭的系统配置情况，音视频设备采集情况；支持自动显示法庭庭审状态；支持后台光盘集中刻录功能，提供功能截图或者证明文件,得1分, 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3、序号16“威胁防御软件”产品提供技术参数及偏离响应表并加盖生产厂商公章的得6分，否则不得分。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4、序号16“威胁防御软件”病毒检测率不低于</w:t>
            </w:r>
            <w:r>
              <w:rPr>
                <w:rFonts w:ascii="宋体" w:hAnsi="宋体" w:cs="仿宋"/>
                <w:kern w:val="0"/>
                <w:sz w:val="24"/>
                <w:szCs w:val="24"/>
              </w:rPr>
              <w:t>98%</w:t>
            </w:r>
            <w:r>
              <w:rPr>
                <w:rFonts w:hint="eastAsia" w:ascii="宋体" w:hAnsi="宋体" w:cs="仿宋"/>
                <w:kern w:val="0"/>
                <w:sz w:val="24"/>
                <w:szCs w:val="24"/>
              </w:rPr>
              <w:t>，提供第三方检测机构的检测证明复印件并加盖生产厂商公章，得5分。不提供不得分。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5、序号16“威胁防御软件”要求支持多核系统，提高硬件资源的利用率；支持</w:t>
            </w:r>
            <w:r>
              <w:rPr>
                <w:rFonts w:ascii="宋体" w:hAnsi="宋体" w:cs="仿宋"/>
                <w:kern w:val="0"/>
                <w:sz w:val="24"/>
                <w:szCs w:val="24"/>
              </w:rPr>
              <w:t>IPv4</w:t>
            </w:r>
            <w:r>
              <w:rPr>
                <w:rFonts w:hint="eastAsia" w:ascii="宋体" w:hAnsi="宋体" w:cs="仿宋"/>
                <w:kern w:val="0"/>
                <w:sz w:val="24"/>
                <w:szCs w:val="24"/>
              </w:rPr>
              <w:t>和</w:t>
            </w:r>
            <w:r>
              <w:rPr>
                <w:rFonts w:ascii="宋体" w:hAnsi="宋体" w:cs="仿宋"/>
                <w:kern w:val="0"/>
                <w:sz w:val="24"/>
                <w:szCs w:val="24"/>
              </w:rPr>
              <w:t>IPv6</w:t>
            </w:r>
            <w:r>
              <w:rPr>
                <w:rFonts w:hint="eastAsia" w:ascii="宋体" w:hAnsi="宋体" w:cs="仿宋"/>
                <w:kern w:val="0"/>
                <w:sz w:val="24"/>
                <w:szCs w:val="24"/>
              </w:rPr>
              <w:t>双栈协议的病毒扫描与过滤，要求默认加载的流行病毒库总数大于</w:t>
            </w:r>
            <w:r>
              <w:rPr>
                <w:rFonts w:ascii="宋体" w:hAnsi="宋体" w:cs="仿宋"/>
                <w:kern w:val="0"/>
                <w:sz w:val="24"/>
                <w:szCs w:val="24"/>
              </w:rPr>
              <w:t>600</w:t>
            </w:r>
            <w:r>
              <w:rPr>
                <w:rFonts w:hint="eastAsia" w:ascii="宋体" w:hAnsi="宋体" w:cs="仿宋"/>
                <w:kern w:val="0"/>
                <w:sz w:val="24"/>
                <w:szCs w:val="24"/>
              </w:rPr>
              <w:t>万，可本地化完成病毒地检测过滤与处理，无需发送到云端检测，提供功能截图或者证明文件，得1分。不提供不得分。</w:t>
            </w:r>
          </w:p>
          <w:p>
            <w:pPr>
              <w:pStyle w:val="54"/>
              <w:ind w:firstLine="240" w:firstLineChars="100"/>
              <w:rPr>
                <w:rFonts w:ascii="宋体" w:hAnsi="宋体" w:cs="仿宋"/>
                <w:kern w:val="0"/>
                <w:sz w:val="24"/>
                <w:szCs w:val="24"/>
              </w:rPr>
            </w:pPr>
            <w:r>
              <w:rPr>
                <w:rFonts w:hint="eastAsia" w:ascii="宋体" w:hAnsi="宋体" w:cs="仿宋"/>
                <w:kern w:val="0"/>
                <w:sz w:val="24"/>
                <w:szCs w:val="24"/>
              </w:rPr>
              <w:t>6、序号16“威胁防御软件”要求支持中文、英文</w:t>
            </w:r>
            <w:r>
              <w:rPr>
                <w:rFonts w:ascii="宋体" w:hAnsi="宋体" w:cs="仿宋"/>
                <w:kern w:val="0"/>
                <w:sz w:val="24"/>
                <w:szCs w:val="24"/>
              </w:rPr>
              <w:t>web</w:t>
            </w:r>
            <w:r>
              <w:rPr>
                <w:rFonts w:hint="eastAsia" w:ascii="宋体" w:hAnsi="宋体" w:cs="仿宋"/>
                <w:kern w:val="0"/>
                <w:sz w:val="24"/>
                <w:szCs w:val="24"/>
              </w:rPr>
              <w:t>管理界面；支持至少</w:t>
            </w:r>
            <w:r>
              <w:rPr>
                <w:rFonts w:ascii="宋体" w:hAnsi="宋体" w:cs="仿宋"/>
                <w:kern w:val="0"/>
                <w:sz w:val="24"/>
                <w:szCs w:val="24"/>
              </w:rPr>
              <w:t>3</w:t>
            </w:r>
            <w:r>
              <w:rPr>
                <w:rFonts w:hint="eastAsia" w:ascii="宋体" w:hAnsi="宋体" w:cs="仿宋"/>
                <w:kern w:val="0"/>
                <w:sz w:val="24"/>
                <w:szCs w:val="24"/>
              </w:rPr>
              <w:t>个</w:t>
            </w:r>
            <w:r>
              <w:rPr>
                <w:rFonts w:ascii="宋体" w:hAnsi="宋体" w:cs="仿宋"/>
                <w:kern w:val="0"/>
                <w:sz w:val="24"/>
                <w:szCs w:val="24"/>
              </w:rPr>
              <w:t>Syslog</w:t>
            </w:r>
            <w:r>
              <w:rPr>
                <w:rFonts w:hint="eastAsia" w:ascii="宋体" w:hAnsi="宋体" w:cs="仿宋"/>
                <w:kern w:val="0"/>
                <w:sz w:val="24"/>
                <w:szCs w:val="24"/>
              </w:rPr>
              <w:t>服务器，可将不同类型的日志发送到不同服务器，当出现病毒突然爆发状况时，可向网络管理员发送报警信息，具有邮件报警、声音报警、</w:t>
            </w:r>
            <w:r>
              <w:rPr>
                <w:rFonts w:ascii="宋体" w:hAnsi="宋体" w:cs="仿宋"/>
                <w:kern w:val="0"/>
                <w:sz w:val="24"/>
                <w:szCs w:val="24"/>
              </w:rPr>
              <w:t>SNMP</w:t>
            </w:r>
            <w:r>
              <w:rPr>
                <w:rFonts w:hint="eastAsia" w:ascii="宋体" w:hAnsi="宋体" w:cs="仿宋"/>
                <w:kern w:val="0"/>
                <w:sz w:val="24"/>
                <w:szCs w:val="24"/>
              </w:rPr>
              <w:t>等报警方式，提供功能截图或者证明文件，得1分。不提供不得分。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7、序号16“威胁防御软件”要求具有针对FTP流量的病毒检测过滤日志，且过滤日志能定位到具体的文件名，方便管理处理携带病毒的文件；配置文件可定时自动上传到指定服务器进行存档，提供功能截图或者证明文件，得1分。不提供不得分。</w:t>
            </w:r>
          </w:p>
          <w:p>
            <w:pPr>
              <w:spacing w:line="360" w:lineRule="auto"/>
              <w:ind w:firstLine="240" w:firstLineChars="100"/>
              <w:rPr>
                <w:rFonts w:hint="eastAsia" w:ascii="宋体" w:hAnsi="宋体" w:cs="仿宋"/>
                <w:sz w:val="24"/>
                <w:szCs w:val="24"/>
              </w:rPr>
            </w:pPr>
            <w:r>
              <w:rPr>
                <w:rFonts w:hint="eastAsia" w:ascii="宋体" w:hAnsi="宋体" w:cs="仿宋"/>
                <w:sz w:val="24"/>
                <w:szCs w:val="24"/>
              </w:rPr>
              <w:t>8、序号18“管理软件功能扩展”产品提供技术参数及偏离响应表并加盖生产厂商公章的得6分，否则不得分。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9、序号18“管理软件功能扩展”资产管理功能支持正版软件的正版序列号的读取功能，确保软件正版化。提供功能截图或者证明文件，加盖生产厂商公章，得4分。不提供不得分。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10、序号18“管理软件功能扩展”支持手工导入MD5+SHA1的黑白名单方式，支持txt批量导入方式；文件被加入白名单，客户端不再查杀，加入黑名单，客户端不可执行此文件；提供功能截图或者证明文件，得1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11、序号18“管理软件功能扩展”具备面向微软官方级别漏洞发现能力（提供2014年至今少20个以上微软漏洞发现案例，提供微软官方确认链接），提供链接截图，加盖生产厂商公章，得5分。不提供不得分。</w:t>
            </w:r>
          </w:p>
          <w:p>
            <w:pPr>
              <w:pStyle w:val="54"/>
              <w:ind w:firstLine="240" w:firstLineChars="100"/>
              <w:rPr>
                <w:rFonts w:ascii="宋体" w:hAnsi="宋体" w:cs="仿宋"/>
                <w:kern w:val="0"/>
                <w:sz w:val="24"/>
                <w:szCs w:val="24"/>
              </w:rPr>
            </w:pPr>
            <w:r>
              <w:rPr>
                <w:rFonts w:hint="eastAsia" w:ascii="宋体" w:hAnsi="宋体" w:cs="仿宋"/>
                <w:kern w:val="0"/>
                <w:sz w:val="24"/>
                <w:szCs w:val="24"/>
              </w:rPr>
              <w:t>12、序号18“管理软件功能扩展”支持对敲诈者病毒提供防护机制，同时可提供相关解密工具，解密工具为自主研发；提供功能截图或者证明文件，得1分。不提供不得分。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spacing w:line="360" w:lineRule="auto"/>
              <w:jc w:val="center"/>
              <w:rPr>
                <w:rFonts w:ascii="宋体" w:hAnsi="宋体" w:cs="宋体"/>
                <w:sz w:val="24"/>
                <w:szCs w:val="24"/>
              </w:rPr>
            </w:pPr>
            <w:r>
              <w:rPr>
                <w:rFonts w:hint="eastAsia" w:ascii="宋体" w:hAnsi="宋体" w:cs="宋体"/>
                <w:sz w:val="24"/>
                <w:szCs w:val="24"/>
              </w:rPr>
              <w:t>实施方案</w:t>
            </w:r>
          </w:p>
        </w:tc>
        <w:tc>
          <w:tcPr>
            <w:tcW w:w="6675" w:type="dxa"/>
            <w:vAlign w:val="center"/>
          </w:tcPr>
          <w:p>
            <w:pPr>
              <w:pStyle w:val="54"/>
              <w:ind w:firstLine="240" w:firstLineChars="100"/>
              <w:rPr>
                <w:rFonts w:ascii="宋体" w:hAnsi="宋体" w:cs="仿宋_GB2312"/>
                <w:kern w:val="0"/>
                <w:sz w:val="24"/>
                <w:szCs w:val="24"/>
              </w:rPr>
            </w:pPr>
            <w:r>
              <w:rPr>
                <w:rFonts w:hint="eastAsia" w:ascii="宋体" w:hAnsi="宋体" w:cs="仿宋_GB2312"/>
                <w:kern w:val="0"/>
                <w:sz w:val="24"/>
                <w:szCs w:val="24"/>
              </w:rPr>
              <w:t>1、投标人提供科学合理实施方案，得1分，不提供不得分。</w:t>
            </w:r>
          </w:p>
          <w:p>
            <w:pPr>
              <w:spacing w:line="360" w:lineRule="exact"/>
              <w:ind w:firstLine="240" w:firstLineChars="100"/>
              <w:rPr>
                <w:rFonts w:ascii="宋体" w:hAnsi="宋体" w:cs="宋体"/>
                <w:sz w:val="24"/>
                <w:szCs w:val="24"/>
              </w:rPr>
            </w:pPr>
            <w:r>
              <w:rPr>
                <w:rFonts w:hint="eastAsia" w:ascii="宋体" w:hAnsi="宋体" w:cs="仿宋_GB2312"/>
                <w:sz w:val="24"/>
                <w:szCs w:val="24"/>
              </w:rPr>
              <w:t>2、投保人提供科学合理的实施管理制度、实施人员及进度安排等，得1分，不提供不得分。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2分</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9"/>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52661D"/>
    <w:rsid w:val="039378CA"/>
    <w:rsid w:val="0E9135EB"/>
    <w:rsid w:val="12CA0D6C"/>
    <w:rsid w:val="14932335"/>
    <w:rsid w:val="14A023E6"/>
    <w:rsid w:val="158A43A4"/>
    <w:rsid w:val="167E7A92"/>
    <w:rsid w:val="17FF41B6"/>
    <w:rsid w:val="18715BDA"/>
    <w:rsid w:val="1BA83B34"/>
    <w:rsid w:val="1DCE59D1"/>
    <w:rsid w:val="1F227BC3"/>
    <w:rsid w:val="215D405E"/>
    <w:rsid w:val="23046DEE"/>
    <w:rsid w:val="25412648"/>
    <w:rsid w:val="25526104"/>
    <w:rsid w:val="25775F83"/>
    <w:rsid w:val="2A632968"/>
    <w:rsid w:val="2CD46339"/>
    <w:rsid w:val="2F0948F0"/>
    <w:rsid w:val="2F5C2014"/>
    <w:rsid w:val="32805ED3"/>
    <w:rsid w:val="380571CB"/>
    <w:rsid w:val="3A584AE0"/>
    <w:rsid w:val="3AE531C4"/>
    <w:rsid w:val="3D8913A4"/>
    <w:rsid w:val="3DEB10B7"/>
    <w:rsid w:val="3E121524"/>
    <w:rsid w:val="3E1D0B2B"/>
    <w:rsid w:val="434A789D"/>
    <w:rsid w:val="47931A31"/>
    <w:rsid w:val="4AC51824"/>
    <w:rsid w:val="4D1F770C"/>
    <w:rsid w:val="526123FF"/>
    <w:rsid w:val="52BB6CD4"/>
    <w:rsid w:val="55853A41"/>
    <w:rsid w:val="569C0CC6"/>
    <w:rsid w:val="57BD5503"/>
    <w:rsid w:val="5A743A97"/>
    <w:rsid w:val="5A9A176A"/>
    <w:rsid w:val="5B700FA8"/>
    <w:rsid w:val="5CD043F5"/>
    <w:rsid w:val="5DA6549D"/>
    <w:rsid w:val="5DFE7ED7"/>
    <w:rsid w:val="60D164DE"/>
    <w:rsid w:val="63E82816"/>
    <w:rsid w:val="64F5759A"/>
    <w:rsid w:val="651E0008"/>
    <w:rsid w:val="654B717B"/>
    <w:rsid w:val="65B35630"/>
    <w:rsid w:val="6A8C4372"/>
    <w:rsid w:val="6B2E527C"/>
    <w:rsid w:val="70831A78"/>
    <w:rsid w:val="74406F7F"/>
    <w:rsid w:val="753926E5"/>
    <w:rsid w:val="756D2153"/>
    <w:rsid w:val="758F1D7C"/>
    <w:rsid w:val="75AE5127"/>
    <w:rsid w:val="77393529"/>
    <w:rsid w:val="773E1CC3"/>
    <w:rsid w:val="79F421CF"/>
    <w:rsid w:val="7A413808"/>
    <w:rsid w:val="7A857EF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next w:val="1"/>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customStyle="1"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2"/>
    <w:link w:val="19"/>
    <w:semiHidden/>
    <w:qFormat/>
    <w:uiPriority w:val="99"/>
    <w:rPr>
      <w:rFonts w:ascii="宋体" w:hAnsi="宋体" w:eastAsia="宋体" w:cs="宋体"/>
      <w:kern w:val="0"/>
      <w:sz w:val="24"/>
      <w:szCs w:val="24"/>
    </w:rPr>
  </w:style>
  <w:style w:type="paragraph" w:customStyle="1" w:styleId="53">
    <w:name w:val="Normal (Web)"/>
    <w:basedOn w:val="1"/>
    <w:qFormat/>
    <w:uiPriority w:val="0"/>
    <w:rPr>
      <w:rFonts w:ascii="Calibri" w:hAnsi="Calibri" w:eastAsia="宋体" w:cs="Times New Roman"/>
      <w:sz w:val="24"/>
      <w:szCs w:val="24"/>
    </w:rPr>
  </w:style>
  <w:style w:type="paragraph" w:customStyle="1" w:styleId="54">
    <w:name w:val="列出段落2"/>
    <w:basedOn w:val="1"/>
    <w:unhideWhenUsed/>
    <w:qFormat/>
    <w:uiPriority w:val="99"/>
    <w:pPr>
      <w:widowControl w:val="0"/>
      <w:ind w:firstLine="420" w:firstLineChars="200"/>
      <w:jc w:val="both"/>
    </w:pPr>
    <w:rPr>
      <w:rFonts w:ascii="Calibri" w:hAnsi="Calibri"/>
      <w:kern w:val="2"/>
      <w:sz w:val="21"/>
      <w:szCs w:val="22"/>
    </w:rPr>
  </w:style>
  <w:style w:type="paragraph" w:customStyle="1" w:styleId="55">
    <w:name w:val="Plain Text"/>
    <w:basedOn w:val="1"/>
    <w:qFormat/>
    <w:uiPriority w:val="0"/>
    <w:rPr>
      <w:rFonts w:eastAsia="宋体"/>
      <w:sz w:val="24"/>
    </w:rPr>
  </w:style>
  <w:style w:type="paragraph" w:customStyle="1" w:styleId="56">
    <w:name w:val="style4"/>
    <w:basedOn w:val="1"/>
    <w:next w:val="57"/>
    <w:qFormat/>
    <w:uiPriority w:val="0"/>
    <w:pPr>
      <w:widowControl/>
      <w:autoSpaceDE/>
      <w:autoSpaceDN/>
      <w:spacing w:before="280" w:after="280" w:line="240" w:lineRule="auto"/>
      <w:ind w:left="0" w:firstLine="0"/>
      <w:jc w:val="both"/>
    </w:pPr>
    <w:rPr>
      <w:rFonts w:ascii="宋体" w:eastAsia="宋体"/>
      <w:sz w:val="18"/>
    </w:rPr>
  </w:style>
  <w:style w:type="paragraph" w:customStyle="1" w:styleId="57">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0</TotalTime>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2018-12-28T00:43:00Z</cp:lastPrinted>
  <dcterms:modified xsi:type="dcterms:W3CDTF">2018-12-28T02:03:48Z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