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outlineLvl w:val="1"/>
        <w:rPr>
          <w:rFonts w:hint="eastAsia" w:asciiTheme="minorEastAsia" w:hAnsiTheme="minorEastAsia" w:eastAsiaTheme="minorEastAsia" w:cstheme="minorEastAsia"/>
          <w:b/>
          <w:bCs/>
          <w:sz w:val="32"/>
          <w:szCs w:val="32"/>
        </w:rPr>
      </w:pPr>
      <w:r>
        <w:rPr>
          <w:rFonts w:hint="eastAsia" w:asciiTheme="minorEastAsia" w:hAnsiTheme="minorEastAsia" w:eastAsiaTheme="minorEastAsia" w:cstheme="minorEastAsia"/>
          <w:b/>
          <w:bCs/>
          <w:sz w:val="32"/>
          <w:szCs w:val="32"/>
          <w:lang w:eastAsia="zh-CN"/>
        </w:rPr>
        <w:t>技术方案</w:t>
      </w:r>
    </w:p>
    <w:p>
      <w:pPr>
        <w:numPr>
          <w:ilvl w:val="0"/>
          <w:numId w:val="1"/>
        </w:numPr>
        <w:jc w:val="both"/>
        <w:outlineLvl w:val="1"/>
        <w:rPr>
          <w:rFonts w:hint="eastAsia" w:asciiTheme="minorEastAsia" w:hAnsiTheme="minorEastAsia" w:eastAsiaTheme="minorEastAsia" w:cstheme="minorEastAsia"/>
          <w:b/>
          <w:bCs/>
          <w:sz w:val="28"/>
          <w:szCs w:val="28"/>
          <w:lang w:val="en-US" w:eastAsia="zh-CN"/>
        </w:rPr>
      </w:pPr>
      <w:r>
        <w:rPr>
          <w:rFonts w:hint="eastAsia" w:asciiTheme="minorEastAsia" w:hAnsiTheme="minorEastAsia" w:eastAsiaTheme="minorEastAsia" w:cstheme="minorEastAsia"/>
          <w:b/>
          <w:bCs/>
          <w:sz w:val="28"/>
          <w:szCs w:val="28"/>
          <w:lang w:val="en-US" w:eastAsia="zh-CN"/>
        </w:rPr>
        <w:t>技术方案全部响应招标文件要求</w:t>
      </w:r>
    </w:p>
    <w:p>
      <w:pPr>
        <w:spacing w:line="360" w:lineRule="auto"/>
        <w:ind w:firstLine="590" w:firstLineChars="245"/>
        <w:outlineLvl w:val="2"/>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lang w:val="en-US" w:eastAsia="zh-CN"/>
        </w:rPr>
        <w:t>1.1</w:t>
      </w:r>
      <w:r>
        <w:rPr>
          <w:rFonts w:hint="eastAsia" w:asciiTheme="minorEastAsia" w:hAnsiTheme="minorEastAsia" w:eastAsiaTheme="minorEastAsia" w:cstheme="minorEastAsia"/>
          <w:b/>
          <w:bCs/>
          <w:sz w:val="24"/>
          <w:szCs w:val="24"/>
        </w:rPr>
        <w:t>项目基本情况</w:t>
      </w:r>
    </w:p>
    <w:p>
      <w:pPr>
        <w:spacing w:line="360" w:lineRule="auto"/>
        <w:ind w:firstLine="480" w:firstLineChars="200"/>
        <w:rPr>
          <w:rFonts w:hint="eastAsia" w:asciiTheme="minorEastAsia" w:hAnsiTheme="minorEastAsia" w:eastAsiaTheme="minorEastAsia" w:cstheme="minorEastAsia"/>
          <w:b/>
          <w:bCs/>
          <w:color w:val="auto"/>
          <w:sz w:val="24"/>
          <w:szCs w:val="24"/>
          <w:highlight w:val="none"/>
          <w:shd w:val="clear" w:color="auto" w:fill="FFFFFF"/>
        </w:rPr>
      </w:pPr>
      <w:r>
        <w:rPr>
          <w:rFonts w:hint="eastAsia" w:asciiTheme="minorEastAsia" w:hAnsiTheme="minorEastAsia" w:eastAsiaTheme="minorEastAsia" w:cstheme="minorEastAsia"/>
          <w:sz w:val="24"/>
          <w:szCs w:val="24"/>
          <w:lang w:val="en-US" w:eastAsia="zh-CN"/>
        </w:rPr>
        <w:t>1.1.1</w:t>
      </w:r>
      <w:r>
        <w:rPr>
          <w:rFonts w:hint="eastAsia" w:asciiTheme="minorEastAsia" w:hAnsiTheme="minorEastAsia" w:eastAsiaTheme="minorEastAsia" w:cstheme="minorEastAsia"/>
          <w:sz w:val="24"/>
          <w:szCs w:val="24"/>
        </w:rPr>
        <w:t>项目名称</w:t>
      </w:r>
      <w:r>
        <w:rPr>
          <w:rFonts w:hint="eastAsia" w:asciiTheme="minorEastAsia" w:hAnsiTheme="minorEastAsia" w:eastAsiaTheme="minorEastAsia" w:cstheme="minorEastAsia"/>
          <w:color w:val="auto"/>
          <w:sz w:val="24"/>
          <w:szCs w:val="24"/>
          <w:highlight w:val="none"/>
        </w:rPr>
        <w:t>：</w:t>
      </w:r>
      <w:r>
        <w:rPr>
          <w:rFonts w:hint="eastAsia" w:asciiTheme="minorEastAsia" w:hAnsiTheme="minorEastAsia" w:eastAsiaTheme="minorEastAsia" w:cstheme="minorEastAsia"/>
          <w:color w:val="auto"/>
          <w:sz w:val="24"/>
          <w:szCs w:val="24"/>
          <w:highlight w:val="none"/>
          <w:shd w:val="clear" w:color="auto" w:fill="FFFFFF"/>
        </w:rPr>
        <w:t>鄢陵县第三次全国土地调查项目</w:t>
      </w:r>
    </w:p>
    <w:p>
      <w:pPr>
        <w:spacing w:line="360" w:lineRule="auto"/>
        <w:ind w:firstLine="480" w:firstLineChars="200"/>
        <w:rPr>
          <w:rFonts w:hint="eastAsia" w:asciiTheme="minorEastAsia" w:hAnsiTheme="minorEastAsia" w:eastAsiaTheme="minorEastAsia" w:cstheme="minorEastAsia"/>
          <w:color w:val="auto"/>
          <w:sz w:val="24"/>
          <w:szCs w:val="24"/>
          <w:highlight w:val="none"/>
          <w:shd w:val="clear" w:color="auto" w:fill="FFFFFF"/>
        </w:rPr>
      </w:pPr>
      <w:r>
        <w:rPr>
          <w:rFonts w:hint="eastAsia" w:asciiTheme="minorEastAsia" w:hAnsiTheme="minorEastAsia" w:eastAsiaTheme="minorEastAsia" w:cstheme="minorEastAsia"/>
          <w:color w:val="auto"/>
          <w:sz w:val="24"/>
          <w:szCs w:val="24"/>
          <w:highlight w:val="none"/>
          <w:shd w:val="clear" w:color="auto" w:fill="FFFFFF"/>
          <w:lang w:val="en-US" w:eastAsia="zh-CN"/>
        </w:rPr>
        <w:t>1.1.2</w:t>
      </w:r>
      <w:r>
        <w:rPr>
          <w:rFonts w:hint="eastAsia" w:asciiTheme="minorEastAsia" w:hAnsiTheme="minorEastAsia" w:eastAsiaTheme="minorEastAsia" w:cstheme="minorEastAsia"/>
          <w:color w:val="auto"/>
          <w:sz w:val="24"/>
          <w:szCs w:val="24"/>
          <w:highlight w:val="none"/>
          <w:shd w:val="clear" w:color="auto" w:fill="FFFFFF"/>
        </w:rPr>
        <w:t>项目编号：Y2018FZ241；</w:t>
      </w:r>
    </w:p>
    <w:p>
      <w:pPr>
        <w:spacing w:line="360" w:lineRule="auto"/>
        <w:ind w:firstLine="960" w:firstLineChars="400"/>
        <w:rPr>
          <w:rFonts w:hint="eastAsia" w:asciiTheme="minorEastAsia" w:hAnsiTheme="minorEastAsia" w:eastAsiaTheme="minorEastAsia" w:cstheme="minorEastAsia"/>
          <w:color w:val="auto"/>
          <w:sz w:val="24"/>
          <w:szCs w:val="24"/>
          <w:highlight w:val="none"/>
          <w:shd w:val="clear" w:color="auto" w:fill="FFFFFF"/>
        </w:rPr>
      </w:pPr>
      <w:r>
        <w:rPr>
          <w:rFonts w:hint="eastAsia" w:asciiTheme="minorEastAsia" w:hAnsiTheme="minorEastAsia" w:eastAsiaTheme="minorEastAsia" w:cstheme="minorEastAsia"/>
          <w:color w:val="auto"/>
          <w:sz w:val="24"/>
          <w:szCs w:val="24"/>
          <w:highlight w:val="none"/>
          <w:shd w:val="clear" w:color="auto" w:fill="FFFFFF"/>
        </w:rPr>
        <w:t>招标编号：鄢招公2018101207</w:t>
      </w:r>
    </w:p>
    <w:p>
      <w:pPr>
        <w:spacing w:line="360" w:lineRule="auto"/>
        <w:ind w:firstLine="480" w:firstLineChars="20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lang w:val="en-US" w:eastAsia="zh-CN"/>
        </w:rPr>
        <w:t>1.1.3</w:t>
      </w:r>
      <w:r>
        <w:rPr>
          <w:rFonts w:hint="eastAsia" w:asciiTheme="minorEastAsia" w:hAnsiTheme="minorEastAsia" w:eastAsiaTheme="minorEastAsia" w:cstheme="minorEastAsia"/>
          <w:color w:val="auto"/>
          <w:sz w:val="24"/>
          <w:szCs w:val="24"/>
          <w:highlight w:val="none"/>
        </w:rPr>
        <w:t xml:space="preserve">采购方式：公开招标                  </w:t>
      </w:r>
    </w:p>
    <w:p>
      <w:pPr>
        <w:adjustRightInd w:val="0"/>
        <w:snapToGrid w:val="0"/>
        <w:spacing w:line="360" w:lineRule="auto"/>
        <w:ind w:firstLine="480" w:firstLineChars="20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lang w:val="en-US" w:eastAsia="zh-CN"/>
        </w:rPr>
        <w:t>1.1.4</w:t>
      </w:r>
      <w:r>
        <w:rPr>
          <w:rFonts w:hint="eastAsia" w:asciiTheme="minorEastAsia" w:hAnsiTheme="minorEastAsia" w:eastAsiaTheme="minorEastAsia" w:cstheme="minorEastAsia"/>
          <w:color w:val="auto"/>
          <w:sz w:val="24"/>
          <w:szCs w:val="24"/>
          <w:highlight w:val="none"/>
        </w:rPr>
        <w:t>项目主要内容：</w:t>
      </w:r>
      <w:r>
        <w:rPr>
          <w:rFonts w:hint="eastAsia" w:asciiTheme="minorEastAsia" w:hAnsiTheme="minorEastAsia" w:eastAsiaTheme="minorEastAsia" w:cstheme="minorEastAsia"/>
          <w:color w:val="auto"/>
          <w:sz w:val="24"/>
          <w:szCs w:val="24"/>
          <w:highlight w:val="none"/>
        </w:rPr>
        <w:t>鄢陵县国土调查工作；数据汇总和软件系统开发（数据库建库系统、数据库管理系统和数据共享服务平台）。</w:t>
      </w:r>
    </w:p>
    <w:p>
      <w:pPr>
        <w:pStyle w:val="4"/>
        <w:spacing w:line="360" w:lineRule="auto"/>
        <w:jc w:val="both"/>
        <w:outlineLvl w:val="2"/>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val="en-US" w:eastAsia="zh-CN"/>
        </w:rPr>
        <w:t>1.2</w:t>
      </w:r>
      <w:r>
        <w:rPr>
          <w:rFonts w:hint="eastAsia" w:asciiTheme="minorEastAsia" w:hAnsiTheme="minorEastAsia" w:eastAsiaTheme="minorEastAsia" w:cstheme="minorEastAsia"/>
          <w:kern w:val="0"/>
          <w:sz w:val="24"/>
          <w:szCs w:val="24"/>
        </w:rPr>
        <w:t>项目需求及其他要求</w:t>
      </w:r>
    </w:p>
    <w:p>
      <w:pPr>
        <w:tabs>
          <w:tab w:val="left" w:pos="2127"/>
        </w:tabs>
        <w:spacing w:line="360" w:lineRule="auto"/>
        <w:ind w:firstLine="482"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b/>
          <w:color w:val="000000"/>
          <w:kern w:val="0"/>
          <w:sz w:val="24"/>
          <w:szCs w:val="24"/>
          <w:lang w:val="en-US" w:eastAsia="zh-CN"/>
        </w:rPr>
        <w:t>1.2.1</w:t>
      </w:r>
      <w:r>
        <w:rPr>
          <w:rFonts w:hint="eastAsia" w:asciiTheme="minorEastAsia" w:hAnsiTheme="minorEastAsia" w:eastAsiaTheme="minorEastAsia" w:cstheme="minorEastAsia"/>
          <w:color w:val="000000"/>
          <w:kern w:val="0"/>
          <w:sz w:val="24"/>
          <w:szCs w:val="24"/>
        </w:rPr>
        <w:t>本项目需实现的功能或者目标：通过第三次国土调查，全面查清鄢陵县土地利用现状和土地资源变化情况，建立鄢陵县第三次国土调查及专项调查数据库，为国民经济和社会发展、政府决策和自然资源精细化管理提供扎实的基础数据支撑。通过研发数据库建库系统、数据库管理系统和数据共享服务平台，实现土地调查数据、专项调查数据与土地规划、基础测绘等各类基础数据的互联互通和综合分析应用，提高第三次国土调查成果对管理决策的支撑服务能力。</w:t>
      </w:r>
    </w:p>
    <w:p>
      <w:pPr>
        <w:tabs>
          <w:tab w:val="left" w:pos="2127"/>
        </w:tabs>
        <w:spacing w:line="360" w:lineRule="auto"/>
        <w:ind w:firstLine="482"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b/>
          <w:color w:val="000000"/>
          <w:kern w:val="0"/>
          <w:sz w:val="24"/>
          <w:szCs w:val="24"/>
          <w:lang w:val="en-US" w:eastAsia="zh-CN"/>
        </w:rPr>
        <w:t>1.2.2</w:t>
      </w:r>
      <w:r>
        <w:rPr>
          <w:rFonts w:hint="eastAsia" w:asciiTheme="minorEastAsia" w:hAnsiTheme="minorEastAsia" w:eastAsiaTheme="minorEastAsia" w:cstheme="minorEastAsia"/>
          <w:color w:val="000000"/>
          <w:kern w:val="0"/>
          <w:sz w:val="24"/>
          <w:szCs w:val="24"/>
        </w:rPr>
        <w:t>采购清单</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鄢陵县国土调查工作；数据汇总和软件</w:t>
      </w:r>
      <w:r>
        <w:rPr>
          <w:rFonts w:hint="eastAsia" w:asciiTheme="minorEastAsia" w:hAnsiTheme="minorEastAsia" w:eastAsiaTheme="minorEastAsia" w:cstheme="minorEastAsia"/>
          <w:kern w:val="0"/>
          <w:sz w:val="24"/>
          <w:szCs w:val="24"/>
        </w:rPr>
        <w:t>系统开发（数据库建库系统、数据库管理系统和数据共享服务平台）</w:t>
      </w:r>
      <w:r>
        <w:rPr>
          <w:rFonts w:hint="eastAsia" w:asciiTheme="minorEastAsia" w:hAnsiTheme="minorEastAsia" w:eastAsiaTheme="minorEastAsia" w:cstheme="minorEastAsia"/>
          <w:color w:val="000000"/>
          <w:kern w:val="0"/>
          <w:sz w:val="24"/>
          <w:szCs w:val="24"/>
        </w:rPr>
        <w:t>。</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highlight w:val="green"/>
        </w:rPr>
      </w:pPr>
      <w:r>
        <w:rPr>
          <w:rFonts w:hint="eastAsia" w:asciiTheme="minorEastAsia" w:hAnsiTheme="minorEastAsia" w:eastAsiaTheme="minorEastAsia" w:cstheme="minorEastAsia"/>
          <w:color w:val="000000"/>
          <w:kern w:val="0"/>
          <w:sz w:val="24"/>
          <w:szCs w:val="24"/>
          <w:highlight w:val="none"/>
        </w:rPr>
        <w:t>第2标段：负责彭店镇、马坊镇、马栏镇三个乡镇（面积约249.54平方公里）的农村土地调查、城镇内部细化调查、专项调查（包括耕地细化调查、批准未建设的建设用地调查、农村土地利用综合潜力调查）、数据库建设和标准时点变更工作。</w:t>
      </w:r>
    </w:p>
    <w:p>
      <w:pPr>
        <w:widowControl/>
        <w:shd w:val="clear" w:color="auto" w:fill="FFFFFF"/>
        <w:spacing w:line="360" w:lineRule="auto"/>
        <w:jc w:val="left"/>
        <w:outlineLvl w:val="2"/>
        <w:rPr>
          <w:rFonts w:hint="eastAsia" w:asciiTheme="minorEastAsia" w:hAnsiTheme="minorEastAsia" w:eastAsiaTheme="minorEastAsia" w:cstheme="minorEastAsia"/>
          <w:b/>
          <w:bCs/>
          <w:color w:val="000000"/>
          <w:kern w:val="0"/>
          <w:sz w:val="24"/>
          <w:szCs w:val="24"/>
        </w:rPr>
      </w:pPr>
      <w:r>
        <w:rPr>
          <w:rFonts w:hint="eastAsia" w:asciiTheme="minorEastAsia" w:hAnsiTheme="minorEastAsia" w:eastAsiaTheme="minorEastAsia" w:cstheme="minorEastAsia"/>
          <w:b/>
          <w:bCs/>
          <w:color w:val="000000"/>
          <w:kern w:val="0"/>
          <w:sz w:val="24"/>
          <w:szCs w:val="24"/>
          <w:lang w:val="en-US" w:eastAsia="zh-CN"/>
        </w:rPr>
        <w:t>1.3</w:t>
      </w:r>
      <w:r>
        <w:rPr>
          <w:rFonts w:hint="eastAsia" w:asciiTheme="minorEastAsia" w:hAnsiTheme="minorEastAsia" w:eastAsiaTheme="minorEastAsia" w:cstheme="minorEastAsia"/>
          <w:b/>
          <w:bCs/>
          <w:color w:val="000000"/>
          <w:kern w:val="0"/>
          <w:sz w:val="24"/>
          <w:szCs w:val="24"/>
        </w:rPr>
        <w:t>采购标的执行标准</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本项目必须符合国土资源部、省、市相关部门已经下发与在三调过程中将要下发的各类相关文件、规定，目前已经下发的文件包括：</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《国务院关于开展第三次全国土地调查的通知》（国发[2017]48号）；</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《第三次全国土地调查总体方案》（国土调查办[2018]1号）；</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《第三次全国土地调查技术规程（试行）》；</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《第三次全国土地调查实施方案》（国土调查办[2018]3号）；</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《河南省人民政府办公厅关于开展第三次全国土地调查的通知》（豫政办[2017]164号）；</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《河南省第三次全国土地调查实施方案》（豫土地调查办发[2018]2号）；</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《河南省第三次全国土地调查有关技术补充规定》（豫土地调查办发[2018]3号）；</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《河南省第三次全国土地调查城镇村内部土地利用现状调查实施方案》；</w:t>
      </w:r>
    </w:p>
    <w:p>
      <w:pPr>
        <w:widowControl/>
        <w:shd w:val="clear" w:color="auto" w:fill="FFFFFF"/>
        <w:spacing w:line="360" w:lineRule="auto"/>
        <w:contextualSpacing/>
        <w:jc w:val="left"/>
        <w:outlineLvl w:val="2"/>
        <w:rPr>
          <w:rFonts w:hint="eastAsia" w:asciiTheme="minorEastAsia" w:hAnsiTheme="minorEastAsia" w:eastAsiaTheme="minorEastAsia" w:cstheme="minorEastAsia"/>
          <w:b/>
          <w:bCs/>
          <w:color w:val="000000"/>
          <w:kern w:val="0"/>
          <w:sz w:val="24"/>
          <w:szCs w:val="24"/>
        </w:rPr>
      </w:pPr>
      <w:r>
        <w:rPr>
          <w:rFonts w:hint="eastAsia" w:asciiTheme="minorEastAsia" w:hAnsiTheme="minorEastAsia" w:eastAsiaTheme="minorEastAsia" w:cstheme="minorEastAsia"/>
          <w:b/>
          <w:bCs/>
          <w:color w:val="000000"/>
          <w:kern w:val="0"/>
          <w:sz w:val="24"/>
          <w:szCs w:val="24"/>
          <w:lang w:val="en-US" w:eastAsia="zh-CN"/>
        </w:rPr>
        <w:t>1.4</w:t>
      </w:r>
      <w:r>
        <w:rPr>
          <w:rFonts w:hint="eastAsia" w:asciiTheme="minorEastAsia" w:hAnsiTheme="minorEastAsia" w:eastAsiaTheme="minorEastAsia" w:cstheme="minorEastAsia"/>
          <w:b/>
          <w:bCs/>
          <w:color w:val="000000"/>
          <w:kern w:val="0"/>
          <w:sz w:val="24"/>
          <w:szCs w:val="24"/>
        </w:rPr>
        <w:t>招标项目要求</w:t>
      </w:r>
    </w:p>
    <w:p>
      <w:pPr>
        <w:spacing w:line="360" w:lineRule="auto"/>
        <w:ind w:firstLine="482"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b/>
          <w:bCs/>
          <w:color w:val="000000"/>
          <w:kern w:val="0"/>
          <w:sz w:val="24"/>
          <w:szCs w:val="24"/>
          <w:lang w:val="en-US" w:eastAsia="zh-CN"/>
        </w:rPr>
        <w:t>1.4.1</w:t>
      </w:r>
      <w:r>
        <w:rPr>
          <w:rFonts w:hint="eastAsia" w:asciiTheme="minorEastAsia" w:hAnsiTheme="minorEastAsia" w:eastAsiaTheme="minorEastAsia" w:cstheme="minorEastAsia"/>
          <w:b/>
          <w:bCs/>
          <w:color w:val="000000"/>
          <w:kern w:val="0"/>
          <w:sz w:val="24"/>
          <w:szCs w:val="24"/>
        </w:rPr>
        <w:t>合同签订：</w:t>
      </w:r>
      <w:r>
        <w:rPr>
          <w:rFonts w:hint="eastAsia" w:asciiTheme="minorEastAsia" w:hAnsiTheme="minorEastAsia" w:eastAsiaTheme="minorEastAsia" w:cstheme="minorEastAsia"/>
          <w:color w:val="000000"/>
          <w:kern w:val="0"/>
          <w:sz w:val="24"/>
          <w:szCs w:val="24"/>
        </w:rPr>
        <w:t>合同由采购人与中标人签订。</w:t>
      </w:r>
    </w:p>
    <w:p>
      <w:pPr>
        <w:spacing w:line="360" w:lineRule="auto"/>
        <w:ind w:firstLine="482"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b/>
          <w:bCs/>
          <w:i w:val="0"/>
          <w:iCs w:val="0"/>
          <w:color w:val="000000"/>
          <w:kern w:val="0"/>
          <w:sz w:val="24"/>
          <w:szCs w:val="24"/>
          <w:lang w:val="en-US" w:eastAsia="zh-CN"/>
        </w:rPr>
        <w:t>1.4.2</w:t>
      </w:r>
      <w:r>
        <w:rPr>
          <w:rFonts w:hint="eastAsia" w:asciiTheme="minorEastAsia" w:hAnsiTheme="minorEastAsia" w:eastAsiaTheme="minorEastAsia" w:cstheme="minorEastAsia"/>
          <w:b/>
          <w:bCs/>
          <w:i w:val="0"/>
          <w:iCs w:val="0"/>
          <w:color w:val="000000"/>
          <w:kern w:val="0"/>
          <w:sz w:val="24"/>
          <w:szCs w:val="24"/>
        </w:rPr>
        <w:t>服务要求</w:t>
      </w:r>
      <w:r>
        <w:rPr>
          <w:rFonts w:hint="eastAsia" w:asciiTheme="minorEastAsia" w:hAnsiTheme="minorEastAsia" w:eastAsiaTheme="minorEastAsia" w:cstheme="minorEastAsia"/>
          <w:color w:val="000000"/>
          <w:kern w:val="0"/>
          <w:sz w:val="24"/>
          <w:szCs w:val="24"/>
        </w:rPr>
        <w:t>：</w:t>
      </w:r>
    </w:p>
    <w:p>
      <w:pPr>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lang w:val="en-US" w:eastAsia="zh-CN"/>
        </w:rPr>
        <w:t>1</w:t>
      </w: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rPr>
        <w:t>工期（交付时间）：合同签订后120日历天。超出招标文件规定工期的投标将不被接受。</w:t>
      </w:r>
    </w:p>
    <w:p>
      <w:pPr>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lang w:val="en-US" w:eastAsia="zh-CN"/>
        </w:rPr>
        <w:t>2</w:t>
      </w: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rPr>
        <w:t>服务地点：采购人指定地点。</w:t>
      </w:r>
    </w:p>
    <w:p>
      <w:pPr>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lang w:val="en-US" w:eastAsia="zh-CN"/>
        </w:rPr>
        <w:t>3</w:t>
      </w: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rPr>
        <w:t>严格按照国家规范及和河南省有关技术要求，确保通过省级核查、验收。</w:t>
      </w:r>
    </w:p>
    <w:p>
      <w:pPr>
        <w:spacing w:line="360" w:lineRule="auto"/>
        <w:ind w:firstLine="482" w:firstLineChars="200"/>
        <w:rPr>
          <w:rFonts w:hint="eastAsia" w:asciiTheme="minorEastAsia" w:hAnsiTheme="minorEastAsia" w:eastAsiaTheme="minorEastAsia" w:cstheme="minorEastAsia"/>
          <w:b/>
          <w:bCs/>
          <w:color w:val="000000"/>
          <w:kern w:val="0"/>
          <w:sz w:val="24"/>
          <w:szCs w:val="24"/>
        </w:rPr>
      </w:pPr>
      <w:r>
        <w:rPr>
          <w:rFonts w:hint="eastAsia" w:asciiTheme="minorEastAsia" w:hAnsiTheme="minorEastAsia" w:eastAsiaTheme="minorEastAsia" w:cstheme="minorEastAsia"/>
          <w:b/>
          <w:bCs/>
          <w:color w:val="000000"/>
          <w:kern w:val="0"/>
          <w:sz w:val="24"/>
          <w:szCs w:val="24"/>
          <w:lang w:val="en-US" w:eastAsia="zh-CN"/>
        </w:rPr>
        <w:t>1.4.3</w:t>
      </w:r>
      <w:r>
        <w:rPr>
          <w:rFonts w:hint="eastAsia" w:asciiTheme="minorEastAsia" w:hAnsiTheme="minorEastAsia" w:eastAsiaTheme="minorEastAsia" w:cstheme="minorEastAsia"/>
          <w:b/>
          <w:bCs/>
          <w:color w:val="000000"/>
          <w:kern w:val="0"/>
          <w:sz w:val="24"/>
          <w:szCs w:val="24"/>
        </w:rPr>
        <w:t>履约验收：</w:t>
      </w:r>
    </w:p>
    <w:p>
      <w:pPr>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采购人根据国家有关规定、招标文件、中标方的投标文件以及合同约定的内容和验收标准进行验收，采购人可以视项目情况邀请第三方机构或者参加本项目投标的落标人参与验收。验收情况作为支付货款的依据。如有异议，以相关质量技术检验检测机构的检验结果为准，如产生检验检测费用，则该费用由过失方承担。</w:t>
      </w:r>
    </w:p>
    <w:p>
      <w:pPr>
        <w:spacing w:line="360" w:lineRule="auto"/>
        <w:ind w:firstLine="482" w:firstLineChars="200"/>
        <w:rPr>
          <w:rFonts w:hint="eastAsia" w:asciiTheme="minorEastAsia" w:hAnsiTheme="minorEastAsia" w:eastAsiaTheme="minorEastAsia" w:cstheme="minorEastAsia"/>
          <w:b/>
          <w:bCs/>
          <w:color w:val="000000"/>
          <w:kern w:val="0"/>
          <w:sz w:val="24"/>
          <w:szCs w:val="24"/>
        </w:rPr>
      </w:pPr>
      <w:r>
        <w:rPr>
          <w:rFonts w:hint="eastAsia" w:asciiTheme="minorEastAsia" w:hAnsiTheme="minorEastAsia" w:eastAsiaTheme="minorEastAsia" w:cstheme="minorEastAsia"/>
          <w:b/>
          <w:bCs/>
          <w:color w:val="000000"/>
          <w:kern w:val="0"/>
          <w:sz w:val="24"/>
          <w:szCs w:val="24"/>
          <w:lang w:val="en-US" w:eastAsia="zh-CN"/>
        </w:rPr>
        <w:t>1.4.4</w:t>
      </w:r>
      <w:r>
        <w:rPr>
          <w:rFonts w:hint="eastAsia" w:asciiTheme="minorEastAsia" w:hAnsiTheme="minorEastAsia" w:eastAsiaTheme="minorEastAsia" w:cstheme="minorEastAsia"/>
          <w:b/>
          <w:bCs/>
          <w:color w:val="000000"/>
          <w:kern w:val="0"/>
          <w:sz w:val="24"/>
          <w:szCs w:val="24"/>
        </w:rPr>
        <w:t>付款方式：</w:t>
      </w:r>
    </w:p>
    <w:p>
      <w:pPr>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根据合同履行。</w:t>
      </w:r>
    </w:p>
    <w:p>
      <w:pPr>
        <w:spacing w:line="360" w:lineRule="auto"/>
        <w:ind w:firstLine="482" w:firstLineChars="200"/>
        <w:outlineLvl w:val="2"/>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b/>
          <w:bCs/>
          <w:kern w:val="0"/>
          <w:sz w:val="24"/>
          <w:szCs w:val="24"/>
          <w:lang w:val="en-US" w:eastAsia="zh-CN"/>
        </w:rPr>
        <w:t>1.5</w:t>
      </w:r>
      <w:r>
        <w:rPr>
          <w:rFonts w:hint="eastAsia" w:asciiTheme="minorEastAsia" w:hAnsiTheme="minorEastAsia" w:eastAsiaTheme="minorEastAsia" w:cstheme="minorEastAsia"/>
          <w:b/>
          <w:bCs/>
          <w:kern w:val="0"/>
          <w:sz w:val="24"/>
          <w:szCs w:val="24"/>
        </w:rPr>
        <w:t>项目总体要求</w:t>
      </w:r>
    </w:p>
    <w:p>
      <w:pPr>
        <w:tabs>
          <w:tab w:val="left" w:pos="2127"/>
        </w:tabs>
        <w:spacing w:line="360" w:lineRule="auto"/>
        <w:ind w:firstLine="482" w:firstLineChars="200"/>
        <w:outlineLvl w:val="3"/>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b/>
          <w:bCs/>
          <w:kern w:val="0"/>
          <w:sz w:val="24"/>
          <w:szCs w:val="24"/>
          <w:lang w:val="en-US" w:eastAsia="zh-CN"/>
        </w:rPr>
        <w:t>1.5.1</w:t>
      </w:r>
      <w:r>
        <w:rPr>
          <w:rFonts w:hint="eastAsia" w:asciiTheme="minorEastAsia" w:hAnsiTheme="minorEastAsia" w:eastAsiaTheme="minorEastAsia" w:cstheme="minorEastAsia"/>
          <w:b/>
          <w:bCs/>
          <w:kern w:val="0"/>
          <w:sz w:val="24"/>
          <w:szCs w:val="24"/>
        </w:rPr>
        <w:t xml:space="preserve">工作目标     </w:t>
      </w:r>
      <w:r>
        <w:rPr>
          <w:rFonts w:hint="eastAsia" w:asciiTheme="minorEastAsia" w:hAnsiTheme="minorEastAsia" w:eastAsiaTheme="minorEastAsia" w:cstheme="minorEastAsia"/>
          <w:kern w:val="0"/>
          <w:sz w:val="24"/>
          <w:szCs w:val="24"/>
        </w:rPr>
        <w:t xml:space="preserve">                                                                                        </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通过第三次国土调查，全面查清鄢陵县土地利用现状和土地资源变化情况，建立鄢陵县各标段第三次国土调查及专项调查数据库，为国民经济和社会发展、政府决策和自然资源精细化管理提供扎实的基础数据支撑。</w:t>
      </w:r>
    </w:p>
    <w:p>
      <w:pPr>
        <w:tabs>
          <w:tab w:val="left" w:pos="2127"/>
        </w:tabs>
        <w:spacing w:line="360" w:lineRule="auto"/>
        <w:ind w:firstLine="482" w:firstLineChars="200"/>
        <w:outlineLvl w:val="3"/>
        <w:rPr>
          <w:rFonts w:hint="eastAsia" w:asciiTheme="minorEastAsia" w:hAnsiTheme="minorEastAsia" w:eastAsiaTheme="minorEastAsia" w:cstheme="minorEastAsia"/>
          <w:b/>
          <w:bCs/>
          <w:kern w:val="0"/>
          <w:sz w:val="24"/>
          <w:szCs w:val="24"/>
        </w:rPr>
      </w:pPr>
      <w:r>
        <w:rPr>
          <w:rFonts w:hint="eastAsia" w:asciiTheme="minorEastAsia" w:hAnsiTheme="minorEastAsia" w:eastAsiaTheme="minorEastAsia" w:cstheme="minorEastAsia"/>
          <w:b/>
          <w:bCs/>
          <w:kern w:val="0"/>
          <w:sz w:val="24"/>
          <w:szCs w:val="24"/>
          <w:lang w:val="en-US" w:eastAsia="zh-CN"/>
        </w:rPr>
        <w:t>1.5.2</w:t>
      </w:r>
      <w:r>
        <w:rPr>
          <w:rFonts w:hint="eastAsia" w:asciiTheme="minorEastAsia" w:hAnsiTheme="minorEastAsia" w:eastAsiaTheme="minorEastAsia" w:cstheme="minorEastAsia"/>
          <w:b/>
          <w:bCs/>
          <w:kern w:val="0"/>
          <w:sz w:val="24"/>
          <w:szCs w:val="24"/>
        </w:rPr>
        <w:t>工作内容</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1）土地利用现状调查：土地利用现状调查包括农村土地利用现状调查和城市、建制镇、村庄（以下简称城镇村庄）内部土地利用现状调查。 </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农村土地利用现状调查按照统一的国土调查技术标准，以国家提供的调查底图为基础，实地调查每块图斑的地类、位置、范围、面积等利用状况，查清鄢陵县耕地、园地、林地、草地等农用地的数量、分布及质量状况，查清城市、建制镇、村庄、独立工矿、水域及水利设施用地等各类土地的分布和利用状况。 </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城镇村庄内部土地利用现状调查充分利用地籍调查和各类确权登记成果，对城市、建制镇、村庄内部的土地利用现状开展细化调查，查清城镇村庄内部商服用地、工矿仓储用地、住宅用地、公共管理与公共服务用地和特殊用地等土地利用状况。</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2）土地权属调查： 进一步完善集体土地所有权调查成果，并将城镇国有建设用地范围外已完成的集体土地所有权确权登记和国有土地使用权登记成果落实在土地调查成果中，对权属发生变化的开展补充调查。 </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3）专项用地调查与评价： 基于土地利用现状、土地权属等调查成果和国土资源管理形成的各类管理信息，结合生态文明建设、自然资源监管、节约集约用地评价及相关专项工作的需要，开展专项用地调查。    </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耕地细化调查：对永久基本农田范围以外的耕地图斑，参考相关部门的有关资料，根据耕地的位置和立地条件，开展细化调查，并标注相应属性。重点对河道或湖（库）区范围内耕地、林区范围内的耕地、沙荒耕地等开展细化调查，分类标注，摸清各类耕地资源家底状况。</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批准未建设的建设用地调查：在土地利用现状调查的基础上，依据国家下发的批准建设用地图层数据，补充完善建设用地审批信息，查清批准建设用地范围内未建设土地的实际利用状况。</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农村土地利用综合潜力调查：结合土地利用现状调查，开展农村耕地整治开发潜力调查和乡村建设用地腾退复垦潜力调查，摸清高标准农田整治空间、非耕农用地整治和未利用地开发、村庄整治、独立工矿可复垦等潜力情况。 </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4）数据库建设：开展土地调查数据库建设，同时开展耕地细化调查、批准未建设的建设用地调查、农村土地利用综合潜力调查等专项数据库建设。</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5）成果汇总 ：包括数据汇总、成果分析、数据成果制作与图件编制。</w:t>
      </w:r>
    </w:p>
    <w:p>
      <w:pPr>
        <w:tabs>
          <w:tab w:val="left" w:pos="2127"/>
        </w:tabs>
        <w:spacing w:line="360" w:lineRule="auto"/>
        <w:ind w:firstLine="482" w:firstLineChars="200"/>
        <w:outlineLvl w:val="3"/>
        <w:rPr>
          <w:rFonts w:hint="eastAsia" w:asciiTheme="minorEastAsia" w:hAnsiTheme="minorEastAsia" w:eastAsiaTheme="minorEastAsia" w:cstheme="minorEastAsia"/>
          <w:b/>
          <w:bCs/>
          <w:kern w:val="0"/>
          <w:sz w:val="24"/>
          <w:szCs w:val="24"/>
        </w:rPr>
      </w:pPr>
      <w:r>
        <w:rPr>
          <w:rFonts w:hint="eastAsia" w:asciiTheme="minorEastAsia" w:hAnsiTheme="minorEastAsia" w:eastAsiaTheme="minorEastAsia" w:cstheme="minorEastAsia"/>
          <w:b/>
          <w:bCs/>
          <w:kern w:val="0"/>
          <w:sz w:val="24"/>
          <w:szCs w:val="24"/>
          <w:lang w:val="en-US" w:eastAsia="zh-CN"/>
        </w:rPr>
        <w:t>1.5.3</w:t>
      </w:r>
      <w:r>
        <w:rPr>
          <w:rFonts w:hint="eastAsia" w:asciiTheme="minorEastAsia" w:hAnsiTheme="minorEastAsia" w:eastAsiaTheme="minorEastAsia" w:cstheme="minorEastAsia"/>
          <w:b/>
          <w:bCs/>
          <w:kern w:val="0"/>
          <w:sz w:val="24"/>
          <w:szCs w:val="24"/>
        </w:rPr>
        <w:t>技术要求</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1） 数学基础</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采用2000国家大地坐标系，1985国家高程基准。</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2）地类图斑</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参与地类图斑划分的土地权属界线原则上指村农民集体土地所有权界线。集体土地所有权确权至村内农民集体的，其村内农民集体土地所有权界线仅进行土地权属调查成果的落图工作，不参与图斑的划分。对城镇村庄内部有多种用途的宗地按主要用途调查并划分图斑；对超大型宗地按宗地内不同用途划分为不同图斑。</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3）飞地调查</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飞地调查以下发的县级调查控制界线为依据，由“飞入地”一方进行调查并汇总，且应做好飞入地的权属、坐落等相关信息的调查及标注工作，并将调查结果通知飞出方核实确认。</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4）最小上图图斑面积</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第三次国土调查最小上图图斑面积为：建设用地实地面积150平方米；设施农用地实地面积200平方米；农用地（不含设施农用地）实地面积400平方米；其他地类实地面积600平方米。</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5）图斑地类认定</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可调整地类调查 ：可调整地类原则上只继承最新土地调查数据库中现存可调整地类，不再新认定可调整地类；对永久基本农田范围内的可调整地类，全部按耕地调查，不再作为可调整地类（即去掉K属性），同时标注种植属性。</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建设用地调查 ：严禁将推土区调查为建设用地。推土区可继承原数据库地类。如在统一时点时推土区已建成，可通过增量更新方式更新为建设用地。 城市（201）、建制镇（202）、村庄（203）范围按照集中连片的原则划定，所对应范围界线按照单独图层方式录入土地调查数据库。 </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地类认定程序：按照实地现状认定地类。对于耕、园、林、草交叉的图斑，实地认定不清的，根据地类定义，按照“耕、园、林、草”的优先次序确定地类。 </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军事用地调查 ：军事用地范围内的土地，由军队负责调查，并将成果移交到所在地县级土地管理部门。军事用地按实际地类调查，属于军事设施用地的调查为特殊用地。涉及军事用地的图斑不需要举证。</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设施农用地调查 ：依据《土地利用现状分类》（GB/T 21010—2017）和《国土资源部农业部关于进一步支持设施农业健康发展的通知》（国土资发〔2014〕127号）和《关于深入推进农业供给侧结构性改革做好农村产业融合发展用地保障的通知》（国土资规〔2017〕12号）要求，开展设施农用地调查，严禁随意扩大设施农用地范围。未拆除到位（推平或混有瓦砾）的设施农用地不得按建设用地调查。原数据地类为设施农用地的，可按设施农用地调查。原数据地类为其他类农用地的，应按原地类调查。 </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临时用地调查 ：临时用地指因建设项目施工和地质勘查需要临时使用国有土地或者农民集体所有的土地。对于实地为临时用地的，应维持原数据库地类不变。对于临时用地，按照单独图层方式录入土地调查数据库。</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农用地调查为未利用地 ：对于将原数据库中的农用地调查为未利用地的，各地应说明原因，省土地调查办公室进行审核后，形成省级报告，报至全国土地调查办。省级报告包括原因说明、涉及的县级单位名称及面积、省级核实情况及汇总面积等。 </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线状地物调查 ：所有需要上图的道路、沟渠、河流等线性地物，应根据外业调查结果和影像特征重新矢量化，以图斑的形式表示。 对农村范围内，南方宽度1-8米，北方宽度2-8米（上下均含）的道路，调查为农村道路或公路用地；大于8米的道路或纳入乡镇级及以上级别道路网规划的道路，一律按公路调查。 道路、河流被权属界线分割的，按不同图斑上图。用地范围不确定的在建道路，暂不调查。对城镇村庄内部道路用地，调查城镇村庄内部主干路、次干路及支路，其他道路可与相邻图斑合并。对于线状地物交叉的，上部的线状地物连续表示，下压的线状地物断在交叉处。线状地物穿过隧道时，线状地物断在隧道两端。 </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6）关于“田坎调查”</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田坎调查采用系数扣除法，田坎系数继续沿用我省第二次土地调查确定的田坎系数。</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7）土地调查数据库建设</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数据库主要内容包括：基础地理信息、土地利用数据、土地权属数据、永久基本农田数据、专项调查数据等矢量数据，数字高程模型（DEM）数据、DOM 数据、扫描影像图数据等栅格数据和元数据。</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数据库建设主要步骤包括数据库建设方案设计、基础数据准备与处理、图形和属性数据采集、数据接边、拓扑关系构建、数据检查与入库等。</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土地调查数据库建设应严格执行国家质量标准，数据库建设完成后，按照数据汇交程序逐级上交数据成果，并通过国家质量检查。</w:t>
      </w:r>
    </w:p>
    <w:p>
      <w:pPr>
        <w:tabs>
          <w:tab w:val="left" w:pos="2127"/>
        </w:tabs>
        <w:spacing w:line="360" w:lineRule="auto"/>
        <w:ind w:firstLine="482" w:firstLineChars="200"/>
        <w:outlineLvl w:val="3"/>
        <w:rPr>
          <w:rFonts w:hint="eastAsia" w:asciiTheme="minorEastAsia" w:hAnsiTheme="minorEastAsia" w:eastAsiaTheme="minorEastAsia" w:cstheme="minorEastAsia"/>
          <w:b/>
          <w:bCs/>
          <w:kern w:val="0"/>
          <w:sz w:val="24"/>
          <w:szCs w:val="24"/>
        </w:rPr>
      </w:pPr>
      <w:r>
        <w:rPr>
          <w:rFonts w:hint="eastAsia" w:asciiTheme="minorEastAsia" w:hAnsiTheme="minorEastAsia" w:eastAsiaTheme="minorEastAsia" w:cstheme="minorEastAsia"/>
          <w:b/>
          <w:bCs/>
          <w:kern w:val="0"/>
          <w:sz w:val="24"/>
          <w:szCs w:val="24"/>
          <w:lang w:val="en-US" w:eastAsia="zh-CN"/>
        </w:rPr>
        <w:t>1.5.4</w:t>
      </w:r>
      <w:r>
        <w:rPr>
          <w:rFonts w:hint="eastAsia" w:asciiTheme="minorEastAsia" w:hAnsiTheme="minorEastAsia" w:eastAsiaTheme="minorEastAsia" w:cstheme="minorEastAsia"/>
          <w:b/>
          <w:bCs/>
          <w:kern w:val="0"/>
          <w:sz w:val="24"/>
          <w:szCs w:val="24"/>
        </w:rPr>
        <w:t>建设依据</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《国务院关于开展第三次全国土地调查的通知》（国发[2017]48号）；</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《第三次全国土地调查总体方案》（国土调查办[2018]1号）；</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《第三次全国土地调查技术规程（试行）》；</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《第三次全国土地调查实施方案》（国土调查办[2018]3号）；</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《河南省人民政府办公厅关于开展第三次全国土地调查的通知》（豫政办[2017]164号）；</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《河南省第三次全国土地调查实施方案》（豫土地调查办发[2018]2号）；</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《河南省第三次全国土地调查有关技术补充规定》（豫土地调查办发[2018]3号）；</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《河南省第三次全国土地调查城镇村内部土地利用现状调查实施方案》；</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《土地利用现状分类标准》(GB/T 21010-2017)。</w:t>
      </w:r>
    </w:p>
    <w:p>
      <w:pPr>
        <w:tabs>
          <w:tab w:val="left" w:pos="2127"/>
        </w:tabs>
        <w:spacing w:line="360" w:lineRule="auto"/>
        <w:ind w:firstLine="482" w:firstLineChars="200"/>
        <w:outlineLvl w:val="3"/>
        <w:rPr>
          <w:rFonts w:hint="eastAsia" w:asciiTheme="minorEastAsia" w:hAnsiTheme="minorEastAsia" w:eastAsiaTheme="minorEastAsia" w:cstheme="minorEastAsia"/>
          <w:b/>
          <w:bCs/>
          <w:kern w:val="0"/>
          <w:sz w:val="24"/>
          <w:szCs w:val="24"/>
        </w:rPr>
      </w:pPr>
      <w:r>
        <w:rPr>
          <w:rFonts w:hint="eastAsia" w:asciiTheme="minorEastAsia" w:hAnsiTheme="minorEastAsia" w:eastAsiaTheme="minorEastAsia" w:cstheme="minorEastAsia"/>
          <w:b/>
          <w:bCs/>
          <w:kern w:val="0"/>
          <w:sz w:val="24"/>
          <w:szCs w:val="24"/>
          <w:lang w:val="en-US" w:eastAsia="zh-CN"/>
        </w:rPr>
        <w:t>1.5.5</w:t>
      </w:r>
      <w:r>
        <w:rPr>
          <w:rFonts w:hint="eastAsia" w:asciiTheme="minorEastAsia" w:hAnsiTheme="minorEastAsia" w:eastAsiaTheme="minorEastAsia" w:cstheme="minorEastAsia"/>
          <w:b/>
          <w:bCs/>
          <w:kern w:val="0"/>
          <w:sz w:val="24"/>
          <w:szCs w:val="24"/>
        </w:rPr>
        <w:t>主要成果</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通过第三次国土调查，全面获取鄢陵县的土地利用现状信息，形成一系列国土调查成果，主要包括：外业调查成果、数据成果、图件成果、相关文字成果、数据库成果等。</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1）数据成果</w:t>
      </w:r>
    </w:p>
    <w:p>
      <w:pPr>
        <w:numPr>
          <w:ilvl w:val="0"/>
          <w:numId w:val="2"/>
        </w:num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各类土地分类面积数据； </w:t>
      </w:r>
    </w:p>
    <w:p>
      <w:pPr>
        <w:numPr>
          <w:ilvl w:val="0"/>
          <w:numId w:val="2"/>
        </w:num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各类土地权属信息数据；</w:t>
      </w:r>
    </w:p>
    <w:p>
      <w:pPr>
        <w:numPr>
          <w:ilvl w:val="0"/>
          <w:numId w:val="2"/>
        </w:num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城镇村庄土地利用分类面积数据； </w:t>
      </w:r>
    </w:p>
    <w:p>
      <w:pPr>
        <w:numPr>
          <w:ilvl w:val="0"/>
          <w:numId w:val="2"/>
        </w:num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耕地坡度分级面积数据；</w:t>
      </w:r>
    </w:p>
    <w:p>
      <w:pPr>
        <w:numPr>
          <w:ilvl w:val="0"/>
          <w:numId w:val="2"/>
        </w:num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各类专项调查数据，主要包括：耕地细化、批准未建设的建设用地、农村土地利用综合潜力等调查数据。</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2）图件成果 </w:t>
      </w:r>
    </w:p>
    <w:p>
      <w:pPr>
        <w:numPr>
          <w:ilvl w:val="0"/>
          <w:numId w:val="3"/>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土地利用现状图件；</w:t>
      </w:r>
    </w:p>
    <w:p>
      <w:pPr>
        <w:numPr>
          <w:ilvl w:val="0"/>
          <w:numId w:val="3"/>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土地权属界线图件；</w:t>
      </w:r>
    </w:p>
    <w:p>
      <w:pPr>
        <w:numPr>
          <w:ilvl w:val="0"/>
          <w:numId w:val="3"/>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耕地坡度分级专题图件</w:t>
      </w:r>
    </w:p>
    <w:p>
      <w:pPr>
        <w:numPr>
          <w:ilvl w:val="0"/>
          <w:numId w:val="3"/>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城镇村庄土地利用现状图件；</w:t>
      </w:r>
    </w:p>
    <w:p>
      <w:pPr>
        <w:numPr>
          <w:ilvl w:val="0"/>
          <w:numId w:val="3"/>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第三次国土调查图集；</w:t>
      </w:r>
    </w:p>
    <w:p>
      <w:pPr>
        <w:numPr>
          <w:ilvl w:val="0"/>
          <w:numId w:val="3"/>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图幅理论面积与控制面积接合图表；</w:t>
      </w:r>
    </w:p>
    <w:p>
      <w:pPr>
        <w:numPr>
          <w:ilvl w:val="0"/>
          <w:numId w:val="3"/>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各类专项调查专题图件，主要包括：耕地细化、批准未建设的建设用地、农村土地利用综合潜力等调查专题图件。</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3）文字成果 </w:t>
      </w:r>
    </w:p>
    <w:p>
      <w:pPr>
        <w:numPr>
          <w:ilvl w:val="0"/>
          <w:numId w:val="4"/>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第三次国土调查工作报告； </w:t>
      </w:r>
    </w:p>
    <w:p>
      <w:pPr>
        <w:numPr>
          <w:ilvl w:val="0"/>
          <w:numId w:val="4"/>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第三次国土调查技术报告；</w:t>
      </w:r>
    </w:p>
    <w:p>
      <w:pPr>
        <w:numPr>
          <w:ilvl w:val="0"/>
          <w:numId w:val="4"/>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第三次国土调查数据库建设报告； </w:t>
      </w:r>
    </w:p>
    <w:p>
      <w:pPr>
        <w:numPr>
          <w:ilvl w:val="0"/>
          <w:numId w:val="4"/>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第三次国土调查数据库质量检查报告；</w:t>
      </w:r>
    </w:p>
    <w:p>
      <w:pPr>
        <w:numPr>
          <w:ilvl w:val="0"/>
          <w:numId w:val="4"/>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第三次国土调查成果分析报告；</w:t>
      </w:r>
    </w:p>
    <w:p>
      <w:pPr>
        <w:numPr>
          <w:ilvl w:val="0"/>
          <w:numId w:val="4"/>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城镇村庄土地利用状况分析报告； </w:t>
      </w:r>
    </w:p>
    <w:p>
      <w:pPr>
        <w:numPr>
          <w:ilvl w:val="0"/>
          <w:numId w:val="4"/>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各类专项调查成果报告，主要包括：耕地细化、批准未建设的建设用地、农村土地利用综合潜力等调查成果报告；</w:t>
      </w:r>
    </w:p>
    <w:p>
      <w:pPr>
        <w:numPr>
          <w:ilvl w:val="0"/>
          <w:numId w:val="4"/>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第三次国土调查成果自查（检查）报告；</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4）数据库成果</w:t>
      </w:r>
    </w:p>
    <w:p>
      <w:pPr>
        <w:numPr>
          <w:ilvl w:val="0"/>
          <w:numId w:val="5"/>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第三次国土调查数据库； </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5）外业调查成果</w:t>
      </w:r>
    </w:p>
    <w:p>
      <w:pPr>
        <w:numPr>
          <w:ilvl w:val="0"/>
          <w:numId w:val="6"/>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原始调查图件、档案资料； </w:t>
      </w:r>
    </w:p>
    <w:p>
      <w:pPr>
        <w:numPr>
          <w:ilvl w:val="0"/>
          <w:numId w:val="6"/>
        </w:numPr>
        <w:tabs>
          <w:tab w:val="left" w:pos="2127"/>
        </w:tabs>
        <w:spacing w:line="360" w:lineRule="auto"/>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土地权属补充调查有关成果；</w:t>
      </w:r>
    </w:p>
    <w:p>
      <w:pPr>
        <w:numPr>
          <w:ilvl w:val="0"/>
          <w:numId w:val="6"/>
        </w:numPr>
        <w:tabs>
          <w:tab w:val="left" w:pos="2127"/>
        </w:tabs>
        <w:spacing w:line="360" w:lineRule="auto"/>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kern w:val="0"/>
          <w:sz w:val="24"/>
          <w:szCs w:val="24"/>
        </w:rPr>
        <w:t xml:space="preserve">各级检查记录资料。 </w:t>
      </w:r>
    </w:p>
    <w:p>
      <w:pPr>
        <w:tabs>
          <w:tab w:val="left" w:pos="2127"/>
        </w:tabs>
        <w:spacing w:line="360" w:lineRule="auto"/>
        <w:ind w:firstLine="482" w:firstLineChars="200"/>
        <w:outlineLvl w:val="3"/>
        <w:rPr>
          <w:rFonts w:hint="eastAsia" w:asciiTheme="minorEastAsia" w:hAnsiTheme="minorEastAsia" w:eastAsiaTheme="minorEastAsia" w:cstheme="minorEastAsia"/>
          <w:b/>
          <w:bCs/>
          <w:color w:val="000000"/>
          <w:kern w:val="0"/>
          <w:sz w:val="24"/>
          <w:szCs w:val="24"/>
        </w:rPr>
      </w:pPr>
      <w:r>
        <w:rPr>
          <w:rFonts w:hint="eastAsia" w:asciiTheme="minorEastAsia" w:hAnsiTheme="minorEastAsia" w:eastAsiaTheme="minorEastAsia" w:cstheme="minorEastAsia"/>
          <w:b/>
          <w:bCs/>
          <w:color w:val="000000"/>
          <w:kern w:val="0"/>
          <w:sz w:val="24"/>
          <w:szCs w:val="24"/>
          <w:lang w:val="en-US" w:eastAsia="zh-CN"/>
        </w:rPr>
        <w:t>1.5.6</w:t>
      </w:r>
      <w:r>
        <w:rPr>
          <w:rFonts w:hint="eastAsia" w:asciiTheme="minorEastAsia" w:hAnsiTheme="minorEastAsia" w:eastAsiaTheme="minorEastAsia" w:cstheme="minorEastAsia"/>
          <w:b/>
          <w:bCs/>
          <w:color w:val="000000"/>
          <w:kern w:val="0"/>
          <w:sz w:val="24"/>
          <w:szCs w:val="24"/>
        </w:rPr>
        <w:t>其他要求</w:t>
      </w:r>
    </w:p>
    <w:p>
      <w:pPr>
        <w:tabs>
          <w:tab w:val="left" w:pos="2127"/>
        </w:tabs>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lang w:val="en-US" w:eastAsia="zh-CN"/>
        </w:rPr>
        <w:t>1</w:t>
      </w: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rPr>
        <w:t>中标后按照《河南省第三次全国土地调查专业调查队伍监督管理办法》（豫土地调查办[2018]9号）的要求，一、二、三、四、五标段锁定人员不少于6。</w:t>
      </w:r>
    </w:p>
    <w:p>
      <w:pPr>
        <w:tabs>
          <w:tab w:val="left" w:pos="2127"/>
        </w:tabs>
        <w:spacing w:line="360" w:lineRule="auto"/>
        <w:ind w:firstLine="482" w:firstLineChars="200"/>
        <w:outlineLvl w:val="3"/>
        <w:rPr>
          <w:rFonts w:hint="eastAsia" w:asciiTheme="minorEastAsia" w:hAnsiTheme="minorEastAsia" w:eastAsiaTheme="minorEastAsia" w:cstheme="minorEastAsia"/>
          <w:b/>
          <w:bCs/>
          <w:color w:val="000000"/>
          <w:kern w:val="0"/>
          <w:sz w:val="24"/>
          <w:szCs w:val="24"/>
        </w:rPr>
      </w:pPr>
      <w:r>
        <w:rPr>
          <w:rFonts w:hint="eastAsia" w:asciiTheme="minorEastAsia" w:hAnsiTheme="minorEastAsia" w:eastAsiaTheme="minorEastAsia" w:cstheme="minorEastAsia"/>
          <w:b/>
          <w:bCs/>
          <w:color w:val="000000"/>
          <w:kern w:val="0"/>
          <w:sz w:val="24"/>
          <w:szCs w:val="24"/>
          <w:lang w:val="en-US" w:eastAsia="zh-CN"/>
        </w:rPr>
        <w:t>1.5.7</w:t>
      </w:r>
      <w:r>
        <w:rPr>
          <w:rFonts w:hint="eastAsia" w:asciiTheme="minorEastAsia" w:hAnsiTheme="minorEastAsia" w:eastAsiaTheme="minorEastAsia" w:cstheme="minorEastAsia"/>
          <w:b/>
          <w:bCs/>
          <w:color w:val="000000"/>
          <w:kern w:val="0"/>
          <w:sz w:val="24"/>
          <w:szCs w:val="24"/>
        </w:rPr>
        <w:t>质量标准</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达到国家、省、市有关第三次全国国土调查技术要求，确保通过市级核查质检（含抽检），国家和省级检查验收。</w:t>
      </w:r>
    </w:p>
    <w:p>
      <w:pPr>
        <w:widowControl/>
        <w:shd w:val="clear" w:color="auto" w:fill="FFFFFF"/>
        <w:spacing w:line="360" w:lineRule="auto"/>
        <w:ind w:firstLine="600"/>
        <w:jc w:val="left"/>
        <w:outlineLvl w:val="3"/>
        <w:rPr>
          <w:rFonts w:hint="eastAsia" w:asciiTheme="minorEastAsia" w:hAnsiTheme="minorEastAsia" w:eastAsiaTheme="minorEastAsia" w:cstheme="minorEastAsia"/>
          <w:b/>
          <w:bCs/>
          <w:color w:val="000000"/>
          <w:kern w:val="0"/>
          <w:sz w:val="24"/>
          <w:szCs w:val="24"/>
        </w:rPr>
      </w:pPr>
      <w:r>
        <w:rPr>
          <w:rFonts w:hint="eastAsia" w:asciiTheme="minorEastAsia" w:hAnsiTheme="minorEastAsia" w:eastAsiaTheme="minorEastAsia" w:cstheme="minorEastAsia"/>
          <w:b/>
          <w:bCs/>
          <w:color w:val="000000"/>
          <w:kern w:val="0"/>
          <w:sz w:val="24"/>
          <w:szCs w:val="24"/>
          <w:lang w:val="en-US" w:eastAsia="zh-CN"/>
        </w:rPr>
        <w:t>1.5.8</w:t>
      </w:r>
      <w:r>
        <w:rPr>
          <w:rFonts w:hint="eastAsia" w:asciiTheme="minorEastAsia" w:hAnsiTheme="minorEastAsia" w:eastAsiaTheme="minorEastAsia" w:cstheme="minorEastAsia"/>
          <w:b/>
          <w:bCs/>
          <w:color w:val="000000"/>
          <w:kern w:val="0"/>
          <w:sz w:val="24"/>
          <w:szCs w:val="24"/>
        </w:rPr>
        <w:t>验收标准</w:t>
      </w:r>
    </w:p>
    <w:p>
      <w:pPr>
        <w:spacing w:line="360" w:lineRule="auto"/>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 xml:space="preserve">    </w:t>
      </w: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lang w:val="en-US" w:eastAsia="zh-CN"/>
        </w:rPr>
        <w:t>1</w:t>
      </w: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rPr>
        <w:t>项目完成后，乙方组织自查，乙方自查工作完成后，向甲方提出验收申请，甲方进行初验。初验合格后报省厅组织专家进行验收，并出具成果验收报告。未能通过相关部门验收的，乙方应在收到甲方整改意见书之日起20个工作日内完成项目整改，整改完成后重新提交书面验收申请。</w:t>
      </w:r>
    </w:p>
    <w:p>
      <w:pPr>
        <w:spacing w:line="360" w:lineRule="auto"/>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 xml:space="preserve">    </w:t>
      </w: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lang w:val="en-US" w:eastAsia="zh-CN"/>
        </w:rPr>
        <w:t>2</w:t>
      </w: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rPr>
        <w:t>对乙方所提供的项目成果的质量有争议的，由具有相关资质的单位依法裁决，其费用由败诉方承担。</w:t>
      </w:r>
    </w:p>
    <w:p>
      <w:pPr>
        <w:spacing w:line="360" w:lineRule="auto"/>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 xml:space="preserve">   </w:t>
      </w: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lang w:val="en-US" w:eastAsia="zh-CN"/>
        </w:rPr>
        <w:t>3</w:t>
      </w: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rPr>
        <w:t>乙方应根据合同要求向甲方交付阶段性成果。自最终验收之日起30日内，乙方向甲方交付合同要求的全部成果。</w:t>
      </w:r>
    </w:p>
    <w:p>
      <w:pPr>
        <w:widowControl/>
        <w:shd w:val="clear" w:color="auto" w:fill="FFFFFF"/>
        <w:spacing w:line="360" w:lineRule="auto"/>
        <w:ind w:firstLine="600"/>
        <w:jc w:val="left"/>
        <w:outlineLvl w:val="3"/>
        <w:rPr>
          <w:rFonts w:hint="eastAsia" w:asciiTheme="minorEastAsia" w:hAnsiTheme="minorEastAsia" w:eastAsiaTheme="minorEastAsia" w:cstheme="minorEastAsia"/>
          <w:b/>
          <w:bCs/>
          <w:color w:val="000000"/>
          <w:kern w:val="0"/>
          <w:sz w:val="24"/>
          <w:szCs w:val="24"/>
        </w:rPr>
      </w:pPr>
      <w:r>
        <w:rPr>
          <w:rFonts w:hint="eastAsia" w:asciiTheme="minorEastAsia" w:hAnsiTheme="minorEastAsia" w:eastAsiaTheme="minorEastAsia" w:cstheme="minorEastAsia"/>
          <w:b/>
          <w:bCs/>
          <w:color w:val="000000"/>
          <w:kern w:val="0"/>
          <w:sz w:val="24"/>
          <w:szCs w:val="24"/>
          <w:lang w:val="en-US" w:eastAsia="zh-CN"/>
        </w:rPr>
        <w:t>1.5.9</w:t>
      </w:r>
      <w:r>
        <w:rPr>
          <w:rFonts w:hint="eastAsia" w:asciiTheme="minorEastAsia" w:hAnsiTheme="minorEastAsia" w:eastAsiaTheme="minorEastAsia" w:cstheme="minorEastAsia"/>
          <w:b/>
          <w:bCs/>
          <w:color w:val="000000"/>
          <w:kern w:val="0"/>
          <w:sz w:val="24"/>
          <w:szCs w:val="24"/>
        </w:rPr>
        <w:t>采购资金支付</w:t>
      </w:r>
    </w:p>
    <w:p>
      <w:pPr>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lang w:val="en-US" w:eastAsia="zh-CN"/>
        </w:rPr>
        <w:t>1</w:t>
      </w: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rPr>
        <w:t>支付方式：分四次拨付</w:t>
      </w:r>
    </w:p>
    <w:p>
      <w:pPr>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lang w:val="en-US" w:eastAsia="zh-CN"/>
        </w:rPr>
        <w:t>2</w:t>
      </w:r>
      <w:r>
        <w:rPr>
          <w:rFonts w:hint="eastAsia" w:asciiTheme="minorEastAsia" w:hAnsiTheme="minorEastAsia" w:eastAsiaTheme="minorEastAsia" w:cstheme="minorEastAsia"/>
          <w:color w:val="000000"/>
          <w:kern w:val="0"/>
          <w:sz w:val="24"/>
          <w:szCs w:val="24"/>
          <w:lang w:eastAsia="zh-CN"/>
        </w:rPr>
        <w:t>）</w:t>
      </w:r>
      <w:r>
        <w:rPr>
          <w:rFonts w:hint="eastAsia" w:asciiTheme="minorEastAsia" w:hAnsiTheme="minorEastAsia" w:eastAsiaTheme="minorEastAsia" w:cstheme="minorEastAsia"/>
          <w:color w:val="000000"/>
          <w:kern w:val="0"/>
          <w:sz w:val="24"/>
          <w:szCs w:val="24"/>
        </w:rPr>
        <w:t>支付时间及条件：合同签订生效后，10个工作日内日提交整体技术方案，经甲方审核通过后，支付合同总金额的30%；成果交付后，支付合同总金额的50%；完成统一时点数据变更，支付合同总金额的10%；项目验收后，支付合同总金额的10%。</w:t>
      </w:r>
    </w:p>
    <w:p>
      <w:pPr>
        <w:pStyle w:val="6"/>
        <w:spacing w:line="360" w:lineRule="auto"/>
        <w:ind w:firstLine="6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w:t>
      </w:r>
    </w:p>
    <w:p>
      <w:pPr>
        <w:spacing w:line="360" w:lineRule="auto"/>
        <w:rPr>
          <w:rFonts w:hint="eastAsia" w:asciiTheme="minorEastAsia" w:hAnsiTheme="minorEastAsia" w:eastAsiaTheme="minorEastAsia" w:cstheme="minorEastAsia"/>
          <w:sz w:val="24"/>
          <w:szCs w:val="24"/>
        </w:rPr>
      </w:pPr>
    </w:p>
    <w:p>
      <w:pPr>
        <w:pStyle w:val="3"/>
        <w:rPr>
          <w:rFonts w:hint="eastAsia"/>
          <w:lang w:val="en-US" w:eastAsia="zh-CN"/>
        </w:rPr>
      </w:pPr>
    </w:p>
    <w:p>
      <w:pPr>
        <w:pStyle w:val="3"/>
        <w:numPr>
          <w:ilvl w:val="0"/>
          <w:numId w:val="1"/>
        </w:numPr>
        <w:ind w:left="0" w:leftChars="0" w:firstLine="0" w:firstLineChars="0"/>
        <w:outlineLvl w:val="1"/>
        <w:rPr>
          <w:rFonts w:hint="eastAsia"/>
          <w:b/>
          <w:bCs/>
          <w:sz w:val="28"/>
          <w:szCs w:val="32"/>
          <w:lang w:val="en-US" w:eastAsia="zh-CN"/>
        </w:rPr>
      </w:pPr>
      <w:r>
        <w:rPr>
          <w:rFonts w:hint="eastAsia"/>
          <w:b/>
          <w:bCs/>
          <w:sz w:val="28"/>
          <w:szCs w:val="32"/>
          <w:lang w:val="en-US" w:eastAsia="zh-CN"/>
        </w:rPr>
        <w:t>本次项目建设的目标任务</w:t>
      </w:r>
    </w:p>
    <w:p>
      <w:pPr>
        <w:pStyle w:val="3"/>
        <w:widowControl w:val="0"/>
        <w:numPr>
          <w:ilvl w:val="0"/>
          <w:numId w:val="0"/>
        </w:numPr>
        <w:snapToGrid w:val="0"/>
        <w:jc w:val="both"/>
        <w:rPr>
          <w:rFonts w:hint="eastAsia"/>
          <w:lang w:val="en-US" w:eastAsia="zh-CN"/>
        </w:rPr>
      </w:pPr>
    </w:p>
    <w:p>
      <w:pPr>
        <w:pStyle w:val="3"/>
        <w:widowControl w:val="0"/>
        <w:numPr>
          <w:ilvl w:val="0"/>
          <w:numId w:val="0"/>
        </w:numPr>
        <w:snapToGrid w:val="0"/>
        <w:jc w:val="both"/>
        <w:outlineLvl w:val="2"/>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2.1项目建设目标</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通过第三次国土调查，全面查清鄢陵县土地利用现状和土地资源变化情况，建立鄢陵县各标段第三次国土调查及专项调查数据库，为国民经济和社会发展、政府决策和自然资源精细化管理提供扎实的基础数据支撑。</w:t>
      </w:r>
    </w:p>
    <w:p>
      <w:pPr>
        <w:pStyle w:val="3"/>
        <w:widowControl w:val="0"/>
        <w:numPr>
          <w:ilvl w:val="0"/>
          <w:numId w:val="0"/>
        </w:numPr>
        <w:snapToGrid w:val="0"/>
        <w:jc w:val="both"/>
        <w:outlineLvl w:val="2"/>
        <w:rPr>
          <w:rFonts w:hint="eastAsia" w:asciiTheme="majorEastAsia" w:hAnsiTheme="majorEastAsia" w:eastAsiaTheme="majorEastAsia" w:cstheme="majorEastAsia"/>
          <w:b/>
          <w:bCs/>
          <w:sz w:val="24"/>
          <w:szCs w:val="24"/>
          <w:lang w:val="en-US" w:eastAsia="zh-CN"/>
        </w:rPr>
      </w:pPr>
      <w:r>
        <w:rPr>
          <w:rFonts w:hint="eastAsia" w:asciiTheme="majorEastAsia" w:hAnsiTheme="majorEastAsia" w:eastAsiaTheme="majorEastAsia" w:cstheme="majorEastAsia"/>
          <w:b/>
          <w:bCs/>
          <w:sz w:val="24"/>
          <w:szCs w:val="24"/>
          <w:lang w:val="en-US" w:eastAsia="zh-CN"/>
        </w:rPr>
        <w:t>2.2项目建设任务</w:t>
      </w:r>
    </w:p>
    <w:p>
      <w:pPr>
        <w:tabs>
          <w:tab w:val="left" w:pos="2127"/>
        </w:tabs>
        <w:spacing w:line="360" w:lineRule="auto"/>
        <w:ind w:firstLine="482" w:firstLineChars="200"/>
        <w:outlineLvl w:val="3"/>
        <w:rPr>
          <w:rFonts w:hint="eastAsia" w:asciiTheme="minorEastAsia" w:hAnsiTheme="minorEastAsia" w:eastAsiaTheme="minorEastAsia" w:cstheme="minorEastAsia"/>
          <w:b/>
          <w:bCs/>
          <w:kern w:val="0"/>
          <w:sz w:val="24"/>
          <w:szCs w:val="24"/>
        </w:rPr>
      </w:pPr>
      <w:r>
        <w:rPr>
          <w:rFonts w:hint="eastAsia" w:asciiTheme="minorEastAsia" w:hAnsiTheme="minorEastAsia" w:eastAsiaTheme="minorEastAsia" w:cstheme="minorEastAsia"/>
          <w:b/>
          <w:bCs/>
          <w:kern w:val="0"/>
          <w:sz w:val="24"/>
          <w:szCs w:val="24"/>
          <w:lang w:val="en-US" w:eastAsia="zh-CN"/>
        </w:rPr>
        <w:t>2.2.1</w:t>
      </w:r>
      <w:r>
        <w:rPr>
          <w:rFonts w:hint="eastAsia" w:asciiTheme="minorEastAsia" w:hAnsiTheme="minorEastAsia" w:eastAsiaTheme="minorEastAsia" w:cstheme="minorEastAsia"/>
          <w:b/>
          <w:bCs/>
          <w:kern w:val="0"/>
          <w:sz w:val="24"/>
          <w:szCs w:val="24"/>
        </w:rPr>
        <w:t>土地利用现状调查：</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土地利用现状调查包括农村土地利用现状调查和城市、建制镇、村庄（以下简称城镇村庄）内部土地利用现状调查。 </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农村土地利用现状调查按照统一的国土调查技术标准，以国家提供的调查底图为基础，实地调查每块图斑的地类、位置、范围、面积等利用状况，查清鄢陵县耕地、园地、林地、草地等农用地的数量、分布及质量状况，查清城市、建制镇、村庄、独立工矿、水域及水利设施用地等各类土地的分布和利用状况。 </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城镇村庄内部土地利用现状调查充分利用地籍调查和各类确权登记成果，对城市、建制镇、村庄内部的土地利用现状开展细化调查，查清城镇村庄内部商服用地、工矿仓储用地、住宅用地、公共管理与公共服务用地和特殊用地等土地利用状况。</w:t>
      </w:r>
    </w:p>
    <w:p>
      <w:pPr>
        <w:tabs>
          <w:tab w:val="left" w:pos="2127"/>
        </w:tabs>
        <w:spacing w:line="360" w:lineRule="auto"/>
        <w:ind w:firstLine="482" w:firstLineChars="200"/>
        <w:outlineLvl w:val="3"/>
        <w:rPr>
          <w:rFonts w:hint="eastAsia" w:asciiTheme="minorEastAsia" w:hAnsiTheme="minorEastAsia" w:eastAsiaTheme="minorEastAsia" w:cstheme="minorEastAsia"/>
          <w:b/>
          <w:bCs/>
          <w:kern w:val="0"/>
          <w:sz w:val="24"/>
          <w:szCs w:val="24"/>
        </w:rPr>
      </w:pPr>
      <w:r>
        <w:rPr>
          <w:rFonts w:hint="eastAsia" w:asciiTheme="minorEastAsia" w:hAnsiTheme="minorEastAsia" w:eastAsiaTheme="minorEastAsia" w:cstheme="minorEastAsia"/>
          <w:b/>
          <w:bCs/>
          <w:kern w:val="0"/>
          <w:sz w:val="24"/>
          <w:szCs w:val="24"/>
          <w:lang w:val="en-US" w:eastAsia="zh-CN"/>
        </w:rPr>
        <w:t>2.2.2</w:t>
      </w:r>
      <w:r>
        <w:rPr>
          <w:rFonts w:hint="eastAsia" w:asciiTheme="minorEastAsia" w:hAnsiTheme="minorEastAsia" w:eastAsiaTheme="minorEastAsia" w:cstheme="minorEastAsia"/>
          <w:b/>
          <w:bCs/>
          <w:kern w:val="0"/>
          <w:sz w:val="24"/>
          <w:szCs w:val="24"/>
        </w:rPr>
        <w:t xml:space="preserve">土地权属调查： </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进一步完善集体土地所有权调查成果，并将城镇国有建设用地范围外已完成的集体土地所有权确权登记和国有土地使用权登记成果落实在土地调查成果中，对权属发生变化的开展补充调查。 </w:t>
      </w:r>
    </w:p>
    <w:p>
      <w:pPr>
        <w:tabs>
          <w:tab w:val="left" w:pos="2127"/>
        </w:tabs>
        <w:spacing w:line="360" w:lineRule="auto"/>
        <w:ind w:firstLine="482" w:firstLineChars="200"/>
        <w:outlineLvl w:val="3"/>
        <w:rPr>
          <w:rFonts w:hint="eastAsia" w:asciiTheme="minorEastAsia" w:hAnsiTheme="minorEastAsia" w:eastAsiaTheme="minorEastAsia" w:cstheme="minorEastAsia"/>
          <w:b/>
          <w:bCs/>
          <w:kern w:val="0"/>
          <w:sz w:val="24"/>
          <w:szCs w:val="24"/>
        </w:rPr>
      </w:pPr>
      <w:r>
        <w:rPr>
          <w:rFonts w:hint="eastAsia" w:asciiTheme="minorEastAsia" w:hAnsiTheme="minorEastAsia" w:eastAsiaTheme="minorEastAsia" w:cstheme="minorEastAsia"/>
          <w:b/>
          <w:bCs/>
          <w:kern w:val="0"/>
          <w:sz w:val="24"/>
          <w:szCs w:val="24"/>
          <w:lang w:val="en-US" w:eastAsia="zh-CN"/>
        </w:rPr>
        <w:t>2.2.3</w:t>
      </w:r>
      <w:r>
        <w:rPr>
          <w:rFonts w:hint="eastAsia" w:asciiTheme="minorEastAsia" w:hAnsiTheme="minorEastAsia" w:eastAsiaTheme="minorEastAsia" w:cstheme="minorEastAsia"/>
          <w:b/>
          <w:bCs/>
          <w:kern w:val="0"/>
          <w:sz w:val="24"/>
          <w:szCs w:val="24"/>
        </w:rPr>
        <w:t>专项用地调查与评价：</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 基于土地利用现状、土地权属等调查成果和国土资源管理形成的各类管理信息，结合生态文明建设、自然资源监管、节约集约用地评价及相关专项工作的需要，开展专项用地调查。    </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耕地细化调查：对永久基本农田范围以外的耕地图斑，参考相关部门的有关资料，根据耕地的位置和立地条件，开展细化调查，并标注相应属性。重点对河道或湖（库）区范围内耕地、林区范围内的耕地、沙荒耕地等开展细化调查，分类标注，摸清各类耕地资源家底状况。</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批准未建设的建设用地调查：在土地利用现状调查的基础上，依据国家下发的批准建设用地图层数据，补充完善建设用地审批信息，查清批准建设用地范围内未建设土地的实际利用状况。</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 xml:space="preserve">农村土地利用综合潜力调查：结合土地利用现状调查，开展农村耕地整治开发潜力调查和乡村建设用地腾退复垦潜力调查，摸清高标准农田整治空间、非耕农用地整治和未利用地开发、村庄整治、独立工矿可复垦等潜力情况。 </w:t>
      </w:r>
    </w:p>
    <w:p>
      <w:pPr>
        <w:tabs>
          <w:tab w:val="left" w:pos="2127"/>
        </w:tabs>
        <w:spacing w:line="360" w:lineRule="auto"/>
        <w:ind w:firstLine="482" w:firstLineChars="200"/>
        <w:outlineLvl w:val="3"/>
        <w:rPr>
          <w:rFonts w:hint="eastAsia" w:asciiTheme="minorEastAsia" w:hAnsiTheme="minorEastAsia" w:eastAsiaTheme="minorEastAsia" w:cstheme="minorEastAsia"/>
          <w:b/>
          <w:bCs/>
          <w:kern w:val="0"/>
          <w:sz w:val="24"/>
          <w:szCs w:val="24"/>
        </w:rPr>
      </w:pPr>
      <w:r>
        <w:rPr>
          <w:rFonts w:hint="eastAsia" w:asciiTheme="minorEastAsia" w:hAnsiTheme="minorEastAsia" w:eastAsiaTheme="minorEastAsia" w:cstheme="minorEastAsia"/>
          <w:b/>
          <w:bCs/>
          <w:kern w:val="0"/>
          <w:sz w:val="24"/>
          <w:szCs w:val="24"/>
          <w:lang w:val="en-US" w:eastAsia="zh-CN"/>
        </w:rPr>
        <w:t>2.2.4</w:t>
      </w:r>
      <w:r>
        <w:rPr>
          <w:rFonts w:hint="eastAsia" w:asciiTheme="minorEastAsia" w:hAnsiTheme="minorEastAsia" w:eastAsiaTheme="minorEastAsia" w:cstheme="minorEastAsia"/>
          <w:b/>
          <w:bCs/>
          <w:kern w:val="0"/>
          <w:sz w:val="24"/>
          <w:szCs w:val="24"/>
        </w:rPr>
        <w:t>数据库建设：</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开展土地调查数据库建设，同时开展耕地细化调查、批准未建设的建设用地调查、农村土地利用综合潜力调查等专项数据库建设。</w:t>
      </w:r>
    </w:p>
    <w:p>
      <w:pPr>
        <w:tabs>
          <w:tab w:val="left" w:pos="2127"/>
        </w:tabs>
        <w:spacing w:line="360" w:lineRule="auto"/>
        <w:ind w:firstLine="482" w:firstLineChars="200"/>
        <w:outlineLvl w:val="3"/>
        <w:rPr>
          <w:rFonts w:hint="eastAsia" w:asciiTheme="minorEastAsia" w:hAnsiTheme="minorEastAsia" w:eastAsiaTheme="minorEastAsia" w:cstheme="minorEastAsia"/>
          <w:b/>
          <w:bCs/>
          <w:kern w:val="0"/>
          <w:sz w:val="24"/>
          <w:szCs w:val="24"/>
        </w:rPr>
      </w:pPr>
      <w:r>
        <w:rPr>
          <w:rFonts w:hint="eastAsia" w:asciiTheme="minorEastAsia" w:hAnsiTheme="minorEastAsia" w:eastAsiaTheme="minorEastAsia" w:cstheme="minorEastAsia"/>
          <w:b/>
          <w:bCs/>
          <w:kern w:val="0"/>
          <w:sz w:val="24"/>
          <w:szCs w:val="24"/>
          <w:lang w:val="en-US" w:eastAsia="zh-CN"/>
        </w:rPr>
        <w:t>2.2.5</w:t>
      </w:r>
      <w:r>
        <w:rPr>
          <w:rFonts w:hint="eastAsia" w:asciiTheme="minorEastAsia" w:hAnsiTheme="minorEastAsia" w:eastAsiaTheme="minorEastAsia" w:cstheme="minorEastAsia"/>
          <w:b/>
          <w:bCs/>
          <w:kern w:val="0"/>
          <w:sz w:val="24"/>
          <w:szCs w:val="24"/>
        </w:rPr>
        <w:t>成果汇总 ：</w:t>
      </w:r>
    </w:p>
    <w:p>
      <w:pPr>
        <w:tabs>
          <w:tab w:val="left" w:pos="2127"/>
        </w:tabs>
        <w:spacing w:line="360" w:lineRule="auto"/>
        <w:ind w:firstLine="480" w:firstLineChars="200"/>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包括数据汇总、成果分析、数据成果制作与图件编制。</w:t>
      </w:r>
    </w:p>
    <w:p>
      <w:pPr>
        <w:pStyle w:val="3"/>
        <w:widowControl w:val="0"/>
        <w:numPr>
          <w:ilvl w:val="0"/>
          <w:numId w:val="0"/>
        </w:numPr>
        <w:snapToGrid w:val="0"/>
        <w:jc w:val="both"/>
        <w:rPr>
          <w:rFonts w:hint="eastAsia"/>
          <w:lang w:val="en-US" w:eastAsia="zh-CN"/>
        </w:rPr>
      </w:pPr>
    </w:p>
    <w:p>
      <w:pPr>
        <w:pStyle w:val="3"/>
        <w:widowControl w:val="0"/>
        <w:numPr>
          <w:ilvl w:val="0"/>
          <w:numId w:val="1"/>
        </w:numPr>
        <w:snapToGrid w:val="0"/>
        <w:ind w:left="0" w:leftChars="0" w:firstLine="0" w:firstLineChars="0"/>
        <w:jc w:val="both"/>
        <w:outlineLvl w:val="1"/>
        <w:rPr>
          <w:rFonts w:hint="eastAsia"/>
          <w:b/>
          <w:bCs/>
          <w:sz w:val="28"/>
          <w:szCs w:val="32"/>
          <w:lang w:val="en-US" w:eastAsia="zh-CN"/>
        </w:rPr>
      </w:pPr>
      <w:r>
        <w:rPr>
          <w:rFonts w:hint="eastAsia"/>
          <w:b/>
          <w:bCs/>
          <w:sz w:val="28"/>
          <w:szCs w:val="32"/>
          <w:lang w:val="en-US" w:eastAsia="zh-CN"/>
        </w:rPr>
        <w:t>项目实施技术路线</w:t>
      </w:r>
    </w:p>
    <w:p>
      <w:pPr>
        <w:pStyle w:val="3"/>
        <w:widowControl w:val="0"/>
        <w:numPr>
          <w:ilvl w:val="0"/>
          <w:numId w:val="0"/>
        </w:numPr>
        <w:snapToGrid w:val="0"/>
        <w:jc w:val="both"/>
        <w:rPr>
          <w:rFonts w:hint="eastAsia"/>
          <w:lang w:val="en-US" w:eastAsia="zh-CN"/>
        </w:rPr>
      </w:pPr>
    </w:p>
    <w:p>
      <w:pPr>
        <w:pStyle w:val="3"/>
        <w:widowControl w:val="0"/>
        <w:numPr>
          <w:ilvl w:val="0"/>
          <w:numId w:val="0"/>
        </w:numPr>
        <w:snapToGrid w:val="0"/>
        <w:spacing w:line="360" w:lineRule="auto"/>
        <w:jc w:val="both"/>
        <w:outlineLvl w:val="2"/>
        <w:rPr>
          <w:rFonts w:hint="eastAsia" w:asciiTheme="minorEastAsia" w:hAnsiTheme="minorEastAsia" w:eastAsiaTheme="minorEastAsia" w:cstheme="minorEastAsia"/>
          <w:b/>
          <w:bCs/>
          <w:color w:val="auto"/>
          <w:sz w:val="28"/>
          <w:szCs w:val="28"/>
          <w:highlight w:val="none"/>
          <w:lang w:val="en-US" w:eastAsia="zh-CN"/>
        </w:rPr>
      </w:pPr>
      <w:bookmarkStart w:id="0" w:name="_Toc15339"/>
      <w:r>
        <w:rPr>
          <w:rFonts w:hint="eastAsia" w:asciiTheme="minorEastAsia" w:hAnsiTheme="minorEastAsia" w:eastAsiaTheme="minorEastAsia" w:cstheme="minorEastAsia"/>
          <w:b/>
          <w:bCs/>
          <w:color w:val="auto"/>
          <w:sz w:val="28"/>
          <w:szCs w:val="28"/>
          <w:highlight w:val="none"/>
          <w:lang w:val="en-US" w:eastAsia="zh-CN"/>
        </w:rPr>
        <w:t>3.1技术标准</w:t>
      </w:r>
      <w:bookmarkEnd w:id="0"/>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bookmarkStart w:id="1" w:name="_Toc10057"/>
      <w:r>
        <w:rPr>
          <w:rFonts w:hint="eastAsia" w:asciiTheme="minorEastAsia" w:hAnsiTheme="minorEastAsia" w:eastAsiaTheme="minorEastAsia" w:cstheme="minorEastAsia"/>
          <w:color w:val="000000"/>
          <w:kern w:val="0"/>
          <w:sz w:val="24"/>
          <w:szCs w:val="24"/>
        </w:rPr>
        <w:t>（1） 《国务院关于开展第三次全国土地调查的通知》（国发[2017]48号）；</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（2）《第三次全国土地调查总体方案》（国土调查办[2018]1号）；</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（3）《第三次全国土地调查技术规程（试行）》；</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（4）《第三次全国土地调查实施方案》（国土调查办[2018]3号）；</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（5）《河南省人民政府办公厅关于开展第三次全国土地调查的通知》（豫政办[2017]164号）；</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（6）《河南省第三次全国土地调查实施方案》（豫土地调查办发[2018]2号）；</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（7）《河南省第三次全国土地调查有关技术补充规定》（豫土地调查办发[2018]3号）；</w:t>
      </w:r>
    </w:p>
    <w:p>
      <w:pPr>
        <w:tabs>
          <w:tab w:val="left" w:pos="2127"/>
        </w:tabs>
        <w:spacing w:line="360" w:lineRule="auto"/>
        <w:ind w:firstLine="480" w:firstLineChars="200"/>
        <w:rPr>
          <w:rFonts w:hint="eastAsia" w:asciiTheme="minorEastAsia" w:hAnsiTheme="minorEastAsia" w:eastAsiaTheme="minorEastAsia" w:cstheme="minorEastAsia"/>
          <w:color w:val="000000"/>
          <w:kern w:val="0"/>
          <w:sz w:val="24"/>
          <w:szCs w:val="24"/>
        </w:rPr>
      </w:pPr>
      <w:r>
        <w:rPr>
          <w:rFonts w:hint="eastAsia" w:asciiTheme="minorEastAsia" w:hAnsiTheme="minorEastAsia" w:eastAsiaTheme="minorEastAsia" w:cstheme="minorEastAsia"/>
          <w:color w:val="000000"/>
          <w:kern w:val="0"/>
          <w:sz w:val="24"/>
          <w:szCs w:val="24"/>
        </w:rPr>
        <w:t>（8）《河南省第三次全国土地调查城镇村内部土地利用现状调查实施方案》；</w:t>
      </w:r>
    </w:p>
    <w:p>
      <w:pPr>
        <w:pStyle w:val="3"/>
        <w:widowControl w:val="0"/>
        <w:numPr>
          <w:ilvl w:val="0"/>
          <w:numId w:val="0"/>
        </w:numPr>
        <w:snapToGrid w:val="0"/>
        <w:spacing w:line="360" w:lineRule="auto"/>
        <w:jc w:val="both"/>
        <w:outlineLvl w:val="2"/>
        <w:rPr>
          <w:rFonts w:hint="eastAsia" w:asciiTheme="minorEastAsia" w:hAnsiTheme="minorEastAsia" w:eastAsiaTheme="minorEastAsia" w:cstheme="minorEastAsia"/>
          <w:b/>
          <w:bCs/>
          <w:color w:val="auto"/>
          <w:sz w:val="28"/>
          <w:szCs w:val="28"/>
          <w:highlight w:val="none"/>
          <w:lang w:val="en-US" w:eastAsia="zh-CN"/>
        </w:rPr>
      </w:pPr>
      <w:r>
        <w:rPr>
          <w:rFonts w:hint="eastAsia" w:asciiTheme="minorEastAsia" w:hAnsiTheme="minorEastAsia" w:eastAsiaTheme="minorEastAsia" w:cstheme="minorEastAsia"/>
          <w:b/>
          <w:bCs/>
          <w:color w:val="auto"/>
          <w:sz w:val="28"/>
          <w:szCs w:val="28"/>
          <w:highlight w:val="none"/>
          <w:lang w:val="en-US" w:eastAsia="zh-CN"/>
        </w:rPr>
        <w:t>3.2技术参数</w:t>
      </w:r>
      <w:bookmarkEnd w:id="1"/>
    </w:p>
    <w:p>
      <w:pPr>
        <w:spacing w:line="360" w:lineRule="auto"/>
        <w:outlineLvl w:val="4"/>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lang w:val="en-US" w:eastAsia="zh-CN"/>
        </w:rPr>
        <w:t>3.2.1</w:t>
      </w:r>
      <w:r>
        <w:rPr>
          <w:rFonts w:hint="eastAsia" w:asciiTheme="minorEastAsia" w:hAnsiTheme="minorEastAsia" w:eastAsiaTheme="minorEastAsia" w:cstheme="minorEastAsia"/>
          <w:b/>
          <w:bCs/>
          <w:sz w:val="24"/>
          <w:szCs w:val="24"/>
        </w:rPr>
        <w:t>采用3S一体化技术开展农村土地利用现状外业调查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根据国家下发的调查工作底图，结合日常国土资源管理相关资料，制作外业调查数据，采用3S一体化技术，逐图斑开展实地调查及举证工作，细化调查图斑的地类、范围、权属等信息，对与国家内业判读结果不一致的图斑，实地拍摄带定位坐标的举证照片。</w:t>
      </w:r>
    </w:p>
    <w:p>
      <w:pPr>
        <w:spacing w:line="360" w:lineRule="auto"/>
        <w:outlineLvl w:val="4"/>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lang w:val="en-US" w:eastAsia="zh-CN"/>
        </w:rPr>
        <w:t>3.2.2</w:t>
      </w:r>
      <w:r>
        <w:rPr>
          <w:rFonts w:hint="eastAsia" w:asciiTheme="minorEastAsia" w:hAnsiTheme="minorEastAsia" w:eastAsiaTheme="minorEastAsia" w:cstheme="minorEastAsia"/>
          <w:b/>
          <w:bCs/>
          <w:sz w:val="24"/>
          <w:szCs w:val="24"/>
        </w:rPr>
        <w:t>利用现有的各类成果开展城镇和村庄内部土地利用现状调查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利用地理国情普查、集体土地确权登记发证等成果，根据省统一制作城镇村庄调查基础底图，在此基础上，利用本地区城镇规划地形图和农村集体土地承包经营权成果，分别精细化制作城镇和村庄内部土地调查工作底图。地籍调查成果实时更新的区域，利用地籍调查成果，获得城镇村内部每块土地的土地利用现状信息。未进行地籍调查成果实时更新的区域，参考利用现有的各类调查成果和现势性强的航空正射影像图，实地开展城镇和村庄内部土地利用现状调查；如有条件，可重新获取航空影像辅助开展调查。</w:t>
      </w:r>
    </w:p>
    <w:p>
      <w:pPr>
        <w:spacing w:line="360" w:lineRule="auto"/>
        <w:outlineLvl w:val="9"/>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lang w:val="en-US" w:eastAsia="zh-CN"/>
        </w:rPr>
        <w:t>3.2.3</w:t>
      </w:r>
      <w:r>
        <w:rPr>
          <w:rFonts w:hint="eastAsia" w:asciiTheme="minorEastAsia" w:hAnsiTheme="minorEastAsia" w:eastAsiaTheme="minorEastAsia" w:cstheme="minorEastAsia"/>
          <w:b/>
          <w:bCs/>
          <w:sz w:val="24"/>
          <w:szCs w:val="24"/>
        </w:rPr>
        <w:t>运用内外业一体化数据采集技术建设土地调查数据库</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按照全国统一的数据库建设要求，采用内外业一体化数据采集建库机制和移动互联网技术，结合国家下发的调查底图，利用移动调查设备开展土地利用信息的调查和采集，实现各类专题信息与每个图斑的匹配连接，形成集图形、影像、属性、文档为一体的土地调查数据库。</w:t>
      </w:r>
    </w:p>
    <w:p>
      <w:pPr>
        <w:spacing w:line="360" w:lineRule="auto"/>
        <w:outlineLvl w:val="4"/>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lang w:val="en-US" w:eastAsia="zh-CN"/>
        </w:rPr>
        <w:t>3.2.4</w:t>
      </w:r>
      <w:r>
        <w:rPr>
          <w:rFonts w:hint="eastAsia" w:asciiTheme="minorEastAsia" w:hAnsiTheme="minorEastAsia" w:eastAsiaTheme="minorEastAsia" w:cstheme="minorEastAsia"/>
          <w:b/>
          <w:bCs/>
          <w:sz w:val="24"/>
          <w:szCs w:val="24"/>
        </w:rPr>
        <w:t>利用“互联网+”技术开展内外业核查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利用“互联网+”技术，对调查初步成果开展全面核查和抽样检查。采用计算机自动比对和人机交互检查方法，对成果进行逐图斑内业比对，检查调查地类与影像及地方举证照片的一致性，对存在问题图斑开展在线举证和外业实地核查。</w:t>
      </w:r>
    </w:p>
    <w:p>
      <w:pPr>
        <w:spacing w:line="360" w:lineRule="auto"/>
        <w:outlineLvl w:val="4"/>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lang w:val="en-US" w:eastAsia="zh-CN"/>
        </w:rPr>
        <w:t>3.2.5</w:t>
      </w:r>
      <w:r>
        <w:rPr>
          <w:rFonts w:hint="eastAsia" w:asciiTheme="minorEastAsia" w:hAnsiTheme="minorEastAsia" w:eastAsiaTheme="minorEastAsia" w:cstheme="minorEastAsia"/>
          <w:b/>
          <w:bCs/>
          <w:sz w:val="24"/>
          <w:szCs w:val="24"/>
        </w:rPr>
        <w:t>基于增量更新技术开展统一时点数据更新</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按照第三次土地调查数据库标准，结合年度土地变更调查工作，获取土地调查成果统一时点变化信息，开展实地调查，形成增量更新数据，将土地利用现状调查成果时点统一更新到标准时点。</w:t>
      </w:r>
    </w:p>
    <w:p>
      <w:pPr>
        <w:spacing w:line="360" w:lineRule="auto"/>
        <w:outlineLvl w:val="4"/>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lang w:val="en-US" w:eastAsia="zh-CN"/>
        </w:rPr>
        <w:t>3.2.6</w:t>
      </w:r>
      <w:r>
        <w:rPr>
          <w:rFonts w:hint="eastAsia" w:asciiTheme="minorEastAsia" w:hAnsiTheme="minorEastAsia" w:eastAsiaTheme="minorEastAsia" w:cstheme="minorEastAsia"/>
          <w:b/>
          <w:bCs/>
          <w:sz w:val="24"/>
          <w:szCs w:val="24"/>
        </w:rPr>
        <w:t>应用大数据技术开展土地调查成果多元服务与专项分析</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利用大数据、云计算等技术，面向政府、国土资源管理部门、科研院所和社会公众等不同群体特点，优化海量数据处理效率，提供第三次土地调查成果快速共享服务；开展各类自然资源、重点城镇节约集约利用用地分析，形成第三次土地调查数据成果综合应用分析技术机制。</w:t>
      </w:r>
    </w:p>
    <w:p>
      <w:pPr>
        <w:spacing w:line="360" w:lineRule="auto"/>
        <w:outlineLvl w:val="4"/>
        <w:rPr>
          <w:rFonts w:hint="eastAsia" w:asciiTheme="minorEastAsia" w:hAnsiTheme="minorEastAsia" w:eastAsiaTheme="minorEastAsia" w:cstheme="minorEastAsia"/>
          <w:b/>
          <w:bCs/>
          <w:sz w:val="24"/>
          <w:szCs w:val="24"/>
        </w:rPr>
      </w:pPr>
      <w:bookmarkStart w:id="2" w:name="_Toc15873"/>
      <w:r>
        <w:rPr>
          <w:rFonts w:hint="eastAsia" w:asciiTheme="minorEastAsia" w:hAnsiTheme="minorEastAsia" w:eastAsiaTheme="minorEastAsia" w:cstheme="minorEastAsia"/>
          <w:b/>
          <w:bCs/>
          <w:sz w:val="24"/>
          <w:szCs w:val="24"/>
          <w:lang w:val="en-US" w:eastAsia="zh-CN"/>
        </w:rPr>
        <w:t>3.2.7</w:t>
      </w:r>
      <w:r>
        <w:rPr>
          <w:rFonts w:hint="eastAsia" w:asciiTheme="minorEastAsia" w:hAnsiTheme="minorEastAsia" w:eastAsiaTheme="minorEastAsia" w:cstheme="minorEastAsia"/>
          <w:b/>
          <w:bCs/>
          <w:sz w:val="24"/>
          <w:szCs w:val="24"/>
        </w:rPr>
        <w:t>有关要求</w:t>
      </w:r>
      <w:bookmarkEnd w:id="2"/>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第三次土地调查严格遵照国家、省、市发布的有关方案和制定的系列技术标准执行。在国家总体技术标准和工作要求控制下，结合我县实际，明确以下调查要求。</w:t>
      </w:r>
    </w:p>
    <w:p>
      <w:pPr>
        <w:spacing w:line="360" w:lineRule="auto"/>
        <w:outlineLvl w:val="9"/>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lang w:val="en-US" w:eastAsia="zh-CN"/>
        </w:rPr>
        <w:t>（1）</w:t>
      </w:r>
      <w:r>
        <w:rPr>
          <w:rFonts w:hint="eastAsia" w:asciiTheme="minorEastAsia" w:hAnsiTheme="minorEastAsia" w:eastAsiaTheme="minorEastAsia" w:cstheme="minorEastAsia"/>
          <w:b/>
          <w:bCs/>
          <w:sz w:val="24"/>
          <w:szCs w:val="24"/>
        </w:rPr>
        <w:t>关于调查精度</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涉及村庄范围外且纳入易地扶贫搬迁规划的农村住宅用地的调查图斑，统一提高调查精度，最小调查面积实地超过150平方米的需调查上图。</w:t>
      </w:r>
    </w:p>
    <w:p>
      <w:pPr>
        <w:spacing w:line="360" w:lineRule="auto"/>
        <w:outlineLvl w:val="9"/>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lang w:val="en-US" w:eastAsia="zh-CN"/>
        </w:rPr>
        <w:t>（2）</w:t>
      </w:r>
      <w:r>
        <w:rPr>
          <w:rFonts w:hint="eastAsia" w:asciiTheme="minorEastAsia" w:hAnsiTheme="minorEastAsia" w:eastAsiaTheme="minorEastAsia" w:cstheme="minorEastAsia"/>
          <w:b/>
          <w:bCs/>
          <w:sz w:val="24"/>
          <w:szCs w:val="24"/>
        </w:rPr>
        <w:t>关于调查界线及控制面积确定</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第三次土地调查控制界线由国家总体控制。负责</w:t>
      </w:r>
      <w:r>
        <w:rPr>
          <w:rFonts w:hint="eastAsia" w:asciiTheme="minorEastAsia" w:hAnsiTheme="minorEastAsia" w:eastAsiaTheme="minorEastAsia" w:cstheme="minorEastAsia"/>
          <w:sz w:val="24"/>
          <w:szCs w:val="24"/>
          <w:lang w:eastAsia="zh-CN"/>
        </w:rPr>
        <w:t>鄢陵</w:t>
      </w:r>
      <w:r>
        <w:rPr>
          <w:rFonts w:hint="eastAsia" w:asciiTheme="minorEastAsia" w:hAnsiTheme="minorEastAsia" w:eastAsiaTheme="minorEastAsia" w:cstheme="minorEastAsia"/>
          <w:sz w:val="24"/>
          <w:szCs w:val="24"/>
        </w:rPr>
        <w:t>辖区内乡（镇）以下调查界线和控制面积的制作与确定。</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原则上县级调查界线继承最新年度土地变更调查界线。调查界线如果需要调整，坚持实际需求引导、政府主导、国土和民政部门协作、调整双方协商一致原则，依据行政区域勘界成果对界线走向、界址的描述，结合实地现状，界线调整双方共同认定，经同级民政部门审核确认后，分别以向市土地调查办提出申请（经市调查办报省级），由省土地调查办报全国土地调查办批准后调整。调整前后控制面积之和必须保持一致。</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乡（镇）级调查界线调整依据县人民政府相关文件，报市土地调查办备案</w:t>
      </w:r>
    </w:p>
    <w:p>
      <w:pPr>
        <w:spacing w:line="36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依据第三次土地调查确定的坐标系、比例尺、界线调整数据以及国家下发的省级控制界线和控制面积，直接由省土地调查办组织，对年度土地变更调查界线进行坐标转换和界线更新，制作标准分幅数字化县级调查界线图，并制作全省及分县《图幅理论面积与控制面积接合图表》，计算各县级调查区域控制面积。</w:t>
      </w:r>
    </w:p>
    <w:p>
      <w:pPr>
        <w:spacing w:line="360" w:lineRule="auto"/>
        <w:outlineLvl w:val="9"/>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lang w:val="en-US" w:eastAsia="zh-CN"/>
        </w:rPr>
        <w:t>（3）</w:t>
      </w:r>
      <w:r>
        <w:rPr>
          <w:rFonts w:hint="eastAsia" w:asciiTheme="minorEastAsia" w:hAnsiTheme="minorEastAsia" w:eastAsiaTheme="minorEastAsia" w:cstheme="minorEastAsia"/>
          <w:b/>
          <w:bCs/>
          <w:sz w:val="24"/>
          <w:szCs w:val="24"/>
        </w:rPr>
        <w:t>关于调查工作底图的完善与制作</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农村土地利用现状调查，统一采用国家制作下发的DOM工作底图。在其基础上，结合相关资料和实际需要，进一步开展不一致信息细化提取工作，进一步丰富调查底图内容。</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城镇村庄内部土地利用现状调查，在省级办依据国情地理普查、数字城市、集体土地使用权调查成果制作的基础底图的基础上，充分收集</w:t>
      </w:r>
      <w:r>
        <w:rPr>
          <w:rFonts w:hint="eastAsia" w:asciiTheme="minorEastAsia" w:hAnsiTheme="minorEastAsia" w:eastAsiaTheme="minorEastAsia" w:cstheme="minorEastAsia"/>
          <w:sz w:val="24"/>
          <w:szCs w:val="24"/>
          <w:lang w:eastAsia="zh-CN"/>
        </w:rPr>
        <w:t>鄢陵</w:t>
      </w:r>
      <w:r>
        <w:rPr>
          <w:rFonts w:hint="eastAsia" w:asciiTheme="minorEastAsia" w:hAnsiTheme="minorEastAsia" w:eastAsiaTheme="minorEastAsia" w:cstheme="minorEastAsia"/>
          <w:sz w:val="24"/>
          <w:szCs w:val="24"/>
        </w:rPr>
        <w:t>县自2014年以后、优于0.2米分辨率、覆盖城镇村庄范围的已有航空遥感正射影像数据（重点收集城市规划、农村承包经营权登记发证等航空遥感成果资料）。原有0.2米分辨率的航空遥感数据不能全覆盖城镇村庄的区域，可采用优于1米分辨率的卫星数据补充。如有条件采用最新0.2米分辨率的航空遥感数据，制作正射影像图，开展城镇村庄内部土地利用现状调查。</w:t>
      </w:r>
    </w:p>
    <w:p>
      <w:pPr>
        <w:spacing w:line="360" w:lineRule="auto"/>
        <w:outlineLvl w:val="9"/>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lang w:val="en-US" w:eastAsia="zh-CN"/>
        </w:rPr>
        <w:t>（4）</w:t>
      </w:r>
      <w:r>
        <w:rPr>
          <w:rFonts w:hint="eastAsia" w:asciiTheme="minorEastAsia" w:hAnsiTheme="minorEastAsia" w:eastAsiaTheme="minorEastAsia" w:cstheme="minorEastAsia"/>
          <w:b/>
          <w:bCs/>
          <w:sz w:val="24"/>
          <w:szCs w:val="24"/>
        </w:rPr>
        <w:t>关于坡度图及耕地坡度分级确定</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按照《利用DEM确定耕地坡度分级技术规定》和全国土地调查办有关要求，由省土地调查办统一制作比例尺为1:10000的坡度图。</w:t>
      </w:r>
    </w:p>
    <w:p>
      <w:pPr>
        <w:spacing w:line="360" w:lineRule="auto"/>
        <w:outlineLvl w:val="9"/>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lang w:val="en-US" w:eastAsia="zh-CN"/>
        </w:rPr>
        <w:t>（5）</w:t>
      </w:r>
      <w:r>
        <w:rPr>
          <w:rFonts w:hint="eastAsia" w:asciiTheme="minorEastAsia" w:hAnsiTheme="minorEastAsia" w:eastAsiaTheme="minorEastAsia" w:cstheme="minorEastAsia"/>
          <w:b/>
          <w:bCs/>
          <w:sz w:val="24"/>
          <w:szCs w:val="24"/>
        </w:rPr>
        <w:t>关于田坎系数</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田坎系数继续沿用全省第二次土地调查测定的田坎系数。</w:t>
      </w:r>
    </w:p>
    <w:p>
      <w:pPr>
        <w:spacing w:line="360" w:lineRule="auto"/>
        <w:outlineLvl w:val="9"/>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lang w:val="en-US" w:eastAsia="zh-CN"/>
        </w:rPr>
        <w:t>（6）</w:t>
      </w:r>
      <w:r>
        <w:rPr>
          <w:rFonts w:hint="eastAsia" w:asciiTheme="minorEastAsia" w:hAnsiTheme="minorEastAsia" w:eastAsiaTheme="minorEastAsia" w:cstheme="minorEastAsia"/>
          <w:b/>
          <w:bCs/>
          <w:sz w:val="24"/>
          <w:szCs w:val="24"/>
        </w:rPr>
        <w:t>关于农村土地利用综合潜力调查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除完成国家统一部署的专项用地调查外，为配合全省土地利用综合改革需要，结合土地利用现状调查，以县级为单位开展农村土地利用综合潜力调查，汇总并分别建立数据库图层。</w:t>
      </w:r>
    </w:p>
    <w:p>
      <w:pPr>
        <w:spacing w:line="36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1）独立工矿复垦潜力调查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利用最新遥感影像，结合上一轮耕地后备资源调查成果中采矿用地的调查评价结果，将独立工矿用地分为正常生产经营独立工矿用地和工矿废弃地。补充调查正常生产经营独立工矿用地情况：调查权利人、用途（批准用途和实际用途）、利用情况（全部利用、部分闲置）、近期复垦意愿；补充调查工矿废弃地：权利人情况（有/无）、面积、坡度、交通便利情况等，评价是否适宜复垦，调查可复垦耕地的面积。</w:t>
      </w:r>
    </w:p>
    <w:p>
      <w:pPr>
        <w:spacing w:line="36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2）村庄整治潜力调查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以行政村为调查单元，按照第三次土地调查数据库确定的村庄范围，提取数据库中标注203的集体非建设用地和集体经营性建设用地，分别套合叠加农村集体建设用地使用权确权登记成果、乡村规划等相关资料，调查确定其空闲地范围、面积等情况，同时收集近期（2020年前）、中长期（2021-2030年）村庄建设规划，摸清村庄整治（搬迁）潜力。</w:t>
      </w:r>
    </w:p>
    <w:p>
      <w:pPr>
        <w:spacing w:line="36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3）高标准农田整治潜力调查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将已经整治备案的高标准农田范围，套合在第三次土地调查成果上，提取待整治耕地范围内的土地利用现状数据。结合土地利用总体规划和其他相关规划，调查相对集中连片、具有一定规模和整治价值的耕地图斑，摸清因历史形成未纳入耕地保护范围的园地、残次林地等适宜开发的非耕农用地和其他地类数量、分布等情况。</w:t>
      </w:r>
    </w:p>
    <w:p>
      <w:pPr>
        <w:spacing w:line="36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4）宜耕未利用地开发潜力调查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以上一轮耕地后备资源调查评价成果为基础，依据</w:t>
      </w:r>
      <w:r>
        <w:rPr>
          <w:rFonts w:hint="eastAsia" w:asciiTheme="minorEastAsia" w:hAnsiTheme="minorEastAsia" w:eastAsiaTheme="minorEastAsia" w:cstheme="minorEastAsia"/>
          <w:sz w:val="24"/>
          <w:szCs w:val="24"/>
          <w:lang w:eastAsia="zh-CN"/>
        </w:rPr>
        <w:t>鄢陵</w:t>
      </w:r>
      <w:r>
        <w:rPr>
          <w:rFonts w:hint="eastAsia" w:asciiTheme="minorEastAsia" w:hAnsiTheme="minorEastAsia" w:eastAsiaTheme="minorEastAsia" w:cstheme="minorEastAsia"/>
          <w:sz w:val="24"/>
          <w:szCs w:val="24"/>
        </w:rPr>
        <w:t>县第三次全国土地调查成果，结合土地利用总体规划、土地整治规划、生态环境保护规划等成果资料，进行数据套合比对分析，开展宜耕未利用地开发潜力调查评价更新。</w:t>
      </w:r>
    </w:p>
    <w:p>
      <w:pPr>
        <w:spacing w:line="360" w:lineRule="auto"/>
        <w:outlineLvl w:val="9"/>
        <w:rPr>
          <w:rFonts w:hint="eastAsia" w:asciiTheme="minorEastAsia" w:hAnsiTheme="minorEastAsia" w:eastAsiaTheme="minorEastAsia" w:cstheme="minorEastAsia"/>
          <w:b/>
          <w:bCs/>
          <w:sz w:val="24"/>
          <w:szCs w:val="24"/>
        </w:rPr>
      </w:pPr>
      <w:bookmarkStart w:id="3" w:name="_Toc3433"/>
      <w:r>
        <w:rPr>
          <w:rFonts w:hint="eastAsia" w:asciiTheme="minorEastAsia" w:hAnsiTheme="minorEastAsia" w:eastAsiaTheme="minorEastAsia" w:cstheme="minorEastAsia"/>
          <w:b/>
          <w:bCs/>
          <w:sz w:val="24"/>
          <w:szCs w:val="24"/>
          <w:lang w:val="en-US" w:eastAsia="zh-CN"/>
        </w:rPr>
        <w:t>（7）</w:t>
      </w:r>
      <w:r>
        <w:rPr>
          <w:rFonts w:hint="eastAsia" w:asciiTheme="minorEastAsia" w:hAnsiTheme="minorEastAsia" w:eastAsiaTheme="minorEastAsia" w:cstheme="minorEastAsia"/>
          <w:b/>
          <w:bCs/>
          <w:sz w:val="24"/>
          <w:szCs w:val="24"/>
        </w:rPr>
        <w:t>检查与核查</w:t>
      </w:r>
      <w:bookmarkEnd w:id="3"/>
    </w:p>
    <w:p>
      <w:pPr>
        <w:spacing w:line="36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调查成果初步完成后，进行全面检查。分级分阶段具体实施。其中，农村土地利用综合潜力调查成果另行组织检查。</w:t>
      </w:r>
    </w:p>
    <w:p>
      <w:pPr>
        <w:spacing w:line="360" w:lineRule="auto"/>
        <w:outlineLvl w:val="9"/>
        <w:rPr>
          <w:rFonts w:hint="eastAsia" w:asciiTheme="minorEastAsia" w:hAnsiTheme="minorEastAsia" w:eastAsiaTheme="minorEastAsia" w:cstheme="minorEastAsia"/>
          <w:b w:val="0"/>
          <w:bCs w:val="0"/>
          <w:sz w:val="24"/>
          <w:szCs w:val="24"/>
        </w:rPr>
      </w:pPr>
      <w:bookmarkStart w:id="4" w:name="_Toc442"/>
      <w:r>
        <w:rPr>
          <w:rFonts w:hint="eastAsia" w:asciiTheme="minorEastAsia" w:hAnsiTheme="minorEastAsia" w:eastAsiaTheme="minorEastAsia" w:cstheme="minorEastAsia"/>
          <w:b w:val="0"/>
          <w:bCs w:val="0"/>
          <w:sz w:val="24"/>
          <w:szCs w:val="24"/>
          <w:lang w:val="en-US" w:eastAsia="zh-CN"/>
        </w:rPr>
        <w:t>1）</w:t>
      </w:r>
      <w:r>
        <w:rPr>
          <w:rFonts w:hint="eastAsia" w:asciiTheme="minorEastAsia" w:hAnsiTheme="minorEastAsia" w:eastAsiaTheme="minorEastAsia" w:cstheme="minorEastAsia"/>
          <w:b w:val="0"/>
          <w:bCs w:val="0"/>
          <w:sz w:val="24"/>
          <w:szCs w:val="24"/>
        </w:rPr>
        <w:t>分级检查</w:t>
      </w:r>
      <w:bookmarkEnd w:id="4"/>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为保证调查成果的真实性和准确性，建立调查成果的检查制度，并严格接受国家级核查。落实调查成果的全面内业检查，100%外业实地核查。</w:t>
      </w:r>
    </w:p>
    <w:p>
      <w:pPr>
        <w:spacing w:line="360" w:lineRule="auto"/>
        <w:outlineLvl w:val="9"/>
        <w:rPr>
          <w:rFonts w:hint="eastAsia" w:asciiTheme="minorEastAsia" w:hAnsiTheme="minorEastAsia" w:eastAsiaTheme="minorEastAsia" w:cstheme="minorEastAsia"/>
          <w:b w:val="0"/>
          <w:bCs w:val="0"/>
          <w:sz w:val="24"/>
          <w:szCs w:val="24"/>
        </w:rPr>
      </w:pPr>
      <w:bookmarkStart w:id="5" w:name="_Toc8855"/>
      <w:r>
        <w:rPr>
          <w:rFonts w:hint="eastAsia" w:asciiTheme="minorEastAsia" w:hAnsiTheme="minorEastAsia" w:eastAsiaTheme="minorEastAsia" w:cstheme="minorEastAsia"/>
          <w:b w:val="0"/>
          <w:bCs w:val="0"/>
          <w:sz w:val="24"/>
          <w:szCs w:val="24"/>
          <w:lang w:val="en-US" w:eastAsia="zh-CN"/>
        </w:rPr>
        <w:t>2）</w:t>
      </w:r>
      <w:r>
        <w:rPr>
          <w:rFonts w:hint="eastAsia" w:asciiTheme="minorEastAsia" w:hAnsiTheme="minorEastAsia" w:eastAsiaTheme="minorEastAsia" w:cstheme="minorEastAsia"/>
          <w:b w:val="0"/>
          <w:bCs w:val="0"/>
          <w:sz w:val="24"/>
          <w:szCs w:val="24"/>
        </w:rPr>
        <w:t>分段检查</w:t>
      </w:r>
      <w:bookmarkEnd w:id="5"/>
    </w:p>
    <w:p>
      <w:pPr>
        <w:spacing w:line="360" w:lineRule="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w:t>
      </w:r>
      <w:r>
        <w:rPr>
          <w:rFonts w:hint="eastAsia" w:asciiTheme="minorEastAsia" w:hAnsiTheme="minorEastAsia" w:eastAsia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rPr>
        <w:t>调查阶段包括：底图制作与完善、实地调查举证、数据库建设、成果汇总等。落实作业人员互检、调查负责人专检、监理人员随检，底图制作与完善经标的监理单位和市级检查合格后，可转入下一阶段。其余阶段调查成果需经市土地调查办核查通过后，方可转入下一阶段。</w:t>
      </w:r>
    </w:p>
    <w:p>
      <w:pPr>
        <w:spacing w:line="360" w:lineRule="auto"/>
        <w:outlineLvl w:val="9"/>
        <w:rPr>
          <w:rFonts w:hint="eastAsia" w:asciiTheme="minorEastAsia" w:hAnsiTheme="minorEastAsia" w:eastAsiaTheme="minorEastAsia" w:cstheme="minorEastAsia"/>
          <w:b w:val="0"/>
          <w:bCs w:val="0"/>
          <w:sz w:val="24"/>
          <w:szCs w:val="24"/>
        </w:rPr>
      </w:pPr>
      <w:bookmarkStart w:id="6" w:name="_Toc5695"/>
      <w:r>
        <w:rPr>
          <w:rFonts w:hint="eastAsia" w:asciiTheme="minorEastAsia" w:hAnsiTheme="minorEastAsia" w:eastAsiaTheme="minorEastAsia" w:cstheme="minorEastAsia"/>
          <w:b w:val="0"/>
          <w:bCs w:val="0"/>
          <w:sz w:val="24"/>
          <w:szCs w:val="24"/>
          <w:lang w:val="en-US" w:eastAsia="zh-CN"/>
        </w:rPr>
        <w:t>3）</w:t>
      </w:r>
      <w:r>
        <w:rPr>
          <w:rFonts w:hint="eastAsia" w:asciiTheme="minorEastAsia" w:hAnsiTheme="minorEastAsia" w:eastAsiaTheme="minorEastAsia" w:cstheme="minorEastAsia"/>
          <w:b w:val="0"/>
          <w:bCs w:val="0"/>
          <w:sz w:val="24"/>
          <w:szCs w:val="24"/>
        </w:rPr>
        <w:t>整改要求</w:t>
      </w:r>
      <w:bookmarkEnd w:id="6"/>
    </w:p>
    <w:p>
      <w:pPr>
        <w:spacing w:line="360" w:lineRule="auto"/>
        <w:ind w:firstLine="480" w:firstLineChars="200"/>
        <w:rPr>
          <w:rFonts w:hint="eastAsia" w:asciiTheme="minorEastAsia" w:hAnsiTheme="minorEastAsia" w:eastAsiaTheme="minorEastAsia" w:cstheme="minorEastAsia"/>
          <w:b/>
          <w:bCs/>
          <w:color w:val="auto"/>
          <w:sz w:val="28"/>
          <w:szCs w:val="28"/>
          <w:highlight w:val="none"/>
          <w:lang w:val="en-US" w:eastAsia="zh-CN"/>
        </w:rPr>
      </w:pPr>
      <w:r>
        <w:rPr>
          <w:rFonts w:hint="eastAsia" w:asciiTheme="minorEastAsia" w:hAnsiTheme="minorEastAsia" w:eastAsiaTheme="minorEastAsia" w:cstheme="minorEastAsia"/>
          <w:sz w:val="24"/>
          <w:szCs w:val="24"/>
        </w:rPr>
        <w:t>根据检查和分段检查结果组织成果全面整改，编写检查及整改报告，报上一级检查和汇总。对国家级内业核查发现的问题，务必于在10日内完成复核调查、数据整改、整改后成果检查并上报整改成果。</w:t>
      </w:r>
    </w:p>
    <w:p>
      <w:pPr>
        <w:pStyle w:val="3"/>
        <w:widowControl w:val="0"/>
        <w:numPr>
          <w:ilvl w:val="0"/>
          <w:numId w:val="0"/>
        </w:numPr>
        <w:snapToGrid w:val="0"/>
        <w:spacing w:line="360" w:lineRule="auto"/>
        <w:jc w:val="both"/>
        <w:outlineLvl w:val="2"/>
        <w:rPr>
          <w:rFonts w:hint="eastAsia" w:asciiTheme="minorEastAsia" w:hAnsiTheme="minorEastAsia" w:eastAsiaTheme="minorEastAsia" w:cstheme="minorEastAsia"/>
          <w:b/>
          <w:bCs/>
          <w:color w:val="auto"/>
          <w:sz w:val="28"/>
          <w:szCs w:val="28"/>
          <w:highlight w:val="none"/>
          <w:lang w:val="en-US" w:eastAsia="zh-CN"/>
        </w:rPr>
      </w:pPr>
      <w:bookmarkStart w:id="7" w:name="_Toc280"/>
      <w:r>
        <w:rPr>
          <w:rFonts w:hint="eastAsia" w:asciiTheme="minorEastAsia" w:hAnsiTheme="minorEastAsia" w:eastAsiaTheme="minorEastAsia" w:cstheme="minorEastAsia"/>
          <w:b/>
          <w:bCs/>
          <w:color w:val="auto"/>
          <w:sz w:val="28"/>
          <w:szCs w:val="28"/>
          <w:highlight w:val="none"/>
          <w:lang w:val="en-US" w:eastAsia="zh-CN"/>
        </w:rPr>
        <w:t>3.3技术流程</w:t>
      </w:r>
      <w:bookmarkEnd w:id="7"/>
    </w:p>
    <w:p>
      <w:pPr>
        <w:pStyle w:val="3"/>
        <w:numPr>
          <w:ilvl w:val="0"/>
          <w:numId w:val="0"/>
        </w:numPr>
        <w:spacing w:line="360" w:lineRule="auto"/>
        <w:outlineLvl w:val="3"/>
        <w:rPr>
          <w:rFonts w:hint="eastAsia" w:asciiTheme="minorEastAsia" w:hAnsiTheme="minorEastAsia" w:eastAsiaTheme="minorEastAsia" w:cstheme="minorEastAsia"/>
          <w:b/>
          <w:bCs/>
          <w:sz w:val="24"/>
          <w:szCs w:val="24"/>
          <w:lang w:val="en-US" w:eastAsia="zh-CN"/>
        </w:rPr>
      </w:pPr>
      <w:bookmarkStart w:id="8" w:name="_Toc30334"/>
      <w:bookmarkStart w:id="9" w:name="_Toc9511"/>
      <w:bookmarkStart w:id="10" w:name="_Toc9698"/>
      <w:r>
        <w:rPr>
          <w:rFonts w:hint="eastAsia" w:asciiTheme="minorEastAsia" w:hAnsiTheme="minorEastAsia" w:eastAsiaTheme="minorEastAsia" w:cstheme="minorEastAsia"/>
          <w:b/>
          <w:bCs/>
          <w:sz w:val="24"/>
          <w:szCs w:val="24"/>
          <w:lang w:val="en-US" w:eastAsia="zh-CN"/>
        </w:rPr>
        <w:t>3.3.1技术方案</w:t>
      </w:r>
      <w:bookmarkEnd w:id="8"/>
      <w:bookmarkEnd w:id="9"/>
      <w:bookmarkEnd w:id="10"/>
    </w:p>
    <w:p>
      <w:pPr>
        <w:pStyle w:val="5"/>
        <w:spacing w:line="360" w:lineRule="auto"/>
        <w:ind w:firstLine="602"/>
        <w:outlineLvl w:val="4"/>
        <w:rPr>
          <w:rFonts w:hint="eastAsia" w:asciiTheme="minorEastAsia" w:hAnsiTheme="minorEastAsia" w:eastAsiaTheme="minorEastAsia" w:cstheme="minorEastAsia"/>
          <w:sz w:val="24"/>
          <w:szCs w:val="24"/>
        </w:rPr>
      </w:pPr>
      <w:bookmarkStart w:id="11" w:name="_Toc522794964"/>
      <w:bookmarkStart w:id="12" w:name="_Toc507256697"/>
      <w:bookmarkStart w:id="13" w:name="_Toc524979659"/>
      <w:bookmarkStart w:id="14" w:name="_Toc508966676"/>
      <w:bookmarkStart w:id="15" w:name="_Toc1581"/>
      <w:bookmarkStart w:id="16" w:name="_Toc516510627"/>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rPr>
        <w:t>不一致图斑分析及核实</w:t>
      </w:r>
      <w:bookmarkEnd w:id="11"/>
      <w:bookmarkEnd w:id="12"/>
      <w:bookmarkEnd w:id="13"/>
      <w:bookmarkEnd w:id="14"/>
      <w:bookmarkEnd w:id="15"/>
      <w:bookmarkEnd w:id="16"/>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为保障国家控制调查成果的需求，全国土地调查办组织开展农村土地调查数据库不一致信息提取工作。利用最新的遥感影像套合全国土地调查数据库，按照土地利用现状分类标准，逐图斑对比分析数据库地类与最新高分辨率DOM地物特征的一致性，根据对比核查结果，依据影像特征勾绘图斑边界，提取不一致图斑。同时，根据数据库地类和影像特征，内业判断该图斑土地利用类型；对于影像特征无法明确判断土地利用类型的，提供与影像特征可能对应的2种土地利用类型选项。</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农村土地调查数据库不一致信息提取工作完成后，国家统一将不一致图斑下发地方，为下一步细化调查提供依据。</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在全国土地调查办制作的调查底图的基础上，</w:t>
      </w:r>
      <w:r>
        <w:rPr>
          <w:rFonts w:hint="eastAsia" w:asciiTheme="minorEastAsia" w:hAnsiTheme="minorEastAsia" w:eastAsiaTheme="minorEastAsia" w:cstheme="minorEastAsia"/>
          <w:sz w:val="24"/>
          <w:szCs w:val="24"/>
          <w:shd w:val="clear" w:color="auto" w:fill="FFFFFF"/>
          <w:lang w:eastAsia="zh-CN"/>
        </w:rPr>
        <w:t>鄢陵县</w:t>
      </w:r>
      <w:r>
        <w:rPr>
          <w:rFonts w:hint="eastAsia" w:asciiTheme="minorEastAsia" w:hAnsiTheme="minorEastAsia" w:eastAsiaTheme="minorEastAsia" w:cstheme="minorEastAsia"/>
          <w:sz w:val="24"/>
          <w:szCs w:val="24"/>
          <w:shd w:val="clear" w:color="auto" w:fill="FFFFFF"/>
        </w:rPr>
        <w:t>土地调查办公室可结合相关资料和工作需要，进一步开展不一致信息细化提取工作，丰富调查底图内容。</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7" w:name="_Toc508966677"/>
      <w:bookmarkStart w:id="18" w:name="_Toc507256698"/>
      <w:r>
        <w:rPr>
          <w:rFonts w:hint="eastAsia" w:asciiTheme="minorEastAsia" w:hAnsiTheme="minorEastAsia" w:eastAsiaTheme="minorEastAsia" w:cstheme="minorEastAsia"/>
          <w:b/>
          <w:sz w:val="24"/>
          <w:szCs w:val="24"/>
          <w:shd w:val="clear" w:color="auto" w:fill="FFFFFF"/>
        </w:rPr>
        <w:t xml:space="preserve"> 资料数据收集</w:t>
      </w:r>
      <w:bookmarkEnd w:id="17"/>
      <w:bookmarkEnd w:id="18"/>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接收国家下发的不一致图斑、偏移图斑、在建图斑等数据，收集最新遥感影像数据，最新土地利用现状数据库、基本农田划定成果、监管平台数据、城镇地籍、不动产宗地数据等。</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9" w:name="_Toc508966678"/>
      <w:bookmarkStart w:id="20" w:name="_Toc507256699"/>
      <w:r>
        <w:rPr>
          <w:rFonts w:hint="eastAsia" w:asciiTheme="minorEastAsia" w:hAnsiTheme="minorEastAsia" w:eastAsiaTheme="minorEastAsia" w:cstheme="minorEastAsia"/>
          <w:b/>
          <w:sz w:val="24"/>
          <w:szCs w:val="24"/>
          <w:shd w:val="clear" w:color="auto" w:fill="FFFFFF"/>
        </w:rPr>
        <w:t xml:space="preserve"> 数据预处理</w:t>
      </w:r>
      <w:bookmarkEnd w:id="19"/>
      <w:bookmarkEnd w:id="20"/>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将收集的基础数据及国家下发数据进行整理及处理，按照内业处理要求，对数据的坐标系、投影方式及格式进行转换。</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将城镇地籍数据、不动产登记数据等资料进行整理与落图，提取城镇规划范围及各功能区数据，将国家下发的不一致图斑进行初步分析，按照影像纹理将图斑分割为多个部分，对数据的属性、格式等进行处理与转换，将数据加载到外业调绘设备中。</w:t>
      </w:r>
    </w:p>
    <w:p>
      <w:pPr>
        <w:spacing w:line="360" w:lineRule="auto"/>
        <w:ind w:firstLine="480" w:firstLineChars="200"/>
        <w:jc w:val="center"/>
        <w:rPr>
          <w:rFonts w:hint="eastAsia" w:asciiTheme="minorEastAsia" w:hAnsiTheme="minorEastAsia" w:eastAsiaTheme="minorEastAsia" w:cstheme="minorEastAsia"/>
          <w:spacing w:val="8"/>
          <w:sz w:val="24"/>
          <w:szCs w:val="24"/>
        </w:rPr>
      </w:pPr>
      <w:r>
        <w:rPr>
          <w:rFonts w:hint="eastAsia" w:asciiTheme="minorEastAsia" w:hAnsiTheme="minorEastAsia" w:eastAsiaTheme="minorEastAsia" w:cstheme="minorEastAsia"/>
          <w:sz w:val="24"/>
          <w:szCs w:val="24"/>
        </w:rPr>
        <w:drawing>
          <wp:inline distT="0" distB="0" distL="114300" distR="114300">
            <wp:extent cx="3124200" cy="3022600"/>
            <wp:effectExtent l="0" t="0" r="0" b="6350"/>
            <wp:docPr id="306"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图片 139"/>
                    <pic:cNvPicPr>
                      <a:picLocks noChangeAspect="1"/>
                    </pic:cNvPicPr>
                  </pic:nvPicPr>
                  <pic:blipFill>
                    <a:blip r:embed="rId5"/>
                    <a:stretch>
                      <a:fillRect/>
                    </a:stretch>
                  </pic:blipFill>
                  <pic:spPr>
                    <a:xfrm>
                      <a:off x="0" y="0"/>
                      <a:ext cx="3124200" cy="3022600"/>
                    </a:xfrm>
                    <a:prstGeom prst="rect">
                      <a:avLst/>
                    </a:prstGeom>
                    <a:noFill/>
                    <a:ln w="9525">
                      <a:noFill/>
                    </a:ln>
                  </pic:spPr>
                </pic:pic>
              </a:graphicData>
            </a:graphic>
          </wp:inline>
        </w:drawing>
      </w:r>
    </w:p>
    <w:p>
      <w:pPr>
        <w:spacing w:line="360" w:lineRule="auto"/>
        <w:ind w:firstLine="514" w:firstLineChars="200"/>
        <w:jc w:val="center"/>
        <w:rPr>
          <w:rFonts w:hint="eastAsia" w:asciiTheme="minorEastAsia" w:hAnsiTheme="minorEastAsia" w:eastAsiaTheme="minorEastAsia" w:cstheme="minorEastAsia"/>
          <w:b/>
          <w:spacing w:val="8"/>
          <w:sz w:val="24"/>
          <w:szCs w:val="24"/>
        </w:rPr>
      </w:pPr>
      <w:r>
        <w:rPr>
          <w:rFonts w:hint="eastAsia" w:asciiTheme="minorEastAsia" w:hAnsiTheme="minorEastAsia" w:eastAsiaTheme="minorEastAsia" w:cstheme="minorEastAsia"/>
          <w:b/>
          <w:spacing w:val="8"/>
          <w:sz w:val="24"/>
          <w:szCs w:val="24"/>
        </w:rPr>
        <w:t>不一致图斑处理</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rPr>
      </w:pPr>
      <w:bookmarkStart w:id="21" w:name="_Toc508966679"/>
      <w:bookmarkStart w:id="22" w:name="_Toc507256700"/>
      <w:r>
        <w:rPr>
          <w:rFonts w:hint="eastAsia" w:asciiTheme="minorEastAsia" w:hAnsiTheme="minorEastAsia" w:eastAsiaTheme="minorEastAsia" w:cstheme="minorEastAsia"/>
          <w:b/>
          <w:sz w:val="24"/>
          <w:szCs w:val="24"/>
          <w:shd w:val="clear" w:color="auto" w:fill="FFFFFF"/>
        </w:rPr>
        <w:t>拍摄解译样本库</w:t>
      </w:r>
      <w:bookmarkEnd w:id="21"/>
      <w:bookmarkEnd w:id="22"/>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外业利用调绘软件实地拍摄各个地类解译样本，解译样本要求实地照片清晰，方位角、距离符合解译样本要求，最后制作可供内业判读地类的解译样本库。</w:t>
      </w:r>
    </w:p>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3214370" cy="1085215"/>
            <wp:effectExtent l="0" t="0" r="5080" b="635"/>
            <wp:docPr id="305" name="图片 140" descr="C:\Users\Administrator\AppData\Roaming\feiq\RichOle\328363877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 name="图片 140" descr="C:\Users\Administrator\AppData\Roaming\feiq\RichOle\3283638779.bmp"/>
                    <pic:cNvPicPr>
                      <a:picLocks noChangeAspect="1"/>
                    </pic:cNvPicPr>
                  </pic:nvPicPr>
                  <pic:blipFill>
                    <a:blip r:embed="rId6"/>
                    <a:stretch>
                      <a:fillRect/>
                    </a:stretch>
                  </pic:blipFill>
                  <pic:spPr>
                    <a:xfrm>
                      <a:off x="0" y="0"/>
                      <a:ext cx="3214370" cy="1085215"/>
                    </a:xfrm>
                    <a:prstGeom prst="rect">
                      <a:avLst/>
                    </a:prstGeom>
                    <a:noFill/>
                    <a:ln w="9525">
                      <a:noFill/>
                    </a:ln>
                  </pic:spPr>
                </pic:pic>
              </a:graphicData>
            </a:graphic>
          </wp:inline>
        </w:drawing>
      </w:r>
    </w:p>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2113915" cy="2889885"/>
            <wp:effectExtent l="0" t="0" r="635" b="5715"/>
            <wp:docPr id="303" name="图片 141" descr="C:\Users\Administrator\Desktop\SMPDATA\PHOTO\PH2017070308580910723413745383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 name="图片 141" descr="C:\Users\Administrator\Desktop\SMPDATA\PHOTO\PH201707030858091072341374538319.jpg"/>
                    <pic:cNvPicPr>
                      <a:picLocks noChangeAspect="1"/>
                    </pic:cNvPicPr>
                  </pic:nvPicPr>
                  <pic:blipFill>
                    <a:blip r:embed="rId7"/>
                    <a:stretch>
                      <a:fillRect/>
                    </a:stretch>
                  </pic:blipFill>
                  <pic:spPr>
                    <a:xfrm>
                      <a:off x="0" y="0"/>
                      <a:ext cx="2113915" cy="2889885"/>
                    </a:xfrm>
                    <a:prstGeom prst="rect">
                      <a:avLst/>
                    </a:prstGeom>
                    <a:noFill/>
                    <a:ln w="9525">
                      <a:noFill/>
                    </a:ln>
                  </pic:spPr>
                </pic:pic>
              </a:graphicData>
            </a:graphic>
          </wp:inline>
        </w:drawing>
      </w:r>
    </w:p>
    <w:p>
      <w:pPr>
        <w:spacing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建立解译样本库</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23" w:name="_Toc508966680"/>
      <w:bookmarkStart w:id="24" w:name="_Toc507256701"/>
      <w:r>
        <w:rPr>
          <w:rFonts w:hint="eastAsia" w:asciiTheme="minorEastAsia" w:hAnsiTheme="minorEastAsia" w:eastAsiaTheme="minorEastAsia" w:cstheme="minorEastAsia"/>
          <w:b/>
          <w:sz w:val="24"/>
          <w:szCs w:val="24"/>
          <w:shd w:val="clear" w:color="auto" w:fill="FFFFFF"/>
        </w:rPr>
        <w:t>内业提取自主变更图斑</w:t>
      </w:r>
      <w:bookmarkEnd w:id="23"/>
      <w:bookmarkEnd w:id="24"/>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内业将最新的遥感影像数据与最新的土地利用现状数据库对比，根据本区域地物特点、影像质量等情况综合分析，提取国家下发不一致图斑之外的自主变更图斑。</w:t>
      </w:r>
    </w:p>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3241040" cy="3550285"/>
            <wp:effectExtent l="0" t="0" r="16510" b="12065"/>
            <wp:docPr id="304" name="图片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图片 143"/>
                    <pic:cNvPicPr>
                      <a:picLocks noChangeAspect="1"/>
                    </pic:cNvPicPr>
                  </pic:nvPicPr>
                  <pic:blipFill>
                    <a:blip r:embed="rId8"/>
                    <a:stretch>
                      <a:fillRect/>
                    </a:stretch>
                  </pic:blipFill>
                  <pic:spPr>
                    <a:xfrm>
                      <a:off x="0" y="0"/>
                      <a:ext cx="3241040" cy="3550285"/>
                    </a:xfrm>
                    <a:prstGeom prst="rect">
                      <a:avLst/>
                    </a:prstGeom>
                    <a:noFill/>
                    <a:ln w="9525">
                      <a:noFill/>
                    </a:ln>
                  </pic:spPr>
                </pic:pic>
              </a:graphicData>
            </a:graphic>
          </wp:inline>
        </w:drawing>
      </w:r>
    </w:p>
    <w:p>
      <w:pPr>
        <w:spacing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 xml:space="preserve"> 自主变更图斑提取</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25" w:name="_Toc507256702"/>
      <w:bookmarkStart w:id="26" w:name="_Toc508966681"/>
      <w:r>
        <w:rPr>
          <w:rFonts w:hint="eastAsia" w:asciiTheme="minorEastAsia" w:hAnsiTheme="minorEastAsia" w:eastAsiaTheme="minorEastAsia" w:cstheme="minorEastAsia"/>
          <w:b/>
          <w:sz w:val="24"/>
          <w:szCs w:val="24"/>
          <w:shd w:val="clear" w:color="auto" w:fill="FFFFFF"/>
        </w:rPr>
        <w:t>工作底图制作</w:t>
      </w:r>
      <w:bookmarkEnd w:id="25"/>
      <w:bookmarkEnd w:id="26"/>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以下发的遥感影像为底图，叠加地类图斑、基本农田、线状地物等基础数据，叠加国家下发的不一致图斑、偏移图斑、在建图斑，以及自主提取的不一致图斑等数据，制作外业调查底图，并根据工作底图内容制作外业调查表。</w:t>
      </w:r>
    </w:p>
    <w:p>
      <w:pPr>
        <w:spacing w:before="156" w:beforeLines="50" w:after="156" w:afterLines="50"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object>
          <v:shape id="_x0000_i1025" o:spt="75" type="#_x0000_t75" style="height:307.75pt;width:416.3pt;" o:ole="t" filled="f" o:preferrelative="t" stroked="f" coordsize="21600,21600">
            <v:path/>
            <v:fill on="f" focussize="0,0"/>
            <v:stroke on="f"/>
            <v:imagedata r:id="rId10" o:title=""/>
            <o:lock v:ext="edit" aspectratio="t"/>
            <w10:wrap type="none"/>
            <w10:anchorlock/>
          </v:shape>
          <o:OLEObject Type="Embed" ProgID="Visio.Drawing.11" ShapeID="_x0000_i1025" DrawAspect="Content" ObjectID="_1468075725" r:id="rId9">
            <o:LockedField>false</o:LockedField>
          </o:OLEObject>
        </w:object>
      </w:r>
    </w:p>
    <w:p>
      <w:pPr>
        <w:spacing w:before="156" w:beforeLines="50" w:after="156" w:afterLines="50"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外业工作底图制作流程</w:t>
      </w:r>
    </w:p>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4410075" cy="2997200"/>
            <wp:effectExtent l="0" t="0" r="9525" b="12700"/>
            <wp:docPr id="302"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图片 145"/>
                    <pic:cNvPicPr>
                      <a:picLocks noChangeAspect="1"/>
                    </pic:cNvPicPr>
                  </pic:nvPicPr>
                  <pic:blipFill>
                    <a:blip r:embed="rId11"/>
                    <a:stretch>
                      <a:fillRect/>
                    </a:stretch>
                  </pic:blipFill>
                  <pic:spPr>
                    <a:xfrm>
                      <a:off x="0" y="0"/>
                      <a:ext cx="4410075" cy="2997200"/>
                    </a:xfrm>
                    <a:prstGeom prst="rect">
                      <a:avLst/>
                    </a:prstGeom>
                    <a:noFill/>
                    <a:ln w="9525">
                      <a:noFill/>
                    </a:ln>
                  </pic:spPr>
                </pic:pic>
              </a:graphicData>
            </a:graphic>
          </wp:inline>
        </w:drawing>
      </w:r>
    </w:p>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b/>
          <w:sz w:val="24"/>
          <w:szCs w:val="24"/>
        </w:rPr>
        <w:t>外业工作底图制作</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27" w:name="_Toc508966682"/>
      <w:bookmarkStart w:id="28" w:name="_Toc507256703"/>
      <w:r>
        <w:rPr>
          <w:rFonts w:hint="eastAsia" w:asciiTheme="minorEastAsia" w:hAnsiTheme="minorEastAsia" w:eastAsiaTheme="minorEastAsia" w:cstheme="minorEastAsia"/>
          <w:b/>
          <w:sz w:val="24"/>
          <w:szCs w:val="24"/>
          <w:shd w:val="clear" w:color="auto" w:fill="FFFFFF"/>
        </w:rPr>
        <w:t xml:space="preserve"> 不一致图斑分析核实</w:t>
      </w:r>
      <w:bookmarkEnd w:id="27"/>
      <w:bookmarkEnd w:id="28"/>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对国家提取的不一致图斑进行分析核实，重点核实图斑与实地地类、范围是否一致；与实地一致的图斑，可直接用于调查；不一致的需核实其地类及范围。</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核实采用内、外业相结合的方式，内业采用已有资料及室内影像判读分析图斑的一致性；外业采用实地调查的方法，利用外业调查软件，实地采集图斑的地类及范围情况。</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29" w:name="_Toc508966683"/>
      <w:bookmarkStart w:id="30" w:name="_Toc507256704"/>
      <w:r>
        <w:rPr>
          <w:rFonts w:hint="eastAsia" w:asciiTheme="minorEastAsia" w:hAnsiTheme="minorEastAsia" w:eastAsiaTheme="minorEastAsia" w:cstheme="minorEastAsia"/>
          <w:b/>
          <w:sz w:val="24"/>
          <w:szCs w:val="24"/>
          <w:shd w:val="clear" w:color="auto" w:fill="FFFFFF"/>
        </w:rPr>
        <w:t xml:space="preserve"> 内业核实</w:t>
      </w:r>
      <w:bookmarkEnd w:id="29"/>
      <w:bookmarkEnd w:id="30"/>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分析核实的重点</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分析核实的重点类型包括：耕地不一致图斑、园、林、草不一致图斑、非线性建设用地不一致图斑、线性建设用地不一致图斑、水域不一致图斑、其他土地不一致图斑等。</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耕地不一致图斑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数据库为耕地，影像呈现出规则成排果园、茶园的特征或者影像有明显树冠、高阴影等林木特征，分布较为集中、密集，此类图斑按照影像特征边界提取不一致图斑。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如下图，影像存在乔木特征，高度小于林地，排列整齐，内部有简易看护房，影像判读为园地。</w:t>
      </w:r>
    </w:p>
    <w:p>
      <w:pPr>
        <w:spacing w:before="156" w:beforeLines="50" w:after="156" w:afterLines="50"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2427605" cy="1836420"/>
            <wp:effectExtent l="0" t="0" r="10795" b="11430"/>
            <wp:docPr id="308" name="图片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图片 146"/>
                    <pic:cNvPicPr>
                      <a:picLocks noChangeAspect="1"/>
                    </pic:cNvPicPr>
                  </pic:nvPicPr>
                  <pic:blipFill>
                    <a:blip r:embed="rId12"/>
                    <a:stretch>
                      <a:fillRect/>
                    </a:stretch>
                  </pic:blipFill>
                  <pic:spPr>
                    <a:xfrm>
                      <a:off x="0" y="0"/>
                      <a:ext cx="2427605" cy="1836420"/>
                    </a:xfrm>
                    <a:prstGeom prst="rect">
                      <a:avLst/>
                    </a:prstGeom>
                    <a:noFill/>
                    <a:ln w="9525">
                      <a:noFill/>
                    </a:ln>
                  </pic:spPr>
                </pic:pic>
              </a:graphicData>
            </a:graphic>
          </wp:inline>
        </w:drawing>
      </w:r>
      <w:r>
        <w:rPr>
          <w:rFonts w:hint="eastAsia" w:asciiTheme="minorEastAsia" w:hAnsiTheme="minorEastAsia" w:eastAsiaTheme="minorEastAsia" w:cstheme="minorEastAsia"/>
          <w:sz w:val="24"/>
          <w:szCs w:val="24"/>
        </w:rPr>
        <w:drawing>
          <wp:inline distT="0" distB="0" distL="114300" distR="114300">
            <wp:extent cx="2475230" cy="1871980"/>
            <wp:effectExtent l="0" t="0" r="1270" b="13970"/>
            <wp:docPr id="309" name="图片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 name="图片 147"/>
                    <pic:cNvPicPr>
                      <a:picLocks noChangeAspect="1"/>
                    </pic:cNvPicPr>
                  </pic:nvPicPr>
                  <pic:blipFill>
                    <a:blip r:embed="rId13"/>
                    <a:stretch>
                      <a:fillRect/>
                    </a:stretch>
                  </pic:blipFill>
                  <pic:spPr>
                    <a:xfrm>
                      <a:off x="0" y="0"/>
                      <a:ext cx="2475230" cy="1871980"/>
                    </a:xfrm>
                    <a:prstGeom prst="rect">
                      <a:avLst/>
                    </a:prstGeom>
                    <a:noFill/>
                    <a:ln w="9525">
                      <a:noFill/>
                    </a:ln>
                  </pic:spPr>
                </pic:pic>
              </a:graphicData>
            </a:graphic>
          </wp:inline>
        </w:drawing>
      </w:r>
    </w:p>
    <w:p>
      <w:pPr>
        <w:spacing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提取前提取后</w:t>
      </w:r>
    </w:p>
    <w:p>
      <w:pPr>
        <w:spacing w:before="156" w:beforeLines="50" w:after="156" w:afterLines="50" w:line="360" w:lineRule="auto"/>
        <w:ind w:firstLine="482" w:firstLineChars="200"/>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耕地不一致图斑提取对比图</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园、林、草不一致图斑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在影像上园、林、草提取为耕地的不一致图斑，或园、林、草之间的不一致图斑。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例如，该图斑多位于村庄周边，数据库地类为其他林地（033），影像存在园地、建筑和动土特征，判读为初步开垦的茶园，整体勾绘园地范围为02类不一致图斑，其中的动土、建筑都达到上图面积，分别提取为DT类和JZ类。</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rPr>
        <w:drawing>
          <wp:inline distT="0" distB="0" distL="114300" distR="114300">
            <wp:extent cx="2600960" cy="1966595"/>
            <wp:effectExtent l="0" t="0" r="8890" b="14605"/>
            <wp:docPr id="310" name="图片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图片 148"/>
                    <pic:cNvPicPr>
                      <a:picLocks noChangeAspect="1"/>
                    </pic:cNvPicPr>
                  </pic:nvPicPr>
                  <pic:blipFill>
                    <a:blip r:embed="rId14"/>
                    <a:stretch>
                      <a:fillRect/>
                    </a:stretch>
                  </pic:blipFill>
                  <pic:spPr>
                    <a:xfrm>
                      <a:off x="0" y="0"/>
                      <a:ext cx="2600960" cy="1966595"/>
                    </a:xfrm>
                    <a:prstGeom prst="rect">
                      <a:avLst/>
                    </a:prstGeom>
                    <a:noFill/>
                    <a:ln w="9525">
                      <a:noFill/>
                    </a:ln>
                  </pic:spPr>
                </pic:pic>
              </a:graphicData>
            </a:graphic>
          </wp:inline>
        </w:drawing>
      </w:r>
      <w:r>
        <w:rPr>
          <w:rFonts w:hint="eastAsia" w:asciiTheme="minorEastAsia" w:hAnsiTheme="minorEastAsia" w:eastAsiaTheme="minorEastAsia" w:cstheme="minorEastAsia"/>
          <w:sz w:val="24"/>
          <w:szCs w:val="24"/>
        </w:rPr>
        <w:drawing>
          <wp:inline distT="0" distB="0" distL="114300" distR="114300">
            <wp:extent cx="2539365" cy="1918970"/>
            <wp:effectExtent l="0" t="0" r="13335" b="5080"/>
            <wp:docPr id="314" name="图片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图片 149"/>
                    <pic:cNvPicPr>
                      <a:picLocks noChangeAspect="1"/>
                    </pic:cNvPicPr>
                  </pic:nvPicPr>
                  <pic:blipFill>
                    <a:blip r:embed="rId15"/>
                    <a:stretch>
                      <a:fillRect/>
                    </a:stretch>
                  </pic:blipFill>
                  <pic:spPr>
                    <a:xfrm>
                      <a:off x="0" y="0"/>
                      <a:ext cx="2539365" cy="1918970"/>
                    </a:xfrm>
                    <a:prstGeom prst="rect">
                      <a:avLst/>
                    </a:prstGeom>
                    <a:noFill/>
                    <a:ln w="9525">
                      <a:noFill/>
                    </a:ln>
                  </pic:spPr>
                </pic:pic>
              </a:graphicData>
            </a:graphic>
          </wp:inline>
        </w:drawing>
      </w:r>
    </w:p>
    <w:p>
      <w:pPr>
        <w:spacing w:after="156" w:afterLines="50"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提取前提取后</w:t>
      </w:r>
    </w:p>
    <w:p>
      <w:pPr>
        <w:spacing w:before="156" w:beforeLines="50" w:after="156" w:afterLines="50"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园、林、草不一致图斑提取前后对比图</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非线性建设用地不一致图斑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数据库为非线性建设用地的地类包括城市、建制镇、村庄、采矿用地、风景名胜及特殊用地、机场用地、港口码头用地、水工建筑用地（其中的闸、坝、水电厂房等为面状建筑用地），影像为耕园林草及水域、推填土和堆土等，提取的不一致信息。</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例如，数据库地类为村庄（203），影像判读该图斑范围内存在与周边耕地的影像特征色调不一致情况，但表面平整规则，此类位于农村周边的规整地块，根据其形状与纹理，提取为01类不一致图斑。</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rPr>
        <w:drawing>
          <wp:inline distT="0" distB="0" distL="114300" distR="114300">
            <wp:extent cx="5272405" cy="1946275"/>
            <wp:effectExtent l="0" t="0" r="4445" b="15875"/>
            <wp:docPr id="316" name="图片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图片 150"/>
                    <pic:cNvPicPr>
                      <a:picLocks noChangeAspect="1"/>
                    </pic:cNvPicPr>
                  </pic:nvPicPr>
                  <pic:blipFill>
                    <a:blip r:embed="rId16"/>
                    <a:stretch>
                      <a:fillRect/>
                    </a:stretch>
                  </pic:blipFill>
                  <pic:spPr>
                    <a:xfrm>
                      <a:off x="0" y="0"/>
                      <a:ext cx="5272405" cy="1946275"/>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提取前提取后</w:t>
      </w:r>
    </w:p>
    <w:p>
      <w:pPr>
        <w:spacing w:before="156" w:beforeLines="50" w:after="156" w:afterLines="50"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 xml:space="preserve"> 非线性建设用地不一致图斑提取前后对比图</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线性建设用地不一致图斑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线性建设用地是指具有线性特征的建设用地类型，包含铁路用地（101）、公路用地（102）和管道运输用地（107），提取的不一致信息。</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例如，该图斑位于平原地区村庄周边，数据库地类为林地（031），影像判读该区域存在新增公路用地（1003），按照公路的边界整体勾绘，提取为1003类不一致图斑。</w:t>
      </w:r>
    </w:p>
    <w:p>
      <w:pPr>
        <w:spacing w:before="156" w:beforeLines="50" w:after="156" w:afterLines="50" w:line="360" w:lineRule="auto"/>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rPr>
        <w:drawing>
          <wp:inline distT="0" distB="0" distL="114300" distR="114300">
            <wp:extent cx="5275580" cy="1998345"/>
            <wp:effectExtent l="0" t="0" r="1270" b="1905"/>
            <wp:docPr id="328" name="图片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图片 151"/>
                    <pic:cNvPicPr>
                      <a:picLocks noChangeAspect="1"/>
                    </pic:cNvPicPr>
                  </pic:nvPicPr>
                  <pic:blipFill>
                    <a:blip r:embed="rId17"/>
                    <a:stretch>
                      <a:fillRect/>
                    </a:stretch>
                  </pic:blipFill>
                  <pic:spPr>
                    <a:xfrm>
                      <a:off x="0" y="0"/>
                      <a:ext cx="5275580" cy="1998345"/>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提取前提取后</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b/>
          <w:sz w:val="24"/>
          <w:szCs w:val="24"/>
        </w:rPr>
        <w:t>线性建设用地不一致图斑提取前后对比图</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水域不一致图斑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水域用地包括河流水面（111）、湖泊（112）、水库水面（113）、坑塘水面（114）、沿海滩涂（115）、内陆滩涂（116）和沟渠（117），提取的不一致图斑。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例如，该图斑位于河流边缘，有明显的人工林特征，且面积较大，明显不是季节性原因导致的滩涂外露，疑似绿化林地，此类图斑提取为03类不一致。</w:t>
      </w:r>
    </w:p>
    <w:p>
      <w:pPr>
        <w:spacing w:before="156" w:beforeLines="50" w:after="156" w:afterLines="50" w:line="360" w:lineRule="auto"/>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rPr>
        <w:drawing>
          <wp:inline distT="0" distB="0" distL="114300" distR="114300">
            <wp:extent cx="5276215" cy="1949450"/>
            <wp:effectExtent l="0" t="0" r="635" b="12700"/>
            <wp:docPr id="329" name="图片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 name="图片 152"/>
                    <pic:cNvPicPr>
                      <a:picLocks noChangeAspect="1"/>
                    </pic:cNvPicPr>
                  </pic:nvPicPr>
                  <pic:blipFill>
                    <a:blip r:embed="rId18"/>
                    <a:stretch>
                      <a:fillRect/>
                    </a:stretch>
                  </pic:blipFill>
                  <pic:spPr>
                    <a:xfrm>
                      <a:off x="0" y="0"/>
                      <a:ext cx="5276215" cy="1949450"/>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提取前提取后</w:t>
      </w:r>
    </w:p>
    <w:p>
      <w:pPr>
        <w:spacing w:before="156" w:beforeLines="50" w:after="156" w:afterLines="50"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水域不一致图斑提取前后对比图</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其他用地不一致图斑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数据库为其他用地主要包括：设施农用地（122）、盐碱地（124）、沼泽地（125）、沙地（126）、裸地（127），提取的不一致图斑。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例如，数据库地类为沙地（126），影像存在有规则的地块纹理特征，表面有植被覆盖，田垄清晰，判读为耕地，提取为01类不一致图斑。</w:t>
      </w:r>
    </w:p>
    <w:p>
      <w:pPr>
        <w:spacing w:before="156" w:beforeLines="50" w:after="156" w:afterLines="50" w:line="360" w:lineRule="auto"/>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rPr>
        <w:drawing>
          <wp:inline distT="0" distB="0" distL="114300" distR="114300">
            <wp:extent cx="5278120" cy="1947545"/>
            <wp:effectExtent l="0" t="0" r="17780" b="14605"/>
            <wp:docPr id="330" name="图片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图片 153"/>
                    <pic:cNvPicPr>
                      <a:picLocks noChangeAspect="1"/>
                    </pic:cNvPicPr>
                  </pic:nvPicPr>
                  <pic:blipFill>
                    <a:blip r:embed="rId19"/>
                    <a:stretch>
                      <a:fillRect/>
                    </a:stretch>
                  </pic:blipFill>
                  <pic:spPr>
                    <a:xfrm>
                      <a:off x="0" y="0"/>
                      <a:ext cx="5278120" cy="1947545"/>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提取前提取后</w:t>
      </w:r>
    </w:p>
    <w:p>
      <w:pPr>
        <w:spacing w:before="156" w:beforeLines="50" w:after="156" w:afterLines="50"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其他用地不一致图斑提取前后对比图</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内业核实的方法</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在GIS软件下，加载不一致图斑文件和最新DOM，将数据库矢量图层置于上层，最新DOM置于下层，进行叠加显示，如下图所示。</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根据影像及实际情况，标识不一致图斑的地类及范围。</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rPr>
        <w:drawing>
          <wp:inline distT="0" distB="0" distL="114300" distR="114300">
            <wp:extent cx="3238500" cy="2428875"/>
            <wp:effectExtent l="0" t="0" r="0" b="9525"/>
            <wp:docPr id="331" name="图片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 name="图片 154"/>
                    <pic:cNvPicPr>
                      <a:picLocks noChangeAspect="1"/>
                    </pic:cNvPicPr>
                  </pic:nvPicPr>
                  <pic:blipFill>
                    <a:blip r:embed="rId20"/>
                    <a:stretch>
                      <a:fillRect/>
                    </a:stretch>
                  </pic:blipFill>
                  <pic:spPr>
                    <a:xfrm>
                      <a:off x="0" y="0"/>
                      <a:ext cx="3238500" cy="2428875"/>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不一致图斑套合影像核实分析</w:t>
      </w:r>
    </w:p>
    <w:p>
      <w:pPr>
        <w:tabs>
          <w:tab w:val="left" w:pos="720"/>
        </w:tabs>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31" w:name="_Toc507256705"/>
      <w:bookmarkStart w:id="32" w:name="_Toc508966684"/>
      <w:r>
        <w:rPr>
          <w:rFonts w:hint="eastAsia" w:asciiTheme="minorEastAsia" w:hAnsiTheme="minorEastAsia" w:eastAsiaTheme="minorEastAsia" w:cstheme="minorEastAsia"/>
          <w:b/>
          <w:sz w:val="24"/>
          <w:szCs w:val="24"/>
          <w:shd w:val="clear" w:color="auto" w:fill="FFFFFF"/>
        </w:rPr>
        <w:t>重点图斑外业核实</w:t>
      </w:r>
      <w:bookmarkEnd w:id="31"/>
      <w:bookmarkEnd w:id="32"/>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bookmarkStart w:id="33" w:name="_Toc505609357"/>
      <w:r>
        <w:rPr>
          <w:rFonts w:hint="eastAsia" w:asciiTheme="minorEastAsia" w:hAnsiTheme="minorEastAsia" w:eastAsiaTheme="minorEastAsia" w:cstheme="minorEastAsia"/>
          <w:sz w:val="24"/>
          <w:szCs w:val="24"/>
          <w:shd w:val="clear" w:color="auto" w:fill="FFFFFF"/>
        </w:rPr>
        <w:t>对于室内无法判读分析其是否与实地一致的，需外业实地调查，并进行拍照。对国家下发的不一致图斑、偏移图斑、在建图斑，以及自主提取的自主变更图斑进行100%实地调查，调查内容为地类、权属、范围等信息，并利用在线核查软件进行在线举证。</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外业调查补测的要求</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根据外业调查图斑位置，合理计划调查路线、确定调查重点以及一般查看的内容，做到心中有数，既要对内业解译内容进行全面核实和补充调查，保证成果质量，又要突出重点，提高工作效率，发挥内业解译的作用。</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外业设备准备</w:t>
      </w:r>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硬件设备：外业调查设备、移动举证设备，钢（皮）尺等。</w:t>
      </w:r>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采用专业外业调查设备（PDA）辅助外业调查的，其GPS定位精度应在5m以内，不得连接外网；</w:t>
      </w:r>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采用高精度外业调查设备进行GPS仪器补测法补测的，其GPS定位精度应在1m以内，不得连接外网；</w:t>
      </w:r>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移动举证设备需具备方向传感器、GPS定位和上网功能，其定位精度一般不应超过20m。</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外业调查的方法</w:t>
      </w:r>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GPS定位精度检查：选取1至2个明显地物点，实地检查GPS定位精度，确保调查数据定位精度在设备定位精度限差内。</w:t>
      </w:r>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图斑定位：利用移动外业调查设备的GPS功能，实现图斑导航和准确定位，或采用“远看近判”方法定位。</w:t>
      </w:r>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图斑调绘及补测：依据影像和实地现状进行图斑调绘，对实地地类、边界与基础库或内业判读信息一致的，直接标记或提取相应图斑信息；对实地地类、边界与基础库或内业判读信息不一致的，进行实地调绘。对影像可以准确判读边界的，在外业调查设备上勾绘示意界线，并标记待内业进行准确矢量化；对新增地物和影像不能判读边界的，采用简易或仪器法补测。</w:t>
      </w:r>
    </w:p>
    <w:p>
      <w:pPr>
        <w:tabs>
          <w:tab w:val="left" w:pos="720"/>
        </w:tabs>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drawing>
          <wp:inline distT="0" distB="0" distL="114300" distR="114300">
            <wp:extent cx="1932940" cy="3090545"/>
            <wp:effectExtent l="0" t="0" r="10160" b="14605"/>
            <wp:docPr id="332" name="图片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图片 155"/>
                    <pic:cNvPicPr>
                      <a:picLocks noChangeAspect="1"/>
                    </pic:cNvPicPr>
                  </pic:nvPicPr>
                  <pic:blipFill>
                    <a:blip r:embed="rId21"/>
                    <a:stretch>
                      <a:fillRect/>
                    </a:stretch>
                  </pic:blipFill>
                  <pic:spPr>
                    <a:xfrm>
                      <a:off x="0" y="0"/>
                      <a:ext cx="1932940" cy="3090545"/>
                    </a:xfrm>
                    <a:prstGeom prst="rect">
                      <a:avLst/>
                    </a:prstGeom>
                    <a:noFill/>
                    <a:ln w="9525">
                      <a:noFill/>
                    </a:ln>
                  </pic:spPr>
                </pic:pic>
              </a:graphicData>
            </a:graphic>
          </wp:inline>
        </w:drawing>
      </w:r>
    </w:p>
    <w:p>
      <w:pPr>
        <w:tabs>
          <w:tab w:val="left" w:pos="720"/>
        </w:tabs>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 xml:space="preserve"> 外业设备进行图斑勾绘</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图斑实地拍照</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使用带卫星定位功能和方向传感器的手机，利用国家统一下发的互联网+举证软件，拍摄包含图斑实地GPS坐标、拍摄方位角、拍摄时间、实地照片及举证说明等综合信息。</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举证照片包括图斑全景照片、局部近景照片、利用特征照片三类。</w:t>
      </w:r>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图斑全景照片：1-2张，照片应能反映图斑整体利用情况；</w:t>
      </w:r>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局部近景照片：1-3张，照片应能具体说明图斑实地利用现状，特别是对图斑地类与图斑影像特征明显不一致的区域，应拍摄局部近景照片,对影像特征与图斑地类明显一致的可不拍摄局部近景照片；</w:t>
      </w:r>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利用特征照片：0-1张，对需要拍摄具体种植作物等特征照片来说明利用现状的，可拍摄作物特征举证照片。根据影像变化情况，建设用地或设施农用地需要拍摄内部特征照片。</w:t>
      </w:r>
    </w:p>
    <w:p>
      <w:pPr>
        <w:tabs>
          <w:tab w:val="left" w:pos="720"/>
        </w:tabs>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rPr>
        <w:drawing>
          <wp:inline distT="0" distB="0" distL="114300" distR="114300">
            <wp:extent cx="5272405" cy="3065145"/>
            <wp:effectExtent l="0" t="0" r="4445" b="1905"/>
            <wp:docPr id="333" name="图片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 name="图片 156"/>
                    <pic:cNvPicPr>
                      <a:picLocks noChangeAspect="1"/>
                    </pic:cNvPicPr>
                  </pic:nvPicPr>
                  <pic:blipFill>
                    <a:blip r:embed="rId22"/>
                    <a:stretch>
                      <a:fillRect/>
                    </a:stretch>
                  </pic:blipFill>
                  <pic:spPr>
                    <a:xfrm>
                      <a:off x="0" y="0"/>
                      <a:ext cx="5272405" cy="3065145"/>
                    </a:xfrm>
                    <a:prstGeom prst="rect">
                      <a:avLst/>
                    </a:prstGeom>
                    <a:noFill/>
                    <a:ln w="9525">
                      <a:noFill/>
                    </a:ln>
                  </pic:spPr>
                </pic:pic>
              </a:graphicData>
            </a:graphic>
          </wp:inline>
        </w:drawing>
      </w:r>
    </w:p>
    <w:p>
      <w:pPr>
        <w:tabs>
          <w:tab w:val="left" w:pos="720"/>
        </w:tabs>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 xml:space="preserve"> 拍摄的举证照片应反映图斑所有特征</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举证照片拍摄重点</w:t>
      </w:r>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对图斑地类与遥感影像特征基本一致的图斑，可拍摄1张图斑全景照片和1张局部近景照片即可。</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drawing>
          <wp:inline distT="0" distB="0" distL="114300" distR="114300">
            <wp:extent cx="2103755" cy="1576705"/>
            <wp:effectExtent l="0" t="0" r="10795" b="4445"/>
            <wp:docPr id="334" name="图片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图片 157"/>
                    <pic:cNvPicPr>
                      <a:picLocks noChangeAspect="1"/>
                    </pic:cNvPicPr>
                  </pic:nvPicPr>
                  <pic:blipFill>
                    <a:blip r:embed="rId23"/>
                    <a:stretch>
                      <a:fillRect/>
                    </a:stretch>
                  </pic:blipFill>
                  <pic:spPr>
                    <a:xfrm>
                      <a:off x="0" y="0"/>
                      <a:ext cx="2103755" cy="1576705"/>
                    </a:xfrm>
                    <a:prstGeom prst="rect">
                      <a:avLst/>
                    </a:prstGeom>
                    <a:noFill/>
                    <a:ln w="9525">
                      <a:noFill/>
                    </a:ln>
                  </pic:spPr>
                </pic:pic>
              </a:graphicData>
            </a:graphic>
          </wp:inline>
        </w:drawing>
      </w:r>
      <w:r>
        <w:rPr>
          <w:rFonts w:hint="eastAsia" w:asciiTheme="minorEastAsia" w:hAnsiTheme="minorEastAsia" w:eastAsiaTheme="minorEastAsia" w:cstheme="minorEastAsia"/>
          <w:sz w:val="24"/>
          <w:szCs w:val="24"/>
          <w:shd w:val="clear" w:color="auto" w:fill="FFFFFF"/>
        </w:rPr>
        <w:drawing>
          <wp:inline distT="0" distB="0" distL="114300" distR="114300">
            <wp:extent cx="2261235" cy="1574800"/>
            <wp:effectExtent l="0" t="0" r="5715" b="6350"/>
            <wp:docPr id="336" name="图片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图片 158"/>
                    <pic:cNvPicPr>
                      <a:picLocks noChangeAspect="1"/>
                    </pic:cNvPicPr>
                  </pic:nvPicPr>
                  <pic:blipFill>
                    <a:blip r:embed="rId24"/>
                    <a:stretch>
                      <a:fillRect/>
                    </a:stretch>
                  </pic:blipFill>
                  <pic:spPr>
                    <a:xfrm>
                      <a:off x="0" y="0"/>
                      <a:ext cx="2261235" cy="1574800"/>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 xml:space="preserve"> 地类与影像特征基本一致的图斑</w:t>
      </w:r>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对图斑地类与遥感影像特征不一致的图斑，需重点对影像特征不一致区域进行举证，适当增加举证照片拍摄数量。</w:t>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drawing>
          <wp:inline distT="0" distB="0" distL="114300" distR="114300">
            <wp:extent cx="2293620" cy="1580515"/>
            <wp:effectExtent l="0" t="0" r="11430" b="635"/>
            <wp:docPr id="337" name="图片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 name="图片 159"/>
                    <pic:cNvPicPr>
                      <a:picLocks noChangeAspect="1"/>
                    </pic:cNvPicPr>
                  </pic:nvPicPr>
                  <pic:blipFill>
                    <a:blip r:embed="rId25"/>
                    <a:stretch>
                      <a:fillRect/>
                    </a:stretch>
                  </pic:blipFill>
                  <pic:spPr>
                    <a:xfrm>
                      <a:off x="0" y="0"/>
                      <a:ext cx="2293620" cy="1580515"/>
                    </a:xfrm>
                    <a:prstGeom prst="rect">
                      <a:avLst/>
                    </a:prstGeom>
                    <a:noFill/>
                    <a:ln w="9525">
                      <a:noFill/>
                    </a:ln>
                  </pic:spPr>
                </pic:pic>
              </a:graphicData>
            </a:graphic>
          </wp:inline>
        </w:drawing>
      </w:r>
      <w:r>
        <w:rPr>
          <w:rFonts w:hint="eastAsia" w:asciiTheme="minorEastAsia" w:hAnsiTheme="minorEastAsia" w:eastAsiaTheme="minorEastAsia" w:cstheme="minorEastAsia"/>
          <w:b/>
          <w:sz w:val="24"/>
          <w:szCs w:val="24"/>
          <w:shd w:val="clear" w:color="auto" w:fill="FFFFFF"/>
        </w:rPr>
        <w:drawing>
          <wp:inline distT="0" distB="0" distL="114300" distR="114300">
            <wp:extent cx="2068195" cy="1550670"/>
            <wp:effectExtent l="0" t="0" r="8255" b="11430"/>
            <wp:docPr id="338" name="图片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图片 160"/>
                    <pic:cNvPicPr>
                      <a:picLocks noChangeAspect="1"/>
                    </pic:cNvPicPr>
                  </pic:nvPicPr>
                  <pic:blipFill>
                    <a:blip r:embed="rId26"/>
                    <a:stretch>
                      <a:fillRect/>
                    </a:stretch>
                  </pic:blipFill>
                  <pic:spPr>
                    <a:xfrm>
                      <a:off x="0" y="0"/>
                      <a:ext cx="2068195" cy="1550670"/>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地类与影像特征不一致的图斑</w:t>
      </w:r>
    </w:p>
    <w:bookmarkEnd w:id="33"/>
    <w:p>
      <w:pPr>
        <w:pStyle w:val="5"/>
        <w:spacing w:line="360" w:lineRule="auto"/>
        <w:ind w:firstLine="602"/>
        <w:outlineLvl w:val="4"/>
        <w:rPr>
          <w:rFonts w:hint="eastAsia" w:asciiTheme="minorEastAsia" w:hAnsiTheme="minorEastAsia" w:eastAsiaTheme="minorEastAsia" w:cstheme="minorEastAsia"/>
          <w:sz w:val="24"/>
          <w:szCs w:val="24"/>
        </w:rPr>
      </w:pPr>
      <w:bookmarkStart w:id="34" w:name="_Toc516510628"/>
      <w:bookmarkStart w:id="35" w:name="_Toc507256706"/>
      <w:bookmarkStart w:id="36" w:name="_Toc13799"/>
      <w:bookmarkStart w:id="37" w:name="_Toc524979660"/>
      <w:bookmarkStart w:id="38" w:name="_Toc508966685"/>
      <w:bookmarkStart w:id="39" w:name="_Toc522794965"/>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土地权属调查</w:t>
      </w:r>
      <w:bookmarkEnd w:id="34"/>
      <w:bookmarkEnd w:id="35"/>
      <w:bookmarkEnd w:id="36"/>
      <w:bookmarkEnd w:id="37"/>
      <w:bookmarkEnd w:id="38"/>
      <w:bookmarkEnd w:id="39"/>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将已完成的集体土地所有权确权登记和城镇国有建设用地范围外国有土地使用权登记成果落实在土地调查成果中，结合农村集体资产清产核资工作，对发生变化的开展补充调查。</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40" w:name="_Toc508966686"/>
      <w:bookmarkStart w:id="41" w:name="_Toc507256707"/>
      <w:r>
        <w:rPr>
          <w:rFonts w:hint="eastAsia" w:asciiTheme="minorEastAsia" w:hAnsiTheme="minorEastAsia" w:eastAsiaTheme="minorEastAsia" w:cstheme="minorEastAsia"/>
          <w:b/>
          <w:sz w:val="24"/>
          <w:szCs w:val="24"/>
          <w:shd w:val="clear" w:color="auto" w:fill="FFFFFF"/>
        </w:rPr>
        <w:t xml:space="preserve"> 调查方法</w:t>
      </w:r>
      <w:bookmarkEnd w:id="40"/>
      <w:bookmarkEnd w:id="41"/>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依据农村集体土地所有权确权登记成果和其他相关登记成果，以及合法有效的土地权属调查成果，将集体土地所有权和城镇国有建设用地范围外的国有土地使用权界线落实在土地调查成果中。</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在权属界线上图过程中，因成图精度等客观因素，部分与遥感影像产生位移的，根据协议书等描述转至相应位置，并提交登记相关部门审核后可进行相关调整。</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42" w:name="_Toc507256708"/>
      <w:bookmarkStart w:id="43" w:name="_Toc508966687"/>
      <w:r>
        <w:rPr>
          <w:rFonts w:hint="eastAsia" w:asciiTheme="minorEastAsia" w:hAnsiTheme="minorEastAsia" w:eastAsiaTheme="minorEastAsia" w:cstheme="minorEastAsia"/>
          <w:b/>
          <w:sz w:val="24"/>
          <w:szCs w:val="24"/>
          <w:shd w:val="clear" w:color="auto" w:fill="FFFFFF"/>
        </w:rPr>
        <w:t>调查内容</w:t>
      </w:r>
      <w:bookmarkEnd w:id="42"/>
      <w:bookmarkEnd w:id="43"/>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土地权属调查内容主要包含土地的权属状况、土地的位置、土地的行政区划界线及城镇国有土地调查，具体调查内容如下。</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土地权属状况</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包括宗地权属性质、权属来源、取得土地时间、土地使用者或所有者名称、土地使用期限等。</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土地的位置</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包括土地的座落、界址、四至关系等。</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土地的行政区划界线</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包括行政村界线(相应级界线)、村民小组界线(相应级界线)、乡(镇)界线、区界线以及相关的地理名称等。</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城镇国有土地调查</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对城镇国有土地，调查土地的利用状况和土地级别。</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44" w:name="_Toc508966688"/>
      <w:bookmarkStart w:id="45" w:name="_Toc507256709"/>
      <w:r>
        <w:rPr>
          <w:rFonts w:hint="eastAsia" w:asciiTheme="minorEastAsia" w:hAnsiTheme="minorEastAsia" w:eastAsiaTheme="minorEastAsia" w:cstheme="minorEastAsia"/>
          <w:b/>
          <w:sz w:val="24"/>
          <w:szCs w:val="24"/>
          <w:shd w:val="clear" w:color="auto" w:fill="FFFFFF"/>
        </w:rPr>
        <w:t xml:space="preserve"> 调查程序及流程</w:t>
      </w:r>
      <w:bookmarkEnd w:id="44"/>
      <w:bookmarkEnd w:id="45"/>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调查程序</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开展土地权属调查前需结合实际需求，拟定调查计划，充分做好调查准备工作，以保证土地权属调查质量符合标准要求。土地权属调查程序如下图所示。</w:t>
      </w:r>
    </w:p>
    <w:p>
      <w:pPr>
        <w:spacing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sz w:val="24"/>
          <w:szCs w:val="24"/>
        </w:rPr>
        <w:object>
          <v:shape id="_x0000_i1026" o:spt="75" type="#_x0000_t75" style="height:423.7pt;width:184.25pt;" o:ole="t" filled="f" o:preferrelative="t" stroked="f" coordsize="21600,21600">
            <v:path/>
            <v:fill on="f" focussize="0,0"/>
            <v:stroke on="f"/>
            <v:imagedata r:id="rId28" o:title=""/>
            <o:lock v:ext="edit" aspectratio="t"/>
            <w10:wrap type="none"/>
            <w10:anchorlock/>
          </v:shape>
          <o:OLEObject Type="Embed" ProgID="Visio.Drawing.11" ShapeID="_x0000_i1026" DrawAspect="Content" ObjectID="_1468075726" r:id="rId27">
            <o:LockedField>false</o:LockedField>
          </o:OLEObject>
        </w:object>
      </w:r>
    </w:p>
    <w:p>
      <w:pPr>
        <w:spacing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调查程序</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拟订调查计划</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首先明确调查任务、范围、方法、时间、步骤，人员组织以及经费预算，然后组织专业队伍，进行技术培训与试点。</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准备工作</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印刷统一制定的调查表格和簿册，配备各种仪器与绘图工具、生活交通工具和劳保用品等。</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制作调查底图</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根据需要和已有的图件，制作调查底图。可使用近期测绘的地形图、航片、正射像片等。对土地所有权调查，调查底图的比例尺在1:5000至1:50000之间；对土地使用权调查，调查底图的比例尺在1:500至1:2000之间。</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调查工作区的划分</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在确定了调查范围之后，还要在调查底图上，依据行政区划或自然界线划分成若干街道和街坊，作为调查工作区。</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发放通知书</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实地调查前，向土地所有者或使用者发出通知书，同时对其四至发出指界通知。按照工作计划，分区分片通知，并要求土地所有者或使用者(法人或法人委托的指界人)及其四至的合法指界人，按时到达现场。</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土地权属资料的收集、分析和处理</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在进行实地调查以前，调查员应到各土地权属单位，收集土地权属资料，并对这些资料进行分析处理，确定实地调查的技术方案。在进行资料分析处理时，对于能完全确权的宗地，在调查的底图上标绘出各宗地的范围线，并预编宗地号，及时建立地籍档案。否则，按街道或街坊将宗地资料分类，预编宗地号，在工作图上大致圈定其位置，以备实地调查。</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实地调查，绘制宗地草图</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根据资料收集、分析和处理的情况，逐宗地进行实地调查，现场确定界址位置，填写地籍调查表，绘制宗地草图。</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宗地方案整理</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在资料收集、分析、处理和实地调查的基础上，编制宗地号，建立宗地档案，准备地籍测量所需的资料。</w:t>
      </w:r>
    </w:p>
    <w:p>
      <w:pPr>
        <w:spacing w:before="50" w:after="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土地权属状况调查</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土地权属来源调查</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土地权属来源（简称权源）是指土地权属依照国家法律获取土地的方式。</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在调查土地权属来源时，注意被调查单位(即土地登记申请单位)与权源证明中单位名称的一致性。发现不一致时，需要对权属单位的历史沿革、使用土地的变化及其法律依据进行细致调查，并在地籍调查表的相应栏目中填写清楚。</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其他要素的调查</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权利人名称</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权利人名称是指土地使用者或土地所有者的全称。有明确权利人的为权利人全称；组合宗地要调查清楚全部权利人全称和份额；无明确权利人的，则为该宗地的地理名称或建筑物的名称，如××水库等。</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取得土地的时间和土地年期</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取得土地的时间是指获得土地权利的起始时间。土地年期是指获得国有土地使用权的最高年限。城镇国有土地使用权出让的最高年限规定为：住宅用地为70年；工业用地为50年；教育、科技、文化、卫生、体育用地50年；商业、旅游、娱乐用地40年；综合或者其他用地50年。</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土地位置</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对土地所有权宗地，调查核实宗地四至，所在乡(镇)、村的名称以及宗地预编号及编号。对土地使用权宗地，调查核实土地座落，宗地四至，所在区、街道、门牌号，宗地预编号及编号。</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土地利用分类和土地等级调查</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由于集体土地所有权宗地的土地类型较多，而城镇村庄土地使用权宗地的土地类型比较单一，采用</w:t>
      </w:r>
      <w:r>
        <w:rPr>
          <w:rFonts w:hint="eastAsia" w:asciiTheme="minorEastAsia" w:hAnsiTheme="minorEastAsia" w:eastAsiaTheme="minorEastAsia" w:cstheme="minorEastAsia"/>
          <w:sz w:val="24"/>
          <w:szCs w:val="24"/>
          <w:shd w:val="clear" w:color="auto" w:fill="FFFFFF"/>
        </w:rPr>
        <w:t>《第三次全国土地调查工作分类》</w:t>
      </w:r>
      <w:r>
        <w:rPr>
          <w:rFonts w:hint="eastAsia" w:asciiTheme="minorEastAsia" w:hAnsiTheme="minorEastAsia" w:eastAsiaTheme="minorEastAsia" w:cstheme="minorEastAsia"/>
          <w:sz w:val="24"/>
          <w:szCs w:val="24"/>
        </w:rPr>
        <w:t>。</w:t>
      </w:r>
    </w:p>
    <w:p>
      <w:pPr>
        <w:spacing w:before="50" w:after="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土地权属界址调查</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界线调查时，必须向土地权利人发放指界通知书，明确土地权利人代表到场指界时间、地点和需带的证明与权源材料。</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界址调查的指界</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界址调查的指界是指确认被调查宗地的界址范围及其界址点、线的具体位置。现场指界必须由本宗地及相邻宗地指界人亲自到场共同指界。若由单位法人代表指界，则出示法人代表证明。当法人代表不能亲自出席指界时，由委托的代理人指界，并出示委托书和身份证明。由多个土地所有者或使用者共同使用的宗地，应共同委托代表指界，并出示委托书和身份证明。</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对现场指界无争议的界址点和界址线，要埋设界标，填写宗地界址调查表，各方指界人要在宗地界址调查表上签字盖章，对于不签字盖章的，按违约缺席处理。</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宗地界址调查表的填写应特别注意标明界址线应在的位置，如界址点(线)标志物的中心、内边、外边等。</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对于违约缺席指界的，根据不同情况按下述办法处理：</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如一方违约缺席，其界址线以另一方指定的界址线为准确定；</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如双方违约缺席，其界址线由调查员依据有关图件和文件，结合实地现状决定。</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确定界址线(简称确界)后的结果以书面形式送达违约缺席的业主，并在用地现场公告，如有异议的，必须在结果送达之日起十五日内提出重新确界申请，并负责重新确界的费用，逾期不申请，确界自动生效。</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权利人不明确的界线调查</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征地后未确定使用者的剩余土地和法律、法规规定为国有而未明确使用者的土地，在国有土地使用权、乡(镇)集体土地所有权和村集体土地所有权界线调查的基础上，根据实际情况划定土地界线。</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暂不确定使用者的国有公路、水域的界线，一般按公路、水域的实际使用范围确界。</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不明确或暂不确定使用者的国有土地与相邻权属单位的界线，暂时由相邻权属单位单方指界，并签订《权属界线确认书》，待明确土地使用者并提供权源材料后，再对界线予以正式确认或调整。</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乡镇行政境界调查</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调查队会同各相邻乡(镇)土地管理所依据既是村界又是乡(镇)界的界线，结合民政部门有关境界划定的规定，分段绘制相邻乡(镇)行政境界接边草图，并将该图附于《乡(镇)行政界线核定书》，并由调查队将所确定的乡(镇)行政界线标注在航片或地形图上，提供内业编辑。</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界标的设置</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调查人员根据指界认定的土地范围，设置界标。对于弧形界址线，按弧线的曲率可多设几个界标。对于弯曲过多的界址线，由于设置界标太多，过于繁琐，可以采取截弯取直的方法，但对相邻宗地来说，由取直划进、划出的土地面积应尽量相等。</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乡(镇)、行政村、村民小组、公路、铁路、河流等界线一般不设界标。但土地行政管理部门或权利人有要求和易发生争议的地段，应设立界标。</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界址的标注和调查表的填写</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一个乡(镇)权属调查结束后，在乡(镇)境界内形成的土地所有权界线、国有土地使用权界线、无权利人或权利人不明确的土地权属界线、争议界线、城镇范围线构成无缝隙、无重叠的界线关系，这些界址点、线均应标注在调查用图上。</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地籍调查表是土地权属调查确定权属界线的原始记录，是处理权属争议的依据之一，必须按规定的格式和要求认真填写。</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土地权属界址的审核与调查处理</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外业调查后，要对其结果进行审核和调查处理。使用国有土地的单位，要将实地标绘的界线与权源证明文件上记载的界线相对照。若两者一致，则可认为调查结束；否则需查明原因，视具体情况作进一步处理。对集体所有土地，若其四邻对界线无异议并签字盖章，则调查结束。</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有争议的土地权属界线，短期内确实难以解决的，调查人员填写《土地争议原由书》一式5份，权属双方各执1份，市、县(区)、乡(镇、街道)各1份。调查人员根据实际情况，选择双方实际使用的界线，或争议地块的中心线，或权属双方协商的临时界线作为现状界线，并用红色虚线将其标注在提供市、区的《土地争议原由书》和航片(或地形图)上。争议未解决之前，任何一方不得改变土地利用现状，不得破坏土地上的附着物。</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宗地草图的绘制</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宗地草图是描述宗地位置、界址点、线和相邻宗地关系的实地草编记录。在进行权属调查时，调查员填写并核实所需要调查的各项内容，实地确定了界址点位置并对其埋设了标志后，现场草编绘制宗地草图。</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宗地草图记录的内容</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本宗地号和门牌号，权利人名称和相邻宗地的宗地号、门牌号、权利人名称；</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本宗地界址点，界址点序号及界址线，宗地内地物及宗地外紧靠界址点线的地物等；</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界址边长、界址点与邻近地物的相关距离和条件距离；</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确定宗地界址点位置，界址边长方位所必须的建筑物或构筑物；</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概略指北针和比例尺、丈量者、丈量日期。</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宗地草图的特征</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它是宗地的原始描述；</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图上数据是实量的，精度高；</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所绘宗地草图是近似的，相邻宗地草图不能拼接。</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宗地草图的作用</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它是地籍资料中的原始资料；</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配合地籍调查表，为测定界址点坐标和制作宗地图提供了初始信息；</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可为界址点的维护、恢复和解决权属纠纷提供依据。</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绘制宗地草图的基本要求</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绘制宗地草图时，图纸质量要好，能长期保存，其规格为32开、16开或8开，过大宗地可分幅绘制；草图按概略比例尺，使用2H～4H铅笔绘制，要求线条均匀，字迹清楚，数字注记字头向北向西书写；过密的部位可移位放大绘出；应在实地绘制，不得涂改注记数字；用钢尺丈量界址边长和相关边长，并精确至0.01m。</w:t>
      </w:r>
    </w:p>
    <w:p>
      <w:pPr>
        <w:spacing w:line="360" w:lineRule="auto"/>
        <w:rPr>
          <w:rFonts w:hint="eastAsia" w:asciiTheme="minorEastAsia" w:hAnsiTheme="minorEastAsia" w:eastAsiaTheme="minorEastAsia" w:cstheme="minorEastAsia"/>
          <w:b/>
          <w:kern w:val="44"/>
          <w:sz w:val="24"/>
          <w:szCs w:val="24"/>
        </w:rPr>
      </w:pPr>
      <w:r>
        <w:rPr>
          <w:rFonts w:hint="eastAsia" w:asciiTheme="minorEastAsia" w:hAnsiTheme="minorEastAsia" w:eastAsiaTheme="minorEastAsia" w:cstheme="minorEastAsia"/>
          <w:sz w:val="24"/>
          <w:szCs w:val="24"/>
        </w:rPr>
        <w:br w:type="page"/>
      </w:r>
    </w:p>
    <w:p>
      <w:pPr>
        <w:pStyle w:val="5"/>
        <w:spacing w:line="360" w:lineRule="auto"/>
        <w:ind w:firstLine="602"/>
        <w:outlineLvl w:val="4"/>
        <w:rPr>
          <w:rFonts w:hint="eastAsia" w:asciiTheme="minorEastAsia" w:hAnsiTheme="minorEastAsia" w:eastAsiaTheme="minorEastAsia" w:cstheme="minorEastAsia"/>
          <w:sz w:val="24"/>
          <w:szCs w:val="24"/>
        </w:rPr>
      </w:pPr>
      <w:bookmarkStart w:id="46" w:name="_Toc507256710"/>
      <w:bookmarkStart w:id="47" w:name="_Toc522794966"/>
      <w:bookmarkStart w:id="48" w:name="_Toc508966689"/>
      <w:bookmarkStart w:id="49" w:name="_Toc516510629"/>
      <w:bookmarkStart w:id="50" w:name="_Toc22123"/>
      <w:bookmarkStart w:id="51" w:name="_Toc524979661"/>
      <w:r>
        <w:rPr>
          <w:rFonts w:hint="eastAsia" w:asciiTheme="minorEastAsia" w:hAnsiTheme="minorEastAsia" w:eastAsiaTheme="minorEastAsia" w:cstheme="minorEastAsia"/>
          <w:sz w:val="24"/>
          <w:szCs w:val="24"/>
          <w:lang w:val="en-US" w:eastAsia="zh-CN"/>
        </w:rPr>
        <w:t>（3）</w:t>
      </w:r>
      <w:r>
        <w:rPr>
          <w:rFonts w:hint="eastAsia" w:asciiTheme="minorEastAsia" w:hAnsiTheme="minorEastAsia" w:eastAsiaTheme="minorEastAsia" w:cstheme="minorEastAsia"/>
          <w:sz w:val="24"/>
          <w:szCs w:val="24"/>
        </w:rPr>
        <w:t>农村土地利用现状调查</w:t>
      </w:r>
      <w:bookmarkEnd w:id="46"/>
      <w:bookmarkEnd w:id="47"/>
      <w:bookmarkEnd w:id="48"/>
      <w:bookmarkEnd w:id="49"/>
      <w:bookmarkEnd w:id="50"/>
      <w:bookmarkEnd w:id="51"/>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bookmarkStart w:id="52" w:name="_Toc499125184"/>
      <w:r>
        <w:rPr>
          <w:rFonts w:hint="eastAsia" w:asciiTheme="minorEastAsia" w:hAnsiTheme="minorEastAsia" w:eastAsiaTheme="minorEastAsia" w:cstheme="minorEastAsia"/>
          <w:sz w:val="24"/>
          <w:szCs w:val="24"/>
          <w:shd w:val="clear" w:color="auto" w:fill="FFFFFF"/>
        </w:rPr>
        <w:t>农村土地利用现状调查工作以调查底图为基础，实地调查每块图斑的地类、位置、范围、面积等利用状况。</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53" w:name="_Toc507256711"/>
      <w:bookmarkStart w:id="54" w:name="_Toc508966690"/>
      <w:r>
        <w:rPr>
          <w:rFonts w:hint="eastAsia" w:asciiTheme="minorEastAsia" w:hAnsiTheme="minorEastAsia" w:eastAsiaTheme="minorEastAsia" w:cstheme="minorEastAsia"/>
          <w:b/>
          <w:sz w:val="24"/>
          <w:szCs w:val="24"/>
          <w:shd w:val="clear" w:color="auto" w:fill="FFFFFF"/>
        </w:rPr>
        <w:t>技术指标</w:t>
      </w:r>
      <w:bookmarkEnd w:id="53"/>
      <w:bookmarkEnd w:id="54"/>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数学基础</w:t>
      </w:r>
      <w:bookmarkEnd w:id="52"/>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采用2000国家大地坐标系，1985国家高程基准。</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55" w:name="_Toc499125185"/>
      <w:r>
        <w:rPr>
          <w:rFonts w:hint="eastAsia" w:asciiTheme="minorEastAsia" w:hAnsiTheme="minorEastAsia" w:eastAsiaTheme="minorEastAsia" w:cstheme="minorEastAsia"/>
          <w:b/>
          <w:sz w:val="24"/>
          <w:szCs w:val="24"/>
          <w:shd w:val="clear" w:color="auto" w:fill="FFFFFF"/>
        </w:rPr>
        <w:t>土地利用现状分类</w:t>
      </w:r>
      <w:bookmarkEnd w:id="55"/>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采用《第三次全国土地调查工作分类》。</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56" w:name="_Toc507256712"/>
      <w:bookmarkStart w:id="57" w:name="_Toc508966691"/>
      <w:r>
        <w:rPr>
          <w:rFonts w:hint="eastAsia" w:asciiTheme="minorEastAsia" w:hAnsiTheme="minorEastAsia" w:eastAsiaTheme="minorEastAsia" w:cstheme="minorEastAsia"/>
          <w:b/>
          <w:sz w:val="24"/>
          <w:szCs w:val="24"/>
          <w:shd w:val="clear" w:color="auto" w:fill="FFFFFF"/>
        </w:rPr>
        <w:t>调查程序</w:t>
      </w:r>
      <w:bookmarkEnd w:id="56"/>
      <w:bookmarkEnd w:id="57"/>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土地利用现状调查工作主要分为四个阶段进行。即准备阶段、外业调查阶段、面积计算阶段和成果验收归档阶段。具体调查程序如下图所示。</w:t>
      </w:r>
    </w:p>
    <w:p>
      <w:pPr>
        <w:spacing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object>
          <v:shape id="_x0000_i1027" o:spt="75" type="#_x0000_t75" style="height:287.1pt;width:372.05pt;" o:ole="t" filled="f" o:preferrelative="t" stroked="f" coordsize="21600,21600">
            <v:path/>
            <v:fill on="f" focussize="0,0"/>
            <v:stroke on="f"/>
            <v:imagedata r:id="rId30" o:title=""/>
            <o:lock v:ext="edit" aspectratio="t"/>
            <w10:wrap type="none"/>
            <w10:anchorlock/>
          </v:shape>
          <o:OLEObject Type="Embed" ProgID="Visio.Drawing.11" ShapeID="_x0000_i1027" DrawAspect="Content" ObjectID="_1468075727" r:id="rId29">
            <o:LockedField>false</o:LockedField>
          </o:OLEObject>
        </w:object>
      </w:r>
    </w:p>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b/>
          <w:sz w:val="24"/>
          <w:szCs w:val="24"/>
        </w:rPr>
        <w:t>农村土地利用现状调查程序</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58" w:name="_Toc508966692"/>
      <w:bookmarkStart w:id="59" w:name="_Toc507256713"/>
      <w:bookmarkStart w:id="60" w:name="_Toc499125186"/>
      <w:r>
        <w:rPr>
          <w:rFonts w:hint="eastAsia" w:asciiTheme="minorEastAsia" w:hAnsiTheme="minorEastAsia" w:eastAsiaTheme="minorEastAsia" w:cstheme="minorEastAsia"/>
          <w:b/>
          <w:sz w:val="24"/>
          <w:szCs w:val="24"/>
          <w:shd w:val="clear" w:color="auto" w:fill="FFFFFF"/>
        </w:rPr>
        <w:t>地类调查</w:t>
      </w:r>
      <w:bookmarkEnd w:id="58"/>
      <w:bookmarkEnd w:id="59"/>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61" w:name="_Toc508966693"/>
      <w:bookmarkStart w:id="62" w:name="_Toc507256714"/>
      <w:r>
        <w:rPr>
          <w:rFonts w:hint="eastAsia" w:asciiTheme="minorEastAsia" w:hAnsiTheme="minorEastAsia" w:eastAsiaTheme="minorEastAsia" w:cstheme="minorEastAsia"/>
          <w:b/>
          <w:sz w:val="24"/>
          <w:szCs w:val="24"/>
          <w:shd w:val="clear" w:color="auto" w:fill="FFFFFF"/>
        </w:rPr>
        <w:t>地类图斑</w:t>
      </w:r>
      <w:bookmarkEnd w:id="61"/>
      <w:bookmarkEnd w:id="62"/>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单一地类的地块，以及被行政区、城镇村庄等调查界线或土地权属界线分割的单一地类地块为图斑。城镇村庄内部同一地类的相邻宗地合并为一个图斑。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地类图斑编号统一以行政村为单位，按从左到右、自上而下由“1”顺序编号。</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63" w:name="_Toc508966694"/>
      <w:bookmarkStart w:id="64" w:name="_Toc507256715"/>
      <w:r>
        <w:rPr>
          <w:rFonts w:hint="eastAsia" w:asciiTheme="minorEastAsia" w:hAnsiTheme="minorEastAsia" w:eastAsiaTheme="minorEastAsia" w:cstheme="minorEastAsia"/>
          <w:b/>
          <w:sz w:val="24"/>
          <w:szCs w:val="24"/>
          <w:shd w:val="clear" w:color="auto" w:fill="FFFFFF"/>
        </w:rPr>
        <w:t xml:space="preserve"> 图斑调查方法</w:t>
      </w:r>
      <w:bookmarkEnd w:id="63"/>
      <w:bookmarkEnd w:id="64"/>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bookmarkStart w:id="65" w:name="_Hlk494211890"/>
      <w:r>
        <w:rPr>
          <w:rFonts w:hint="eastAsia" w:asciiTheme="minorEastAsia" w:hAnsiTheme="minorEastAsia" w:eastAsiaTheme="minorEastAsia" w:cstheme="minorEastAsia"/>
          <w:sz w:val="24"/>
          <w:szCs w:val="24"/>
          <w:shd w:val="clear" w:color="auto" w:fill="FFFFFF"/>
        </w:rPr>
        <w:t>依据调查底图，实地逐图斑调查图斑地类，调绘图斑边界，修正国家内业提取的图斑界线。当有更高精度航空影像时，也可根据其影像特征调绘图斑边界。调绘图斑的明显界线与DOM上同名地物移位不得大于图上0.3mm，不明显界线不得大于图上1.0mm。</w:t>
      </w:r>
    </w:p>
    <w:bookmarkEnd w:id="65"/>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对影像未能反映的新增地物应进行补测，采用仪器补测法使用高精度测量设备进行补测，也可采用简易补测法。补测的地物点相对邻近明显地物点距离中误差，平地、丘陵地不得大于2.5m，山地不得大于3.75m，最大误差不超过2倍中误差。</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填写《土地调查记录表（电子手簿）》，记录图斑地类、权属和其他属性信息。</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依据《土地调查新技术试点工作分类》，重点地类认定方法如下。</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耕地</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01耕地指种植农作物的土地，包括熟地,新开发、复垦、整理地，休闲地（含轮歇地、休耕地）；以种植农作物（含蔬菜）为主，间有零星果树、桑树或其他树木的土地；平均每年能保证收获一季的已垦滩地和海涂。耕地中包括南方宽度＜1.0 米，北方宽度＜2.0米固定的沟、渠、路和地坎(埂)；临时种植药材、草皮、花卉、苗木等的耕地，以及其他临时改变用途的耕地。</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drawing>
          <wp:inline distT="0" distB="0" distL="114300" distR="114300">
            <wp:extent cx="2172970" cy="1957070"/>
            <wp:effectExtent l="0" t="0" r="17780" b="5080"/>
            <wp:docPr id="339" name="图片 163" descr="C:\Users\Administrator\Desktop\报告\解译样本1\SMPDATA\PHOTO\PH2017070711440210737433751582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 name="图片 163" descr="C:\Users\Administrator\Desktop\报告\解译样本1\SMPDATA\PHOTO\PH201707071144021073743375158218.jpg"/>
                    <pic:cNvPicPr>
                      <a:picLocks noChangeAspect="1"/>
                    </pic:cNvPicPr>
                  </pic:nvPicPr>
                  <pic:blipFill>
                    <a:blip r:embed="rId31"/>
                    <a:stretch>
                      <a:fillRect/>
                    </a:stretch>
                  </pic:blipFill>
                  <pic:spPr>
                    <a:xfrm>
                      <a:off x="0" y="0"/>
                      <a:ext cx="2172970" cy="1957070"/>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 xml:space="preserve"> 耕地的调查</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园地</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园地（地类代码02）指种植以采集果、叶、根、茎、汁等为主的集约经营的多年生木本和草本作物，覆盖度大于50%或每亩株数大于合理株数70%的土地。包括用于育苗的土地。</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drawing>
          <wp:inline distT="0" distB="0" distL="114300" distR="114300">
            <wp:extent cx="2207895" cy="2082800"/>
            <wp:effectExtent l="0" t="0" r="1905" b="12700"/>
            <wp:docPr id="342" name="图片 165" descr="C:\Users\Administrator\Desktop\报告\解译样本1\SMPDATA\PHOTO\PH2017070714314710722373745251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图片 165" descr="C:\Users\Administrator\Desktop\报告\解译样本1\SMPDATA\PHOTO\PH201707071431471072237374525192.jpg"/>
                    <pic:cNvPicPr>
                      <a:picLocks noChangeAspect="1"/>
                    </pic:cNvPicPr>
                  </pic:nvPicPr>
                  <pic:blipFill>
                    <a:blip r:embed="rId32"/>
                    <a:stretch>
                      <a:fillRect/>
                    </a:stretch>
                  </pic:blipFill>
                  <pic:spPr>
                    <a:xfrm>
                      <a:off x="0" y="0"/>
                      <a:ext cx="2207895" cy="2082800"/>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 xml:space="preserve"> 园地的调查</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林地</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林地（地类代码03）指生长乔木、竹类、灌木的土地，及沿海生长红树林的土地。包括迹地，不包括城镇、村庄范围内的绿化林木用地，铁路、公路征地范围内的林木，以及河流、沟渠的护堤林。</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drawing>
          <wp:inline distT="0" distB="0" distL="114300" distR="114300">
            <wp:extent cx="2226310" cy="2291715"/>
            <wp:effectExtent l="0" t="0" r="2540" b="13335"/>
            <wp:docPr id="344" name="图片 167" descr="C:\Users\Administrator\Desktop\报告\解译样本1\SMPDATA\PHOTO\PH201707061439491072307375543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图片 167" descr="C:\Users\Administrator\Desktop\报告\解译样本1\SMPDATA\PHOTO\PH201707061439491072307375543201.jpg"/>
                    <pic:cNvPicPr>
                      <a:picLocks noChangeAspect="1"/>
                    </pic:cNvPicPr>
                  </pic:nvPicPr>
                  <pic:blipFill>
                    <a:blip r:embed="rId33"/>
                    <a:stretch>
                      <a:fillRect/>
                    </a:stretch>
                  </pic:blipFill>
                  <pic:spPr>
                    <a:xfrm>
                      <a:off x="0" y="0"/>
                      <a:ext cx="2226310" cy="2291715"/>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 xml:space="preserve"> 林地的调查</w:t>
      </w:r>
    </w:p>
    <w:p>
      <w:pPr>
        <w:pStyle w:val="2"/>
        <w:rPr>
          <w:rFonts w:hint="eastAsia"/>
        </w:rPr>
      </w:pP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草地</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草地（地类代码04）指生长草本植物为主的土地。</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drawing>
          <wp:inline distT="0" distB="0" distL="114300" distR="114300">
            <wp:extent cx="2091055" cy="2282190"/>
            <wp:effectExtent l="0" t="0" r="4445" b="3810"/>
            <wp:docPr id="346" name="图片 169" descr="C:\Users\Administrator\Desktop\报告\解译样本2\SMPDATA\PHOTO\PH201707031432141071401375610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图片 169" descr="C:\Users\Administrator\Desktop\报告\解译样本2\SMPDATA\PHOTO\PH201707031432141071401375610041.jpg"/>
                    <pic:cNvPicPr>
                      <a:picLocks noChangeAspect="1"/>
                    </pic:cNvPicPr>
                  </pic:nvPicPr>
                  <pic:blipFill>
                    <a:blip r:embed="rId34"/>
                    <a:stretch>
                      <a:fillRect/>
                    </a:stretch>
                  </pic:blipFill>
                  <pic:spPr>
                    <a:xfrm>
                      <a:off x="0" y="0"/>
                      <a:ext cx="2091055" cy="2282190"/>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 xml:space="preserve"> 草地的调查</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商服用地</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商服用地（地类代码05）指主要用于商业、服务业的土地。</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drawing>
          <wp:inline distT="0" distB="0" distL="114300" distR="114300">
            <wp:extent cx="2010410" cy="2282190"/>
            <wp:effectExtent l="0" t="0" r="8890" b="3810"/>
            <wp:docPr id="349" name="图片 171" descr="C:\Users\Administrator\Desktop\报告\解译样本1\SMPDATA\PHOTO\PH2017070614025510724033746481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 name="图片 171" descr="C:\Users\Administrator\Desktop\报告\解译样本1\SMPDATA\PHOTO\PH201707061402551072403374648172.jpg"/>
                    <pic:cNvPicPr>
                      <a:picLocks noChangeAspect="1"/>
                    </pic:cNvPicPr>
                  </pic:nvPicPr>
                  <pic:blipFill>
                    <a:blip r:embed="rId35"/>
                    <a:stretch>
                      <a:fillRect/>
                    </a:stretch>
                  </pic:blipFill>
                  <pic:spPr>
                    <a:xfrm>
                      <a:off x="0" y="0"/>
                      <a:ext cx="2010410" cy="2282190"/>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商服用地的调查</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工矿仓储用地</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工矿仓储用地（地类代码06）指主要用于工业生产、物资存放场所的土地。</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drawing>
          <wp:inline distT="0" distB="0" distL="114300" distR="114300">
            <wp:extent cx="2078990" cy="2484120"/>
            <wp:effectExtent l="0" t="0" r="16510" b="11430"/>
            <wp:docPr id="351" name="图片 173" descr="C:\Users\Administrator\Desktop\报告\解译样本1\SMPDATA\PHOTO\PH2017070617295410708003806443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 name="图片 173" descr="C:\Users\Administrator\Desktop\报告\解译样本1\SMPDATA\PHOTO\PH201707061729541070800380644351.jpg"/>
                    <pic:cNvPicPr>
                      <a:picLocks noChangeAspect="1"/>
                    </pic:cNvPicPr>
                  </pic:nvPicPr>
                  <pic:blipFill>
                    <a:blip r:embed="rId36"/>
                    <a:stretch>
                      <a:fillRect/>
                    </a:stretch>
                  </pic:blipFill>
                  <pic:spPr>
                    <a:xfrm>
                      <a:off x="0" y="0"/>
                      <a:ext cx="2078990" cy="2484120"/>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工矿仓储用地的调查</w:t>
      </w:r>
    </w:p>
    <w:p>
      <w:pPr>
        <w:spacing w:line="360" w:lineRule="auto"/>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住宅用地</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住宅用地（地类代码07）指主要用于人们生活居住的房基地及其附属设施的土地。</w:t>
      </w:r>
    </w:p>
    <w:p>
      <w:pPr>
        <w:spacing w:before="156" w:beforeLines="50" w:after="156" w:afterLines="50" w:line="360" w:lineRule="auto"/>
        <w:ind w:firstLine="482" w:firstLineChars="200"/>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drawing>
          <wp:inline distT="0" distB="0" distL="114300" distR="114300">
            <wp:extent cx="2117725" cy="2191385"/>
            <wp:effectExtent l="0" t="0" r="15875" b="18415"/>
            <wp:docPr id="353" name="图片 175" descr="C:\Users\Administrator\Desktop\报告\解译样本2\SMPDATA\PHOTO\PH2017070511483510716473753013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 name="图片 175" descr="C:\Users\Administrator\Desktop\报告\解译样本2\SMPDATA\PHOTO\PH201707051148351071647375301329.jpg"/>
                    <pic:cNvPicPr>
                      <a:picLocks noChangeAspect="1"/>
                    </pic:cNvPicPr>
                  </pic:nvPicPr>
                  <pic:blipFill>
                    <a:blip r:embed="rId37"/>
                    <a:stretch>
                      <a:fillRect/>
                    </a:stretch>
                  </pic:blipFill>
                  <pic:spPr>
                    <a:xfrm>
                      <a:off x="0" y="0"/>
                      <a:ext cx="2117725" cy="2191385"/>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住宅用地的调查</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公共管理与公共服务用地</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公共管理与公共服务用地（地类代码08）指用于机关团体、新闻出版、科教文卫、公用设施等的土地。</w:t>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drawing>
          <wp:inline distT="0" distB="0" distL="114300" distR="114300">
            <wp:extent cx="2273300" cy="2064385"/>
            <wp:effectExtent l="0" t="0" r="12700" b="12065"/>
            <wp:docPr id="355" name="图片 177" descr="C:\Users\Administrator\Desktop\报告\解译样本1\SMPDATA\PHOTO\PH201707061935491072405374654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 name="图片 177" descr="C:\Users\Administrator\Desktop\报告\解译样本1\SMPDATA\PHOTO\PH201707061935491072405374654026.jpg"/>
                    <pic:cNvPicPr>
                      <a:picLocks noChangeAspect="1"/>
                    </pic:cNvPicPr>
                  </pic:nvPicPr>
                  <pic:blipFill>
                    <a:blip r:embed="rId38"/>
                    <a:stretch>
                      <a:fillRect/>
                    </a:stretch>
                  </pic:blipFill>
                  <pic:spPr>
                    <a:xfrm>
                      <a:off x="0" y="0"/>
                      <a:ext cx="2273300" cy="2064385"/>
                    </a:xfrm>
                    <a:prstGeom prst="rect">
                      <a:avLst/>
                    </a:prstGeom>
                    <a:noFill/>
                    <a:ln w="9525">
                      <a:noFill/>
                    </a:ln>
                  </pic:spPr>
                </pic:pic>
              </a:graphicData>
            </a:graphic>
          </wp:inline>
        </w:drawing>
      </w:r>
      <w:r>
        <w:rPr>
          <w:rFonts w:hint="eastAsia" w:asciiTheme="minorEastAsia" w:hAnsiTheme="minorEastAsia" w:eastAsiaTheme="minorEastAsia" w:cstheme="minorEastAsia"/>
          <w:b/>
          <w:sz w:val="24"/>
          <w:szCs w:val="24"/>
          <w:shd w:val="clear" w:color="auto" w:fill="FFFFFF"/>
        </w:rPr>
        <w:drawing>
          <wp:inline distT="0" distB="0" distL="114300" distR="114300">
            <wp:extent cx="2117725" cy="2063750"/>
            <wp:effectExtent l="0" t="0" r="15875" b="12700"/>
            <wp:docPr id="356" name="图片 178" descr="C:\Users\Administrator\Desktop\报告\解译样本1\SMPDATA\SMPIMG\RS20170706193549107240537465402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图片 178" descr="C:\Users\Administrator\Desktop\报告\解译样本1\SMPDATA\SMPIMG\RS201707061935491072405374654026.tif"/>
                    <pic:cNvPicPr>
                      <a:picLocks noChangeAspect="1"/>
                    </pic:cNvPicPr>
                  </pic:nvPicPr>
                  <pic:blipFill>
                    <a:blip r:embed="rId39"/>
                    <a:stretch>
                      <a:fillRect/>
                    </a:stretch>
                  </pic:blipFill>
                  <pic:spPr>
                    <a:xfrm>
                      <a:off x="0" y="0"/>
                      <a:ext cx="2117725" cy="2063750"/>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 xml:space="preserve"> 公共管理与公共服务用地的调查</w:t>
      </w:r>
    </w:p>
    <w:p>
      <w:pPr>
        <w:spacing w:line="360" w:lineRule="auto"/>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特殊用地</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特殊用地（地类代码09）指用于军事设施、涉外、宗教、监教、殡葬、风景名胜等的土地。</w:t>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sz w:val="24"/>
          <w:szCs w:val="24"/>
        </w:rPr>
        <w:drawing>
          <wp:inline distT="0" distB="0" distL="114300" distR="114300">
            <wp:extent cx="2581910" cy="1988820"/>
            <wp:effectExtent l="0" t="0" r="8890" b="11430"/>
            <wp:docPr id="357" name="图片 179" descr="https://timgsa.baidu.com/timg?image&amp;quality=80&amp;size=b9999_10000&amp;sec=1519446898379&amp;di=0d3521e2a67451b4a6f31f982093a2e7&amp;imgtype=0&amp;src=http%3A%2F%2Fyouimg1.c-ctrip.com%2Ftarget%2Ftg%2F830%2F221%2F619%2Fe56ac28a00204309b5c86f880f35597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 name="图片 179" descr="https://timgsa.baidu.com/timg?image&amp;quality=80&amp;size=b9999_10000&amp;sec=1519446898379&amp;di=0d3521e2a67451b4a6f31f982093a2e7&amp;imgtype=0&amp;src=http%3A%2F%2Fyouimg1.c-ctrip.com%2Ftarget%2Ftg%2F830%2F221%2F619%2Fe56ac28a00204309b5c86f880f35597e.jpg"/>
                    <pic:cNvPicPr>
                      <a:picLocks noChangeAspect="1"/>
                    </pic:cNvPicPr>
                  </pic:nvPicPr>
                  <pic:blipFill>
                    <a:blip r:embed="rId40"/>
                    <a:stretch>
                      <a:fillRect/>
                    </a:stretch>
                  </pic:blipFill>
                  <pic:spPr>
                    <a:xfrm>
                      <a:off x="0" y="0"/>
                      <a:ext cx="2581910" cy="1988820"/>
                    </a:xfrm>
                    <a:prstGeom prst="rect">
                      <a:avLst/>
                    </a:prstGeom>
                    <a:noFill/>
                    <a:ln w="9525">
                      <a:noFill/>
                    </a:ln>
                  </pic:spPr>
                </pic:pic>
              </a:graphicData>
            </a:graphic>
          </wp:inline>
        </w:drawing>
      </w:r>
      <w:r>
        <w:rPr>
          <w:rFonts w:hint="eastAsia" w:asciiTheme="minorEastAsia" w:hAnsiTheme="minorEastAsia" w:eastAsiaTheme="minorEastAsia" w:cstheme="minorEastAsia"/>
          <w:b/>
          <w:sz w:val="24"/>
          <w:szCs w:val="24"/>
          <w:shd w:val="clear" w:color="auto" w:fill="FFFFFF"/>
        </w:rPr>
        <w:drawing>
          <wp:inline distT="0" distB="0" distL="114300" distR="114300">
            <wp:extent cx="2117725" cy="1991360"/>
            <wp:effectExtent l="0" t="0" r="15875" b="8890"/>
            <wp:docPr id="358" name="图片 180" descr="C:\Users\Administrator\Desktop\报告\解译样本1\SMPDATA\SMPIMG\RS201707061922261072134374404129.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图片 180" descr="C:\Users\Administrator\Desktop\报告\解译样本1\SMPDATA\SMPIMG\RS201707061922261072134374404129.tif"/>
                    <pic:cNvPicPr>
                      <a:picLocks noChangeAspect="1"/>
                    </pic:cNvPicPr>
                  </pic:nvPicPr>
                  <pic:blipFill>
                    <a:blip r:embed="rId41"/>
                    <a:stretch>
                      <a:fillRect/>
                    </a:stretch>
                  </pic:blipFill>
                  <pic:spPr>
                    <a:xfrm>
                      <a:off x="0" y="0"/>
                      <a:ext cx="2117725" cy="1991360"/>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特殊用地的调查</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交通运输用地</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交通运输用地（地类代码10）指用于运输通行的地面线路、场站等的土地。包括民用机场、汽车客货运场站、港口、码头、地面运输管道和各种道路以及轨道交通用地。</w:t>
      </w:r>
    </w:p>
    <w:p>
      <w:pPr>
        <w:spacing w:before="156" w:beforeLines="50" w:after="156" w:afterLines="50"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inline distT="0" distB="0" distL="114300" distR="114300">
            <wp:extent cx="2349500" cy="1757045"/>
            <wp:effectExtent l="0" t="0" r="12700" b="14605"/>
            <wp:docPr id="359" name="图片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 name="图片 181"/>
                    <pic:cNvPicPr>
                      <a:picLocks noChangeAspect="1"/>
                    </pic:cNvPicPr>
                  </pic:nvPicPr>
                  <pic:blipFill>
                    <a:blip r:embed="rId42"/>
                    <a:stretch>
                      <a:fillRect/>
                    </a:stretch>
                  </pic:blipFill>
                  <pic:spPr>
                    <a:xfrm>
                      <a:off x="0" y="0"/>
                      <a:ext cx="2349500" cy="1757045"/>
                    </a:xfrm>
                    <a:prstGeom prst="rect">
                      <a:avLst/>
                    </a:prstGeom>
                    <a:noFill/>
                    <a:ln w="9525">
                      <a:noFill/>
                    </a:ln>
                  </pic:spPr>
                </pic:pic>
              </a:graphicData>
            </a:graphic>
          </wp:inline>
        </w:drawing>
      </w:r>
      <w:r>
        <w:rPr>
          <w:rFonts w:hint="eastAsia" w:asciiTheme="minorEastAsia" w:hAnsiTheme="minorEastAsia" w:eastAsiaTheme="minorEastAsia" w:cstheme="minorEastAsia"/>
          <w:sz w:val="24"/>
          <w:szCs w:val="24"/>
        </w:rPr>
        <w:drawing>
          <wp:inline distT="0" distB="0" distL="114300" distR="114300">
            <wp:extent cx="2369820" cy="1746885"/>
            <wp:effectExtent l="0" t="0" r="11430" b="5715"/>
            <wp:docPr id="360" name="图片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图片 182"/>
                    <pic:cNvPicPr>
                      <a:picLocks noChangeAspect="1"/>
                    </pic:cNvPicPr>
                  </pic:nvPicPr>
                  <pic:blipFill>
                    <a:blip r:embed="rId43"/>
                    <a:stretch>
                      <a:fillRect/>
                    </a:stretch>
                  </pic:blipFill>
                  <pic:spPr>
                    <a:xfrm>
                      <a:off x="0" y="0"/>
                      <a:ext cx="2369820" cy="1746885"/>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 xml:space="preserve"> 交通运输用地的调查</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水域及水利设施用地</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水域及水利设施用地（地类代码11）指陆地水域，滩涂、沟渠、沼泽、水工建筑物等用地。不包括滞洪区和已垦滩涂中的耕地、园地、林地、城镇、村庄、道路等用地。</w:t>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drawing>
          <wp:inline distT="0" distB="0" distL="114300" distR="114300">
            <wp:extent cx="2101215" cy="2282190"/>
            <wp:effectExtent l="0" t="0" r="13335" b="3810"/>
            <wp:docPr id="361" name="图片 183" descr="C:\Users\Administrator\Desktop\报告\解译样本1\SMPDATA\PHOTO\PH2017070713311210714343746501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 name="图片 183" descr="C:\Users\Administrator\Desktop\报告\解译样本1\SMPDATA\PHOTO\PH201707071331121071434374650169.jpg"/>
                    <pic:cNvPicPr>
                      <a:picLocks noChangeAspect="1"/>
                    </pic:cNvPicPr>
                  </pic:nvPicPr>
                  <pic:blipFill>
                    <a:blip r:embed="rId44"/>
                    <a:stretch>
                      <a:fillRect/>
                    </a:stretch>
                  </pic:blipFill>
                  <pic:spPr>
                    <a:xfrm>
                      <a:off x="0" y="0"/>
                      <a:ext cx="2101215" cy="2282190"/>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水域及水利设施用地的调查</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其他土地</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其他土地（地类代码12）指上述地类以外的其它类型的土地。</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drawing>
          <wp:inline distT="0" distB="0" distL="114300" distR="114300">
            <wp:extent cx="2416175" cy="2191385"/>
            <wp:effectExtent l="0" t="0" r="3175" b="18415"/>
            <wp:docPr id="363" name="图片 185" descr="C:\Users\Administrator\Desktop\报告\解译样本2\SMPDATA\PHOTO\PH2017070514444510716573759103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 name="图片 185" descr="C:\Users\Administrator\Desktop\报告\解译样本2\SMPDATA\PHOTO\PH201707051444451071657375910315.jpg"/>
                    <pic:cNvPicPr>
                      <a:picLocks noChangeAspect="1"/>
                    </pic:cNvPicPr>
                  </pic:nvPicPr>
                  <pic:blipFill>
                    <a:blip r:embed="rId45"/>
                    <a:stretch>
                      <a:fillRect/>
                    </a:stretch>
                  </pic:blipFill>
                  <pic:spPr>
                    <a:xfrm>
                      <a:off x="0" y="0"/>
                      <a:ext cx="2416175" cy="2191385"/>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其他土地的调查</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66" w:name="_Toc507256716"/>
      <w:bookmarkStart w:id="67" w:name="_Toc508966695"/>
      <w:r>
        <w:rPr>
          <w:rFonts w:hint="eastAsia" w:asciiTheme="minorEastAsia" w:hAnsiTheme="minorEastAsia" w:eastAsiaTheme="minorEastAsia" w:cstheme="minorEastAsia"/>
          <w:b/>
          <w:sz w:val="24"/>
          <w:szCs w:val="24"/>
          <w:shd w:val="clear" w:color="auto" w:fill="FFFFFF"/>
        </w:rPr>
        <w:t xml:space="preserve"> 线状地物调查</w:t>
      </w:r>
      <w:bookmarkEnd w:id="66"/>
      <w:bookmarkEnd w:id="67"/>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铁路、公路、农村道路、河流和沟渠等线状地物以图斑方式调查，线状地物图斑被调查界线、土地权属界线分割的，按不同图斑调查上图。</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线状地物调查充分利用交通及水利等部门的相关资料，保证道路和水系的连通性。</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线状地物交叉的处理</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线状地物发生交会时，从上向下俯视，上部的线状地物连续表示，下压的线状地物断在交叉处。线状地物穿过隧道时，线状地物断在隧道两端。面积计算时，只计算上面线状地物的面积。</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drawing>
          <wp:inline distT="0" distB="0" distL="114300" distR="114300">
            <wp:extent cx="4772660" cy="2346325"/>
            <wp:effectExtent l="0" t="0" r="8890" b="15875"/>
            <wp:docPr id="365" name="图片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 name="图片 187"/>
                    <pic:cNvPicPr>
                      <a:picLocks noChangeAspect="1"/>
                    </pic:cNvPicPr>
                  </pic:nvPicPr>
                  <pic:blipFill>
                    <a:blip r:embed="rId46"/>
                    <a:stretch>
                      <a:fillRect/>
                    </a:stretch>
                  </pic:blipFill>
                  <pic:spPr>
                    <a:xfrm>
                      <a:off x="0" y="0"/>
                      <a:ext cx="4772660" cy="2346325"/>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 xml:space="preserve"> 线状地物调查</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宽度量算</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线状地物边界依据影像特征调绘，对宽度较小的农村道路或沟渠等影像不能准确调绘的，按照原有单线线状地物的走向和宽度以图斑的形式上图。</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对宽度较小的农村道路或沟渠等影像不能准确调绘的，按照原有单线线状地物的走向和宽度进行上图。</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可采用缓冲区的方法形成图斑，保持面积不变，即采用线状地物地块化。</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68" w:name="_Toc507256717"/>
      <w:bookmarkStart w:id="69" w:name="_Toc508966696"/>
      <w:r>
        <w:rPr>
          <w:rFonts w:hint="eastAsia" w:asciiTheme="minorEastAsia" w:hAnsiTheme="minorEastAsia" w:eastAsiaTheme="minorEastAsia" w:cstheme="minorEastAsia"/>
          <w:b/>
          <w:sz w:val="24"/>
          <w:szCs w:val="24"/>
          <w:shd w:val="clear" w:color="auto" w:fill="FFFFFF"/>
        </w:rPr>
        <w:t xml:space="preserve"> 图斑标注</w:t>
      </w:r>
      <w:bookmarkEnd w:id="68"/>
      <w:bookmarkEnd w:id="69"/>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耕地种植属性标注</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根据耕地的实际利用状况标注，耕种—GZ、未耕种—WG、休耕—XG、园木—YM、林木—LM、绿化草地—LH、牧草—MC和坑塘—KT。</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园地细化标注</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对林业部门调查的林区内的园地，按园地调查，如果原土地调查数据库是林地标注，林区园地—LQYD。</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草地标注</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对灌木覆盖度大于等于30%小于40%的草地图斑，对于草覆盖度大于等于5%小于10%的草地图斑，分别标注，灌丛草地—GCCD，稀疏草地—XSCD。</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工业仓储用地细化标注</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根据工业仓储用地的实际利用状况标注，火电工业用地—HDGY、钢铁工业用地—GTGY、煤矿工业用地—MKGY、水泥工业用地—SNGY、玻璃工业用地—BLGY和电解铝工业用地—DLGY。</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城镇村及工矿用地标注</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对城市、建制镇和村庄范围内的地类图斑标注，城市—201、建制镇—202或村庄用地—203；</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城镇村庄外部的采矿用地、盐田、空闲地和特殊用地应按实地利用现状调查标注，盐田及采矿用地—204或特殊用地—205；</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城镇村庄内部的采矿用地、盐田、空闲地和特殊用地根据其坐落标注；</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对城市、建制镇和村庄范围内的独立工业仓储用地分别标注为“201A”、“202A”和“203A”。</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70" w:name="_Toc508966697"/>
      <w:bookmarkStart w:id="71" w:name="_Toc507256718"/>
      <w:r>
        <w:rPr>
          <w:rFonts w:hint="eastAsia" w:asciiTheme="minorEastAsia" w:hAnsiTheme="minorEastAsia" w:eastAsiaTheme="minorEastAsia" w:cstheme="minorEastAsia"/>
          <w:b/>
          <w:sz w:val="24"/>
          <w:szCs w:val="24"/>
          <w:shd w:val="clear" w:color="auto" w:fill="FFFFFF"/>
        </w:rPr>
        <w:t>田坎调查</w:t>
      </w:r>
      <w:bookmarkEnd w:id="70"/>
      <w:bookmarkEnd w:id="71"/>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总体要求</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田坎调查采用系数扣除方法进行调查。田坎按图斑调查，按省级调查精度标准统一。第二次土地调查测算的田坎系数，如无特殊变化可继续沿用。</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系数测算</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耕地坡度分级</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耕地分5个坡度级（上含下不含）。坡度≤2°的视为平地，其他分为梯田和坡地两类。</w:t>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 xml:space="preserve"> 耕地坡度分级及代码</w:t>
      </w:r>
    </w:p>
    <w:tbl>
      <w:tblPr>
        <w:tblStyle w:val="10"/>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07"/>
        <w:gridCol w:w="1408"/>
        <w:gridCol w:w="1433"/>
        <w:gridCol w:w="1433"/>
        <w:gridCol w:w="1433"/>
        <w:gridCol w:w="14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07"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坡度分级</w:t>
            </w:r>
          </w:p>
        </w:tc>
        <w:tc>
          <w:tcPr>
            <w:tcW w:w="1408"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w:t>
            </w:r>
          </w:p>
        </w:tc>
        <w:tc>
          <w:tcPr>
            <w:tcW w:w="1433"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2°～6°</w:t>
            </w:r>
          </w:p>
        </w:tc>
        <w:tc>
          <w:tcPr>
            <w:tcW w:w="1433"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6°～15°</w:t>
            </w:r>
          </w:p>
        </w:tc>
        <w:tc>
          <w:tcPr>
            <w:tcW w:w="1433"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15°～25°</w:t>
            </w:r>
          </w:p>
        </w:tc>
        <w:tc>
          <w:tcPr>
            <w:tcW w:w="1408"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07"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坡度级代码</w:t>
            </w:r>
          </w:p>
        </w:tc>
        <w:tc>
          <w:tcPr>
            <w:tcW w:w="1408"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w:t>
            </w:r>
          </w:p>
        </w:tc>
        <w:tc>
          <w:tcPr>
            <w:tcW w:w="1433"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w:t>
            </w:r>
          </w:p>
        </w:tc>
        <w:tc>
          <w:tcPr>
            <w:tcW w:w="1433"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w:t>
            </w:r>
          </w:p>
        </w:tc>
        <w:tc>
          <w:tcPr>
            <w:tcW w:w="1433"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4</w:t>
            </w:r>
          </w:p>
        </w:tc>
        <w:tc>
          <w:tcPr>
            <w:tcW w:w="1408"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5</w:t>
            </w:r>
          </w:p>
        </w:tc>
      </w:tr>
    </w:tbl>
    <w:p>
      <w:pPr>
        <w:spacing w:before="156" w:beforeLines="50" w:after="156" w:afterLines="50" w:line="360" w:lineRule="auto"/>
        <w:rPr>
          <w:rFonts w:hint="eastAsia" w:asciiTheme="minorEastAsia" w:hAnsiTheme="minorEastAsia" w:eastAsiaTheme="minorEastAsia" w:cstheme="minorEastAsia"/>
          <w:sz w:val="24"/>
          <w:szCs w:val="24"/>
          <w:shd w:val="clear" w:color="auto" w:fill="FFFFFF"/>
        </w:rPr>
      </w:pP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土地调查数据库建成后，依据DEM生成坡度图，套合耕地图斑，生成耕地坡度图，计算不同坡度级的耕地面积。</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耕地田坎系数测算</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坡度大于2°时，测算耕地田坎系数。</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按耕地分布、地形地貌相似性等特征，对完整省（区、市）辖区分区。区内按不同坡度级和坡地、梯田类型分组，选择样方、测算系数。样方应均匀分布，每组数量不少于30个，单个样方不小于0.4hm</w:t>
      </w:r>
      <w:r>
        <w:rPr>
          <w:rFonts w:hint="eastAsia" w:asciiTheme="minorEastAsia" w:hAnsiTheme="minorEastAsia" w:eastAsiaTheme="minorEastAsia" w:cstheme="minorEastAsia"/>
          <w:sz w:val="24"/>
          <w:szCs w:val="24"/>
          <w:shd w:val="clear" w:color="auto" w:fill="FFFFFF"/>
          <w:vertAlign w:val="superscript"/>
        </w:rPr>
        <w:t>2</w:t>
      </w:r>
      <w:r>
        <w:rPr>
          <w:rFonts w:hint="eastAsia" w:asciiTheme="minorEastAsia" w:hAnsiTheme="minorEastAsia" w:eastAsiaTheme="minorEastAsia" w:cstheme="minorEastAsia"/>
          <w:sz w:val="24"/>
          <w:szCs w:val="24"/>
          <w:shd w:val="clear" w:color="auto" w:fill="FFFFFF"/>
        </w:rPr>
        <w:t>。</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实测样方中的田坎面积，计算样方田坎系数，即田坎面积占扣除其他线状地物后样方面积的比例（%）。</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当同组样方田坎系数相对集中、最大值不超过最小值的30%时，取其算术平均数，作为该组田坎系数。</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72" w:name="_Toc508966698"/>
      <w:bookmarkStart w:id="73" w:name="_Toc507256719"/>
      <w:r>
        <w:rPr>
          <w:rFonts w:hint="eastAsia" w:asciiTheme="minorEastAsia" w:hAnsiTheme="minorEastAsia" w:eastAsiaTheme="minorEastAsia" w:cstheme="minorEastAsia"/>
          <w:b/>
          <w:sz w:val="24"/>
          <w:szCs w:val="24"/>
          <w:shd w:val="clear" w:color="auto" w:fill="FFFFFF"/>
        </w:rPr>
        <w:t xml:space="preserve"> 图斑举证</w:t>
      </w:r>
      <w:bookmarkEnd w:id="72"/>
      <w:bookmarkEnd w:id="73"/>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按照以实地现状认定地类的原则，对国家内业提取的变化图斑进行调查核实，采用内外业相结合的方法对其他变化图斑进行调查。为保证实地现状与调查成果的一致性，对调查成果进行国家级核查。根据国家核查的工作要求，对重点变化图斑进行互联网+举证，国家将以图斑的遥感影像特征和实地举证照片为依据进行核查。</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.需要举证的图斑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无论是否按照国家提取地类和范围调查，以下重点地类的变化必须实地拍照举证。</w:t>
      </w:r>
    </w:p>
    <w:p>
      <w:pPr>
        <w:widowControl w:val="0"/>
        <w:numPr>
          <w:ilvl w:val="0"/>
          <w:numId w:val="7"/>
        </w:numPr>
        <w:tabs>
          <w:tab w:val="left" w:pos="425"/>
        </w:tabs>
        <w:spacing w:before="156" w:beforeLines="50" w:after="156" w:afterLines="50" w:line="360" w:lineRule="auto"/>
        <w:jc w:val="both"/>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建设用地变化图斑</w:t>
      </w:r>
    </w:p>
    <w:p>
      <w:pPr>
        <w:spacing w:before="156" w:beforeLines="50" w:after="156" w:afterLines="50" w:line="360" w:lineRule="auto"/>
        <w:ind w:left="48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相对原数据库新增的建设用地图斑。</w:t>
      </w:r>
    </w:p>
    <w:p>
      <w:pPr>
        <w:widowControl w:val="0"/>
        <w:numPr>
          <w:ilvl w:val="0"/>
          <w:numId w:val="7"/>
        </w:numPr>
        <w:tabs>
          <w:tab w:val="left" w:pos="425"/>
        </w:tabs>
        <w:spacing w:before="156" w:beforeLines="50" w:after="156" w:afterLines="50" w:line="360" w:lineRule="auto"/>
        <w:jc w:val="both"/>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耕地变化图斑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包括新增耕地、耕地内部变化图斑（原数据库地类为水田或水浇地，调查地类为旱地或原数据库地类为旱地，调查地类为水田或水浇地的）。</w:t>
      </w:r>
    </w:p>
    <w:p>
      <w:pPr>
        <w:widowControl w:val="0"/>
        <w:numPr>
          <w:ilvl w:val="0"/>
          <w:numId w:val="7"/>
        </w:numPr>
        <w:tabs>
          <w:tab w:val="left" w:pos="425"/>
        </w:tabs>
        <w:spacing w:before="156" w:beforeLines="50" w:after="156" w:afterLines="50" w:line="360" w:lineRule="auto"/>
        <w:jc w:val="both"/>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农用地变化为未利用地图斑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包括原数据库地类为农用地，调查地类为未利用地的图斑。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对地方未按国家内业提取变化图斑地类和范围变化的所有图斑，需要进行举证。</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对国家未提取变化图斑的区域，图斑地类与原数据库地类不一致的地类图斑，原则上需要进行举证。</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图斑举证要求</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使用带卫星定位功能和方向传感器的手机，利用国家统一下发的互联网+举证软件，拍摄包含图斑实地GPS坐标、拍摄方位角、拍摄时间、实地照片及举证说明等综合信息的加密举证数据包，报送至国家举证平台，国家将以图斑的遥感影像特征和实地举证照片为依据进行核查。举证照片包括图斑全景照片、局部近景照片、利用特征照片三类，对未提交举证照片或提交的举证照片不能说明图斑变化情况的，国家核查将认定为不通过图斑。</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举证照片拍摄要求</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举证照片应在图斑实地拍摄，拍摄方向能够反映图斑实际利用现状。</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shd w:val="clear" w:color="auto" w:fill="FFFFFF"/>
        </w:rPr>
        <w:t>举证照片包括图斑全景照片、局部近景照片、利用特征照片三类。对调查地类与影像不一致区域应拍摄局部近景照片举证，根据需要拍摄农作物特征或新增建设用地内部以及设施农用地内部等利用特征照片举证。</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74" w:name="_Toc508966699"/>
      <w:bookmarkStart w:id="75" w:name="_Toc507256720"/>
      <w:r>
        <w:rPr>
          <w:rFonts w:hint="eastAsia" w:asciiTheme="minorEastAsia" w:hAnsiTheme="minorEastAsia" w:eastAsiaTheme="minorEastAsia" w:cstheme="minorEastAsia"/>
          <w:b/>
          <w:sz w:val="24"/>
          <w:szCs w:val="24"/>
          <w:shd w:val="clear" w:color="auto" w:fill="FFFFFF"/>
        </w:rPr>
        <w:t>面积计算</w:t>
      </w:r>
      <w:bookmarkEnd w:id="74"/>
      <w:bookmarkEnd w:id="75"/>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图斑面积及图斑地类面积</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图斑面积与图斑地类面积一致，按田坎系数扣除的耕地图斑面积除外。</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按田坎系数扣除的耕地图斑地类面积为耕地图斑面积减去按系数扣除的田坎面积。</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田坎面积</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实测的田坎面积计算方法与图斑面积计算方法一致。</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按系数扣除的田坎面积，等于耕地图斑面积与田坎系数的乘积。</w:t>
      </w:r>
    </w:p>
    <w:bookmarkEnd w:id="60"/>
    <w:p>
      <w:pPr>
        <w:pStyle w:val="5"/>
        <w:spacing w:line="360" w:lineRule="auto"/>
        <w:ind w:firstLine="602"/>
        <w:outlineLvl w:val="4"/>
        <w:rPr>
          <w:rFonts w:hint="eastAsia" w:asciiTheme="minorEastAsia" w:hAnsiTheme="minorEastAsia" w:eastAsiaTheme="minorEastAsia" w:cstheme="minorEastAsia"/>
          <w:sz w:val="24"/>
          <w:szCs w:val="24"/>
        </w:rPr>
      </w:pPr>
      <w:bookmarkStart w:id="76" w:name="_Toc522794967"/>
      <w:bookmarkStart w:id="77" w:name="_Toc507256721"/>
      <w:bookmarkStart w:id="78" w:name="_Toc508966700"/>
      <w:bookmarkStart w:id="79" w:name="_Toc1661"/>
      <w:bookmarkStart w:id="80" w:name="_Toc507257771"/>
      <w:bookmarkStart w:id="81" w:name="_Toc524979662"/>
      <w:bookmarkStart w:id="82" w:name="_Toc516510630"/>
      <w:bookmarkStart w:id="83" w:name="_Toc507256729"/>
      <w:r>
        <w:rPr>
          <w:rFonts w:hint="eastAsia" w:asciiTheme="minorEastAsia" w:hAnsiTheme="minorEastAsia" w:eastAsiaTheme="minorEastAsia" w:cstheme="minorEastAsia"/>
          <w:sz w:val="24"/>
          <w:szCs w:val="24"/>
          <w:lang w:val="en-US" w:eastAsia="zh-CN"/>
        </w:rPr>
        <w:t>（4）</w:t>
      </w:r>
      <w:r>
        <w:rPr>
          <w:rFonts w:hint="eastAsia" w:asciiTheme="minorEastAsia" w:hAnsiTheme="minorEastAsia" w:eastAsiaTheme="minorEastAsia" w:cstheme="minorEastAsia"/>
          <w:sz w:val="24"/>
          <w:szCs w:val="24"/>
        </w:rPr>
        <w:t>城镇村庄内部土地利用现状调查</w:t>
      </w:r>
      <w:bookmarkEnd w:id="76"/>
      <w:bookmarkEnd w:id="77"/>
      <w:bookmarkEnd w:id="78"/>
      <w:bookmarkEnd w:id="79"/>
      <w:bookmarkEnd w:id="80"/>
      <w:bookmarkEnd w:id="81"/>
      <w:bookmarkEnd w:id="82"/>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开展城镇村内部土地利用现状调查，查清城镇内部商服、工业、仓储、住宅、公共管理与公共服务和特殊用地等各类土地利用状况，满足空间规划编制、供给侧结构性改革、生态文明建设、土地用途管制等工作需要，提升国土资源管理精准化水平,促进国家治理体系和治理能力现代化，服务和支撑国民经济和社会发展。在城镇内部土地利用现状调查基础上，进一步完善土地调查、监测和统计制度，探索并推进城镇村庄全覆盖的不动产权籍调查。</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全面收集城镇村、城镇及村庄调查区域内地籍调查相关数据，依据城镇村土地利用调查技术方案，制定城镇村庄内部土地利用现状调查技术路线。</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84" w:name="_Toc508966701"/>
      <w:bookmarkStart w:id="85" w:name="_Toc507256722"/>
      <w:bookmarkStart w:id="86" w:name="_Toc507257772"/>
      <w:r>
        <w:rPr>
          <w:rFonts w:hint="eastAsia" w:asciiTheme="minorEastAsia" w:hAnsiTheme="minorEastAsia" w:eastAsiaTheme="minorEastAsia" w:cstheme="minorEastAsia"/>
          <w:b/>
          <w:sz w:val="24"/>
          <w:szCs w:val="24"/>
          <w:shd w:val="clear" w:color="auto" w:fill="FFFFFF"/>
        </w:rPr>
        <w:t>准备工作</w:t>
      </w:r>
      <w:bookmarkEnd w:id="84"/>
      <w:bookmarkEnd w:id="85"/>
      <w:bookmarkEnd w:id="86"/>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87" w:name="_Toc507257773"/>
      <w:bookmarkStart w:id="88" w:name="_Toc508966702"/>
      <w:bookmarkStart w:id="89" w:name="_Toc507256723"/>
      <w:r>
        <w:rPr>
          <w:rFonts w:hint="eastAsia" w:asciiTheme="minorEastAsia" w:hAnsiTheme="minorEastAsia" w:eastAsiaTheme="minorEastAsia" w:cstheme="minorEastAsia"/>
          <w:b/>
          <w:sz w:val="24"/>
          <w:szCs w:val="24"/>
          <w:shd w:val="clear" w:color="auto" w:fill="FFFFFF"/>
        </w:rPr>
        <w:t>资料准备</w:t>
      </w:r>
      <w:bookmarkEnd w:id="87"/>
      <w:bookmarkEnd w:id="88"/>
      <w:bookmarkEnd w:id="89"/>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收集调查范围内的地籍调查、地名地址、城镇村庄规划、城镇村庄大比例尺地形图、土地审批、土地供应、土地登记、土地整治、国土执法监察等其他相关资料。</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90" w:name="_Toc507256724"/>
      <w:bookmarkStart w:id="91" w:name="_Toc507257774"/>
      <w:bookmarkStart w:id="92" w:name="_Toc508966703"/>
      <w:r>
        <w:rPr>
          <w:rFonts w:hint="eastAsia" w:asciiTheme="minorEastAsia" w:hAnsiTheme="minorEastAsia" w:eastAsiaTheme="minorEastAsia" w:cstheme="minorEastAsia"/>
          <w:b/>
          <w:sz w:val="24"/>
          <w:szCs w:val="24"/>
          <w:shd w:val="clear" w:color="auto" w:fill="FFFFFF"/>
        </w:rPr>
        <w:t>数据准备</w:t>
      </w:r>
      <w:bookmarkEnd w:id="90"/>
      <w:bookmarkEnd w:id="91"/>
      <w:bookmarkEnd w:id="92"/>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接收项目区域城镇村庄内部土地利用现状调查相关数据，包含正射影像图、地籍调查数据、城镇规划数据、地理国情普查数据、土地登记数据及土地供应数据。</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93" w:name="_Toc508966704"/>
      <w:bookmarkStart w:id="94" w:name="_Toc507256725"/>
      <w:bookmarkStart w:id="95" w:name="_Toc507257775"/>
      <w:r>
        <w:rPr>
          <w:rFonts w:hint="eastAsia" w:asciiTheme="minorEastAsia" w:hAnsiTheme="minorEastAsia" w:eastAsiaTheme="minorEastAsia" w:cstheme="minorEastAsia"/>
          <w:b/>
          <w:sz w:val="24"/>
          <w:szCs w:val="24"/>
          <w:shd w:val="clear" w:color="auto" w:fill="FFFFFF"/>
        </w:rPr>
        <w:t>技术与人员准备</w:t>
      </w:r>
      <w:bookmarkEnd w:id="93"/>
      <w:bookmarkEnd w:id="94"/>
      <w:bookmarkEnd w:id="95"/>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组织学习土地利用现状调查相关标准与技术规范，充分做好调查技术准备，制定符合本区域特色的调查方案，依据土地利用现状调查相关技术与人员需求，拟定培训计划，学习掌握土地调查总体方案、实施方案、分类体系、规程规范、技术要求、精度指标、数据标准和成果内容，分析把握遥感影像、地籍调查、土地登记、土地供应、城镇规划、国情普查、城镇建设等数据之间的内在关系、相互转换、检查印证的规律；培训结束后，所有人员均应通过培训考核。</w:t>
      </w:r>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学习掌握土地调查工作方案、总体方案、实施方案、分类体系、规程规范、技术要求、精度指标、数据标准和成果要求等政策文件和技术标准；</w:t>
      </w:r>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优先使用最新的0.2米分辨率正射影像图作为工作底图；或者使用2014年以后的0.2米以上分辨率正射影像图；</w:t>
      </w:r>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分析把握遥感影像、地籍调查、土地登记、土地供应、地形图、城镇规划、国情普查、城镇建设等数据之间的内在关系、相互转换、检查印证的规律；</w:t>
      </w:r>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整理分析遥感影像、地籍调查、土地登记、土地供应、城镇规划、地形图、国情普查、城镇建设等数据；转换为2000国家大地坐标系，并对转换精度进行分析评价。</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96" w:name="_Toc507256726"/>
      <w:bookmarkStart w:id="97" w:name="_Toc508966705"/>
      <w:bookmarkStart w:id="98" w:name="_Toc507257776"/>
      <w:r>
        <w:rPr>
          <w:rFonts w:hint="eastAsia" w:asciiTheme="minorEastAsia" w:hAnsiTheme="minorEastAsia" w:eastAsiaTheme="minorEastAsia" w:cstheme="minorEastAsia"/>
          <w:b/>
          <w:sz w:val="24"/>
          <w:szCs w:val="24"/>
          <w:shd w:val="clear" w:color="auto" w:fill="FFFFFF"/>
        </w:rPr>
        <w:t xml:space="preserve"> 调查底图制作</w:t>
      </w:r>
      <w:bookmarkEnd w:id="96"/>
      <w:bookmarkEnd w:id="97"/>
      <w:bookmarkEnd w:id="98"/>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城镇内部土地利用现状调查底图制作</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以DOM为基础，结合地籍调查、地名地址、城镇规划图及地形图等资料，采用数据转换、抽取或数字化等方法，制作城镇内部土地利用现状调查底图。</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村庄内部土地利用现状调查底图制作</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以DOM为基础，结合村庄地籍调查、地名地址、土地整治等资料，采用数字化或数据转换、抽取等方法，主要绘制村庄调查范围内的公用道路、水塘、成片林木等村庄土地利用框架，制作村庄内部土地利用现状调查底图。</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99" w:name="_Toc508966706"/>
      <w:r>
        <w:rPr>
          <w:rFonts w:hint="eastAsia" w:asciiTheme="minorEastAsia" w:hAnsiTheme="minorEastAsia" w:eastAsiaTheme="minorEastAsia" w:cstheme="minorEastAsia"/>
          <w:b/>
          <w:sz w:val="24"/>
          <w:szCs w:val="24"/>
          <w:shd w:val="clear" w:color="auto" w:fill="FFFFFF"/>
        </w:rPr>
        <w:t xml:space="preserve"> 城镇土地调查</w:t>
      </w:r>
      <w:bookmarkEnd w:id="99"/>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00" w:name="_Toc508966707"/>
      <w:r>
        <w:rPr>
          <w:rFonts w:hint="eastAsia" w:asciiTheme="minorEastAsia" w:hAnsiTheme="minorEastAsia" w:eastAsiaTheme="minorEastAsia" w:cstheme="minorEastAsia"/>
          <w:b/>
          <w:sz w:val="24"/>
          <w:szCs w:val="24"/>
          <w:shd w:val="clear" w:color="auto" w:fill="FFFFFF"/>
        </w:rPr>
        <w:t xml:space="preserve"> 调查范围</w:t>
      </w:r>
      <w:bookmarkEnd w:id="100"/>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依据遥感影像特征，参照二次调查、变更调查确定的城市(201)、建制镇(202)范围，划定城镇土地调查工作边界。</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01" w:name="_Toc508966708"/>
      <w:r>
        <w:rPr>
          <w:rFonts w:hint="eastAsia" w:asciiTheme="minorEastAsia" w:hAnsiTheme="minorEastAsia" w:eastAsiaTheme="minorEastAsia" w:cstheme="minorEastAsia"/>
          <w:b/>
          <w:sz w:val="24"/>
          <w:szCs w:val="24"/>
          <w:shd w:val="clear" w:color="auto" w:fill="FFFFFF"/>
        </w:rPr>
        <w:t>调查技术路线</w:t>
      </w:r>
      <w:bookmarkEnd w:id="101"/>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归纳、分析接收的土地利用现状调查相关数据，判断现有城镇调查正射影像图与地理国情普查数据中是否存在城镇规划数据，若存在规划数据，则需补偿缺失数据；若不存在，则需对现有数据进行数据抽取或矢量化；之后转绘城镇土地利用图斑，勾绘完成后，由质检人员对初步成果进行核查，核查通过成果作为最终城镇土地利用图斑矢量数据，详细技术路线如下图所示。</w:t>
      </w:r>
    </w:p>
    <w:p>
      <w:pPr>
        <w:spacing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object>
          <v:shape id="_x0000_i1028" o:spt="75" type="#_x0000_t75" style="height:651.1pt;width:415.15pt;" o:ole="t" filled="f" o:preferrelative="t" stroked="f" coordsize="21600,21600">
            <v:path/>
            <v:fill on="f" focussize="0,0"/>
            <v:stroke on="f"/>
            <v:imagedata r:id="rId48" o:title=""/>
            <o:lock v:ext="edit" aspectratio="t"/>
            <w10:wrap type="none"/>
            <w10:anchorlock/>
          </v:shape>
          <o:OLEObject Type="Embed" ProgID="Visio.Drawing.11" ShapeID="_x0000_i1028" DrawAspect="Content" ObjectID="_1468075728" r:id="rId47">
            <o:LockedField>false</o:LockedField>
          </o:OLEObject>
        </w:object>
      </w:r>
    </w:p>
    <w:p>
      <w:pPr>
        <w:spacing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rPr>
        <w:t>城镇内部土地利用调查技术路线</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02" w:name="_Toc508966709"/>
      <w:r>
        <w:rPr>
          <w:rFonts w:hint="eastAsia" w:asciiTheme="minorEastAsia" w:hAnsiTheme="minorEastAsia" w:eastAsiaTheme="minorEastAsia" w:cstheme="minorEastAsia"/>
          <w:b/>
          <w:sz w:val="24"/>
          <w:szCs w:val="24"/>
          <w:shd w:val="clear" w:color="auto" w:fill="FFFFFF"/>
        </w:rPr>
        <w:t>构建城镇土地利用框架</w:t>
      </w:r>
      <w:bookmarkEnd w:id="102"/>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利用正射影像、地籍调查、地形图、城镇规划等数据，采用转换、抽取或数字化等方法，绘制调查区内的市政道路（红线、街巷用地）、水域（蓝线，河流水面等）、绿地（绿线，公园与绿地）等，构建城镇土地利用框架。</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drawing>
          <wp:inline distT="0" distB="0" distL="114300" distR="114300">
            <wp:extent cx="3869690" cy="3061970"/>
            <wp:effectExtent l="0" t="0" r="16510" b="5080"/>
            <wp:docPr id="366" name="图片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图片 189"/>
                    <pic:cNvPicPr>
                      <a:picLocks noChangeAspect="1"/>
                    </pic:cNvPicPr>
                  </pic:nvPicPr>
                  <pic:blipFill>
                    <a:blip r:embed="rId49"/>
                    <a:stretch>
                      <a:fillRect/>
                    </a:stretch>
                  </pic:blipFill>
                  <pic:spPr>
                    <a:xfrm>
                      <a:off x="0" y="0"/>
                      <a:ext cx="3869690" cy="3061970"/>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 xml:space="preserve"> 城市土地利用框架构建</w:t>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drawing>
          <wp:inline distT="0" distB="0" distL="114300" distR="114300">
            <wp:extent cx="3810000" cy="3012440"/>
            <wp:effectExtent l="0" t="0" r="0" b="16510"/>
            <wp:docPr id="367" name="图片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 name="图片 190"/>
                    <pic:cNvPicPr>
                      <a:picLocks noChangeAspect="1"/>
                    </pic:cNvPicPr>
                  </pic:nvPicPr>
                  <pic:blipFill>
                    <a:blip r:embed="rId50"/>
                    <a:stretch>
                      <a:fillRect/>
                    </a:stretch>
                  </pic:blipFill>
                  <pic:spPr>
                    <a:xfrm>
                      <a:off x="0" y="0"/>
                      <a:ext cx="3810000" cy="3012440"/>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建制镇土地利用框架构建</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03" w:name="_Toc508966710"/>
      <w:r>
        <w:rPr>
          <w:rFonts w:hint="eastAsia" w:asciiTheme="minorEastAsia" w:hAnsiTheme="minorEastAsia" w:eastAsiaTheme="minorEastAsia" w:cstheme="minorEastAsia"/>
          <w:b/>
          <w:sz w:val="24"/>
          <w:szCs w:val="24"/>
          <w:shd w:val="clear" w:color="auto" w:fill="FFFFFF"/>
        </w:rPr>
        <w:t xml:space="preserve"> 调绘城镇土地利用图斑</w:t>
      </w:r>
      <w:bookmarkEnd w:id="103"/>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依照《第三次全国土地调查工作分类》，以地籍调查数据为基础，结合遥感影像特征和地形图地名标注，参照城镇总体规划功能分区和控制性详细规划等资料，确定城镇土地利用图斑位置、边界，研判土地利用类型，绘制覆盖全部调查区的城镇土地利用图斑。</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drawing>
          <wp:inline distT="0" distB="0" distL="114300" distR="114300">
            <wp:extent cx="2417445" cy="1980565"/>
            <wp:effectExtent l="0" t="0" r="1905" b="635"/>
            <wp:docPr id="368" name="图片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 name="图片 191"/>
                    <pic:cNvPicPr>
                      <a:picLocks noChangeAspect="1"/>
                    </pic:cNvPicPr>
                  </pic:nvPicPr>
                  <pic:blipFill>
                    <a:blip r:embed="rId51"/>
                    <a:stretch>
                      <a:fillRect/>
                    </a:stretch>
                  </pic:blipFill>
                  <pic:spPr>
                    <a:xfrm>
                      <a:off x="0" y="0"/>
                      <a:ext cx="2417445" cy="1980565"/>
                    </a:xfrm>
                    <a:prstGeom prst="rect">
                      <a:avLst/>
                    </a:prstGeom>
                    <a:noFill/>
                    <a:ln w="9525">
                      <a:noFill/>
                    </a:ln>
                  </pic:spPr>
                </pic:pic>
              </a:graphicData>
            </a:graphic>
          </wp:inline>
        </w:drawing>
      </w:r>
      <w:r>
        <w:rPr>
          <w:rFonts w:hint="eastAsia" w:asciiTheme="minorEastAsia" w:hAnsiTheme="minorEastAsia" w:eastAsiaTheme="minorEastAsia" w:cstheme="minorEastAsia"/>
          <w:sz w:val="24"/>
          <w:szCs w:val="24"/>
          <w:shd w:val="clear" w:color="auto" w:fill="FFFFFF"/>
        </w:rPr>
        <w:drawing>
          <wp:inline distT="0" distB="0" distL="114300" distR="114300">
            <wp:extent cx="2319655" cy="1978660"/>
            <wp:effectExtent l="0" t="0" r="4445" b="2540"/>
            <wp:docPr id="369" name="图片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 name="图片 192"/>
                    <pic:cNvPicPr>
                      <a:picLocks noChangeAspect="1"/>
                    </pic:cNvPicPr>
                  </pic:nvPicPr>
                  <pic:blipFill>
                    <a:blip r:embed="rId52"/>
                    <a:stretch>
                      <a:fillRect/>
                    </a:stretch>
                  </pic:blipFill>
                  <pic:spPr>
                    <a:xfrm>
                      <a:off x="0" y="0"/>
                      <a:ext cx="2319655" cy="1978660"/>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 xml:space="preserve"> 城市土地利用图斑转绘过程</w:t>
      </w:r>
    </w:p>
    <w:p>
      <w:pPr>
        <w:spacing w:before="156" w:beforeLines="50" w:after="156" w:afterLines="50" w:line="360" w:lineRule="auto"/>
        <w:ind w:firstLine="480" w:firstLineChars="200"/>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drawing>
          <wp:inline distT="0" distB="0" distL="114300" distR="114300">
            <wp:extent cx="2292985" cy="2517775"/>
            <wp:effectExtent l="0" t="0" r="12065" b="15875"/>
            <wp:docPr id="370" name="图片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图片 193"/>
                    <pic:cNvPicPr>
                      <a:picLocks noChangeAspect="1"/>
                    </pic:cNvPicPr>
                  </pic:nvPicPr>
                  <pic:blipFill>
                    <a:blip r:embed="rId53"/>
                    <a:stretch>
                      <a:fillRect/>
                    </a:stretch>
                  </pic:blipFill>
                  <pic:spPr>
                    <a:xfrm>
                      <a:off x="0" y="0"/>
                      <a:ext cx="2292985" cy="2517775"/>
                    </a:xfrm>
                    <a:prstGeom prst="rect">
                      <a:avLst/>
                    </a:prstGeom>
                    <a:noFill/>
                    <a:ln w="9525">
                      <a:noFill/>
                    </a:ln>
                  </pic:spPr>
                </pic:pic>
              </a:graphicData>
            </a:graphic>
          </wp:inline>
        </w:drawing>
      </w:r>
      <w:r>
        <w:rPr>
          <w:rFonts w:hint="eastAsia" w:asciiTheme="minorEastAsia" w:hAnsiTheme="minorEastAsia" w:eastAsiaTheme="minorEastAsia" w:cstheme="minorEastAsia"/>
          <w:sz w:val="24"/>
          <w:szCs w:val="24"/>
          <w:shd w:val="clear" w:color="auto" w:fill="FFFFFF"/>
        </w:rPr>
        <w:drawing>
          <wp:inline distT="0" distB="0" distL="114300" distR="114300">
            <wp:extent cx="2168525" cy="2517775"/>
            <wp:effectExtent l="0" t="0" r="3175" b="15875"/>
            <wp:docPr id="371" name="图片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 name="图片 194"/>
                    <pic:cNvPicPr>
                      <a:picLocks noChangeAspect="1"/>
                    </pic:cNvPicPr>
                  </pic:nvPicPr>
                  <pic:blipFill>
                    <a:blip r:embed="rId54"/>
                    <a:stretch>
                      <a:fillRect/>
                    </a:stretch>
                  </pic:blipFill>
                  <pic:spPr>
                    <a:xfrm>
                      <a:off x="0" y="0"/>
                      <a:ext cx="2168525" cy="2517775"/>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建制镇土地利用图斑转绘过程</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以城镇内部土地利用调查底图为基础，按照工作分类，依据城镇宗地的用途，参照城镇规划的功能分区等，结合影像特征，综合判定土地利用类型，合并土地利用类型一致的宗地初步调绘城镇土地利用现状图斑。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特大型的企事业单位，内部土地利用类型明显不同且分割的界线（如市政道路、河流等）明显的，可以依据工作分类划分成多个图斑。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城镇内部的快速路、主干路、次干路及支路等市政道路用地按照城镇村道路用地图斑调查。</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行政机关、企事业单位、住宅小区等内部道路归并到座落图斑。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临街门面等，归并到城镇道路外的相邻图斑。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城镇内部符合上图面积要求的耕地、园地、林地、草地、水域、其他土地图斑等按土地利用现状调查。</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城镇内部的全部图斑，属于城市的标注“201”，属于建制镇的标注“202”。</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04" w:name="_Toc508966711"/>
      <w:r>
        <w:rPr>
          <w:rFonts w:hint="eastAsia" w:asciiTheme="minorEastAsia" w:hAnsiTheme="minorEastAsia" w:eastAsiaTheme="minorEastAsia" w:cstheme="minorEastAsia"/>
          <w:b/>
          <w:sz w:val="24"/>
          <w:szCs w:val="24"/>
          <w:shd w:val="clear" w:color="auto" w:fill="FFFFFF"/>
        </w:rPr>
        <w:t xml:space="preserve"> 外业核实</w:t>
      </w:r>
      <w:bookmarkEnd w:id="104"/>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参考城市地形图单位注记、土地审批、土地供应、土地登记、土地整治、国土执法监察和其他相关资料，结合实地查勘，核实城镇土地利用现状图斑的准确性。针对外业核实发现的问题，修正城镇土地利用现状图斑边界和地类属性等内容；对按照《土地调查新技术试点工作分类》进行地类细化调查。</w:t>
      </w:r>
    </w:p>
    <w:p>
      <w:pPr>
        <w:spacing w:line="360" w:lineRule="auto"/>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br w:type="page"/>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工作分类含义表</w:t>
      </w:r>
    </w:p>
    <w:tbl>
      <w:tblPr>
        <w:tblStyle w:val="10"/>
        <w:tblW w:w="9572" w:type="dxa"/>
        <w:jc w:val="center"/>
        <w:tblInd w:w="0" w:type="dxa"/>
        <w:tblLayout w:type="fixed"/>
        <w:tblCellMar>
          <w:top w:w="0" w:type="dxa"/>
          <w:left w:w="108" w:type="dxa"/>
          <w:bottom w:w="0" w:type="dxa"/>
          <w:right w:w="108" w:type="dxa"/>
        </w:tblCellMar>
      </w:tblPr>
      <w:tblGrid>
        <w:gridCol w:w="956"/>
        <w:gridCol w:w="974"/>
        <w:gridCol w:w="955"/>
        <w:gridCol w:w="1930"/>
        <w:gridCol w:w="955"/>
        <w:gridCol w:w="955"/>
        <w:gridCol w:w="2847"/>
      </w:tblGrid>
      <w:tr>
        <w:tblPrEx>
          <w:tblLayout w:type="fixed"/>
          <w:tblCellMar>
            <w:top w:w="0" w:type="dxa"/>
            <w:left w:w="108" w:type="dxa"/>
            <w:bottom w:w="0" w:type="dxa"/>
            <w:right w:w="108" w:type="dxa"/>
          </w:tblCellMar>
        </w:tblPrEx>
        <w:trPr>
          <w:trHeight w:val="270" w:hRule="atLeast"/>
          <w:jc w:val="center"/>
        </w:trPr>
        <w:tc>
          <w:tcPr>
            <w:tcW w:w="1930" w:type="dxa"/>
            <w:gridSpan w:val="2"/>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b/>
                <w:color w:val="000000"/>
                <w:sz w:val="24"/>
                <w:szCs w:val="24"/>
              </w:rPr>
            </w:pPr>
            <w:r>
              <w:rPr>
                <w:rFonts w:hint="eastAsia" w:asciiTheme="minorEastAsia" w:hAnsiTheme="minorEastAsia" w:eastAsiaTheme="minorEastAsia" w:cstheme="minorEastAsia"/>
                <w:b/>
                <w:color w:val="000000"/>
                <w:sz w:val="24"/>
                <w:szCs w:val="24"/>
              </w:rPr>
              <w:t>一级类</w:t>
            </w:r>
          </w:p>
        </w:tc>
        <w:tc>
          <w:tcPr>
            <w:tcW w:w="2885" w:type="dxa"/>
            <w:gridSpan w:val="2"/>
            <w:tcBorders>
              <w:top w:val="single" w:color="auto" w:sz="4" w:space="0"/>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b/>
                <w:color w:val="000000"/>
                <w:sz w:val="24"/>
                <w:szCs w:val="24"/>
              </w:rPr>
            </w:pPr>
            <w:r>
              <w:rPr>
                <w:rFonts w:hint="eastAsia" w:asciiTheme="minorEastAsia" w:hAnsiTheme="minorEastAsia" w:eastAsiaTheme="minorEastAsia" w:cstheme="minorEastAsia"/>
                <w:b/>
                <w:color w:val="000000"/>
                <w:sz w:val="24"/>
                <w:szCs w:val="24"/>
              </w:rPr>
              <w:t>二级类</w:t>
            </w:r>
          </w:p>
        </w:tc>
        <w:tc>
          <w:tcPr>
            <w:tcW w:w="4757" w:type="dxa"/>
            <w:gridSpan w:val="3"/>
            <w:vMerge w:val="restart"/>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b/>
                <w:color w:val="000000"/>
                <w:sz w:val="24"/>
                <w:szCs w:val="24"/>
              </w:rPr>
            </w:pPr>
            <w:r>
              <w:rPr>
                <w:rFonts w:hint="eastAsia" w:asciiTheme="minorEastAsia" w:hAnsiTheme="minorEastAsia" w:eastAsiaTheme="minorEastAsia" w:cstheme="minorEastAsia"/>
                <w:b/>
                <w:color w:val="000000"/>
                <w:sz w:val="24"/>
                <w:szCs w:val="24"/>
              </w:rPr>
              <w:t>含义</w:t>
            </w:r>
          </w:p>
        </w:tc>
      </w:tr>
      <w:tr>
        <w:tblPrEx>
          <w:tblLayout w:type="fixed"/>
          <w:tblCellMar>
            <w:top w:w="0" w:type="dxa"/>
            <w:left w:w="108" w:type="dxa"/>
            <w:bottom w:w="0" w:type="dxa"/>
            <w:right w:w="108" w:type="dxa"/>
          </w:tblCellMar>
        </w:tblPrEx>
        <w:trPr>
          <w:trHeight w:val="270" w:hRule="atLeast"/>
          <w:jc w:val="center"/>
        </w:trPr>
        <w:tc>
          <w:tcPr>
            <w:tcW w:w="956" w:type="dxa"/>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b/>
                <w:color w:val="000000"/>
                <w:sz w:val="24"/>
                <w:szCs w:val="24"/>
              </w:rPr>
            </w:pPr>
            <w:r>
              <w:rPr>
                <w:rFonts w:hint="eastAsia" w:asciiTheme="minorEastAsia" w:hAnsiTheme="minorEastAsia" w:eastAsiaTheme="minorEastAsia" w:cstheme="minorEastAsia"/>
                <w:b/>
                <w:color w:val="000000"/>
                <w:sz w:val="24"/>
                <w:szCs w:val="24"/>
              </w:rPr>
              <w:t>编码</w:t>
            </w:r>
          </w:p>
        </w:tc>
        <w:tc>
          <w:tcPr>
            <w:tcW w:w="974"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b/>
                <w:color w:val="000000"/>
                <w:sz w:val="24"/>
                <w:szCs w:val="24"/>
              </w:rPr>
            </w:pPr>
            <w:r>
              <w:rPr>
                <w:rFonts w:hint="eastAsia" w:asciiTheme="minorEastAsia" w:hAnsiTheme="minorEastAsia" w:eastAsiaTheme="minorEastAsia" w:cstheme="minorEastAsia"/>
                <w:b/>
                <w:color w:val="000000"/>
                <w:sz w:val="24"/>
                <w:szCs w:val="24"/>
              </w:rPr>
              <w:t>名称</w:t>
            </w:r>
          </w:p>
        </w:tc>
        <w:tc>
          <w:tcPr>
            <w:tcW w:w="955"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b/>
                <w:color w:val="000000"/>
                <w:sz w:val="24"/>
                <w:szCs w:val="24"/>
              </w:rPr>
            </w:pPr>
            <w:r>
              <w:rPr>
                <w:rFonts w:hint="eastAsia" w:asciiTheme="minorEastAsia" w:hAnsiTheme="minorEastAsia" w:eastAsiaTheme="minorEastAsia" w:cstheme="minorEastAsia"/>
                <w:b/>
                <w:color w:val="000000"/>
                <w:sz w:val="24"/>
                <w:szCs w:val="24"/>
              </w:rPr>
              <w:t>编码</w:t>
            </w:r>
          </w:p>
        </w:tc>
        <w:tc>
          <w:tcPr>
            <w:tcW w:w="1930"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b/>
                <w:color w:val="000000"/>
                <w:sz w:val="24"/>
                <w:szCs w:val="24"/>
              </w:rPr>
            </w:pPr>
            <w:r>
              <w:rPr>
                <w:rFonts w:hint="eastAsia" w:asciiTheme="minorEastAsia" w:hAnsiTheme="minorEastAsia" w:eastAsiaTheme="minorEastAsia" w:cstheme="minorEastAsia"/>
                <w:b/>
                <w:color w:val="000000"/>
                <w:sz w:val="24"/>
                <w:szCs w:val="24"/>
              </w:rPr>
              <w:t>名称</w:t>
            </w:r>
          </w:p>
        </w:tc>
        <w:tc>
          <w:tcPr>
            <w:tcW w:w="4757" w:type="dxa"/>
            <w:gridSpan w:val="3"/>
            <w:vMerge w:val="continue"/>
            <w:tcBorders>
              <w:top w:val="nil"/>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b/>
                <w:color w:val="000000"/>
                <w:sz w:val="24"/>
                <w:szCs w:val="24"/>
              </w:rPr>
            </w:pPr>
          </w:p>
        </w:tc>
      </w:tr>
      <w:tr>
        <w:tblPrEx>
          <w:tblLayout w:type="fixed"/>
          <w:tblCellMar>
            <w:top w:w="0" w:type="dxa"/>
            <w:left w:w="108" w:type="dxa"/>
            <w:bottom w:w="0" w:type="dxa"/>
            <w:right w:w="108" w:type="dxa"/>
          </w:tblCellMar>
        </w:tblPrEx>
        <w:trPr>
          <w:trHeight w:val="634" w:hRule="atLeast"/>
          <w:jc w:val="center"/>
        </w:trPr>
        <w:tc>
          <w:tcPr>
            <w:tcW w:w="956"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05</w:t>
            </w:r>
          </w:p>
        </w:tc>
        <w:tc>
          <w:tcPr>
            <w:tcW w:w="974" w:type="dxa"/>
            <w:tcBorders>
              <w:top w:val="single" w:color="auto" w:sz="4" w:space="0"/>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商服</w:t>
            </w:r>
          </w:p>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用地</w:t>
            </w:r>
          </w:p>
        </w:tc>
        <w:tc>
          <w:tcPr>
            <w:tcW w:w="95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1930" w:type="dxa"/>
            <w:tcBorders>
              <w:top w:val="single" w:color="auto" w:sz="4" w:space="0"/>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4757"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指主要用于商业、服务业的土地。</w:t>
            </w:r>
          </w:p>
        </w:tc>
      </w:tr>
      <w:tr>
        <w:tblPrEx>
          <w:tblLayout w:type="fixed"/>
          <w:tblCellMar>
            <w:top w:w="0" w:type="dxa"/>
            <w:left w:w="108" w:type="dxa"/>
            <w:bottom w:w="0" w:type="dxa"/>
            <w:right w:w="108" w:type="dxa"/>
          </w:tblCellMar>
        </w:tblPrEx>
        <w:trPr>
          <w:trHeight w:val="270" w:hRule="atLeast"/>
          <w:jc w:val="center"/>
        </w:trPr>
        <w:tc>
          <w:tcPr>
            <w:tcW w:w="956" w:type="dxa"/>
            <w:vMerge w:val="restart"/>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07</w:t>
            </w:r>
          </w:p>
        </w:tc>
        <w:tc>
          <w:tcPr>
            <w:tcW w:w="974" w:type="dxa"/>
            <w:vMerge w:val="restart"/>
            <w:tcBorders>
              <w:top w:val="nil"/>
              <w:left w:val="nil"/>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住宅</w:t>
            </w:r>
          </w:p>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用地</w:t>
            </w:r>
          </w:p>
        </w:tc>
        <w:tc>
          <w:tcPr>
            <w:tcW w:w="955"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1930" w:type="dxa"/>
            <w:tcBorders>
              <w:top w:val="nil"/>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4757" w:type="dxa"/>
            <w:gridSpan w:val="3"/>
            <w:tcBorders>
              <w:top w:val="single" w:color="auto" w:sz="4" w:space="0"/>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指主要用于人们生活居住的房基地及其附属设施的土地。</w:t>
            </w:r>
          </w:p>
        </w:tc>
      </w:tr>
      <w:tr>
        <w:tblPrEx>
          <w:tblLayout w:type="fixed"/>
          <w:tblCellMar>
            <w:top w:w="0" w:type="dxa"/>
            <w:left w:w="108" w:type="dxa"/>
            <w:bottom w:w="0" w:type="dxa"/>
            <w:right w:w="108" w:type="dxa"/>
          </w:tblCellMar>
        </w:tblPrEx>
        <w:trPr>
          <w:trHeight w:val="450" w:hRule="atLeast"/>
          <w:jc w:val="center"/>
        </w:trPr>
        <w:tc>
          <w:tcPr>
            <w:tcW w:w="956" w:type="dxa"/>
            <w:vMerge w:val="continue"/>
            <w:tcBorders>
              <w:top w:val="nil"/>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974" w:type="dxa"/>
            <w:vMerge w:val="continue"/>
            <w:tcBorders>
              <w:left w:val="nil"/>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955"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0701</w:t>
            </w:r>
          </w:p>
        </w:tc>
        <w:tc>
          <w:tcPr>
            <w:tcW w:w="1930" w:type="dxa"/>
            <w:tcBorders>
              <w:top w:val="nil"/>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城镇住宅用地</w:t>
            </w:r>
          </w:p>
        </w:tc>
        <w:tc>
          <w:tcPr>
            <w:tcW w:w="4757" w:type="dxa"/>
            <w:gridSpan w:val="3"/>
            <w:tcBorders>
              <w:top w:val="single" w:color="auto" w:sz="4" w:space="0"/>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指城镇用于生活居住的各类房屋用地及其附属设施用地，不含配套的商业服务设施等用地。</w:t>
            </w:r>
          </w:p>
        </w:tc>
      </w:tr>
      <w:tr>
        <w:tblPrEx>
          <w:tblLayout w:type="fixed"/>
          <w:tblCellMar>
            <w:top w:w="0" w:type="dxa"/>
            <w:left w:w="108" w:type="dxa"/>
            <w:bottom w:w="0" w:type="dxa"/>
            <w:right w:w="108" w:type="dxa"/>
          </w:tblCellMar>
        </w:tblPrEx>
        <w:trPr>
          <w:trHeight w:val="270" w:hRule="atLeast"/>
          <w:jc w:val="center"/>
        </w:trPr>
        <w:tc>
          <w:tcPr>
            <w:tcW w:w="956" w:type="dxa"/>
            <w:vMerge w:val="continue"/>
            <w:tcBorders>
              <w:top w:val="nil"/>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974" w:type="dxa"/>
            <w:vMerge w:val="continue"/>
            <w:tcBorders>
              <w:left w:val="nil"/>
              <w:bottom w:val="single" w:color="auto" w:sz="4" w:space="0"/>
              <w:right w:val="single" w:color="auto" w:sz="4" w:space="0"/>
            </w:tcBorders>
            <w:vAlign w:val="top"/>
          </w:tcPr>
          <w:p>
            <w:pPr>
              <w:spacing w:line="360" w:lineRule="auto"/>
              <w:rPr>
                <w:rFonts w:hint="eastAsia" w:asciiTheme="minorEastAsia" w:hAnsiTheme="minorEastAsia" w:eastAsiaTheme="minorEastAsia" w:cstheme="minorEastAsia"/>
                <w:color w:val="000000"/>
                <w:sz w:val="24"/>
                <w:szCs w:val="24"/>
              </w:rPr>
            </w:pPr>
          </w:p>
        </w:tc>
        <w:tc>
          <w:tcPr>
            <w:tcW w:w="955"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0702</w:t>
            </w:r>
          </w:p>
        </w:tc>
        <w:tc>
          <w:tcPr>
            <w:tcW w:w="1930" w:type="dxa"/>
            <w:tcBorders>
              <w:top w:val="nil"/>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农村宅基地</w:t>
            </w:r>
          </w:p>
        </w:tc>
        <w:tc>
          <w:tcPr>
            <w:tcW w:w="4757" w:type="dxa"/>
            <w:gridSpan w:val="3"/>
            <w:tcBorders>
              <w:top w:val="single" w:color="auto" w:sz="4" w:space="0"/>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指农村用于生活居住的宅基地。</w:t>
            </w:r>
          </w:p>
        </w:tc>
      </w:tr>
      <w:tr>
        <w:tblPrEx>
          <w:tblLayout w:type="fixed"/>
          <w:tblCellMar>
            <w:top w:w="0" w:type="dxa"/>
            <w:left w:w="108" w:type="dxa"/>
            <w:bottom w:w="0" w:type="dxa"/>
            <w:right w:w="108" w:type="dxa"/>
          </w:tblCellMar>
        </w:tblPrEx>
        <w:trPr>
          <w:trHeight w:val="270" w:hRule="atLeast"/>
          <w:jc w:val="center"/>
        </w:trPr>
        <w:tc>
          <w:tcPr>
            <w:tcW w:w="956" w:type="dxa"/>
            <w:vMerge w:val="restart"/>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08</w:t>
            </w:r>
          </w:p>
        </w:tc>
        <w:tc>
          <w:tcPr>
            <w:tcW w:w="974" w:type="dxa"/>
            <w:vMerge w:val="restart"/>
            <w:tcBorders>
              <w:top w:val="nil"/>
              <w:left w:val="nil"/>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公共管</w:t>
            </w:r>
          </w:p>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理与公</w:t>
            </w:r>
          </w:p>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共服务</w:t>
            </w:r>
          </w:p>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用地</w:t>
            </w:r>
          </w:p>
        </w:tc>
        <w:tc>
          <w:tcPr>
            <w:tcW w:w="955"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　</w:t>
            </w:r>
          </w:p>
        </w:tc>
        <w:tc>
          <w:tcPr>
            <w:tcW w:w="1930" w:type="dxa"/>
            <w:tcBorders>
              <w:top w:val="nil"/>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　</w:t>
            </w:r>
          </w:p>
        </w:tc>
        <w:tc>
          <w:tcPr>
            <w:tcW w:w="4757" w:type="dxa"/>
            <w:gridSpan w:val="3"/>
            <w:tcBorders>
              <w:top w:val="single" w:color="auto" w:sz="4" w:space="0"/>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指用于机关团体、新闻出版、科教文卫、公用设施等的土地。</w:t>
            </w:r>
          </w:p>
        </w:tc>
      </w:tr>
      <w:tr>
        <w:tblPrEx>
          <w:tblLayout w:type="fixed"/>
          <w:tblCellMar>
            <w:top w:w="0" w:type="dxa"/>
            <w:left w:w="108" w:type="dxa"/>
            <w:bottom w:w="0" w:type="dxa"/>
            <w:right w:w="108" w:type="dxa"/>
          </w:tblCellMar>
        </w:tblPrEx>
        <w:trPr>
          <w:trHeight w:val="450" w:hRule="atLeast"/>
          <w:jc w:val="center"/>
        </w:trPr>
        <w:tc>
          <w:tcPr>
            <w:tcW w:w="956" w:type="dxa"/>
            <w:vMerge w:val="continue"/>
            <w:tcBorders>
              <w:top w:val="nil"/>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974" w:type="dxa"/>
            <w:vMerge w:val="continue"/>
            <w:tcBorders>
              <w:left w:val="nil"/>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955"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08-1</w:t>
            </w:r>
          </w:p>
        </w:tc>
        <w:tc>
          <w:tcPr>
            <w:tcW w:w="1930" w:type="dxa"/>
            <w:tcBorders>
              <w:top w:val="nil"/>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机关团体新闻出版用地</w:t>
            </w:r>
          </w:p>
        </w:tc>
        <w:tc>
          <w:tcPr>
            <w:tcW w:w="4757" w:type="dxa"/>
            <w:gridSpan w:val="3"/>
            <w:tcBorders>
              <w:top w:val="single" w:color="auto" w:sz="4" w:space="0"/>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指用于党政机关、社会团体、群众自治组织，广播电台、电视台、电影厂、报社、杂志社、通讯社、出版社等的用地。</w:t>
            </w:r>
          </w:p>
        </w:tc>
      </w:tr>
      <w:tr>
        <w:tblPrEx>
          <w:tblLayout w:type="fixed"/>
          <w:tblCellMar>
            <w:top w:w="0" w:type="dxa"/>
            <w:left w:w="108" w:type="dxa"/>
            <w:bottom w:w="0" w:type="dxa"/>
            <w:right w:w="108" w:type="dxa"/>
          </w:tblCellMar>
        </w:tblPrEx>
        <w:trPr>
          <w:trHeight w:val="1125" w:hRule="atLeast"/>
          <w:jc w:val="center"/>
        </w:trPr>
        <w:tc>
          <w:tcPr>
            <w:tcW w:w="956" w:type="dxa"/>
            <w:vMerge w:val="continue"/>
            <w:tcBorders>
              <w:top w:val="nil"/>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974" w:type="dxa"/>
            <w:vMerge w:val="continue"/>
            <w:tcBorders>
              <w:left w:val="nil"/>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955" w:type="dxa"/>
            <w:vMerge w:val="restart"/>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08-2</w:t>
            </w:r>
          </w:p>
        </w:tc>
        <w:tc>
          <w:tcPr>
            <w:tcW w:w="1930" w:type="dxa"/>
            <w:vMerge w:val="restart"/>
            <w:tcBorders>
              <w:top w:val="nil"/>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科教文卫用地</w:t>
            </w:r>
          </w:p>
        </w:tc>
        <w:tc>
          <w:tcPr>
            <w:tcW w:w="4757" w:type="dxa"/>
            <w:gridSpan w:val="3"/>
            <w:tcBorders>
              <w:top w:val="single" w:color="auto" w:sz="4" w:space="0"/>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指用于各类教育，独立的科研、勘察、研发、设计、检验检测、技术推广、环境评估与监测、科普等科研事业单位，医疗、保健、卫生、防疫、康复和急救设施，为社会提供福利和慈善服务的设施，图书、展览等公共文化活动设施，体育场馆和体育训练基地等用地及其附属设施用地。</w:t>
            </w:r>
          </w:p>
        </w:tc>
      </w:tr>
      <w:tr>
        <w:tblPrEx>
          <w:tblLayout w:type="fixed"/>
          <w:tblCellMar>
            <w:top w:w="0" w:type="dxa"/>
            <w:left w:w="108" w:type="dxa"/>
            <w:bottom w:w="0" w:type="dxa"/>
            <w:right w:w="108" w:type="dxa"/>
          </w:tblCellMar>
        </w:tblPrEx>
        <w:trPr>
          <w:trHeight w:val="270" w:hRule="atLeast"/>
          <w:jc w:val="center"/>
        </w:trPr>
        <w:tc>
          <w:tcPr>
            <w:tcW w:w="956" w:type="dxa"/>
            <w:vMerge w:val="continue"/>
            <w:tcBorders>
              <w:top w:val="nil"/>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974" w:type="dxa"/>
            <w:vMerge w:val="continue"/>
            <w:tcBorders>
              <w:left w:val="nil"/>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955" w:type="dxa"/>
            <w:vMerge w:val="continue"/>
            <w:tcBorders>
              <w:top w:val="nil"/>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1930" w:type="dxa"/>
            <w:vMerge w:val="continue"/>
            <w:tcBorders>
              <w:top w:val="nil"/>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955" w:type="dxa"/>
            <w:tcBorders>
              <w:top w:val="nil"/>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0803A</w:t>
            </w:r>
          </w:p>
        </w:tc>
        <w:tc>
          <w:tcPr>
            <w:tcW w:w="955" w:type="dxa"/>
            <w:tcBorders>
              <w:top w:val="nil"/>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高教用地</w:t>
            </w:r>
          </w:p>
        </w:tc>
        <w:tc>
          <w:tcPr>
            <w:tcW w:w="2847" w:type="dxa"/>
            <w:tcBorders>
              <w:top w:val="single" w:color="auto" w:sz="4" w:space="0"/>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指高等院校及其附属设施用地。</w:t>
            </w:r>
          </w:p>
        </w:tc>
      </w:tr>
      <w:tr>
        <w:tblPrEx>
          <w:tblLayout w:type="fixed"/>
          <w:tblCellMar>
            <w:top w:w="0" w:type="dxa"/>
            <w:left w:w="108" w:type="dxa"/>
            <w:bottom w:w="0" w:type="dxa"/>
            <w:right w:w="108" w:type="dxa"/>
          </w:tblCellMar>
        </w:tblPrEx>
        <w:trPr>
          <w:trHeight w:val="450" w:hRule="atLeast"/>
          <w:jc w:val="center"/>
        </w:trPr>
        <w:tc>
          <w:tcPr>
            <w:tcW w:w="956" w:type="dxa"/>
            <w:vMerge w:val="continue"/>
            <w:tcBorders>
              <w:top w:val="nil"/>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974" w:type="dxa"/>
            <w:vMerge w:val="continue"/>
            <w:tcBorders>
              <w:left w:val="nil"/>
              <w:right w:val="single" w:color="auto" w:sz="4" w:space="0"/>
            </w:tcBorders>
            <w:vAlign w:val="top"/>
          </w:tcPr>
          <w:p>
            <w:pPr>
              <w:spacing w:line="360" w:lineRule="auto"/>
              <w:rPr>
                <w:rFonts w:hint="eastAsia" w:asciiTheme="minorEastAsia" w:hAnsiTheme="minorEastAsia" w:eastAsiaTheme="minorEastAsia" w:cstheme="minorEastAsia"/>
                <w:color w:val="000000"/>
                <w:sz w:val="24"/>
                <w:szCs w:val="24"/>
              </w:rPr>
            </w:pPr>
          </w:p>
        </w:tc>
        <w:tc>
          <w:tcPr>
            <w:tcW w:w="955"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0809</w:t>
            </w:r>
          </w:p>
        </w:tc>
        <w:tc>
          <w:tcPr>
            <w:tcW w:w="1930" w:type="dxa"/>
            <w:tcBorders>
              <w:top w:val="nil"/>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公用设施用地</w:t>
            </w:r>
          </w:p>
        </w:tc>
        <w:tc>
          <w:tcPr>
            <w:tcW w:w="4757" w:type="dxa"/>
            <w:gridSpan w:val="3"/>
            <w:tcBorders>
              <w:top w:val="single" w:color="auto" w:sz="4" w:space="0"/>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指用于城乡基础设施的用地。包括供水、排水、污水处理、供电、供热、供气、邮政、电信、消防、环卫、公用设施维修等用地。</w:t>
            </w:r>
          </w:p>
        </w:tc>
      </w:tr>
      <w:tr>
        <w:tblPrEx>
          <w:tblLayout w:type="fixed"/>
          <w:tblCellMar>
            <w:top w:w="0" w:type="dxa"/>
            <w:left w:w="108" w:type="dxa"/>
            <w:bottom w:w="0" w:type="dxa"/>
            <w:right w:w="108" w:type="dxa"/>
          </w:tblCellMar>
        </w:tblPrEx>
        <w:trPr>
          <w:trHeight w:val="450" w:hRule="atLeast"/>
          <w:jc w:val="center"/>
        </w:trPr>
        <w:tc>
          <w:tcPr>
            <w:tcW w:w="956" w:type="dxa"/>
            <w:vMerge w:val="continue"/>
            <w:tcBorders>
              <w:top w:val="nil"/>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974" w:type="dxa"/>
            <w:vMerge w:val="continue"/>
            <w:tcBorders>
              <w:left w:val="nil"/>
              <w:right w:val="single" w:color="auto" w:sz="4" w:space="0"/>
            </w:tcBorders>
            <w:vAlign w:val="top"/>
          </w:tcPr>
          <w:p>
            <w:pPr>
              <w:spacing w:line="360" w:lineRule="auto"/>
              <w:rPr>
                <w:rFonts w:hint="eastAsia" w:asciiTheme="minorEastAsia" w:hAnsiTheme="minorEastAsia" w:eastAsiaTheme="minorEastAsia" w:cstheme="minorEastAsia"/>
                <w:color w:val="000000"/>
                <w:sz w:val="24"/>
                <w:szCs w:val="24"/>
              </w:rPr>
            </w:pPr>
          </w:p>
        </w:tc>
        <w:tc>
          <w:tcPr>
            <w:tcW w:w="955" w:type="dxa"/>
            <w:vMerge w:val="restart"/>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0810</w:t>
            </w:r>
          </w:p>
        </w:tc>
        <w:tc>
          <w:tcPr>
            <w:tcW w:w="1930" w:type="dxa"/>
            <w:vMerge w:val="restart"/>
            <w:tcBorders>
              <w:top w:val="nil"/>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公园与绿地</w:t>
            </w:r>
          </w:p>
        </w:tc>
        <w:tc>
          <w:tcPr>
            <w:tcW w:w="4757" w:type="dxa"/>
            <w:gridSpan w:val="3"/>
            <w:tcBorders>
              <w:top w:val="single" w:color="auto" w:sz="4" w:space="0"/>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指城镇、村庄范围内的公园、动物园、植物园、街心花园、广场和用于休憩、美化环境及防护的绿化用地。</w:t>
            </w:r>
          </w:p>
        </w:tc>
      </w:tr>
      <w:tr>
        <w:tblPrEx>
          <w:tblLayout w:type="fixed"/>
          <w:tblCellMar>
            <w:top w:w="0" w:type="dxa"/>
            <w:left w:w="108" w:type="dxa"/>
            <w:bottom w:w="0" w:type="dxa"/>
            <w:right w:w="108" w:type="dxa"/>
          </w:tblCellMar>
        </w:tblPrEx>
        <w:trPr>
          <w:trHeight w:val="270" w:hRule="atLeast"/>
          <w:jc w:val="center"/>
        </w:trPr>
        <w:tc>
          <w:tcPr>
            <w:tcW w:w="956" w:type="dxa"/>
            <w:vMerge w:val="continue"/>
            <w:tcBorders>
              <w:top w:val="nil"/>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974" w:type="dxa"/>
            <w:vMerge w:val="continue"/>
            <w:tcBorders>
              <w:left w:val="nil"/>
              <w:bottom w:val="single" w:color="auto" w:sz="4" w:space="0"/>
              <w:right w:val="single" w:color="auto" w:sz="4" w:space="0"/>
            </w:tcBorders>
            <w:vAlign w:val="top"/>
          </w:tcPr>
          <w:p>
            <w:pPr>
              <w:spacing w:line="360" w:lineRule="auto"/>
              <w:rPr>
                <w:rFonts w:hint="eastAsia" w:asciiTheme="minorEastAsia" w:hAnsiTheme="minorEastAsia" w:eastAsiaTheme="minorEastAsia" w:cstheme="minorEastAsia"/>
                <w:color w:val="000000"/>
                <w:sz w:val="24"/>
                <w:szCs w:val="24"/>
              </w:rPr>
            </w:pPr>
          </w:p>
        </w:tc>
        <w:tc>
          <w:tcPr>
            <w:tcW w:w="955" w:type="dxa"/>
            <w:vMerge w:val="continue"/>
            <w:tcBorders>
              <w:top w:val="nil"/>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1930" w:type="dxa"/>
            <w:vMerge w:val="continue"/>
            <w:tcBorders>
              <w:top w:val="nil"/>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955" w:type="dxa"/>
            <w:tcBorders>
              <w:top w:val="nil"/>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0810A</w:t>
            </w:r>
          </w:p>
        </w:tc>
        <w:tc>
          <w:tcPr>
            <w:tcW w:w="955" w:type="dxa"/>
            <w:tcBorders>
              <w:top w:val="nil"/>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广场用地</w:t>
            </w:r>
          </w:p>
        </w:tc>
        <w:tc>
          <w:tcPr>
            <w:tcW w:w="2847" w:type="dxa"/>
            <w:tcBorders>
              <w:top w:val="single" w:color="auto" w:sz="4" w:space="0"/>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指城镇、村庄范围内的广场用地。</w:t>
            </w:r>
          </w:p>
        </w:tc>
      </w:tr>
      <w:tr>
        <w:tblPrEx>
          <w:tblLayout w:type="fixed"/>
          <w:tblCellMar>
            <w:top w:w="0" w:type="dxa"/>
            <w:left w:w="108" w:type="dxa"/>
            <w:bottom w:w="0" w:type="dxa"/>
            <w:right w:w="108" w:type="dxa"/>
          </w:tblCellMar>
        </w:tblPrEx>
        <w:trPr>
          <w:trHeight w:val="675" w:hRule="atLeast"/>
          <w:jc w:val="center"/>
        </w:trPr>
        <w:tc>
          <w:tcPr>
            <w:tcW w:w="956" w:type="dxa"/>
            <w:vMerge w:val="restart"/>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10</w:t>
            </w:r>
          </w:p>
        </w:tc>
        <w:tc>
          <w:tcPr>
            <w:tcW w:w="974" w:type="dxa"/>
            <w:vMerge w:val="restart"/>
            <w:tcBorders>
              <w:top w:val="nil"/>
              <w:left w:val="nil"/>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交通运输用地</w:t>
            </w:r>
          </w:p>
        </w:tc>
        <w:tc>
          <w:tcPr>
            <w:tcW w:w="955"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1930" w:type="dxa"/>
            <w:tcBorders>
              <w:top w:val="nil"/>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4757" w:type="dxa"/>
            <w:gridSpan w:val="3"/>
            <w:tcBorders>
              <w:top w:val="single" w:color="auto" w:sz="4" w:space="0"/>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指用于运输通行的地面线路、场站等的土地。包括民用机场、汽车客货运场站、港口、码头、地面运输管道和各种道路以及轨道交通用地。</w:t>
            </w:r>
          </w:p>
        </w:tc>
      </w:tr>
      <w:tr>
        <w:tblPrEx>
          <w:tblLayout w:type="fixed"/>
          <w:tblCellMar>
            <w:top w:w="0" w:type="dxa"/>
            <w:left w:w="108" w:type="dxa"/>
            <w:bottom w:w="0" w:type="dxa"/>
            <w:right w:w="108" w:type="dxa"/>
          </w:tblCellMar>
        </w:tblPrEx>
        <w:trPr>
          <w:trHeight w:val="936" w:hRule="atLeast"/>
          <w:jc w:val="center"/>
        </w:trPr>
        <w:tc>
          <w:tcPr>
            <w:tcW w:w="956" w:type="dxa"/>
            <w:vMerge w:val="continue"/>
            <w:tcBorders>
              <w:top w:val="nil"/>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974" w:type="dxa"/>
            <w:vMerge w:val="continue"/>
            <w:tcBorders>
              <w:left w:val="nil"/>
              <w:bottom w:val="single" w:color="auto" w:sz="4" w:space="0"/>
              <w:right w:val="single" w:color="auto" w:sz="4" w:space="0"/>
            </w:tcBorders>
            <w:vAlign w:val="top"/>
          </w:tcPr>
          <w:p>
            <w:pPr>
              <w:spacing w:line="360" w:lineRule="auto"/>
              <w:rPr>
                <w:rFonts w:hint="eastAsia" w:asciiTheme="minorEastAsia" w:hAnsiTheme="minorEastAsia" w:eastAsiaTheme="minorEastAsia" w:cstheme="minorEastAsia"/>
                <w:color w:val="000000"/>
                <w:sz w:val="24"/>
                <w:szCs w:val="24"/>
              </w:rPr>
            </w:pPr>
          </w:p>
        </w:tc>
        <w:tc>
          <w:tcPr>
            <w:tcW w:w="95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1003</w:t>
            </w:r>
          </w:p>
        </w:tc>
        <w:tc>
          <w:tcPr>
            <w:tcW w:w="1930" w:type="dxa"/>
            <w:tcBorders>
              <w:top w:val="single" w:color="auto" w:sz="4" w:space="0"/>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城镇村</w:t>
            </w:r>
          </w:p>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道路用地</w:t>
            </w:r>
          </w:p>
        </w:tc>
        <w:tc>
          <w:tcPr>
            <w:tcW w:w="4757" w:type="dxa"/>
            <w:gridSpan w:val="3"/>
            <w:tcBorders>
              <w:top w:val="single" w:color="auto" w:sz="4" w:space="0"/>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指城镇、村庄范围内公用道路及行道树用地，包括快速路、主干路、次干路、支路、专用人行道和非机动车道，及其交叉口等。</w:t>
            </w:r>
          </w:p>
        </w:tc>
      </w:tr>
      <w:tr>
        <w:tblPrEx>
          <w:tblLayout w:type="fixed"/>
          <w:tblCellMar>
            <w:top w:w="0" w:type="dxa"/>
            <w:left w:w="108" w:type="dxa"/>
            <w:bottom w:w="0" w:type="dxa"/>
            <w:right w:w="108" w:type="dxa"/>
          </w:tblCellMar>
        </w:tblPrEx>
        <w:trPr>
          <w:trHeight w:val="270" w:hRule="atLeast"/>
          <w:jc w:val="center"/>
        </w:trPr>
        <w:tc>
          <w:tcPr>
            <w:tcW w:w="956" w:type="dxa"/>
            <w:vMerge w:val="restart"/>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12</w:t>
            </w:r>
          </w:p>
        </w:tc>
        <w:tc>
          <w:tcPr>
            <w:tcW w:w="974" w:type="dxa"/>
            <w:vMerge w:val="restart"/>
            <w:tcBorders>
              <w:top w:val="single" w:color="auto" w:sz="4" w:space="0"/>
              <w:left w:val="nil"/>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其他</w:t>
            </w:r>
          </w:p>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土地</w:t>
            </w:r>
          </w:p>
        </w:tc>
        <w:tc>
          <w:tcPr>
            <w:tcW w:w="955" w:type="dxa"/>
            <w:tcBorders>
              <w:top w:val="single" w:color="auto" w:sz="4" w:space="0"/>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1930" w:type="dxa"/>
            <w:tcBorders>
              <w:top w:val="single" w:color="auto" w:sz="4" w:space="0"/>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4757" w:type="dxa"/>
            <w:gridSpan w:val="3"/>
            <w:tcBorders>
              <w:top w:val="single" w:color="auto" w:sz="4" w:space="0"/>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指上述地类以外的其它类型的土地。</w:t>
            </w:r>
          </w:p>
        </w:tc>
      </w:tr>
      <w:tr>
        <w:tblPrEx>
          <w:tblLayout w:type="fixed"/>
          <w:tblCellMar>
            <w:top w:w="0" w:type="dxa"/>
            <w:left w:w="108" w:type="dxa"/>
            <w:bottom w:w="0" w:type="dxa"/>
            <w:right w:w="108" w:type="dxa"/>
          </w:tblCellMar>
        </w:tblPrEx>
        <w:trPr>
          <w:trHeight w:val="270" w:hRule="atLeast"/>
          <w:jc w:val="center"/>
        </w:trPr>
        <w:tc>
          <w:tcPr>
            <w:tcW w:w="956" w:type="dxa"/>
            <w:vMerge w:val="continue"/>
            <w:tcBorders>
              <w:top w:val="nil"/>
              <w:left w:val="single" w:color="auto" w:sz="4" w:space="0"/>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p>
        </w:tc>
        <w:tc>
          <w:tcPr>
            <w:tcW w:w="974" w:type="dxa"/>
            <w:vMerge w:val="continue"/>
            <w:tcBorders>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955"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1201</w:t>
            </w:r>
          </w:p>
        </w:tc>
        <w:tc>
          <w:tcPr>
            <w:tcW w:w="1930" w:type="dxa"/>
            <w:tcBorders>
              <w:top w:val="nil"/>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空闲地</w:t>
            </w:r>
          </w:p>
        </w:tc>
        <w:tc>
          <w:tcPr>
            <w:tcW w:w="4757" w:type="dxa"/>
            <w:gridSpan w:val="3"/>
            <w:tcBorders>
              <w:top w:val="single" w:color="auto" w:sz="4" w:space="0"/>
              <w:left w:val="nil"/>
              <w:bottom w:val="single" w:color="auto" w:sz="4" w:space="0"/>
              <w:right w:val="single" w:color="auto" w:sz="4" w:space="0"/>
            </w:tcBorders>
            <w:vAlign w:val="center"/>
          </w:tcPr>
          <w:p>
            <w:pPr>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指城镇、村庄、工矿范围内尚未使用的土地。</w:t>
            </w:r>
          </w:p>
        </w:tc>
      </w:tr>
    </w:tbl>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05" w:name="_Toc508966712"/>
      <w:r>
        <w:rPr>
          <w:rFonts w:hint="eastAsia" w:asciiTheme="minorEastAsia" w:hAnsiTheme="minorEastAsia" w:eastAsiaTheme="minorEastAsia" w:cstheme="minorEastAsia"/>
          <w:b/>
          <w:sz w:val="24"/>
          <w:szCs w:val="24"/>
          <w:shd w:val="clear" w:color="auto" w:fill="FFFFFF"/>
        </w:rPr>
        <w:t>村庄土地调查</w:t>
      </w:r>
      <w:bookmarkEnd w:id="105"/>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06" w:name="_Toc508966713"/>
      <w:r>
        <w:rPr>
          <w:rFonts w:hint="eastAsia" w:asciiTheme="minorEastAsia" w:hAnsiTheme="minorEastAsia" w:eastAsiaTheme="minorEastAsia" w:cstheme="minorEastAsia"/>
          <w:b/>
          <w:sz w:val="24"/>
          <w:szCs w:val="24"/>
          <w:shd w:val="clear" w:color="auto" w:fill="FFFFFF"/>
        </w:rPr>
        <w:t>调查范围</w:t>
      </w:r>
      <w:bookmarkEnd w:id="106"/>
    </w:p>
    <w:p>
      <w:pPr>
        <w:tabs>
          <w:tab w:val="left" w:pos="720"/>
        </w:tabs>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依据遥感影像特征，参照二次调查及变更调查确定的村庄(203)范围，划定村庄土地调查工作边界</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07" w:name="_Toc508966714"/>
      <w:r>
        <w:rPr>
          <w:rFonts w:hint="eastAsia" w:asciiTheme="minorEastAsia" w:hAnsiTheme="minorEastAsia" w:eastAsiaTheme="minorEastAsia" w:cstheme="minorEastAsia"/>
          <w:b/>
          <w:sz w:val="24"/>
          <w:szCs w:val="24"/>
          <w:shd w:val="clear" w:color="auto" w:fill="FFFFFF"/>
        </w:rPr>
        <w:t>调查技术路线</w:t>
      </w:r>
      <w:bookmarkEnd w:id="107"/>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村庄内部土地利用现状图斑调查工作依据村庄内权籍调查情况的有无分别展开，若村庄内未做过权籍调查，则需先矢量化再勾绘土地利用图斑；反之，则需抽取与综合操作。形成村庄土地利用图斑图层后，需协调周边村庄土地利用图斑的相互关系，同时采用综合调绘的方法，生成村庄内土地利用图斑矢量数据，详细技术路线如下图所示。</w:t>
      </w:r>
    </w:p>
    <w:p>
      <w:pPr>
        <w:spacing w:line="360" w:lineRule="auto"/>
        <w:jc w:val="both"/>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object>
          <v:shape id="_x0000_i1029" o:spt="75" type="#_x0000_t75" style="height:584.85pt;width:396.65pt;" o:ole="t" filled="f" o:preferrelative="t" stroked="f" coordsize="21600,21600">
            <v:path/>
            <v:fill on="f" focussize="0,0"/>
            <v:stroke on="f"/>
            <v:imagedata r:id="rId56" o:title=""/>
            <o:lock v:ext="edit" aspectratio="t"/>
            <w10:wrap type="none"/>
            <w10:anchorlock/>
          </v:shape>
          <o:OLEObject Type="Embed" ProgID="Visio.Drawing.11" ShapeID="_x0000_i1029" DrawAspect="Content" ObjectID="_1468075729" r:id="rId55">
            <o:LockedField>false</o:LockedField>
          </o:OLEObject>
        </w:object>
      </w:r>
    </w:p>
    <w:p>
      <w:pPr>
        <w:spacing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rPr>
        <w:t>村庄内部土地利用调查技术路线</w:t>
      </w:r>
    </w:p>
    <w:p>
      <w:pPr>
        <w:spacing w:before="156" w:beforeLines="50" w:after="156" w:afterLines="50" w:line="360" w:lineRule="auto"/>
        <w:ind w:firstLine="480"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sz w:val="24"/>
          <w:szCs w:val="24"/>
          <w:shd w:val="clear" w:color="auto" w:fill="FFFFFF"/>
        </w:rPr>
        <w:br w:type="page"/>
      </w:r>
      <w:bookmarkStart w:id="108" w:name="_Toc508966715"/>
      <w:r>
        <w:rPr>
          <w:rFonts w:hint="eastAsia" w:asciiTheme="minorEastAsia" w:hAnsiTheme="minorEastAsia" w:eastAsiaTheme="minorEastAsia" w:cstheme="minorEastAsia"/>
          <w:b/>
          <w:sz w:val="24"/>
          <w:szCs w:val="24"/>
          <w:shd w:val="clear" w:color="auto" w:fill="FFFFFF"/>
        </w:rPr>
        <w:t>图斑调绘</w:t>
      </w:r>
      <w:bookmarkEnd w:id="108"/>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以调查底图为基础，依据村庄地籍调查（宅基地及集体建设用地使用权调查等）成果，按照工作分类，结合影像特征，判定土地利用类型，初步调绘村庄内部土地利用现状图斑。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村庄内部超过上图面积的耕地、园地、林地等土地按土地利用现状图斑调绘。</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房前屋后不够上图面积的空地、晒场、树木及宅基地之间的通道等可归并到相邻的宅基地图斑。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村庄内部符合上图面积的水塘宜按照使用特征，以生活用水为主的水塘可归并到相邻的建设用地图斑，以农业生产用水为主的水塘应调绘坑塘水面。</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穿越村庄的公路、河流、铁路等，按照调查要求，不宜作为村庄内部的图斑进行调绘。</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村庄内部的全部图斑应标注“203”属性。</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drawing>
          <wp:inline distT="0" distB="0" distL="114300" distR="114300">
            <wp:extent cx="2139950" cy="2570480"/>
            <wp:effectExtent l="0" t="0" r="12700" b="1270"/>
            <wp:docPr id="372" name="图片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图片 196"/>
                    <pic:cNvPicPr>
                      <a:picLocks noChangeAspect="1"/>
                    </pic:cNvPicPr>
                  </pic:nvPicPr>
                  <pic:blipFill>
                    <a:blip r:embed="rId57"/>
                    <a:stretch>
                      <a:fillRect/>
                    </a:stretch>
                  </pic:blipFill>
                  <pic:spPr>
                    <a:xfrm>
                      <a:off x="0" y="0"/>
                      <a:ext cx="2139950" cy="2570480"/>
                    </a:xfrm>
                    <a:prstGeom prst="rect">
                      <a:avLst/>
                    </a:prstGeom>
                    <a:noFill/>
                    <a:ln w="9525">
                      <a:noFill/>
                    </a:ln>
                  </pic:spPr>
                </pic:pic>
              </a:graphicData>
            </a:graphic>
          </wp:inline>
        </w:drawing>
      </w:r>
      <w:r>
        <w:rPr>
          <w:rFonts w:hint="eastAsia" w:asciiTheme="minorEastAsia" w:hAnsiTheme="minorEastAsia" w:eastAsiaTheme="minorEastAsia" w:cstheme="minorEastAsia"/>
          <w:sz w:val="24"/>
          <w:szCs w:val="24"/>
          <w:shd w:val="clear" w:color="auto" w:fill="FFFFFF"/>
        </w:rPr>
        <w:drawing>
          <wp:inline distT="0" distB="0" distL="114300" distR="114300">
            <wp:extent cx="2058035" cy="2562860"/>
            <wp:effectExtent l="0" t="0" r="18415" b="8890"/>
            <wp:docPr id="373" name="图片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 name="图片 197"/>
                    <pic:cNvPicPr>
                      <a:picLocks noChangeAspect="1"/>
                    </pic:cNvPicPr>
                  </pic:nvPicPr>
                  <pic:blipFill>
                    <a:blip r:embed="rId58"/>
                    <a:stretch>
                      <a:fillRect/>
                    </a:stretch>
                  </pic:blipFill>
                  <pic:spPr>
                    <a:xfrm>
                      <a:off x="0" y="0"/>
                      <a:ext cx="2058035" cy="2562860"/>
                    </a:xfrm>
                    <a:prstGeom prst="rect">
                      <a:avLst/>
                    </a:prstGeom>
                    <a:noFill/>
                    <a:ln w="9525">
                      <a:noFill/>
                    </a:ln>
                  </pic:spPr>
                </pic:pic>
              </a:graphicData>
            </a:graphic>
          </wp:inline>
        </w:drawing>
      </w:r>
    </w:p>
    <w:p>
      <w:pPr>
        <w:spacing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村庄土地利用图斑绘制</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09" w:name="_Toc508966716"/>
      <w:r>
        <w:rPr>
          <w:rFonts w:hint="eastAsia" w:asciiTheme="minorEastAsia" w:hAnsiTheme="minorEastAsia" w:eastAsiaTheme="minorEastAsia" w:cstheme="minorEastAsia"/>
          <w:b/>
          <w:sz w:val="24"/>
          <w:szCs w:val="24"/>
          <w:shd w:val="clear" w:color="auto" w:fill="FFFFFF"/>
        </w:rPr>
        <w:t>外业核实</w:t>
      </w:r>
      <w:bookmarkEnd w:id="109"/>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利用村庄地籍调查、土地登记、土地承包经营权登记、林权登记、土地整治、国土执法监察和其他相关资料为依据，结合实地勘查，核实村庄内部土地利用现状图斑的准确性。针对外业核实发现的问题，修正村庄内部土地利用现状图斑边界和地类属性等内容。</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10" w:name="_Toc508966717"/>
      <w:r>
        <w:rPr>
          <w:rFonts w:hint="eastAsia" w:asciiTheme="minorEastAsia" w:hAnsiTheme="minorEastAsia" w:eastAsiaTheme="minorEastAsia" w:cstheme="minorEastAsia"/>
          <w:b/>
          <w:sz w:val="24"/>
          <w:szCs w:val="24"/>
          <w:shd w:val="clear" w:color="auto" w:fill="FFFFFF"/>
        </w:rPr>
        <w:t>城乡土地利用现状图斑衔接</w:t>
      </w:r>
      <w:bookmarkEnd w:id="110"/>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衔接内容</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以调查底图为基础，衔接城乡土地利用现状图斑，做好城镇村庄调查范围与农村土地利用现状调查范围、国有土地图斑与国有土地图斑、国有土地图斑与集体所有土地图斑、集体所有土地图斑与集体所有土地图斑、城镇村庄道路图斑与农村道路图斑等界线位置和属性内容的衔接。</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衔接要求</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城镇村庄土地调查范围、界线与农村土地利用现状调查范围、界线应无缝衔接。</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城镇村庄内部土地利用现状图斑和农村土地利用现状图斑的地类应无缝衔接。</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城镇村庄内部土地利用现状图斑与农村土地利用现状图斑相互衔接，以低精度图斑界线服从高精度图斑界线位置为原则，在允许误差范围内，综合考虑图斑衔接的圆滑性和协调性。</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城镇村庄道路与农村道路相互连通时，各自独立划定图斑，同时要保持道路表现时的完整性。</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衔接方法</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城镇村土地利用调查与农村土地利用调查一体化。以街道、乡镇作为基本调查区域，由同一调查和建库机构完成城乡一体化的调查，避免组织管理上的推诿扯皮。</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以县为单位建库和入库，一个县一个建库单位。</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以城镇村界线为参考，以影像实体为依据，划定乡镇村土地调查和农村土地调查的边界线。</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城乡数据接边时，以低精度服从高精度为基本原则；同时，要考虑数据表现时的协调性。</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城乡土地调查以县（市、区）、街道（乡镇）、村等行政区为管理单元。</w:t>
      </w:r>
    </w:p>
    <w:p>
      <w:pPr>
        <w:pStyle w:val="5"/>
        <w:spacing w:line="360" w:lineRule="auto"/>
        <w:ind w:firstLine="602"/>
        <w:outlineLvl w:val="4"/>
        <w:rPr>
          <w:rFonts w:hint="eastAsia" w:asciiTheme="minorEastAsia" w:hAnsiTheme="minorEastAsia" w:eastAsiaTheme="minorEastAsia" w:cstheme="minorEastAsia"/>
          <w:sz w:val="24"/>
          <w:szCs w:val="24"/>
        </w:rPr>
      </w:pPr>
      <w:bookmarkStart w:id="111" w:name="_Toc516510631"/>
      <w:bookmarkStart w:id="112" w:name="_Toc8025"/>
      <w:bookmarkStart w:id="113" w:name="_Toc522794968"/>
      <w:bookmarkStart w:id="114" w:name="_Toc524979663"/>
      <w:bookmarkStart w:id="115" w:name="_Toc508966718"/>
      <w:r>
        <w:rPr>
          <w:rFonts w:hint="eastAsia" w:asciiTheme="minorEastAsia" w:hAnsiTheme="minorEastAsia" w:eastAsiaTheme="minorEastAsia" w:cstheme="minorEastAsia"/>
          <w:sz w:val="24"/>
          <w:szCs w:val="24"/>
          <w:lang w:val="en-US" w:eastAsia="zh-CN"/>
        </w:rPr>
        <w:t>（5）</w:t>
      </w:r>
      <w:r>
        <w:rPr>
          <w:rFonts w:hint="eastAsia" w:asciiTheme="minorEastAsia" w:hAnsiTheme="minorEastAsia" w:eastAsiaTheme="minorEastAsia" w:cstheme="minorEastAsia"/>
          <w:sz w:val="24"/>
          <w:szCs w:val="24"/>
        </w:rPr>
        <w:t>专项用地调查</w:t>
      </w:r>
      <w:bookmarkEnd w:id="83"/>
      <w:bookmarkEnd w:id="111"/>
      <w:bookmarkEnd w:id="112"/>
      <w:bookmarkEnd w:id="113"/>
      <w:bookmarkEnd w:id="114"/>
      <w:bookmarkEnd w:id="115"/>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16" w:name="_Toc495270690"/>
      <w:bookmarkStart w:id="117" w:name="_Toc508966719"/>
      <w:bookmarkStart w:id="118" w:name="_Toc505609372"/>
      <w:bookmarkStart w:id="119" w:name="_Toc507256730"/>
      <w:r>
        <w:rPr>
          <w:rFonts w:hint="eastAsia" w:asciiTheme="minorEastAsia" w:hAnsiTheme="minorEastAsia" w:eastAsiaTheme="minorEastAsia" w:cstheme="minorEastAsia"/>
          <w:b/>
          <w:sz w:val="24"/>
          <w:szCs w:val="24"/>
          <w:shd w:val="clear" w:color="auto" w:fill="FFFFFF"/>
        </w:rPr>
        <w:t>专项用地调查内容</w:t>
      </w:r>
      <w:bookmarkEnd w:id="116"/>
      <w:bookmarkEnd w:id="117"/>
      <w:bookmarkEnd w:id="118"/>
      <w:bookmarkEnd w:id="119"/>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包括耕地细化调查、批准未建设的建设用地调查、耕地质量等级调查评价和耕地分等定级调查评价。</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20" w:name="_Toc496510370"/>
      <w:bookmarkEnd w:id="120"/>
      <w:bookmarkStart w:id="121" w:name="_Toc496510279"/>
      <w:bookmarkEnd w:id="121"/>
      <w:bookmarkStart w:id="122" w:name="_Toc496601104"/>
      <w:bookmarkEnd w:id="122"/>
      <w:bookmarkStart w:id="123" w:name="_Toc496510369"/>
      <w:bookmarkEnd w:id="123"/>
      <w:bookmarkStart w:id="124" w:name="_Toc496510278"/>
      <w:bookmarkEnd w:id="124"/>
      <w:bookmarkStart w:id="125" w:name="_Toc495269733"/>
      <w:bookmarkEnd w:id="125"/>
      <w:bookmarkStart w:id="126" w:name="_Toc496601102"/>
      <w:bookmarkEnd w:id="126"/>
      <w:bookmarkStart w:id="127" w:name="_Toc496601103"/>
      <w:bookmarkEnd w:id="127"/>
      <w:bookmarkStart w:id="128" w:name="_Toc495270693"/>
      <w:bookmarkEnd w:id="128"/>
      <w:bookmarkStart w:id="129" w:name="_Toc495269732"/>
      <w:bookmarkEnd w:id="129"/>
      <w:bookmarkStart w:id="130" w:name="_Toc496601101"/>
      <w:bookmarkEnd w:id="130"/>
      <w:bookmarkStart w:id="131" w:name="_Toc495270692"/>
      <w:bookmarkEnd w:id="131"/>
      <w:bookmarkStart w:id="132" w:name="_Toc505609373"/>
      <w:bookmarkStart w:id="133" w:name="_Toc507256731"/>
      <w:bookmarkStart w:id="134" w:name="_Toc495270694"/>
      <w:bookmarkStart w:id="135" w:name="_Toc508966720"/>
      <w:r>
        <w:rPr>
          <w:rFonts w:hint="eastAsia" w:asciiTheme="minorEastAsia" w:hAnsiTheme="minorEastAsia" w:eastAsiaTheme="minorEastAsia" w:cstheme="minorEastAsia"/>
          <w:b/>
          <w:sz w:val="24"/>
          <w:szCs w:val="24"/>
          <w:shd w:val="clear" w:color="auto" w:fill="FFFFFF"/>
        </w:rPr>
        <w:t xml:space="preserve"> 耕地细化调查</w:t>
      </w:r>
      <w:bookmarkEnd w:id="132"/>
      <w:bookmarkEnd w:id="133"/>
      <w:bookmarkEnd w:id="134"/>
      <w:bookmarkEnd w:id="135"/>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对永久基本农田范围以外的耕地图斑，参考相关部门的有关资料，根据耕地的位置和立地条件，开展耕地细化调查，并进行标注，如河道耕地—HDGD、湖区耕地—HQGD、林区耕地—LQGD、牧区耕地—MQGD和沙荒耕地—SHGD。</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36" w:name="_Toc507256732"/>
      <w:bookmarkStart w:id="137" w:name="_Toc508966721"/>
      <w:r>
        <w:rPr>
          <w:rFonts w:hint="eastAsia" w:asciiTheme="minorEastAsia" w:hAnsiTheme="minorEastAsia" w:eastAsiaTheme="minorEastAsia" w:cstheme="minorEastAsia"/>
          <w:b/>
          <w:sz w:val="24"/>
          <w:szCs w:val="24"/>
          <w:shd w:val="clear" w:color="auto" w:fill="FFFFFF"/>
        </w:rPr>
        <w:t>耕地细化调查底图</w:t>
      </w:r>
      <w:bookmarkEnd w:id="136"/>
      <w:bookmarkEnd w:id="137"/>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耕地细化调查的首要工作是工作底图生产，工作底图制图流程如下所示：</w:t>
      </w:r>
    </w:p>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object>
          <v:shape id="_x0000_i1030" o:spt="75" type="#_x0000_t75" style="height:290.8pt;width:332.85pt;" o:ole="t" filled="f" o:preferrelative="t" stroked="f" coordsize="21600,21600">
            <v:path/>
            <v:fill on="f" focussize="0,0"/>
            <v:stroke on="f"/>
            <v:imagedata r:id="rId60" o:title=""/>
            <o:lock v:ext="edit" aspectratio="t"/>
            <w10:wrap type="none"/>
            <w10:anchorlock/>
          </v:shape>
          <o:OLEObject Type="Embed" ProgID="Visio.Drawing.11" ShapeID="_x0000_i1030" DrawAspect="Content" ObjectID="_1468075730" r:id="rId59">
            <o:LockedField>false</o:LockedField>
          </o:OLEObject>
        </w:object>
      </w:r>
    </w:p>
    <w:p>
      <w:pPr>
        <w:spacing w:line="360" w:lineRule="auto"/>
        <w:jc w:val="center"/>
        <w:rPr>
          <w:rFonts w:hint="eastAsia" w:asciiTheme="minorEastAsia" w:hAnsiTheme="minorEastAsia" w:eastAsiaTheme="minorEastAsia" w:cstheme="minorEastAsia"/>
          <w:b/>
          <w:sz w:val="24"/>
          <w:szCs w:val="24"/>
        </w:rPr>
      </w:pPr>
    </w:p>
    <w:p>
      <w:pPr>
        <w:spacing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耕地细化调查底图制作流程图</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耕地图斑提取</w:t>
      </w:r>
    </w:p>
    <w:p>
      <w:pPr>
        <w:spacing w:before="156" w:beforeLines="50" w:after="156" w:afterLines="50" w:line="360" w:lineRule="auto"/>
        <w:ind w:firstLine="480"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sz w:val="24"/>
          <w:szCs w:val="24"/>
        </w:rPr>
        <w:t>以2017年土地变更更新数据为基础，提取基础地类图斑，根据地类代码提取属性代码为“01”的图斑，即耕地图斑的获取。</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永久基本农田范围确定</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从永久基本农田划定数据库中提取永久基本农田图斑和永久基本农田范围线，确定永久基本农田范围。</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耕地调查图斑生成</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采用ArcGIS工具中的“clip”功能，对耕地图斑和永久基本农田范围进行裁剪处理，获取永久基本农田范围外的耕地图斑。</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耕地细化调查底图生成</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将永久基本农田范围外的耕地图斑叠加到遥感影像图中，并套合行政范围线和行政区标注，完成调查底图制作，便于外业调查顺利进行。</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38" w:name="_Toc507256733"/>
      <w:bookmarkStart w:id="139" w:name="_Toc508966722"/>
      <w:r>
        <w:rPr>
          <w:rFonts w:hint="eastAsia" w:asciiTheme="minorEastAsia" w:hAnsiTheme="minorEastAsia" w:eastAsiaTheme="minorEastAsia" w:cstheme="minorEastAsia"/>
          <w:b/>
          <w:sz w:val="24"/>
          <w:szCs w:val="24"/>
          <w:shd w:val="clear" w:color="auto" w:fill="FFFFFF"/>
        </w:rPr>
        <w:t>外业核查</w:t>
      </w:r>
      <w:bookmarkEnd w:id="138"/>
      <w:bookmarkEnd w:id="139"/>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调查内容</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土地权利人。调查核实土地权利人的姓名或者土地权利人的名称、单位性质、行业代码、组织机构代码、法定代表人（或负责人）姓名及其身份证明、代理人姓名及其身份证明等。</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土地权属性质及来源。调查核实土地的权属来源证明材料、土地权属性质、使用权类型、使用期限等。</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土地位置。对土地使用权宗地，调查核实土地坐落、宗地四至、所在图幅等。</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图斑细化类型。图斑细化类型进行详细调查，如河道耕地—HDGD、湖区耕地—HQGD、林区耕地—LQGD、牧区耕地—MQGD和沙荒耕地—SHGD等。</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耕地类型。调查耕地的类型，如平地、坡地、梯田。</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耕地种植属性。对耕地的种植情况进行调查，确定耕地的利用状况。</w:t>
      </w:r>
    </w:p>
    <w:p>
      <w:pPr>
        <w:spacing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耕地细化调查表</w:t>
      </w:r>
    </w:p>
    <w:tbl>
      <w:tblPr>
        <w:tblStyle w:val="10"/>
        <w:tblW w:w="957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6"/>
        <w:gridCol w:w="936"/>
        <w:gridCol w:w="1176"/>
        <w:gridCol w:w="1176"/>
        <w:gridCol w:w="1043"/>
        <w:gridCol w:w="1176"/>
        <w:gridCol w:w="1090"/>
        <w:gridCol w:w="15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40" w:hRule="atLeast"/>
          <w:jc w:val="center"/>
        </w:trPr>
        <w:tc>
          <w:tcPr>
            <w:tcW w:w="1416" w:type="dxa"/>
            <w:vAlign w:val="center"/>
          </w:tcPr>
          <w:p>
            <w:pPr>
              <w:snapToGrid w:val="0"/>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行政村名称</w:t>
            </w:r>
          </w:p>
        </w:tc>
        <w:tc>
          <w:tcPr>
            <w:tcW w:w="936" w:type="dxa"/>
            <w:vAlign w:val="center"/>
          </w:tcPr>
          <w:p>
            <w:pPr>
              <w:snapToGrid w:val="0"/>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权利人</w:t>
            </w:r>
          </w:p>
        </w:tc>
        <w:tc>
          <w:tcPr>
            <w:tcW w:w="1176" w:type="dxa"/>
            <w:vAlign w:val="center"/>
          </w:tcPr>
          <w:p>
            <w:pPr>
              <w:snapToGrid w:val="0"/>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权属单位</w:t>
            </w:r>
          </w:p>
        </w:tc>
        <w:tc>
          <w:tcPr>
            <w:tcW w:w="1176" w:type="dxa"/>
            <w:vAlign w:val="center"/>
          </w:tcPr>
          <w:p>
            <w:pPr>
              <w:snapToGrid w:val="0"/>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土地位置</w:t>
            </w:r>
          </w:p>
        </w:tc>
        <w:tc>
          <w:tcPr>
            <w:tcW w:w="1043" w:type="dxa"/>
            <w:vAlign w:val="top"/>
          </w:tcPr>
          <w:p>
            <w:pPr>
              <w:snapToGrid w:val="0"/>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图斑细化类型</w:t>
            </w:r>
          </w:p>
        </w:tc>
        <w:tc>
          <w:tcPr>
            <w:tcW w:w="1176" w:type="dxa"/>
            <w:vAlign w:val="center"/>
          </w:tcPr>
          <w:p>
            <w:pPr>
              <w:snapToGrid w:val="0"/>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耕地类型</w:t>
            </w:r>
          </w:p>
        </w:tc>
        <w:tc>
          <w:tcPr>
            <w:tcW w:w="1090" w:type="dxa"/>
            <w:vAlign w:val="center"/>
          </w:tcPr>
          <w:p>
            <w:pPr>
              <w:snapToGrid w:val="0"/>
              <w:spacing w:line="360" w:lineRule="auto"/>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耕地种植属性</w:t>
            </w:r>
          </w:p>
        </w:tc>
        <w:tc>
          <w:tcPr>
            <w:tcW w:w="1559" w:type="dxa"/>
            <w:vAlign w:val="center"/>
          </w:tcPr>
          <w:p>
            <w:pPr>
              <w:snapToGrid w:val="0"/>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5" w:hRule="atLeast"/>
          <w:jc w:val="center"/>
        </w:trPr>
        <w:tc>
          <w:tcPr>
            <w:tcW w:w="1416" w:type="dxa"/>
            <w:vAlign w:val="center"/>
          </w:tcPr>
          <w:p>
            <w:pPr>
              <w:spacing w:line="360" w:lineRule="auto"/>
              <w:rPr>
                <w:rFonts w:hint="eastAsia" w:asciiTheme="minorEastAsia" w:hAnsiTheme="minorEastAsia" w:eastAsiaTheme="minorEastAsia" w:cstheme="minorEastAsia"/>
                <w:color w:val="000000"/>
                <w:sz w:val="24"/>
                <w:szCs w:val="24"/>
              </w:rPr>
            </w:pPr>
          </w:p>
        </w:tc>
        <w:tc>
          <w:tcPr>
            <w:tcW w:w="936" w:type="dxa"/>
            <w:vAlign w:val="center"/>
          </w:tcPr>
          <w:p>
            <w:pPr>
              <w:spacing w:line="360" w:lineRule="auto"/>
              <w:rPr>
                <w:rFonts w:hint="eastAsia" w:asciiTheme="minorEastAsia" w:hAnsiTheme="minorEastAsia" w:eastAsiaTheme="minorEastAsia" w:cstheme="minorEastAsia"/>
                <w:color w:val="000000"/>
                <w:sz w:val="24"/>
                <w:szCs w:val="24"/>
              </w:rPr>
            </w:pPr>
          </w:p>
        </w:tc>
        <w:tc>
          <w:tcPr>
            <w:tcW w:w="1176" w:type="dxa"/>
            <w:vAlign w:val="center"/>
          </w:tcPr>
          <w:p>
            <w:pPr>
              <w:spacing w:line="360" w:lineRule="auto"/>
              <w:rPr>
                <w:rFonts w:hint="eastAsia" w:asciiTheme="minorEastAsia" w:hAnsiTheme="minorEastAsia" w:eastAsiaTheme="minorEastAsia" w:cstheme="minorEastAsia"/>
                <w:color w:val="000000"/>
                <w:sz w:val="24"/>
                <w:szCs w:val="24"/>
              </w:rPr>
            </w:pPr>
          </w:p>
        </w:tc>
        <w:tc>
          <w:tcPr>
            <w:tcW w:w="1176" w:type="dxa"/>
            <w:vAlign w:val="center"/>
          </w:tcPr>
          <w:p>
            <w:pPr>
              <w:spacing w:line="360" w:lineRule="auto"/>
              <w:rPr>
                <w:rFonts w:hint="eastAsia" w:asciiTheme="minorEastAsia" w:hAnsiTheme="minorEastAsia" w:eastAsiaTheme="minorEastAsia" w:cstheme="minorEastAsia"/>
                <w:color w:val="000000"/>
                <w:sz w:val="24"/>
                <w:szCs w:val="24"/>
              </w:rPr>
            </w:pPr>
          </w:p>
        </w:tc>
        <w:tc>
          <w:tcPr>
            <w:tcW w:w="1043" w:type="dxa"/>
            <w:vAlign w:val="top"/>
          </w:tcPr>
          <w:p>
            <w:pPr>
              <w:spacing w:line="360" w:lineRule="auto"/>
              <w:rPr>
                <w:rFonts w:hint="eastAsia" w:asciiTheme="minorEastAsia" w:hAnsiTheme="minorEastAsia" w:eastAsiaTheme="minorEastAsia" w:cstheme="minorEastAsia"/>
                <w:color w:val="000000"/>
                <w:sz w:val="24"/>
                <w:szCs w:val="24"/>
              </w:rPr>
            </w:pPr>
          </w:p>
        </w:tc>
        <w:tc>
          <w:tcPr>
            <w:tcW w:w="1176" w:type="dxa"/>
            <w:vAlign w:val="center"/>
          </w:tcPr>
          <w:p>
            <w:pPr>
              <w:spacing w:line="360" w:lineRule="auto"/>
              <w:rPr>
                <w:rFonts w:hint="eastAsia" w:asciiTheme="minorEastAsia" w:hAnsiTheme="minorEastAsia" w:eastAsiaTheme="minorEastAsia" w:cstheme="minorEastAsia"/>
                <w:color w:val="000000"/>
                <w:sz w:val="24"/>
                <w:szCs w:val="24"/>
              </w:rPr>
            </w:pPr>
          </w:p>
        </w:tc>
        <w:tc>
          <w:tcPr>
            <w:tcW w:w="1090" w:type="dxa"/>
            <w:vAlign w:val="top"/>
          </w:tcPr>
          <w:p>
            <w:pPr>
              <w:spacing w:line="360" w:lineRule="auto"/>
              <w:rPr>
                <w:rFonts w:hint="eastAsia" w:asciiTheme="minorEastAsia" w:hAnsiTheme="minorEastAsia" w:eastAsiaTheme="minorEastAsia" w:cstheme="minorEastAsia"/>
                <w:color w:val="000000"/>
                <w:sz w:val="24"/>
                <w:szCs w:val="24"/>
              </w:rPr>
            </w:pPr>
          </w:p>
        </w:tc>
        <w:tc>
          <w:tcPr>
            <w:tcW w:w="1559" w:type="dxa"/>
            <w:vAlign w:val="center"/>
          </w:tcPr>
          <w:p>
            <w:pPr>
              <w:spacing w:line="360" w:lineRule="auto"/>
              <w:rPr>
                <w:rFonts w:hint="eastAsia" w:asciiTheme="minorEastAsia" w:hAnsiTheme="minorEastAsia" w:eastAsiaTheme="minorEastAsia" w:cstheme="minorEastAsia"/>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1416" w:type="dxa"/>
            <w:vAlign w:val="center"/>
          </w:tcPr>
          <w:p>
            <w:pPr>
              <w:spacing w:line="360" w:lineRule="auto"/>
              <w:rPr>
                <w:rFonts w:hint="eastAsia" w:asciiTheme="minorEastAsia" w:hAnsiTheme="minorEastAsia" w:eastAsiaTheme="minorEastAsia" w:cstheme="minorEastAsia"/>
                <w:color w:val="000000"/>
                <w:sz w:val="24"/>
                <w:szCs w:val="24"/>
              </w:rPr>
            </w:pPr>
          </w:p>
        </w:tc>
        <w:tc>
          <w:tcPr>
            <w:tcW w:w="936" w:type="dxa"/>
            <w:vAlign w:val="center"/>
          </w:tcPr>
          <w:p>
            <w:pPr>
              <w:spacing w:line="360" w:lineRule="auto"/>
              <w:rPr>
                <w:rFonts w:hint="eastAsia" w:asciiTheme="minorEastAsia" w:hAnsiTheme="minorEastAsia" w:eastAsiaTheme="minorEastAsia" w:cstheme="minorEastAsia"/>
                <w:color w:val="000000"/>
                <w:sz w:val="24"/>
                <w:szCs w:val="24"/>
              </w:rPr>
            </w:pPr>
          </w:p>
        </w:tc>
        <w:tc>
          <w:tcPr>
            <w:tcW w:w="1176" w:type="dxa"/>
            <w:vAlign w:val="center"/>
          </w:tcPr>
          <w:p>
            <w:pPr>
              <w:spacing w:line="360" w:lineRule="auto"/>
              <w:rPr>
                <w:rFonts w:hint="eastAsia" w:asciiTheme="minorEastAsia" w:hAnsiTheme="minorEastAsia" w:eastAsiaTheme="minorEastAsia" w:cstheme="minorEastAsia"/>
                <w:color w:val="000000"/>
                <w:sz w:val="24"/>
                <w:szCs w:val="24"/>
              </w:rPr>
            </w:pPr>
          </w:p>
        </w:tc>
        <w:tc>
          <w:tcPr>
            <w:tcW w:w="1176" w:type="dxa"/>
            <w:vAlign w:val="center"/>
          </w:tcPr>
          <w:p>
            <w:pPr>
              <w:spacing w:line="360" w:lineRule="auto"/>
              <w:rPr>
                <w:rFonts w:hint="eastAsia" w:asciiTheme="minorEastAsia" w:hAnsiTheme="minorEastAsia" w:eastAsiaTheme="minorEastAsia" w:cstheme="minorEastAsia"/>
                <w:color w:val="000000"/>
                <w:sz w:val="24"/>
                <w:szCs w:val="24"/>
              </w:rPr>
            </w:pPr>
          </w:p>
        </w:tc>
        <w:tc>
          <w:tcPr>
            <w:tcW w:w="1043" w:type="dxa"/>
            <w:vAlign w:val="top"/>
          </w:tcPr>
          <w:p>
            <w:pPr>
              <w:spacing w:line="360" w:lineRule="auto"/>
              <w:rPr>
                <w:rFonts w:hint="eastAsia" w:asciiTheme="minorEastAsia" w:hAnsiTheme="minorEastAsia" w:eastAsiaTheme="minorEastAsia" w:cstheme="minorEastAsia"/>
                <w:color w:val="000000"/>
                <w:sz w:val="24"/>
                <w:szCs w:val="24"/>
              </w:rPr>
            </w:pPr>
          </w:p>
        </w:tc>
        <w:tc>
          <w:tcPr>
            <w:tcW w:w="1176" w:type="dxa"/>
            <w:vAlign w:val="center"/>
          </w:tcPr>
          <w:p>
            <w:pPr>
              <w:spacing w:line="360" w:lineRule="auto"/>
              <w:rPr>
                <w:rFonts w:hint="eastAsia" w:asciiTheme="minorEastAsia" w:hAnsiTheme="minorEastAsia" w:eastAsiaTheme="minorEastAsia" w:cstheme="minorEastAsia"/>
                <w:color w:val="000000"/>
                <w:sz w:val="24"/>
                <w:szCs w:val="24"/>
              </w:rPr>
            </w:pPr>
          </w:p>
        </w:tc>
        <w:tc>
          <w:tcPr>
            <w:tcW w:w="1090" w:type="dxa"/>
            <w:vAlign w:val="top"/>
          </w:tcPr>
          <w:p>
            <w:pPr>
              <w:spacing w:line="360" w:lineRule="auto"/>
              <w:rPr>
                <w:rFonts w:hint="eastAsia" w:asciiTheme="minorEastAsia" w:hAnsiTheme="minorEastAsia" w:eastAsiaTheme="minorEastAsia" w:cstheme="minorEastAsia"/>
                <w:color w:val="000000"/>
                <w:sz w:val="24"/>
                <w:szCs w:val="24"/>
              </w:rPr>
            </w:pPr>
          </w:p>
        </w:tc>
        <w:tc>
          <w:tcPr>
            <w:tcW w:w="1559" w:type="dxa"/>
            <w:vAlign w:val="center"/>
          </w:tcPr>
          <w:p>
            <w:pPr>
              <w:spacing w:line="360" w:lineRule="auto"/>
              <w:rPr>
                <w:rFonts w:hint="eastAsia" w:asciiTheme="minorEastAsia" w:hAnsiTheme="minorEastAsia" w:eastAsiaTheme="minorEastAsia" w:cstheme="minorEastAsia"/>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1416" w:type="dxa"/>
            <w:vAlign w:val="center"/>
          </w:tcPr>
          <w:p>
            <w:pPr>
              <w:spacing w:line="360" w:lineRule="auto"/>
              <w:rPr>
                <w:rFonts w:hint="eastAsia" w:asciiTheme="minorEastAsia" w:hAnsiTheme="minorEastAsia" w:eastAsiaTheme="minorEastAsia" w:cstheme="minorEastAsia"/>
                <w:color w:val="000000"/>
                <w:sz w:val="24"/>
                <w:szCs w:val="24"/>
              </w:rPr>
            </w:pPr>
          </w:p>
        </w:tc>
        <w:tc>
          <w:tcPr>
            <w:tcW w:w="936" w:type="dxa"/>
            <w:vAlign w:val="center"/>
          </w:tcPr>
          <w:p>
            <w:pPr>
              <w:spacing w:line="360" w:lineRule="auto"/>
              <w:rPr>
                <w:rFonts w:hint="eastAsia" w:asciiTheme="minorEastAsia" w:hAnsiTheme="minorEastAsia" w:eastAsiaTheme="minorEastAsia" w:cstheme="minorEastAsia"/>
                <w:color w:val="000000"/>
                <w:sz w:val="24"/>
                <w:szCs w:val="24"/>
              </w:rPr>
            </w:pPr>
          </w:p>
        </w:tc>
        <w:tc>
          <w:tcPr>
            <w:tcW w:w="1176" w:type="dxa"/>
            <w:vAlign w:val="center"/>
          </w:tcPr>
          <w:p>
            <w:pPr>
              <w:spacing w:line="360" w:lineRule="auto"/>
              <w:rPr>
                <w:rFonts w:hint="eastAsia" w:asciiTheme="minorEastAsia" w:hAnsiTheme="minorEastAsia" w:eastAsiaTheme="minorEastAsia" w:cstheme="minorEastAsia"/>
                <w:color w:val="000000"/>
                <w:sz w:val="24"/>
                <w:szCs w:val="24"/>
              </w:rPr>
            </w:pPr>
          </w:p>
        </w:tc>
        <w:tc>
          <w:tcPr>
            <w:tcW w:w="1176" w:type="dxa"/>
            <w:vAlign w:val="center"/>
          </w:tcPr>
          <w:p>
            <w:pPr>
              <w:spacing w:line="360" w:lineRule="auto"/>
              <w:rPr>
                <w:rFonts w:hint="eastAsia" w:asciiTheme="minorEastAsia" w:hAnsiTheme="minorEastAsia" w:eastAsiaTheme="minorEastAsia" w:cstheme="minorEastAsia"/>
                <w:color w:val="000000"/>
                <w:sz w:val="24"/>
                <w:szCs w:val="24"/>
              </w:rPr>
            </w:pPr>
          </w:p>
        </w:tc>
        <w:tc>
          <w:tcPr>
            <w:tcW w:w="1043" w:type="dxa"/>
            <w:vAlign w:val="top"/>
          </w:tcPr>
          <w:p>
            <w:pPr>
              <w:spacing w:line="360" w:lineRule="auto"/>
              <w:rPr>
                <w:rFonts w:hint="eastAsia" w:asciiTheme="minorEastAsia" w:hAnsiTheme="minorEastAsia" w:eastAsiaTheme="minorEastAsia" w:cstheme="minorEastAsia"/>
                <w:color w:val="000000"/>
                <w:sz w:val="24"/>
                <w:szCs w:val="24"/>
              </w:rPr>
            </w:pPr>
          </w:p>
        </w:tc>
        <w:tc>
          <w:tcPr>
            <w:tcW w:w="1176" w:type="dxa"/>
            <w:vAlign w:val="center"/>
          </w:tcPr>
          <w:p>
            <w:pPr>
              <w:spacing w:line="360" w:lineRule="auto"/>
              <w:rPr>
                <w:rFonts w:hint="eastAsia" w:asciiTheme="minorEastAsia" w:hAnsiTheme="minorEastAsia" w:eastAsiaTheme="minorEastAsia" w:cstheme="minorEastAsia"/>
                <w:color w:val="000000"/>
                <w:sz w:val="24"/>
                <w:szCs w:val="24"/>
              </w:rPr>
            </w:pPr>
          </w:p>
        </w:tc>
        <w:tc>
          <w:tcPr>
            <w:tcW w:w="1090" w:type="dxa"/>
            <w:vAlign w:val="top"/>
          </w:tcPr>
          <w:p>
            <w:pPr>
              <w:spacing w:line="360" w:lineRule="auto"/>
              <w:rPr>
                <w:rFonts w:hint="eastAsia" w:asciiTheme="minorEastAsia" w:hAnsiTheme="minorEastAsia" w:eastAsiaTheme="minorEastAsia" w:cstheme="minorEastAsia"/>
                <w:color w:val="000000"/>
                <w:sz w:val="24"/>
                <w:szCs w:val="24"/>
              </w:rPr>
            </w:pPr>
          </w:p>
        </w:tc>
        <w:tc>
          <w:tcPr>
            <w:tcW w:w="1559" w:type="dxa"/>
            <w:vAlign w:val="center"/>
          </w:tcPr>
          <w:p>
            <w:pPr>
              <w:spacing w:line="360" w:lineRule="auto"/>
              <w:rPr>
                <w:rFonts w:hint="eastAsia" w:asciiTheme="minorEastAsia" w:hAnsiTheme="minorEastAsia" w:eastAsiaTheme="minorEastAsia" w:cstheme="minorEastAsia"/>
                <w:color w:val="000000"/>
                <w:sz w:val="24"/>
                <w:szCs w:val="24"/>
              </w:rPr>
            </w:pPr>
          </w:p>
        </w:tc>
      </w:tr>
    </w:tbl>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调查依据</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根据《土地利用数据库标准》对耕地细化的图斑细化类型、耕地类型、耕地种植属性进行调查。</w:t>
      </w:r>
    </w:p>
    <w:p>
      <w:pPr>
        <w:spacing w:before="156" w:beforeLines="50" w:after="156" w:afterLines="50"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图斑细化类型表</w:t>
      </w:r>
    </w:p>
    <w:tbl>
      <w:tblPr>
        <w:tblStyle w:val="10"/>
        <w:tblW w:w="9572" w:type="dxa"/>
        <w:jc w:val="center"/>
        <w:tblInd w:w="0" w:type="dxa"/>
        <w:tblLayout w:type="fixed"/>
        <w:tblCellMar>
          <w:top w:w="0" w:type="dxa"/>
          <w:left w:w="108" w:type="dxa"/>
          <w:bottom w:w="0" w:type="dxa"/>
          <w:right w:w="108" w:type="dxa"/>
        </w:tblCellMar>
      </w:tblPr>
      <w:tblGrid>
        <w:gridCol w:w="3565"/>
        <w:gridCol w:w="6007"/>
      </w:tblGrid>
      <w:tr>
        <w:tblPrEx>
          <w:tblLayout w:type="fixed"/>
          <w:tblCellMar>
            <w:top w:w="0" w:type="dxa"/>
            <w:left w:w="108" w:type="dxa"/>
            <w:bottom w:w="0" w:type="dxa"/>
            <w:right w:w="108" w:type="dxa"/>
          </w:tblCellMar>
        </w:tblPrEx>
        <w:trPr>
          <w:trHeight w:val="285" w:hRule="atLeast"/>
          <w:jc w:val="center"/>
        </w:trPr>
        <w:tc>
          <w:tcPr>
            <w:tcW w:w="356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b/>
                <w:color w:val="000000"/>
                <w:sz w:val="24"/>
                <w:szCs w:val="24"/>
              </w:rPr>
            </w:pPr>
            <w:r>
              <w:rPr>
                <w:rFonts w:hint="eastAsia" w:asciiTheme="minorEastAsia" w:hAnsiTheme="minorEastAsia" w:eastAsiaTheme="minorEastAsia" w:cstheme="minorEastAsia"/>
                <w:b/>
                <w:color w:val="000000"/>
                <w:sz w:val="24"/>
                <w:szCs w:val="24"/>
              </w:rPr>
              <w:t>代码</w:t>
            </w:r>
          </w:p>
        </w:tc>
        <w:tc>
          <w:tcPr>
            <w:tcW w:w="6007" w:type="dxa"/>
            <w:tcBorders>
              <w:top w:val="single" w:color="auto" w:sz="4" w:space="0"/>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b/>
                <w:color w:val="000000"/>
                <w:sz w:val="24"/>
                <w:szCs w:val="24"/>
              </w:rPr>
            </w:pPr>
            <w:r>
              <w:rPr>
                <w:rFonts w:hint="eastAsia" w:asciiTheme="minorEastAsia" w:hAnsiTheme="minorEastAsia" w:eastAsiaTheme="minorEastAsia" w:cstheme="minorEastAsia"/>
                <w:b/>
                <w:color w:val="000000"/>
                <w:sz w:val="24"/>
                <w:szCs w:val="24"/>
              </w:rPr>
              <w:t>图斑细化类型</w:t>
            </w:r>
          </w:p>
        </w:tc>
      </w:tr>
      <w:tr>
        <w:tblPrEx>
          <w:tblLayout w:type="fixed"/>
          <w:tblCellMar>
            <w:top w:w="0" w:type="dxa"/>
            <w:left w:w="108" w:type="dxa"/>
            <w:bottom w:w="0" w:type="dxa"/>
            <w:right w:w="108" w:type="dxa"/>
          </w:tblCellMar>
        </w:tblPrEx>
        <w:trPr>
          <w:trHeight w:val="285" w:hRule="atLeast"/>
          <w:jc w:val="center"/>
        </w:trPr>
        <w:tc>
          <w:tcPr>
            <w:tcW w:w="3565" w:type="dxa"/>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HDGD</w:t>
            </w:r>
          </w:p>
        </w:tc>
        <w:tc>
          <w:tcPr>
            <w:tcW w:w="6007"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河道耕地</w:t>
            </w:r>
          </w:p>
        </w:tc>
      </w:tr>
      <w:tr>
        <w:tblPrEx>
          <w:tblLayout w:type="fixed"/>
          <w:tblCellMar>
            <w:top w:w="0" w:type="dxa"/>
            <w:left w:w="108" w:type="dxa"/>
            <w:bottom w:w="0" w:type="dxa"/>
            <w:right w:w="108" w:type="dxa"/>
          </w:tblCellMar>
        </w:tblPrEx>
        <w:trPr>
          <w:trHeight w:val="285" w:hRule="atLeast"/>
          <w:jc w:val="center"/>
        </w:trPr>
        <w:tc>
          <w:tcPr>
            <w:tcW w:w="3565" w:type="dxa"/>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HQGD</w:t>
            </w:r>
          </w:p>
        </w:tc>
        <w:tc>
          <w:tcPr>
            <w:tcW w:w="6007"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湖区耕地</w:t>
            </w:r>
          </w:p>
        </w:tc>
      </w:tr>
      <w:tr>
        <w:tblPrEx>
          <w:tblLayout w:type="fixed"/>
          <w:tblCellMar>
            <w:top w:w="0" w:type="dxa"/>
            <w:left w:w="108" w:type="dxa"/>
            <w:bottom w:w="0" w:type="dxa"/>
            <w:right w:w="108" w:type="dxa"/>
          </w:tblCellMar>
        </w:tblPrEx>
        <w:trPr>
          <w:trHeight w:val="285" w:hRule="atLeast"/>
          <w:jc w:val="center"/>
        </w:trPr>
        <w:tc>
          <w:tcPr>
            <w:tcW w:w="3565" w:type="dxa"/>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LQGD</w:t>
            </w:r>
          </w:p>
        </w:tc>
        <w:tc>
          <w:tcPr>
            <w:tcW w:w="6007"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林区耕地</w:t>
            </w:r>
          </w:p>
        </w:tc>
      </w:tr>
      <w:tr>
        <w:tblPrEx>
          <w:tblLayout w:type="fixed"/>
          <w:tblCellMar>
            <w:top w:w="0" w:type="dxa"/>
            <w:left w:w="108" w:type="dxa"/>
            <w:bottom w:w="0" w:type="dxa"/>
            <w:right w:w="108" w:type="dxa"/>
          </w:tblCellMar>
        </w:tblPrEx>
        <w:trPr>
          <w:trHeight w:val="285" w:hRule="atLeast"/>
          <w:jc w:val="center"/>
        </w:trPr>
        <w:tc>
          <w:tcPr>
            <w:tcW w:w="3565" w:type="dxa"/>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MQGD</w:t>
            </w:r>
          </w:p>
        </w:tc>
        <w:tc>
          <w:tcPr>
            <w:tcW w:w="6007"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牧区耕地</w:t>
            </w:r>
          </w:p>
        </w:tc>
      </w:tr>
      <w:tr>
        <w:tblPrEx>
          <w:tblLayout w:type="fixed"/>
          <w:tblCellMar>
            <w:top w:w="0" w:type="dxa"/>
            <w:left w:w="108" w:type="dxa"/>
            <w:bottom w:w="0" w:type="dxa"/>
            <w:right w:w="108" w:type="dxa"/>
          </w:tblCellMar>
        </w:tblPrEx>
        <w:trPr>
          <w:trHeight w:val="285" w:hRule="atLeast"/>
          <w:jc w:val="center"/>
        </w:trPr>
        <w:tc>
          <w:tcPr>
            <w:tcW w:w="3565" w:type="dxa"/>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SHGD</w:t>
            </w:r>
          </w:p>
        </w:tc>
        <w:tc>
          <w:tcPr>
            <w:tcW w:w="6007"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沙荒耕地</w:t>
            </w:r>
          </w:p>
        </w:tc>
      </w:tr>
      <w:tr>
        <w:tblPrEx>
          <w:tblLayout w:type="fixed"/>
          <w:tblCellMar>
            <w:top w:w="0" w:type="dxa"/>
            <w:left w:w="108" w:type="dxa"/>
            <w:bottom w:w="0" w:type="dxa"/>
            <w:right w:w="108" w:type="dxa"/>
          </w:tblCellMar>
        </w:tblPrEx>
        <w:trPr>
          <w:trHeight w:val="285" w:hRule="atLeast"/>
          <w:jc w:val="center"/>
        </w:trPr>
        <w:tc>
          <w:tcPr>
            <w:tcW w:w="3565" w:type="dxa"/>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LQYD</w:t>
            </w:r>
          </w:p>
        </w:tc>
        <w:tc>
          <w:tcPr>
            <w:tcW w:w="6007"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林区耕地</w:t>
            </w:r>
          </w:p>
        </w:tc>
      </w:tr>
      <w:tr>
        <w:tblPrEx>
          <w:tblLayout w:type="fixed"/>
          <w:tblCellMar>
            <w:top w:w="0" w:type="dxa"/>
            <w:left w:w="108" w:type="dxa"/>
            <w:bottom w:w="0" w:type="dxa"/>
            <w:right w:w="108" w:type="dxa"/>
          </w:tblCellMar>
        </w:tblPrEx>
        <w:trPr>
          <w:trHeight w:val="285" w:hRule="atLeast"/>
          <w:jc w:val="center"/>
        </w:trPr>
        <w:tc>
          <w:tcPr>
            <w:tcW w:w="3565" w:type="dxa"/>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GCCD</w:t>
            </w:r>
          </w:p>
        </w:tc>
        <w:tc>
          <w:tcPr>
            <w:tcW w:w="6007"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灌丛草地</w:t>
            </w:r>
          </w:p>
        </w:tc>
      </w:tr>
      <w:tr>
        <w:tblPrEx>
          <w:tblLayout w:type="fixed"/>
          <w:tblCellMar>
            <w:top w:w="0" w:type="dxa"/>
            <w:left w:w="108" w:type="dxa"/>
            <w:bottom w:w="0" w:type="dxa"/>
            <w:right w:w="108" w:type="dxa"/>
          </w:tblCellMar>
        </w:tblPrEx>
        <w:trPr>
          <w:trHeight w:val="285" w:hRule="atLeast"/>
          <w:jc w:val="center"/>
        </w:trPr>
        <w:tc>
          <w:tcPr>
            <w:tcW w:w="3565" w:type="dxa"/>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XSCD</w:t>
            </w:r>
          </w:p>
        </w:tc>
        <w:tc>
          <w:tcPr>
            <w:tcW w:w="6007"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稀疏草地</w:t>
            </w:r>
          </w:p>
        </w:tc>
      </w:tr>
      <w:tr>
        <w:tblPrEx>
          <w:tblLayout w:type="fixed"/>
          <w:tblCellMar>
            <w:top w:w="0" w:type="dxa"/>
            <w:left w:w="108" w:type="dxa"/>
            <w:bottom w:w="0" w:type="dxa"/>
            <w:right w:w="108" w:type="dxa"/>
          </w:tblCellMar>
        </w:tblPrEx>
        <w:trPr>
          <w:trHeight w:val="285" w:hRule="atLeast"/>
          <w:jc w:val="center"/>
        </w:trPr>
        <w:tc>
          <w:tcPr>
            <w:tcW w:w="3565" w:type="dxa"/>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HDGY</w:t>
            </w:r>
          </w:p>
        </w:tc>
        <w:tc>
          <w:tcPr>
            <w:tcW w:w="6007"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火电工业用地</w:t>
            </w:r>
          </w:p>
        </w:tc>
      </w:tr>
      <w:tr>
        <w:tblPrEx>
          <w:tblLayout w:type="fixed"/>
          <w:tblCellMar>
            <w:top w:w="0" w:type="dxa"/>
            <w:left w:w="108" w:type="dxa"/>
            <w:bottom w:w="0" w:type="dxa"/>
            <w:right w:w="108" w:type="dxa"/>
          </w:tblCellMar>
        </w:tblPrEx>
        <w:trPr>
          <w:trHeight w:val="285" w:hRule="atLeast"/>
          <w:jc w:val="center"/>
        </w:trPr>
        <w:tc>
          <w:tcPr>
            <w:tcW w:w="3565" w:type="dxa"/>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GTGY</w:t>
            </w:r>
          </w:p>
        </w:tc>
        <w:tc>
          <w:tcPr>
            <w:tcW w:w="6007"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钢铁工业用地</w:t>
            </w:r>
          </w:p>
        </w:tc>
      </w:tr>
      <w:tr>
        <w:tblPrEx>
          <w:tblLayout w:type="fixed"/>
          <w:tblCellMar>
            <w:top w:w="0" w:type="dxa"/>
            <w:left w:w="108" w:type="dxa"/>
            <w:bottom w:w="0" w:type="dxa"/>
            <w:right w:w="108" w:type="dxa"/>
          </w:tblCellMar>
        </w:tblPrEx>
        <w:trPr>
          <w:trHeight w:val="285" w:hRule="atLeast"/>
          <w:jc w:val="center"/>
        </w:trPr>
        <w:tc>
          <w:tcPr>
            <w:tcW w:w="3565" w:type="dxa"/>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MKGY</w:t>
            </w:r>
          </w:p>
        </w:tc>
        <w:tc>
          <w:tcPr>
            <w:tcW w:w="6007"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煤矿工业用地</w:t>
            </w:r>
          </w:p>
        </w:tc>
      </w:tr>
      <w:tr>
        <w:tblPrEx>
          <w:tblLayout w:type="fixed"/>
          <w:tblCellMar>
            <w:top w:w="0" w:type="dxa"/>
            <w:left w:w="108" w:type="dxa"/>
            <w:bottom w:w="0" w:type="dxa"/>
            <w:right w:w="108" w:type="dxa"/>
          </w:tblCellMar>
        </w:tblPrEx>
        <w:trPr>
          <w:trHeight w:val="285" w:hRule="atLeast"/>
          <w:jc w:val="center"/>
        </w:trPr>
        <w:tc>
          <w:tcPr>
            <w:tcW w:w="3565" w:type="dxa"/>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SNGY</w:t>
            </w:r>
          </w:p>
        </w:tc>
        <w:tc>
          <w:tcPr>
            <w:tcW w:w="6007"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水泥工业用地</w:t>
            </w:r>
          </w:p>
        </w:tc>
      </w:tr>
      <w:tr>
        <w:tblPrEx>
          <w:tblLayout w:type="fixed"/>
          <w:tblCellMar>
            <w:top w:w="0" w:type="dxa"/>
            <w:left w:w="108" w:type="dxa"/>
            <w:bottom w:w="0" w:type="dxa"/>
            <w:right w:w="108" w:type="dxa"/>
          </w:tblCellMar>
        </w:tblPrEx>
        <w:trPr>
          <w:trHeight w:val="285" w:hRule="atLeast"/>
          <w:jc w:val="center"/>
        </w:trPr>
        <w:tc>
          <w:tcPr>
            <w:tcW w:w="3565" w:type="dxa"/>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BLGY</w:t>
            </w:r>
          </w:p>
        </w:tc>
        <w:tc>
          <w:tcPr>
            <w:tcW w:w="6007"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玻璃工业用地</w:t>
            </w:r>
          </w:p>
        </w:tc>
      </w:tr>
      <w:tr>
        <w:tblPrEx>
          <w:tblLayout w:type="fixed"/>
          <w:tblCellMar>
            <w:top w:w="0" w:type="dxa"/>
            <w:left w:w="108" w:type="dxa"/>
            <w:bottom w:w="0" w:type="dxa"/>
            <w:right w:w="108" w:type="dxa"/>
          </w:tblCellMar>
        </w:tblPrEx>
        <w:trPr>
          <w:trHeight w:val="285" w:hRule="atLeast"/>
          <w:jc w:val="center"/>
        </w:trPr>
        <w:tc>
          <w:tcPr>
            <w:tcW w:w="3565" w:type="dxa"/>
            <w:tcBorders>
              <w:top w:val="nil"/>
              <w:left w:val="single" w:color="auto" w:sz="4" w:space="0"/>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DLGY</w:t>
            </w:r>
          </w:p>
        </w:tc>
        <w:tc>
          <w:tcPr>
            <w:tcW w:w="6007" w:type="dxa"/>
            <w:tcBorders>
              <w:top w:val="nil"/>
              <w:left w:val="nil"/>
              <w:bottom w:val="single" w:color="auto" w:sz="4" w:space="0"/>
              <w:right w:val="single" w:color="auto" w:sz="4" w:space="0"/>
            </w:tcBorders>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电解铝工业用地</w:t>
            </w:r>
          </w:p>
        </w:tc>
      </w:tr>
    </w:tbl>
    <w:p>
      <w:pPr>
        <w:spacing w:before="156" w:beforeLines="50" w:after="156" w:afterLines="50" w:line="360" w:lineRule="auto"/>
        <w:jc w:val="center"/>
        <w:rPr>
          <w:rFonts w:hint="eastAsia" w:asciiTheme="minorEastAsia" w:hAnsiTheme="minorEastAsia" w:eastAsiaTheme="minorEastAsia" w:cstheme="minorEastAsia"/>
          <w:b/>
          <w:sz w:val="24"/>
          <w:szCs w:val="24"/>
        </w:rPr>
      </w:pPr>
    </w:p>
    <w:tbl>
      <w:tblPr>
        <w:tblStyle w:val="10"/>
        <w:tblpPr w:leftFromText="180" w:rightFromText="180" w:vertAnchor="text" w:horzAnchor="page" w:tblpXSpec="center" w:tblpY="462"/>
        <w:tblOverlap w:val="never"/>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blHeader/>
          <w:jc w:val="center"/>
        </w:trPr>
        <w:tc>
          <w:tcPr>
            <w:tcW w:w="4261" w:type="dxa"/>
            <w:vAlign w:val="center"/>
          </w:tcPr>
          <w:p>
            <w:pPr>
              <w:spacing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代码</w:t>
            </w:r>
          </w:p>
        </w:tc>
        <w:tc>
          <w:tcPr>
            <w:tcW w:w="4261" w:type="dxa"/>
            <w:vAlign w:val="center"/>
          </w:tcPr>
          <w:p>
            <w:pPr>
              <w:spacing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耕地类型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10</w:t>
            </w:r>
          </w:p>
        </w:tc>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平地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20</w:t>
            </w:r>
          </w:p>
        </w:tc>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坡地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21</w:t>
            </w:r>
          </w:p>
        </w:tc>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（2°~6°）坡地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22</w:t>
            </w:r>
          </w:p>
        </w:tc>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（6°~15°）坡地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23</w:t>
            </w:r>
          </w:p>
        </w:tc>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（15°~25°）坡地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24</w:t>
            </w:r>
          </w:p>
        </w:tc>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&gt;25°坡地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30</w:t>
            </w:r>
          </w:p>
        </w:tc>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梯田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31</w:t>
            </w:r>
          </w:p>
        </w:tc>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（2°~6°）梯田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32</w:t>
            </w:r>
          </w:p>
        </w:tc>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（6°~15°）梯田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33</w:t>
            </w:r>
          </w:p>
        </w:tc>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（15°~25°）梯田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34</w:t>
            </w:r>
          </w:p>
        </w:tc>
        <w:tc>
          <w:tcPr>
            <w:tcW w:w="426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&gt;25°梯田</w:t>
            </w:r>
          </w:p>
        </w:tc>
      </w:tr>
    </w:tbl>
    <w:p>
      <w:pPr>
        <w:spacing w:before="156" w:beforeLines="50" w:after="156" w:afterLines="50"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耕地类型代码表</w:t>
      </w:r>
    </w:p>
    <w:p>
      <w:pPr>
        <w:spacing w:before="156" w:beforeLines="50" w:after="156" w:afterLines="50"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耕地种植属性代码表</w:t>
      </w:r>
    </w:p>
    <w:tbl>
      <w:tblPr>
        <w:tblStyle w:val="10"/>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145"/>
        <w:gridCol w:w="41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145" w:type="dxa"/>
            <w:vAlign w:val="center"/>
          </w:tcPr>
          <w:p>
            <w:pPr>
              <w:spacing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代码</w:t>
            </w:r>
          </w:p>
        </w:tc>
        <w:tc>
          <w:tcPr>
            <w:tcW w:w="4151" w:type="dxa"/>
            <w:vAlign w:val="center"/>
          </w:tcPr>
          <w:p>
            <w:pPr>
              <w:spacing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耕地实际种植情况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145"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GZ</w:t>
            </w:r>
          </w:p>
        </w:tc>
        <w:tc>
          <w:tcPr>
            <w:tcW w:w="415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耕种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145"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WG</w:t>
            </w:r>
          </w:p>
        </w:tc>
        <w:tc>
          <w:tcPr>
            <w:tcW w:w="415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未耕种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145"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XG</w:t>
            </w:r>
          </w:p>
        </w:tc>
        <w:tc>
          <w:tcPr>
            <w:tcW w:w="415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休耕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145"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YM</w:t>
            </w:r>
          </w:p>
        </w:tc>
        <w:tc>
          <w:tcPr>
            <w:tcW w:w="415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园木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145"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LM</w:t>
            </w:r>
          </w:p>
        </w:tc>
        <w:tc>
          <w:tcPr>
            <w:tcW w:w="415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林木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145"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LH</w:t>
            </w:r>
          </w:p>
        </w:tc>
        <w:tc>
          <w:tcPr>
            <w:tcW w:w="415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绿化草地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145"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MC</w:t>
            </w:r>
          </w:p>
        </w:tc>
        <w:tc>
          <w:tcPr>
            <w:tcW w:w="415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牧草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145"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KT</w:t>
            </w:r>
          </w:p>
        </w:tc>
        <w:tc>
          <w:tcPr>
            <w:tcW w:w="4151" w:type="dxa"/>
            <w:vAlign w:val="center"/>
          </w:tcPr>
          <w:p>
            <w:pPr>
              <w:spacing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坑塘</w:t>
            </w:r>
          </w:p>
        </w:tc>
      </w:tr>
    </w:tbl>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40" w:name="_Toc507256734"/>
      <w:bookmarkStart w:id="141" w:name="_Toc508966723"/>
      <w:r>
        <w:rPr>
          <w:rFonts w:hint="eastAsia" w:asciiTheme="minorEastAsia" w:hAnsiTheme="minorEastAsia" w:eastAsiaTheme="minorEastAsia" w:cstheme="minorEastAsia"/>
          <w:b/>
          <w:sz w:val="24"/>
          <w:szCs w:val="24"/>
          <w:shd w:val="clear" w:color="auto" w:fill="FFFFFF"/>
        </w:rPr>
        <w:t>调查情况处理</w:t>
      </w:r>
      <w:bookmarkEnd w:id="140"/>
      <w:bookmarkEnd w:id="141"/>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按照实际情况填写耕地细化调查表，对于图斑界线与实际情况不一致的，按照实际情况填写，并进行说明，必要时提供外业举证材料。</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对于无争议的耕地细化图斑及时进行数据处理，形成完整准确的调查成果。</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42" w:name="_Toc507256735"/>
      <w:bookmarkStart w:id="143" w:name="_Toc508966724"/>
      <w:r>
        <w:rPr>
          <w:rFonts w:hint="eastAsia" w:asciiTheme="minorEastAsia" w:hAnsiTheme="minorEastAsia" w:eastAsiaTheme="minorEastAsia" w:cstheme="minorEastAsia"/>
          <w:b/>
          <w:sz w:val="24"/>
          <w:szCs w:val="24"/>
          <w:shd w:val="clear" w:color="auto" w:fill="FFFFFF"/>
        </w:rPr>
        <w:t>批准未建设的建设用地调查</w:t>
      </w:r>
      <w:bookmarkEnd w:id="142"/>
      <w:bookmarkEnd w:id="143"/>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将新增建设用地审批界线落实在土地调查成果上，查清批准用地范围内未建设土地的实际利用状况，为持续开展后期监管，促进土地节约集约利用提供基础。</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包括全国土地调查数据库中的“批准未建设的建设用地”图斑和部综合信息监管平台建设用地批准范围界线内图斑。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现有数据库中的批而未用图斑及当年新增的批而未用图斑，按实地现状进行调查。批而未用土地调查在土地调查成果的基础上统一组织完成，形成批而未用图层。</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44" w:name="_Toc508966725"/>
      <w:bookmarkStart w:id="145" w:name="_Toc507256736"/>
      <w:r>
        <w:rPr>
          <w:rFonts w:hint="eastAsia" w:asciiTheme="minorEastAsia" w:hAnsiTheme="minorEastAsia" w:eastAsiaTheme="minorEastAsia" w:cstheme="minorEastAsia"/>
          <w:b/>
          <w:sz w:val="24"/>
          <w:szCs w:val="24"/>
          <w:shd w:val="clear" w:color="auto" w:fill="FFFFFF"/>
        </w:rPr>
        <w:t>调查底图制作</w:t>
      </w:r>
      <w:bookmarkEnd w:id="144"/>
      <w:bookmarkEnd w:id="145"/>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地类图斑提取</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通过接收年度土地利用变更调查数据库，提取地类图斑，并通过属性筛选，生成建设用地及非建设用地图层。</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批准未建设备案信息提取</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通过接收部综合监管平台建设用地批准备案信息，获取DLBZ为批准未建设用地图斑（P），为开展叠加分析提供基础数据。</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rPr>
        <w:drawing>
          <wp:inline distT="0" distB="0" distL="114300" distR="114300">
            <wp:extent cx="4615815" cy="2625090"/>
            <wp:effectExtent l="0" t="0" r="13335" b="3810"/>
            <wp:docPr id="374" name="图片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图片 199"/>
                    <pic:cNvPicPr>
                      <a:picLocks noChangeAspect="1"/>
                    </pic:cNvPicPr>
                  </pic:nvPicPr>
                  <pic:blipFill>
                    <a:blip r:embed="rId61"/>
                    <a:stretch>
                      <a:fillRect/>
                    </a:stretch>
                  </pic:blipFill>
                  <pic:spPr>
                    <a:xfrm>
                      <a:off x="0" y="0"/>
                      <a:ext cx="4615815" cy="2625090"/>
                    </a:xfrm>
                    <a:prstGeom prst="rect">
                      <a:avLst/>
                    </a:prstGeom>
                    <a:noFill/>
                    <a:ln w="9525">
                      <a:noFill/>
                    </a:ln>
                  </pic:spPr>
                </pic:pic>
              </a:graphicData>
            </a:graphic>
          </wp:inline>
        </w:drawing>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图斑基本信息</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批准范围内建设用地图斑生成</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利用ArcGIS平台，以县级行政区划为单元，将地类图斑与“P”图斑进行相交及反相交，获取“批准未建设用地范围内建设用地图斑及未建设用地图斑范围”。</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调查底图生成</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将图斑叠加到遥感影像图中，并套合行政范围线和行政区标注，完成调查底图制作，便于外业核查顺利进行。</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46" w:name="_Toc507256737"/>
      <w:bookmarkStart w:id="147" w:name="_Toc508966726"/>
      <w:r>
        <w:rPr>
          <w:rFonts w:hint="eastAsia" w:asciiTheme="minorEastAsia" w:hAnsiTheme="minorEastAsia" w:eastAsiaTheme="minorEastAsia" w:cstheme="minorEastAsia"/>
          <w:b/>
          <w:sz w:val="24"/>
          <w:szCs w:val="24"/>
          <w:shd w:val="clear" w:color="auto" w:fill="FFFFFF"/>
        </w:rPr>
        <w:t xml:space="preserve"> 调查内容</w:t>
      </w:r>
      <w:bookmarkEnd w:id="146"/>
      <w:bookmarkEnd w:id="147"/>
    </w:p>
    <w:p>
      <w:pPr>
        <w:spacing w:before="50" w:after="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利用调查底图，结合外业核查方法，全面分析“批准未建设的建设用地”调查范围内土地的数量、类型及权属状况。</w:t>
      </w:r>
    </w:p>
    <w:p>
      <w:pPr>
        <w:spacing w:before="50" w:after="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土地数量</w:t>
      </w:r>
    </w:p>
    <w:p>
      <w:pPr>
        <w:spacing w:before="50" w:after="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包括土地总面积、耕地面积、园地面积、牧草地面积、城镇村庄及工矿用地面积、交通用地面积、水域及未利用土地面积等、年内变化的耕地面积、各类建设用地当年增加面积、城镇建设用地当年增加面积等。</w:t>
      </w:r>
    </w:p>
    <w:p>
      <w:pPr>
        <w:spacing w:before="50" w:after="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土地类型</w:t>
      </w:r>
    </w:p>
    <w:p>
      <w:pPr>
        <w:spacing w:before="50" w:after="50"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重点调查批准建设用地范围内建设用地及非建设用地类型，包括建设用地及非建设用地内部各土地类型构成及比例。</w:t>
      </w:r>
    </w:p>
    <w:p>
      <w:pPr>
        <w:spacing w:before="50" w:after="50" w:line="360" w:lineRule="auto"/>
        <w:ind w:firstLine="482" w:firstLineChars="200"/>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权属状况</w:t>
      </w:r>
    </w:p>
    <w:p>
      <w:pPr>
        <w:spacing w:before="50" w:after="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调查批准未建设的建设用地包含集体所有的土地面积、集体建设用地使用权面积、国有土地使用权面积、征用集体土地面积。</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48" w:name="_Toc507256738"/>
      <w:bookmarkStart w:id="149" w:name="_Toc508966727"/>
      <w:r>
        <w:rPr>
          <w:rFonts w:hint="eastAsia" w:asciiTheme="minorEastAsia" w:hAnsiTheme="minorEastAsia" w:eastAsiaTheme="minorEastAsia" w:cstheme="minorEastAsia"/>
          <w:b/>
          <w:sz w:val="24"/>
          <w:szCs w:val="24"/>
          <w:shd w:val="clear" w:color="auto" w:fill="FFFFFF"/>
        </w:rPr>
        <w:t xml:space="preserve"> 调查情况处理</w:t>
      </w:r>
      <w:bookmarkEnd w:id="148"/>
      <w:bookmarkEnd w:id="149"/>
    </w:p>
    <w:p>
      <w:pPr>
        <w:spacing w:before="50" w:after="50" w:line="360" w:lineRule="auto"/>
        <w:ind w:firstLine="480" w:firstLineChars="200"/>
        <w:rPr>
          <w:rFonts w:hint="eastAsia" w:asciiTheme="minorEastAsia" w:hAnsiTheme="minorEastAsia" w:eastAsiaTheme="minorEastAsia" w:cstheme="minorEastAsia"/>
          <w:sz w:val="24"/>
          <w:szCs w:val="24"/>
          <w:shd w:val="clear" w:color="auto" w:fill="FFFFFF"/>
        </w:rPr>
        <w:sectPr>
          <w:footerReference r:id="rId3" w:type="default"/>
          <w:pgSz w:w="11850" w:h="16783"/>
          <w:pgMar w:top="1440" w:right="1080" w:bottom="1440" w:left="1080" w:header="851" w:footer="992" w:gutter="0"/>
          <w:pgNumType w:fmt="decimal" w:start="1"/>
          <w:cols w:space="720" w:num="1"/>
          <w:docGrid w:type="lines" w:linePitch="312" w:charSpace="0"/>
        </w:sectPr>
      </w:pPr>
      <w:r>
        <w:rPr>
          <w:rFonts w:hint="eastAsia" w:asciiTheme="minorEastAsia" w:hAnsiTheme="minorEastAsia" w:eastAsiaTheme="minorEastAsia" w:cstheme="minorEastAsia"/>
          <w:sz w:val="24"/>
          <w:szCs w:val="24"/>
          <w:shd w:val="clear" w:color="auto" w:fill="FFFFFF"/>
        </w:rPr>
        <w:t>填写土地调查记录表，并将批准未建设的建设用地进行成果统计。对于“批而未用标注”一栏，调查地块属批而未用图斑的，填写P，并在建设用地信息中对“建设类型标注”及“权属图斑编号”进行体现。</w:t>
      </w:r>
    </w:p>
    <w:p>
      <w:pPr>
        <w:spacing w:line="360" w:lineRule="auto"/>
        <w:ind w:firstLine="482" w:firstLineChars="200"/>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土地调查记录表</w:t>
      </w:r>
    </w:p>
    <w:tbl>
      <w:tblPr>
        <w:tblStyle w:val="10"/>
        <w:tblW w:w="1417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89"/>
        <w:gridCol w:w="589"/>
        <w:gridCol w:w="590"/>
        <w:gridCol w:w="590"/>
        <w:gridCol w:w="590"/>
        <w:gridCol w:w="590"/>
        <w:gridCol w:w="590"/>
        <w:gridCol w:w="592"/>
        <w:gridCol w:w="590"/>
        <w:gridCol w:w="590"/>
        <w:gridCol w:w="590"/>
        <w:gridCol w:w="595"/>
        <w:gridCol w:w="590"/>
        <w:gridCol w:w="590"/>
        <w:gridCol w:w="590"/>
        <w:gridCol w:w="592"/>
        <w:gridCol w:w="590"/>
        <w:gridCol w:w="590"/>
        <w:gridCol w:w="590"/>
        <w:gridCol w:w="592"/>
        <w:gridCol w:w="590"/>
        <w:gridCol w:w="590"/>
        <w:gridCol w:w="590"/>
        <w:gridCol w:w="5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0" w:hRule="atLeast"/>
        </w:trPr>
        <w:tc>
          <w:tcPr>
            <w:tcW w:w="2358" w:type="dxa"/>
            <w:gridSpan w:val="4"/>
            <w:vAlign w:val="center"/>
          </w:tcPr>
          <w:p>
            <w:pPr>
              <w:spacing w:line="360" w:lineRule="auto"/>
              <w:jc w:val="center"/>
              <w:rPr>
                <w:rFonts w:hint="eastAsia" w:asciiTheme="minorEastAsia" w:hAnsiTheme="minorEastAsia" w:eastAsiaTheme="minorEastAsia" w:cstheme="minorEastAsia"/>
                <w:b/>
                <w:color w:val="000000"/>
                <w:sz w:val="24"/>
                <w:szCs w:val="24"/>
              </w:rPr>
            </w:pPr>
            <w:r>
              <w:rPr>
                <w:rFonts w:hint="eastAsia" w:asciiTheme="minorEastAsia" w:hAnsiTheme="minorEastAsia" w:eastAsiaTheme="minorEastAsia" w:cstheme="minorEastAsia"/>
                <w:b/>
                <w:color w:val="000000"/>
                <w:sz w:val="24"/>
                <w:szCs w:val="24"/>
              </w:rPr>
              <w:t>图斑基本信息</w:t>
            </w:r>
          </w:p>
        </w:tc>
        <w:tc>
          <w:tcPr>
            <w:tcW w:w="2362" w:type="dxa"/>
            <w:gridSpan w:val="4"/>
            <w:vAlign w:val="center"/>
          </w:tcPr>
          <w:p>
            <w:pPr>
              <w:spacing w:line="360" w:lineRule="auto"/>
              <w:jc w:val="center"/>
              <w:rPr>
                <w:rFonts w:hint="eastAsia" w:asciiTheme="minorEastAsia" w:hAnsiTheme="minorEastAsia" w:eastAsiaTheme="minorEastAsia" w:cstheme="minorEastAsia"/>
                <w:b/>
                <w:color w:val="000000"/>
                <w:sz w:val="24"/>
                <w:szCs w:val="24"/>
              </w:rPr>
            </w:pPr>
            <w:r>
              <w:rPr>
                <w:rFonts w:hint="eastAsia" w:asciiTheme="minorEastAsia" w:hAnsiTheme="minorEastAsia" w:eastAsiaTheme="minorEastAsia" w:cstheme="minorEastAsia"/>
                <w:b/>
                <w:color w:val="000000"/>
                <w:sz w:val="24"/>
                <w:szCs w:val="24"/>
              </w:rPr>
              <w:t>外业调查信息</w:t>
            </w:r>
          </w:p>
        </w:tc>
        <w:tc>
          <w:tcPr>
            <w:tcW w:w="2365" w:type="dxa"/>
            <w:gridSpan w:val="4"/>
            <w:vAlign w:val="center"/>
          </w:tcPr>
          <w:p>
            <w:pPr>
              <w:spacing w:line="360" w:lineRule="auto"/>
              <w:jc w:val="center"/>
              <w:rPr>
                <w:rFonts w:hint="eastAsia" w:asciiTheme="minorEastAsia" w:hAnsiTheme="minorEastAsia" w:eastAsiaTheme="minorEastAsia" w:cstheme="minorEastAsia"/>
                <w:b/>
                <w:color w:val="000000"/>
                <w:sz w:val="24"/>
                <w:szCs w:val="24"/>
              </w:rPr>
            </w:pPr>
            <w:r>
              <w:rPr>
                <w:rFonts w:hint="eastAsia" w:asciiTheme="minorEastAsia" w:hAnsiTheme="minorEastAsia" w:eastAsiaTheme="minorEastAsia" w:cstheme="minorEastAsia"/>
                <w:b/>
                <w:color w:val="000000"/>
                <w:sz w:val="24"/>
                <w:szCs w:val="24"/>
              </w:rPr>
              <w:t>举证信息</w:t>
            </w:r>
          </w:p>
        </w:tc>
        <w:tc>
          <w:tcPr>
            <w:tcW w:w="2362" w:type="dxa"/>
            <w:gridSpan w:val="4"/>
            <w:vAlign w:val="center"/>
          </w:tcPr>
          <w:p>
            <w:pPr>
              <w:spacing w:line="360" w:lineRule="auto"/>
              <w:jc w:val="center"/>
              <w:rPr>
                <w:rFonts w:hint="eastAsia" w:asciiTheme="minorEastAsia" w:hAnsiTheme="minorEastAsia" w:eastAsiaTheme="minorEastAsia" w:cstheme="minorEastAsia"/>
                <w:b/>
                <w:color w:val="000000"/>
                <w:sz w:val="24"/>
                <w:szCs w:val="24"/>
              </w:rPr>
            </w:pPr>
            <w:r>
              <w:rPr>
                <w:rFonts w:hint="eastAsia" w:asciiTheme="minorEastAsia" w:hAnsiTheme="minorEastAsia" w:eastAsiaTheme="minorEastAsia" w:cstheme="minorEastAsia"/>
                <w:b/>
                <w:color w:val="000000"/>
                <w:sz w:val="24"/>
                <w:szCs w:val="24"/>
              </w:rPr>
              <w:t>耕地信息</w:t>
            </w:r>
          </w:p>
        </w:tc>
        <w:tc>
          <w:tcPr>
            <w:tcW w:w="2362" w:type="dxa"/>
            <w:gridSpan w:val="4"/>
            <w:vAlign w:val="center"/>
          </w:tcPr>
          <w:p>
            <w:pPr>
              <w:spacing w:line="360" w:lineRule="auto"/>
              <w:jc w:val="center"/>
              <w:rPr>
                <w:rFonts w:hint="eastAsia" w:asciiTheme="minorEastAsia" w:hAnsiTheme="minorEastAsia" w:eastAsiaTheme="minorEastAsia" w:cstheme="minorEastAsia"/>
                <w:b/>
                <w:color w:val="000000"/>
                <w:sz w:val="24"/>
                <w:szCs w:val="24"/>
              </w:rPr>
            </w:pPr>
            <w:r>
              <w:rPr>
                <w:rFonts w:hint="eastAsia" w:asciiTheme="minorEastAsia" w:hAnsiTheme="minorEastAsia" w:eastAsiaTheme="minorEastAsia" w:cstheme="minorEastAsia"/>
                <w:b/>
                <w:color w:val="000000"/>
                <w:sz w:val="24"/>
                <w:szCs w:val="24"/>
              </w:rPr>
              <w:t>建设用地信息</w:t>
            </w:r>
          </w:p>
        </w:tc>
        <w:tc>
          <w:tcPr>
            <w:tcW w:w="2365" w:type="dxa"/>
            <w:gridSpan w:val="4"/>
            <w:vAlign w:val="center"/>
          </w:tcPr>
          <w:p>
            <w:pPr>
              <w:spacing w:line="360" w:lineRule="auto"/>
              <w:jc w:val="center"/>
              <w:rPr>
                <w:rFonts w:hint="eastAsia" w:asciiTheme="minorEastAsia" w:hAnsiTheme="minorEastAsia" w:eastAsiaTheme="minorEastAsia" w:cstheme="minorEastAsia"/>
                <w:b/>
                <w:color w:val="000000"/>
                <w:sz w:val="24"/>
                <w:szCs w:val="24"/>
              </w:rPr>
            </w:pPr>
            <w:r>
              <w:rPr>
                <w:rFonts w:hint="eastAsia" w:asciiTheme="minorEastAsia" w:hAnsiTheme="minorEastAsia" w:eastAsiaTheme="minorEastAsia" w:cstheme="minorEastAsia"/>
                <w:b/>
                <w:color w:val="000000"/>
                <w:sz w:val="24"/>
                <w:szCs w:val="24"/>
              </w:rPr>
              <w:t>其他信息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0" w:hRule="atLeast"/>
        </w:trPr>
        <w:tc>
          <w:tcPr>
            <w:tcW w:w="589"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行政代码</w:t>
            </w:r>
          </w:p>
        </w:tc>
        <w:tc>
          <w:tcPr>
            <w:tcW w:w="589"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行政名称</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图斑预编号</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图斑编号</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原权属名称</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原地类编码</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图斑面积</w:t>
            </w: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基本农田标识</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外业认定地类</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外业调查边界</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权属单位名称</w:t>
            </w:r>
          </w:p>
        </w:tc>
        <w:tc>
          <w:tcPr>
            <w:tcW w:w="595"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权属性质</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外业记录</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是否举证</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未举证类型</w:t>
            </w: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举证说明</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种植属性</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耕地类型</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细化标注</w:t>
            </w: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批而未用标注</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建设用地类型标注</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权属图斑编号</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草地标注</w:t>
            </w:r>
          </w:p>
        </w:tc>
        <w:tc>
          <w:tcPr>
            <w:tcW w:w="595"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线状地物宽度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0" w:hRule="atLeast"/>
        </w:trPr>
        <w:tc>
          <w:tcPr>
            <w:tcW w:w="589"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1</w:t>
            </w:r>
          </w:p>
        </w:tc>
        <w:tc>
          <w:tcPr>
            <w:tcW w:w="589"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2</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3</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4</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5</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6</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7</w:t>
            </w: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8</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9</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10</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11</w:t>
            </w:r>
          </w:p>
        </w:tc>
        <w:tc>
          <w:tcPr>
            <w:tcW w:w="595"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12</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13</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14</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15</w:t>
            </w: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16</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17</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18</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19</w:t>
            </w: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20</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21</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22</w:t>
            </w: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23</w:t>
            </w:r>
          </w:p>
        </w:tc>
        <w:tc>
          <w:tcPr>
            <w:tcW w:w="595" w:type="dxa"/>
            <w:vAlign w:val="center"/>
          </w:tcPr>
          <w:p>
            <w:pPr>
              <w:spacing w:line="360" w:lineRule="auto"/>
              <w:jc w:val="center"/>
              <w:rPr>
                <w:rFonts w:hint="eastAsia" w:asciiTheme="minorEastAsia" w:hAnsiTheme="minorEastAsia" w:eastAsiaTheme="minorEastAsia" w:cstheme="minorEastAsia"/>
                <w:color w:val="000000"/>
                <w:sz w:val="24"/>
                <w:szCs w:val="24"/>
              </w:rPr>
            </w:pPr>
            <w:r>
              <w:rPr>
                <w:rFonts w:hint="eastAsia" w:asciiTheme="minorEastAsia" w:hAnsiTheme="minorEastAsia" w:eastAsiaTheme="minorEastAsia" w:cstheme="minorEastAsia"/>
                <w:color w:val="000000"/>
                <w:sz w:val="24"/>
                <w:szCs w:val="24"/>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0" w:hRule="atLeast"/>
        </w:trPr>
        <w:tc>
          <w:tcPr>
            <w:tcW w:w="589"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89"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5"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5" w:type="dxa"/>
            <w:vAlign w:val="center"/>
          </w:tcPr>
          <w:p>
            <w:pPr>
              <w:spacing w:line="360" w:lineRule="auto"/>
              <w:jc w:val="center"/>
              <w:rPr>
                <w:rFonts w:hint="eastAsia" w:asciiTheme="minorEastAsia" w:hAnsiTheme="minorEastAsia" w:eastAsiaTheme="minorEastAsia" w:cstheme="minorEastAsia"/>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0" w:hRule="atLeast"/>
        </w:trPr>
        <w:tc>
          <w:tcPr>
            <w:tcW w:w="589"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89"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5"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5" w:type="dxa"/>
            <w:vAlign w:val="center"/>
          </w:tcPr>
          <w:p>
            <w:pPr>
              <w:spacing w:line="360" w:lineRule="auto"/>
              <w:jc w:val="center"/>
              <w:rPr>
                <w:rFonts w:hint="eastAsia" w:asciiTheme="minorEastAsia" w:hAnsiTheme="minorEastAsia" w:eastAsiaTheme="minorEastAsia" w:cstheme="minorEastAsia"/>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0" w:hRule="atLeast"/>
        </w:trPr>
        <w:tc>
          <w:tcPr>
            <w:tcW w:w="589"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89"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5"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5" w:type="dxa"/>
            <w:vAlign w:val="center"/>
          </w:tcPr>
          <w:p>
            <w:pPr>
              <w:spacing w:line="360" w:lineRule="auto"/>
              <w:jc w:val="center"/>
              <w:rPr>
                <w:rFonts w:hint="eastAsia" w:asciiTheme="minorEastAsia" w:hAnsiTheme="minorEastAsia" w:eastAsiaTheme="minorEastAsia" w:cstheme="minorEastAsia"/>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0" w:hRule="atLeast"/>
        </w:trPr>
        <w:tc>
          <w:tcPr>
            <w:tcW w:w="589"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89"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5"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5" w:type="dxa"/>
            <w:vAlign w:val="center"/>
          </w:tcPr>
          <w:p>
            <w:pPr>
              <w:spacing w:line="360" w:lineRule="auto"/>
              <w:jc w:val="center"/>
              <w:rPr>
                <w:rFonts w:hint="eastAsia" w:asciiTheme="minorEastAsia" w:hAnsiTheme="minorEastAsia" w:eastAsiaTheme="minorEastAsia" w:cstheme="minorEastAsia"/>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0" w:hRule="atLeast"/>
        </w:trPr>
        <w:tc>
          <w:tcPr>
            <w:tcW w:w="589"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89"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5"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2"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0" w:type="dxa"/>
            <w:vAlign w:val="center"/>
          </w:tcPr>
          <w:p>
            <w:pPr>
              <w:spacing w:line="360" w:lineRule="auto"/>
              <w:jc w:val="center"/>
              <w:rPr>
                <w:rFonts w:hint="eastAsia" w:asciiTheme="minorEastAsia" w:hAnsiTheme="minorEastAsia" w:eastAsiaTheme="minorEastAsia" w:cstheme="minorEastAsia"/>
                <w:color w:val="000000"/>
                <w:sz w:val="24"/>
                <w:szCs w:val="24"/>
              </w:rPr>
            </w:pPr>
          </w:p>
        </w:tc>
        <w:tc>
          <w:tcPr>
            <w:tcW w:w="595" w:type="dxa"/>
            <w:vAlign w:val="center"/>
          </w:tcPr>
          <w:p>
            <w:pPr>
              <w:spacing w:line="360" w:lineRule="auto"/>
              <w:jc w:val="center"/>
              <w:rPr>
                <w:rFonts w:hint="eastAsia" w:asciiTheme="minorEastAsia" w:hAnsiTheme="minorEastAsia" w:eastAsiaTheme="minorEastAsia" w:cstheme="minorEastAsia"/>
                <w:color w:val="000000"/>
                <w:sz w:val="24"/>
                <w:szCs w:val="24"/>
              </w:rPr>
            </w:pPr>
          </w:p>
        </w:tc>
      </w:tr>
    </w:tbl>
    <w:p>
      <w:pPr>
        <w:spacing w:line="360" w:lineRule="auto"/>
        <w:rPr>
          <w:rFonts w:hint="eastAsia" w:asciiTheme="minorEastAsia" w:hAnsiTheme="minorEastAsia" w:eastAsiaTheme="minorEastAsia" w:cstheme="minorEastAsia"/>
          <w:sz w:val="24"/>
          <w:szCs w:val="24"/>
        </w:rPr>
        <w:sectPr>
          <w:pgSz w:w="16838" w:h="11906" w:orient="landscape"/>
          <w:pgMar w:top="1800" w:right="1440" w:bottom="1800" w:left="1440" w:header="851" w:footer="992" w:gutter="0"/>
          <w:pgNumType w:fmt="decimal"/>
          <w:cols w:space="720" w:num="1"/>
          <w:docGrid w:type="lines" w:linePitch="312" w:charSpace="0"/>
        </w:sectPr>
      </w:pPr>
      <w:bookmarkStart w:id="150" w:name="_Toc505609375"/>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51" w:name="_Toc507256739"/>
      <w:bookmarkStart w:id="152" w:name="_Toc508966728"/>
      <w:r>
        <w:rPr>
          <w:rFonts w:hint="eastAsia" w:asciiTheme="minorEastAsia" w:hAnsiTheme="minorEastAsia" w:eastAsiaTheme="minorEastAsia" w:cstheme="minorEastAsia"/>
          <w:b/>
          <w:sz w:val="24"/>
          <w:szCs w:val="24"/>
          <w:shd w:val="clear" w:color="auto" w:fill="FFFFFF"/>
        </w:rPr>
        <w:t>耕地质量等级调查评价和耕地分等定级调查评价</w:t>
      </w:r>
      <w:bookmarkEnd w:id="150"/>
      <w:bookmarkEnd w:id="151"/>
      <w:bookmarkEnd w:id="152"/>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bookmarkStart w:id="153" w:name="_Toc499125202"/>
      <w:r>
        <w:rPr>
          <w:rFonts w:hint="eastAsia" w:asciiTheme="minorEastAsia" w:hAnsiTheme="minorEastAsia" w:eastAsiaTheme="minorEastAsia" w:cstheme="minorEastAsia"/>
          <w:sz w:val="24"/>
          <w:szCs w:val="24"/>
          <w:shd w:val="clear" w:color="auto" w:fill="FFFFFF"/>
        </w:rPr>
        <w:t>在耕地质量分等定级调查和评价的基础上，将最新的耕地质量等级调查评价和耕地分等定级评价成果落实到土地利用现状图上，对评价成果进行更新完善，建立耕地质量分等定级评价专项数据库。</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耕地质量等级调查评价工作的总体思路是，以上一轮耕地分等成果为基础，结合最新土地变更调查成果，按照《农用地质量分等定级规程》及上一轮耕地分等工作确定的相关参数，通过开展补充调查，补充、更新有关原始数据，重新计算并确定耕地质量等别，形成与最新土地变更调查成果一致的耕地质量等别成果。</w:t>
      </w:r>
    </w:p>
    <w:p>
      <w:pPr>
        <w:spacing w:before="156" w:beforeLines="50" w:after="156" w:afterLines="50" w:line="360" w:lineRule="auto"/>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object>
          <v:shape id="_x0000_i1031" o:spt="75" type="#_x0000_t75" style="height:368.35pt;width:411.3pt;" o:ole="t" filled="f" o:preferrelative="t" stroked="f" coordsize="21600,21600">
            <v:path/>
            <v:fill on="f" focussize="0,0"/>
            <v:stroke on="f"/>
            <v:imagedata r:id="rId63" o:title=""/>
            <o:lock v:ext="edit" aspectratio="t"/>
            <w10:wrap type="none"/>
            <w10:anchorlock/>
          </v:shape>
          <o:OLEObject Type="Embed" ProgID="Visio.Drawing.11" ShapeID="_x0000_i1031" DrawAspect="Content" ObjectID="_1468075731" r:id="rId62">
            <o:LockedField>false</o:LockedField>
          </o:OLEObject>
        </w:object>
      </w:r>
    </w:p>
    <w:p>
      <w:pPr>
        <w:spacing w:before="156" w:beforeLines="50" w:after="156" w:afterLines="50" w:line="360" w:lineRule="auto"/>
        <w:jc w:val="center"/>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rPr>
        <w:t>耕地质量等级调查评价和耕地分等定级调查评价流程图</w:t>
      </w:r>
      <w:r>
        <w:rPr>
          <w:rFonts w:hint="eastAsia" w:asciiTheme="minorEastAsia" w:hAnsiTheme="minorEastAsia" w:eastAsiaTheme="minorEastAsia" w:cstheme="minorEastAsia"/>
          <w:b/>
          <w:sz w:val="24"/>
          <w:szCs w:val="24"/>
          <w:shd w:val="clear" w:color="auto" w:fill="FFFFFF"/>
        </w:rPr>
        <w:br w:type="page"/>
      </w:r>
      <w:r>
        <w:rPr>
          <w:rFonts w:hint="eastAsia" w:asciiTheme="minorEastAsia" w:hAnsiTheme="minorEastAsia" w:eastAsiaTheme="minorEastAsia" w:cstheme="minorEastAsia"/>
          <w:b/>
          <w:sz w:val="24"/>
          <w:szCs w:val="24"/>
          <w:shd w:val="clear" w:color="auto" w:fill="FFFFFF"/>
        </w:rPr>
        <w:t>整理上一轮分等成果，确定分等参数体系</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整理上一轮耕地分等成果，梳理和确认各耕地分等所采用的因素指标区，标准耕作制度，指定作物及其光温（气候）生产潜力指数，产量比系数，分等因素及其分级、赋分、权重，利用系数等值区划分结果和经济系数划分结果。</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可在原有耕地分等成果表中进行查找，二级指标区名称、产量比系数、光温（气候）生产潜力等可从原始资料中查找，若知道该区域对应二级区，相应的产量比系数、光温生产潜力通过查找“光温生产潜力指数”、“耕地分等基本参数表”获得。也可通过分等因素、产量比系数以及《农用地“指定作物—分等因素—质量分”关系表》进行匹配。</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补充完善相关基础资料</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在上一轮耕地分等基础资料的基础上，结合近十年来土地利用的实际，开展三方面工作：</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收集整理最新土壤资料</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多目标地球化学调查评估成果、最新土壤调查中的土壤有机质含量等数据，用于更新本区域内耕地的土壤有机质、土壤质地、土层厚度、土体构型、障碍层距地表深度、土壤酸碱度、土壤盐渍化程度、地表岩石露头度等分等因素属性值。</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有针对性的开展补充调查</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根据近十年来本区域内土地整治、大型农田水利设施建设情况，有针对性地开展补充调查，以确定新增耕地和整治耕地在土层厚度、坡度和灌溉保证率等分等因素属性上的变化。</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样点补充调查</w:t>
      </w:r>
    </w:p>
    <w:p>
      <w:pPr>
        <w:spacing w:before="156" w:beforeLines="50" w:after="156" w:afterLines="50" w:line="360" w:lineRule="auto"/>
        <w:ind w:firstLine="480"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sz w:val="24"/>
          <w:szCs w:val="24"/>
          <w:shd w:val="clear" w:color="auto" w:fill="FFFFFF"/>
        </w:rPr>
        <w:t>针对耕地投入产出水平和经济效益水平发生显著变化的区域，按照规程要求开展样点补充调查。</w:t>
      </w:r>
      <w:r>
        <w:rPr>
          <w:rFonts w:hint="eastAsia" w:asciiTheme="minorEastAsia" w:hAnsiTheme="minorEastAsia" w:eastAsiaTheme="minorEastAsia" w:cstheme="minorEastAsia"/>
          <w:b/>
          <w:sz w:val="24"/>
          <w:szCs w:val="24"/>
          <w:shd w:val="clear" w:color="auto" w:fill="FFFFFF"/>
        </w:rPr>
        <w:br w:type="page"/>
      </w:r>
      <w:r>
        <w:rPr>
          <w:rFonts w:hint="eastAsia" w:asciiTheme="minorEastAsia" w:hAnsiTheme="minorEastAsia" w:eastAsiaTheme="minorEastAsia" w:cstheme="minorEastAsia"/>
          <w:b/>
          <w:sz w:val="24"/>
          <w:szCs w:val="24"/>
          <w:shd w:val="clear" w:color="auto" w:fill="FFFFFF"/>
        </w:rPr>
        <w:t>完善耕地分等因素图</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以上一轮耕地分等因素图为基础，完成等别评定因素图的完善工作：</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根据收集到的最新土壤资料，补充完善耕地的土壤有机质、土壤质地、土层厚度、土体构型、土壤酸碱度、土壤盐渍化程度、地表岩石露头度等分等因素属性值，形成以上因素的最新等别评定因素图。</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根据土地整治、农业综合开发、农田水利设施建设等情况的补充调查资料，确定新增耕地和整治耕地的土层厚度、坡度和灌溉保证率等分等因素属性值，并进一步完善等别评定因素图。未开展耕地质量建设的区域，土层厚度、坡度和灌溉保证率等仍采用上一轮分等数据。</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根据重点区域的耕地投入产出和经济效益的样点补充调查数据资料，按照《农用地质量分等定级规程》的要求形成最新的土地利用系数等值区图和土地经济系数等值区图。未开展样点补充调查的区域，仍沿用上一轮分等工作采用的土地利用系数和土地经济系数。</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确定最新的耕地分等单元图</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以比例尺不小于1:1万的最新土地变更调查数据作为基础，提取耕地图斑及其相关属性，形成最新耕地质量等别评定单元图，重点保留耕地图斑的行政代码、图斑编号、地类代码、坡度、面积等数据。</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建立耕地质量分等定级评价专项数据库</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将等别评定因素图、土地利用系数等值区图、土地经济系数等值区图与等别评定单元图叠加，获取各单元的分等因素属性值、土地利用系数、土地经济系数，同时将指定作物光温（气候）生产潜力指数、产量比系数等基本参数导入各评定单元，形成耕地质量分等定级评价专项数据库。</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计算耕地质量等别并转换成国家级专项数据库</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按照《农用地质量分等定级规程》的计算公式，在基础数据库中计算各单元自然质量分和自然质量等指数，确定自然质量等；依次计算利用等指数和经济等指数，确定利用等和经济等。按照省等与国家等转换关系，确定各单元国家级自然质量等、利用等和经济等，形成国家级耕地质量分等定级评价专项数据库。</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补充完善后的数据成果核查</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对耕地质量等别数据成果进行核查，重点检查等别范围与上一轮耕地分等相比是否有变化，变化的合理性，并进行实地抽查。</w:t>
      </w:r>
    </w:p>
    <w:p>
      <w:pPr>
        <w:pStyle w:val="5"/>
        <w:spacing w:before="120" w:after="120" w:line="360" w:lineRule="auto"/>
        <w:ind w:firstLine="602"/>
        <w:outlineLvl w:val="4"/>
        <w:rPr>
          <w:rFonts w:hint="eastAsia" w:asciiTheme="minorEastAsia" w:hAnsiTheme="minorEastAsia" w:eastAsiaTheme="minorEastAsia" w:cstheme="minorEastAsia"/>
          <w:sz w:val="24"/>
          <w:szCs w:val="24"/>
        </w:rPr>
      </w:pPr>
      <w:bookmarkStart w:id="154" w:name="_Toc516510632"/>
      <w:bookmarkStart w:id="155" w:name="_Toc507256740"/>
      <w:bookmarkStart w:id="156" w:name="_Toc508966729"/>
      <w:bookmarkStart w:id="157" w:name="_Toc524979664"/>
      <w:bookmarkStart w:id="158" w:name="_Toc32699"/>
      <w:bookmarkStart w:id="159" w:name="_Toc522794969"/>
      <w:r>
        <w:rPr>
          <w:rFonts w:hint="eastAsia" w:asciiTheme="minorEastAsia" w:hAnsiTheme="minorEastAsia" w:eastAsiaTheme="minorEastAsia" w:cstheme="minorEastAsia"/>
          <w:sz w:val="24"/>
          <w:szCs w:val="24"/>
          <w:lang w:val="en-US" w:eastAsia="zh-CN"/>
        </w:rPr>
        <w:t>（6）</w:t>
      </w:r>
      <w:r>
        <w:rPr>
          <w:rFonts w:hint="eastAsia" w:asciiTheme="minorEastAsia" w:hAnsiTheme="minorEastAsia" w:eastAsiaTheme="minorEastAsia" w:cstheme="minorEastAsia"/>
          <w:sz w:val="24"/>
          <w:szCs w:val="24"/>
        </w:rPr>
        <w:t>土地调查数据库及管理系统建设</w:t>
      </w:r>
      <w:bookmarkEnd w:id="153"/>
      <w:bookmarkEnd w:id="154"/>
      <w:bookmarkEnd w:id="155"/>
      <w:bookmarkEnd w:id="156"/>
      <w:bookmarkEnd w:id="157"/>
      <w:bookmarkEnd w:id="158"/>
      <w:bookmarkEnd w:id="159"/>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60" w:name="_Toc507256741"/>
      <w:bookmarkStart w:id="161" w:name="_Toc508966730"/>
      <w:bookmarkStart w:id="162" w:name="_Toc499125203"/>
      <w:r>
        <w:rPr>
          <w:rFonts w:hint="eastAsia" w:asciiTheme="minorEastAsia" w:hAnsiTheme="minorEastAsia" w:eastAsiaTheme="minorEastAsia" w:cstheme="minorEastAsia"/>
          <w:b/>
          <w:sz w:val="24"/>
          <w:szCs w:val="24"/>
          <w:shd w:val="clear" w:color="auto" w:fill="FFFFFF"/>
        </w:rPr>
        <w:t xml:space="preserve"> 数据库内容</w:t>
      </w:r>
      <w:bookmarkEnd w:id="160"/>
      <w:bookmarkEnd w:id="161"/>
      <w:bookmarkEnd w:id="162"/>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数据库主要内容包括：基础地理信息、土地利用数据、土地权属数据、基本农田数据、专项调查数据等矢量数据，数字高程模型（DEM）数据、DOM数据、扫描影像图数据等栅格数据和元数据。</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63" w:name="_Toc508966731"/>
      <w:bookmarkStart w:id="164" w:name="_Toc499125204"/>
      <w:bookmarkStart w:id="165" w:name="_Toc507256742"/>
      <w:r>
        <w:rPr>
          <w:rFonts w:hint="eastAsia" w:asciiTheme="minorEastAsia" w:hAnsiTheme="minorEastAsia" w:eastAsiaTheme="minorEastAsia" w:cstheme="minorEastAsia"/>
          <w:b/>
          <w:sz w:val="24"/>
          <w:szCs w:val="24"/>
          <w:shd w:val="clear" w:color="auto" w:fill="FFFFFF"/>
        </w:rPr>
        <w:t xml:space="preserve"> 建库流程</w:t>
      </w:r>
      <w:bookmarkEnd w:id="163"/>
      <w:bookmarkEnd w:id="164"/>
      <w:bookmarkEnd w:id="165"/>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数据库建设流程：包括数据库建设方案设计、基础数据准备与处理、图形和属性数据采集、数据接边、拓扑关系构建、数据检查与入库。</w:t>
      </w:r>
    </w:p>
    <w:p>
      <w:pPr>
        <w:spacing w:before="156" w:beforeLines="50" w:after="156" w:afterLines="50" w:line="360" w:lineRule="auto"/>
        <w:jc w:val="center"/>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rPr>
        <w:object>
          <v:shape id="_x0000_i1032" o:spt="75" type="#_x0000_t75" style="height:120.55pt;width:361.75pt;" o:ole="t" filled="f" o:preferrelative="t" stroked="f" coordsize="21600,21600">
            <v:path/>
            <v:fill on="f" focussize="0,0"/>
            <v:stroke on="f"/>
            <v:imagedata r:id="rId65" o:title=""/>
            <o:lock v:ext="edit" aspectratio="t"/>
            <w10:wrap type="none"/>
            <w10:anchorlock/>
          </v:shape>
          <o:OLEObject Type="Embed" ProgID="Visio.Drawing.11" ShapeID="_x0000_i1032" DrawAspect="Content" ObjectID="_1468075732" r:id="rId64">
            <o:LockedField>false</o:LockedField>
          </o:OLEObject>
        </w:object>
      </w:r>
    </w:p>
    <w:p>
      <w:pPr>
        <w:spacing w:line="360" w:lineRule="auto"/>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 xml:space="preserve"> 数据库建库流程</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66" w:name="_Toc508966732"/>
      <w:bookmarkStart w:id="167" w:name="_Toc507256743"/>
      <w:bookmarkStart w:id="168" w:name="_Toc499125205"/>
      <w:r>
        <w:rPr>
          <w:rFonts w:hint="eastAsia" w:asciiTheme="minorEastAsia" w:hAnsiTheme="minorEastAsia" w:eastAsiaTheme="minorEastAsia" w:cstheme="minorEastAsia"/>
          <w:b/>
          <w:sz w:val="24"/>
          <w:szCs w:val="24"/>
          <w:shd w:val="clear" w:color="auto" w:fill="FFFFFF"/>
        </w:rPr>
        <w:t>数据库建设方法</w:t>
      </w:r>
      <w:bookmarkEnd w:id="166"/>
      <w:bookmarkEnd w:id="167"/>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图形数据采集</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根据外业调查结果，结合内业资料进行图形矢量化工作，形成全区域所有调查要素的数字化成果。对于电子化外业数据，外业采集要素在导入数据库的过程中不得有要素丢漏和位置偏移的情况。</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图形数据采集，包含土地调查数据采集、专项调查数据采集、不一致图形处理三个步骤。专项调查数据的采集以土地调查数据为基础，批准未建设的建设用地图斑图形边界由国家统一采集。土地调查数据、专项调查数据图形不衔接的，应结合影像、外业调查等手段进行核实，并按照核实结果调整相关图形边界。</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要素采集界线与调查界线的移位不得大于图上0.2mm。</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数据应分层采集，并保持各层要素叠加后协调一致。</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公共边只需矢量化一次，其他层可用拷贝方法生成，保证各层数据完整性。</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数据采集、编辑完成后，应使线条光滑、严格相接、不得有多余悬挂线。所有数据层内应建立拓扑关系，相关数据层间应建立层间拓扑关系。</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拓扑关系构建</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检查要素在图层内、图层间的相互关系，并进行拓扑处理，建立拓扑结构。</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属性数据采集</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按规定的数据结构输入属性数据，并进行校验和逻辑错误检查。</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土地调查数据库建设</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检查数据完整性、准确性、逻辑一致性，以及数据分层和文件命名的规范性等，按照数据库建设技术要求建立</w:t>
      </w:r>
      <w:r>
        <w:rPr>
          <w:rFonts w:hint="eastAsia" w:asciiTheme="minorEastAsia" w:hAnsiTheme="minorEastAsia" w:eastAsiaTheme="minorEastAsia" w:cstheme="minorEastAsia"/>
          <w:sz w:val="24"/>
          <w:szCs w:val="24"/>
          <w:shd w:val="clear" w:color="auto" w:fill="FFFFFF"/>
          <w:lang w:eastAsia="zh-CN"/>
        </w:rPr>
        <w:t>鄢陵县</w:t>
      </w:r>
      <w:r>
        <w:rPr>
          <w:rFonts w:hint="eastAsia" w:asciiTheme="minorEastAsia" w:hAnsiTheme="minorEastAsia" w:eastAsiaTheme="minorEastAsia" w:cstheme="minorEastAsia"/>
          <w:sz w:val="24"/>
          <w:szCs w:val="24"/>
          <w:shd w:val="clear" w:color="auto" w:fill="FFFFFF"/>
        </w:rPr>
        <w:t>市土地调查数据库。</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专项调查数据库建设</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在土地调查数据库基础上，依据专项调查结果，分别建立批准未建设的建设用地、耕地质量等级调查评价和耕地分等定级评价等专项用地调查数据库。</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69" w:name="_Toc508966733"/>
      <w:bookmarkStart w:id="170" w:name="_Toc507256744"/>
      <w:r>
        <w:rPr>
          <w:rFonts w:hint="eastAsia" w:asciiTheme="minorEastAsia" w:hAnsiTheme="minorEastAsia" w:eastAsiaTheme="minorEastAsia" w:cstheme="minorEastAsia"/>
          <w:b/>
          <w:sz w:val="24"/>
          <w:szCs w:val="24"/>
          <w:shd w:val="clear" w:color="auto" w:fill="FFFFFF"/>
        </w:rPr>
        <w:t xml:space="preserve"> 数据库质量检查与汇总</w:t>
      </w:r>
      <w:bookmarkEnd w:id="169"/>
      <w:bookmarkEnd w:id="170"/>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土地调查数据库及专项调查数据库建设完成后，按照数据库质量检查规则，开展数据库质量检查。数据库质量检查通过后，按照汇总规则输出数据汇总表格。</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检查内容</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数据库质量检查的对象主要是三次调查形成的各类数据成果，检查内容主要包括：数据完整性、逻辑一致性、拓扑正确性、属性数据准确性、汇总数据正确性等五个方面。</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数据完整性检查。检查数据覆盖范围、图层、数据表、记录等成果是否存在多余、遗漏内容；检查数据有效性，能否正常打开、浏览、查询。</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逻辑一致性检查。检查数据图形和属性表达的一致性，包括图层内部图形和属性描述的一致性，以及图层之间数据图形和属性描述的一致性等。</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拓扑正确性检查。检查要素图形空间位置的正确性，以及图层间和图层内是否存在重叠、相交、缝隙等拓扑错误。</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属性数据准确性检查。检查要素属性描述的正确性。</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汇总数据正确性检查。检查由数据库汇总所得的各类汇总表表内数据逻辑、表间汇总逻辑，以及表格汇总面积和数据库汇总面积的一致性。</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检查方法</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使用数据库质量检查软件，对土地调查数据库、专项调查数据库进行质量检查，不合格的数据，逐条修改完善，直至检查合格。</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bookmarkStart w:id="171" w:name="_Toc508966734"/>
      <w:bookmarkStart w:id="172" w:name="_Toc507256745"/>
      <w:r>
        <w:rPr>
          <w:rFonts w:hint="eastAsia" w:asciiTheme="minorEastAsia" w:hAnsiTheme="minorEastAsia" w:eastAsiaTheme="minorEastAsia" w:cstheme="minorEastAsia"/>
          <w:b/>
          <w:sz w:val="24"/>
          <w:szCs w:val="24"/>
          <w:shd w:val="clear" w:color="auto" w:fill="FFFFFF"/>
        </w:rPr>
        <w:t xml:space="preserve"> 管理系统建设</w:t>
      </w:r>
      <w:bookmarkEnd w:id="168"/>
      <w:bookmarkEnd w:id="171"/>
      <w:bookmarkEnd w:id="172"/>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土地调查数据库管理系统，主要包括以下功能：</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数据管理</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能按照三次调查要求进行展数据采集与入库工作。</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数据格式转换</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支持三次调查规定的数据交换格式。</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数据编辑</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能对土地调查数据进行检查，并具有增、删、改等编辑功能。</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统计、出图</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提供面积量算、数据统计、图件输出、成果输出。</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数据更新</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shd w:val="clear" w:color="auto" w:fill="FFFFFF"/>
        </w:rPr>
        <w:t>支持土地调查数据更新。</w:t>
      </w:r>
    </w:p>
    <w:p>
      <w:pPr>
        <w:pStyle w:val="3"/>
        <w:widowControl w:val="0"/>
        <w:numPr>
          <w:ilvl w:val="0"/>
          <w:numId w:val="0"/>
        </w:numPr>
        <w:snapToGrid w:val="0"/>
        <w:spacing w:line="360" w:lineRule="auto"/>
        <w:jc w:val="both"/>
        <w:rPr>
          <w:rFonts w:hint="eastAsia" w:asciiTheme="minorEastAsia" w:hAnsiTheme="minorEastAsia" w:eastAsiaTheme="minorEastAsia" w:cstheme="minorEastAsia"/>
          <w:sz w:val="24"/>
          <w:szCs w:val="24"/>
          <w:lang w:val="en-US" w:eastAsia="zh-CN"/>
        </w:rPr>
      </w:pPr>
    </w:p>
    <w:p>
      <w:pPr>
        <w:pStyle w:val="3"/>
        <w:widowControl w:val="0"/>
        <w:numPr>
          <w:ilvl w:val="0"/>
          <w:numId w:val="0"/>
        </w:numPr>
        <w:snapToGrid w:val="0"/>
        <w:spacing w:line="360" w:lineRule="auto"/>
        <w:ind w:leftChars="0"/>
        <w:jc w:val="both"/>
        <w:outlineLvl w:val="3"/>
        <w:rPr>
          <w:rFonts w:hint="eastAsia" w:asciiTheme="minorEastAsia" w:hAnsiTheme="minorEastAsia" w:eastAsiaTheme="minorEastAsia" w:cstheme="minorEastAsia"/>
          <w:sz w:val="24"/>
          <w:szCs w:val="24"/>
          <w:lang w:val="en-US" w:eastAsia="zh-CN"/>
        </w:rPr>
      </w:pPr>
      <w:bookmarkStart w:id="173" w:name="_Toc20243"/>
      <w:bookmarkStart w:id="174" w:name="_Toc5517"/>
      <w:bookmarkStart w:id="175" w:name="_Toc11047"/>
      <w:r>
        <w:rPr>
          <w:rFonts w:hint="eastAsia" w:asciiTheme="minorEastAsia" w:hAnsiTheme="minorEastAsia" w:eastAsiaTheme="minorEastAsia" w:cstheme="minorEastAsia"/>
          <w:b/>
          <w:bCs/>
          <w:sz w:val="24"/>
          <w:szCs w:val="24"/>
          <w:lang w:val="en-US" w:eastAsia="zh-CN"/>
        </w:rPr>
        <w:t>3.3.2技术措施</w:t>
      </w:r>
      <w:bookmarkEnd w:id="173"/>
      <w:bookmarkEnd w:id="174"/>
      <w:bookmarkEnd w:id="175"/>
    </w:p>
    <w:p>
      <w:pPr>
        <w:spacing w:line="360" w:lineRule="auto"/>
        <w:ind w:firstLine="482" w:firstLineChars="200"/>
        <w:outlineLvl w:val="4"/>
        <w:rPr>
          <w:rFonts w:hint="eastAsia" w:asciiTheme="minorEastAsia" w:hAnsiTheme="minorEastAsia" w:eastAsiaTheme="minorEastAsia" w:cstheme="minorEastAsia"/>
          <w:b/>
          <w:bCs/>
          <w:sz w:val="24"/>
          <w:szCs w:val="24"/>
        </w:rPr>
      </w:pPr>
      <w:bookmarkStart w:id="176" w:name="_Toc6874"/>
      <w:r>
        <w:rPr>
          <w:rFonts w:hint="eastAsia" w:asciiTheme="minorEastAsia" w:hAnsiTheme="minorEastAsia" w:eastAsiaTheme="minorEastAsia" w:cstheme="minorEastAsia"/>
          <w:b/>
          <w:bCs/>
          <w:sz w:val="24"/>
          <w:szCs w:val="24"/>
          <w:lang w:val="en-US" w:eastAsia="zh-CN"/>
        </w:rPr>
        <w:t>（1）</w:t>
      </w:r>
      <w:r>
        <w:rPr>
          <w:rFonts w:hint="eastAsia" w:asciiTheme="minorEastAsia" w:hAnsiTheme="minorEastAsia" w:eastAsiaTheme="minorEastAsia" w:cstheme="minorEastAsia"/>
          <w:b/>
          <w:bCs/>
          <w:sz w:val="24"/>
          <w:szCs w:val="24"/>
        </w:rPr>
        <w:t>主要任务</w:t>
      </w:r>
      <w:bookmarkEnd w:id="176"/>
    </w:p>
    <w:p>
      <w:pPr>
        <w:spacing w:line="360" w:lineRule="auto"/>
        <w:ind w:firstLine="482" w:firstLineChars="200"/>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t>土地利用现状调查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土地利用现状调查包括农村土地利用现状调查和城市、建制镇、村庄（以下简称城镇村庄）内部土地利用现状调查。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农村土地利用现状调查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以县为基本单位，按照统一的土地调查技术标准，以国家提供的调查底图为基础，实地调查每块图斑的地类、位置、范围、面积等利用状况，查清全县耕地、园地、林地、草地等农用地的数量、分布及质量状况，查清城市、建制镇、村庄、独立工矿、水域及水利设施用地等各类土地的分布和利用状况。对存在管理需求交叉的耕地、园地、林地、草地、养殖水面等地类进行利用现状、质量状况和管理属性的多重标注。</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城镇村庄内部土地利用现状调查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充分利用地籍调查和各类确权登记成果，对城市、建制镇、村庄内部的土地利用现状开展细化调查，查清城镇村庄内部商服用地、工矿仓储用地、住宅用地、公共管理与公共服务用地和特殊用地等土地利用状况。</w:t>
      </w:r>
    </w:p>
    <w:p>
      <w:pPr>
        <w:spacing w:line="360" w:lineRule="auto"/>
        <w:ind w:firstLine="482" w:firstLineChars="200"/>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t>土地权属调查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进一步完善集体土地所有权调查成果，并将城镇国有建设用地范围外已完成的集体土地所有权确权登记和国有土地使用权登记成果落实在土地调查成果中，对权属发生变化的开展补充调查。</w:t>
      </w:r>
    </w:p>
    <w:p>
      <w:pPr>
        <w:spacing w:line="360" w:lineRule="auto"/>
        <w:ind w:firstLine="482" w:firstLineChars="200"/>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t>专项用地调查与评价</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基于土地利用现状、土地权属等调查成果和国土资源管理形成的各类管理信息，结合生态文明建设、自然资源监管、节约集约用地评价及相关专项工作的需要，开展专项用地调查。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耕地细化调查。对永久基本农田范围以外的耕地图斑，参考相关部门的有关资料，根据耕地的位置和立地条件，开展细化调查，并标注相应属性。重点对河道或湖（库）区范围内耕地、林区范围内的耕地、沙荒耕地等开展细化调查，分类标注，摸清各类耕地资源家底状况。</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批准未建设的建设用地调查。在土地利用现状调查的基础上，依据国家下发的批准建设用地图层数据，补充完善建设用地审批信息，查清批准建设用地范围内未建设土地的实际利用状况。</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耕地质量等级调查评价和耕地分等定级调查评价。在耕地质量调查和评价的基础上，将最新的耕地质量等级调查评价和耕地分等定级评价成果落实到土地利用现状图上，对评价成果进行更新完善。</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农村土地利用综合潜力调查。结合土地利用现状调查，摸清独立工矿复垦、村庄整治、高标准农田整治、宜耕未利用地开发等潜力情况。</w:t>
      </w:r>
    </w:p>
    <w:p>
      <w:pPr>
        <w:spacing w:line="360" w:lineRule="auto"/>
        <w:ind w:firstLine="482" w:firstLineChars="200"/>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t>土地利用数据库建设</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建立县级土地调查及专项调查数据库</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按照国家统一的数据库标准和建库规范，开展土地调查数据库建设，同时开展耕地细化调查、批准未建设的建设用地调查、耕地质量等级和耕地分等定级调查评价等专项数据库建设；按照省统一的技术要求，开展农村土地利用综合潜力专项数据库建设；实现对土地利用现状调查成果、权属调查成果和专项调查成果的综合管理。</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建立县级土地调查数据及专项调查数据库管理系统的建设</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基于土地调查与专项调查数据库成果，利用大数据和云计算技术，建设县级土地调查数据库管理系统的建设，实现土地调查数据、专项调查数据与土地规划、基础测绘等各类基础数据的互联互通和综合分析应用，构建县级数据库的管理建设、分级管理体系，提高第三次土地调查成果对管理决策的支撑服务能力。</w:t>
      </w:r>
    </w:p>
    <w:p>
      <w:pPr>
        <w:spacing w:line="360" w:lineRule="auto"/>
        <w:ind w:firstLine="482" w:firstLineChars="200"/>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t>成果汇总</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成果汇总按照《河南省第三次全国土地调查实施方案》的要求具体组织进行。其中农村土地利用综合潜力调查成果单独另行汇总至省级层面。</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数据汇总</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在土地调查和专项调查数据库基础上，汇总县级行政区划内的城镇和农村各类土地利用数据以及专题数据。</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成果分析</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结合第二次土地调查、年度土地变更调查等相关成果，对比第三次土地调查成果，开展土地利用状况分析。对第二次土地调查完成以来耕地的数量、质量等级、分布、利用结构及其变化状况进行综合分析；对城市、建制镇、村庄等建设用地利用情况进行综合分析，评价土地利用节约集约程度。根据土地调查及分析结果，县级国土资源管理部门编制第三次土地调查分析报告。</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数据成果制作与图件编制</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基于第三次土地调查数据，制作系列数据成果并在服务平台上发布，面向政府机关、科研机构和社会公众提供数据服务，满足各行各业对第三次土地调查数据的需求，最大程度的发挥重大国情国力调查的综合效益。利用计算机制图等技术，编制县级系列土地利用图件、图集和各种专题图件（集）等。</w:t>
      </w:r>
    </w:p>
    <w:p>
      <w:pPr>
        <w:spacing w:line="360" w:lineRule="auto"/>
        <w:ind w:firstLine="482" w:firstLineChars="200"/>
        <w:outlineLvl w:val="4"/>
        <w:rPr>
          <w:rFonts w:hint="eastAsia" w:asciiTheme="minorEastAsia" w:hAnsiTheme="minorEastAsia" w:eastAsiaTheme="minorEastAsia" w:cstheme="minorEastAsia"/>
          <w:b/>
          <w:bCs/>
          <w:sz w:val="24"/>
          <w:szCs w:val="24"/>
        </w:rPr>
      </w:pPr>
      <w:bookmarkStart w:id="177" w:name="_Toc11973"/>
      <w:r>
        <w:rPr>
          <w:rFonts w:hint="eastAsia" w:asciiTheme="minorEastAsia" w:hAnsiTheme="minorEastAsia" w:eastAsiaTheme="minorEastAsia" w:cstheme="minorEastAsia"/>
          <w:b/>
          <w:bCs/>
          <w:sz w:val="24"/>
          <w:szCs w:val="24"/>
          <w:lang w:val="en-US" w:eastAsia="zh-CN"/>
        </w:rPr>
        <w:t>（2）</w:t>
      </w:r>
      <w:r>
        <w:rPr>
          <w:rFonts w:hint="eastAsia" w:asciiTheme="minorEastAsia" w:hAnsiTheme="minorEastAsia" w:eastAsiaTheme="minorEastAsia" w:cstheme="minorEastAsia"/>
          <w:b/>
          <w:bCs/>
          <w:sz w:val="24"/>
          <w:szCs w:val="24"/>
        </w:rPr>
        <w:t>技术路线、方法与要求</w:t>
      </w:r>
      <w:bookmarkEnd w:id="177"/>
    </w:p>
    <w:p>
      <w:pPr>
        <w:spacing w:line="360" w:lineRule="auto"/>
        <w:ind w:firstLine="482" w:firstLineChars="200"/>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t>技术路线</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依据国家统一下发的遥感影像以及内业比对提取的变化信息，充分利用已有农村土地调查、地籍调查、集体土地确权登记发证、地理国情普查、农村土地承包经营权确权登记颁证等工作基础资料及调查成果，采用“3S”一体化外业调查等技术，按照国家整体控制和地方细化调查相结合的要求，查清全县城乡每一块土地的利用类型、面积、权属和分布情况，采用“互联网+”技术核实调查数据真实性，运用大数据、云计算和互联网等技术，建立县级土地调查数据库和共享服务平台。在此基础上，开展调查成果的汇总与分析，并按照国家要求开展标准时点统一变更，开展调查成果评价、应用等工作。</w:t>
      </w:r>
    </w:p>
    <w:p>
      <w:pPr>
        <w:spacing w:line="360" w:lineRule="auto"/>
        <w:ind w:firstLine="482" w:firstLineChars="200"/>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t>技术方法</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采用“3S”一体化技术开展农村土地利用现状调查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根据国家下发的调查工作底图，结合日常国土资源管理相关资料，采用“3S”一体化技术，逐图斑开展实地调查及重点图斑举证工作，确认调查图斑的地类、范围、权属等信息，与国家内业判读结果不一致的图斑，实地拍摄带定位坐标的举证照片。</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利用现有的各类成果开展城镇村庄内部土地利用现状调查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利用地理国情普查、集体土地确权登记发证等成果和全省统一制作城镇村庄调查基础底图的基础上，利用本地区城镇规划、数字城市建设以及其他行业专题等大比例尺地形图和农村集体土地承包经营权成果，制作城镇村庄内部土地利用现状调查工作底图。地籍调查成果实时更新的区域，利用地籍调查成果，获得城镇村庄内部每块土地的土地利用现状信息；未进行地籍调查成果实时更新的区域，参考利用现有的各类调查成果和现势性强的航空正射影像图，实地开展城镇村庄内部土地利用现状调查；对县城区域重新获取分辨率大于0.2米的航空影像，辅助开展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运用内外业一体化数据采集技术建设土地调查数据库</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按照全国统一的数据库建设要求，采用内外业一体化数据采集建库方法和移动互联网技术，结合国家下发的调查底图，利用移动调查设备开展土地利用信息的调查和采集，实现各类专题信息与每个图斑的匹配连接，形成集图形、影像、属性、文档为一体的土地调查数据库。</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基于增量更新技术开展统一时点数据更新</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按照第三次土地调查数据库标准，结合2019年度土地变更调查工作，获取土地调查成果统一时点变化信息，开展实地调查，形成增量更新数据，将县级土地利用现状调查成果时点统一更新到2019年12月31日标准时点。</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应用大数据技术开展土地调查成果多元服务与专项分析</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利用大数据、云计算等技术，面向政府、自然资源监管部门、科研院所和社会公众等不同群体，优化海量数据处理效率，提供第三次土地调查成果快速共享服务；开展各类自然资源、土地潜力分析，重点开展节约集约利用用地分析，形成第三次土地调查数据成果综合应用分析技术机制。</w:t>
      </w:r>
    </w:p>
    <w:p>
      <w:pPr>
        <w:spacing w:line="360" w:lineRule="auto"/>
        <w:ind w:firstLine="482" w:firstLineChars="200"/>
        <w:outlineLvl w:val="4"/>
        <w:rPr>
          <w:rFonts w:hint="eastAsia" w:asciiTheme="minorEastAsia" w:hAnsiTheme="minorEastAsia" w:eastAsiaTheme="minorEastAsia" w:cstheme="minorEastAsia"/>
          <w:b/>
          <w:bCs/>
          <w:sz w:val="24"/>
          <w:szCs w:val="24"/>
        </w:rPr>
      </w:pPr>
      <w:bookmarkStart w:id="178" w:name="_Toc24362"/>
      <w:r>
        <w:rPr>
          <w:rFonts w:hint="eastAsia" w:asciiTheme="minorEastAsia" w:hAnsiTheme="minorEastAsia" w:eastAsiaTheme="minorEastAsia" w:cstheme="minorEastAsia"/>
          <w:b/>
          <w:bCs/>
          <w:sz w:val="24"/>
          <w:szCs w:val="24"/>
          <w:lang w:val="en-US" w:eastAsia="zh-CN"/>
        </w:rPr>
        <w:t>（3）</w:t>
      </w:r>
      <w:r>
        <w:rPr>
          <w:rFonts w:hint="eastAsia" w:asciiTheme="minorEastAsia" w:hAnsiTheme="minorEastAsia" w:eastAsiaTheme="minorEastAsia" w:cstheme="minorEastAsia"/>
          <w:b/>
          <w:bCs/>
          <w:sz w:val="24"/>
          <w:szCs w:val="24"/>
        </w:rPr>
        <w:t>具体要求</w:t>
      </w:r>
      <w:bookmarkEnd w:id="178"/>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第三次土地调查严格遵照国家和省发布的有关方案和制定的系列技术标准执行。在国家和省总体技术标准和工作要求控制下，结合我县实际，以县为单位明确以下调查要求。</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关于建设用地调查精度</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涉及建设用地调查图斑，统一提高调查精度，最小调查面积实地超过150平方米的需调查上图。</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关于调查界线及控制面积确定</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原则上调查界线继承最新年度土地变更调查界线。</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调查界线如果需要调整，坚持实际需求引导、政府主导、国土和民政部门协作、调整双方协商一致原则，经界线双方同意，向河南省第三次全国土地调查领导小组办公室（以下简称“省土地调查办”）提出申请，由省土地调查办统一报国务院第三次全国土地调查领导小组办公室（以下简称“全国土地调查办”）批准后调整。调整前后控制面积之和必须保持一致。</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关于调查工作底图的完善与制作</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农村土地利用现状调查统一采用国家提供的调查底图。我县结合相关资料和实际需要，进一步开展新增地物补测工作，丰富调查底图内容。</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城镇村庄内部土地利用现状调查依据省土地调查办根据地理国情普查、数字城市、集体土地使用权调查成果分别制作的基础底图，在此基础上收集自2014年以后、优于0.2米分辨率、覆盖城镇村庄范围的已有航空遥感正射影像数据，重点利用城市规划、农村承包经营权登记发证等航空遥感成果资料，加工制作城镇村庄内部土地利用现状调查工作底图。原有0.2米分辨率的航空遥感数据不能全覆盖城镇村庄的区域，自行采购最新0.2米分辨率的航空遥感数据，制作正射影像图，开展城镇村庄内部土地利用现状调查。</w:t>
      </w:r>
    </w:p>
    <w:p>
      <w:pPr>
        <w:spacing w:line="360" w:lineRule="auto"/>
        <w:ind w:firstLine="480" w:firstLineChars="200"/>
        <w:rPr>
          <w:rFonts w:hint="eastAsia" w:asciiTheme="minorEastAsia" w:hAnsiTheme="minorEastAsia" w:eastAsiaTheme="minorEastAsia" w:cstheme="minorEastAsia"/>
          <w:sz w:val="24"/>
          <w:szCs w:val="24"/>
        </w:rPr>
      </w:pPr>
      <w:bookmarkStart w:id="179" w:name="_Toc472242263"/>
      <w:bookmarkEnd w:id="179"/>
      <w:r>
        <w:rPr>
          <w:rFonts w:hint="eastAsia" w:asciiTheme="minorEastAsia" w:hAnsiTheme="minorEastAsia" w:eastAsiaTheme="minorEastAsia" w:cstheme="minorEastAsia"/>
          <w:sz w:val="24"/>
          <w:szCs w:val="24"/>
        </w:rPr>
        <w:t>关于坡度图及耕地坡度分级</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按照省土地调查办统一制作的比例尺为1:10000的坡度图。</w:t>
      </w:r>
    </w:p>
    <w:p>
      <w:pPr>
        <w:spacing w:line="360" w:lineRule="auto"/>
        <w:ind w:firstLine="480" w:firstLineChars="200"/>
        <w:rPr>
          <w:rFonts w:hint="eastAsia" w:asciiTheme="minorEastAsia" w:hAnsiTheme="minorEastAsia" w:eastAsiaTheme="minorEastAsia" w:cstheme="minorEastAsia"/>
          <w:sz w:val="24"/>
          <w:szCs w:val="24"/>
        </w:rPr>
      </w:pPr>
      <w:bookmarkStart w:id="180" w:name="_Toc171700078"/>
      <w:bookmarkEnd w:id="180"/>
      <w:r>
        <w:rPr>
          <w:rFonts w:hint="eastAsia" w:asciiTheme="minorEastAsia" w:hAnsiTheme="minorEastAsia" w:eastAsiaTheme="minorEastAsia" w:cstheme="minorEastAsia"/>
          <w:sz w:val="24"/>
          <w:szCs w:val="24"/>
        </w:rPr>
        <w:t>关于田坎系数</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田坎系数继续沿用全省第二次土地调查测定的田坎系数，并根据第三次土地调查确定的图斑所在坡度统一扣除。</w:t>
      </w:r>
    </w:p>
    <w:p>
      <w:pPr>
        <w:spacing w:line="360" w:lineRule="auto"/>
        <w:ind w:firstLine="480" w:firstLineChars="200"/>
        <w:rPr>
          <w:rFonts w:hint="eastAsia" w:asciiTheme="minorEastAsia" w:hAnsiTheme="minorEastAsia" w:eastAsiaTheme="minorEastAsia" w:cstheme="minorEastAsia"/>
          <w:sz w:val="24"/>
          <w:szCs w:val="24"/>
        </w:rPr>
      </w:pPr>
      <w:bookmarkStart w:id="181" w:name="_Toc472242272"/>
      <w:bookmarkEnd w:id="181"/>
      <w:r>
        <w:rPr>
          <w:rFonts w:hint="eastAsia" w:asciiTheme="minorEastAsia" w:hAnsiTheme="minorEastAsia" w:eastAsiaTheme="minorEastAsia" w:cstheme="minorEastAsia"/>
          <w:sz w:val="24"/>
          <w:szCs w:val="24"/>
        </w:rPr>
        <w:t>关于农村土地利用综合潜力调查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除完成国家统一部署的专项用地调查外，为配合全省土地利用综合改革，严守耕地红线，助力乡村振兴战略实施，结合土地利用现状调查，开展农村土地利用综合潜力调查，逐级汇总并建立数据库。</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农村耕地整治开发潜力调查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高标准农田整治空间潜力调查。以乡镇为基本单元，套合“十二五”时期及近年来已整治高标准农田项目区，结合土地利用总体规划等其他相关规划，调查剩余未整治区域的面积、分布情况，并进一步调查区域内剩余未整治一般耕地和永久基本农田的数量与分布等情况，摸清高标准农田整治空间潜力。</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非耕农用地整治和未利用地开发潜力调查。结合高标准农田整治空间潜力调查成果，进一步调查历史形成的未纳入耕地保护范围，且与现有耕地相对连片的园地、残次林地、坑塘以及生产道路、沟渠等适宜整治为耕地的非耕农用地数量、分布等情况；对第三次土地调查成果中确定的未利用地（其他草地、内陆滩涂、沼泽地、盐碱地、沙地、裸土地），叠加原有耕地后备源调查评价结果，结合土地利用总体规划、生态保护红线等，综合考虑种植条件、开发成本、产出效益等因素进行开发潜力更新评价。</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乡村建设用地腾退复垦潜力调查</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村庄整治潜力调查。将村庄范围内的农用地、未利用地和村庄空闲地作为闲置用地统计，并通过实地调查，核实工业仓储用地和公共管理与公共服务用地的使用状况（在用或废弃），综合摸清村庄整治潜力情况。</w:t>
      </w:r>
    </w:p>
    <w:p>
      <w:pPr>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独立工矿可复垦潜力调查。将第三次土地调查成果确定的采矿用地、盐田以及村庄独立工业仓储用地等作为独立工矿可复垦潜力的调查范围，通过内业判读和外业调查，将独立工矿区分为生产经营和已废弃两种类型。对判定为已废弃的独立工矿，综合考虑土壤、灌溉、污染、坡度、区位等条件，实地调查并评价宜耕或宜生态用地，摸清独立工矿可复垦潜力情况。</w:t>
      </w:r>
    </w:p>
    <w:p>
      <w:pPr>
        <w:spacing w:line="360" w:lineRule="auto"/>
        <w:ind w:firstLine="482" w:firstLineChars="200"/>
        <w:outlineLvl w:val="4"/>
        <w:rPr>
          <w:rFonts w:hint="eastAsia" w:asciiTheme="minorEastAsia" w:hAnsiTheme="minorEastAsia" w:eastAsiaTheme="minorEastAsia" w:cstheme="minorEastAsia"/>
          <w:b/>
          <w:bCs/>
          <w:sz w:val="24"/>
          <w:szCs w:val="24"/>
        </w:rPr>
      </w:pPr>
      <w:bookmarkStart w:id="182" w:name="_Toc2555"/>
      <w:r>
        <w:rPr>
          <w:rFonts w:hint="eastAsia" w:asciiTheme="minorEastAsia" w:hAnsiTheme="minorEastAsia" w:eastAsiaTheme="minorEastAsia" w:cstheme="minorEastAsia"/>
          <w:b/>
          <w:bCs/>
          <w:sz w:val="24"/>
          <w:szCs w:val="24"/>
          <w:lang w:val="en-US" w:eastAsia="zh-CN"/>
        </w:rPr>
        <w:t>（4）</w:t>
      </w:r>
      <w:r>
        <w:rPr>
          <w:rFonts w:hint="eastAsia" w:asciiTheme="minorEastAsia" w:hAnsiTheme="minorEastAsia" w:eastAsiaTheme="minorEastAsia" w:cstheme="minorEastAsia"/>
          <w:b/>
          <w:bCs/>
          <w:sz w:val="24"/>
          <w:szCs w:val="24"/>
        </w:rPr>
        <w:t>主要成果</w:t>
      </w:r>
      <w:bookmarkEnd w:id="182"/>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第三次全国土地调查成果主要包括：数据成果、图件成果、文字成果和数据库成果等。</w:t>
      </w:r>
    </w:p>
    <w:p>
      <w:pPr>
        <w:pStyle w:val="3"/>
        <w:widowControl w:val="0"/>
        <w:numPr>
          <w:ilvl w:val="0"/>
          <w:numId w:val="1"/>
        </w:numPr>
        <w:snapToGrid w:val="0"/>
        <w:ind w:left="0" w:leftChars="0" w:firstLine="0" w:firstLineChars="0"/>
        <w:jc w:val="both"/>
        <w:outlineLvl w:val="1"/>
        <w:rPr>
          <w:rFonts w:hint="eastAsia"/>
          <w:b/>
          <w:bCs/>
          <w:sz w:val="28"/>
          <w:szCs w:val="32"/>
          <w:lang w:val="en-US" w:eastAsia="zh-CN"/>
        </w:rPr>
      </w:pPr>
      <w:r>
        <w:rPr>
          <w:rFonts w:hint="eastAsia"/>
          <w:b/>
          <w:bCs/>
          <w:sz w:val="28"/>
          <w:szCs w:val="32"/>
          <w:lang w:val="en-US" w:eastAsia="zh-CN"/>
        </w:rPr>
        <w:t>项目实施总体工作流程</w:t>
      </w:r>
    </w:p>
    <w:p>
      <w:pPr>
        <w:pStyle w:val="3"/>
        <w:widowControl w:val="0"/>
        <w:numPr>
          <w:ilvl w:val="0"/>
          <w:numId w:val="0"/>
        </w:numPr>
        <w:snapToGrid w:val="0"/>
        <w:ind w:leftChars="0"/>
        <w:jc w:val="both"/>
        <w:rPr>
          <w:rFonts w:hint="eastAsia"/>
          <w:lang w:val="en-US" w:eastAsia="zh-CN"/>
        </w:rPr>
      </w:pPr>
    </w:p>
    <w:p>
      <w:pPr>
        <w:spacing w:before="156" w:beforeLines="50" w:after="156" w:afterLines="50" w:line="360" w:lineRule="auto"/>
        <w:ind w:left="0" w:leftChars="0" w:firstLine="0" w:firstLineChars="0"/>
        <w:outlineLvl w:val="2"/>
        <w:rPr>
          <w:rFonts w:hint="eastAsia" w:asciiTheme="minorEastAsia" w:hAnsiTheme="minorEastAsia" w:eastAsiaTheme="minorEastAsia" w:cstheme="minorEastAsia"/>
          <w:b/>
          <w:sz w:val="24"/>
          <w:szCs w:val="24"/>
          <w:shd w:val="clear" w:color="auto" w:fill="FFFFFF"/>
        </w:rPr>
      </w:pPr>
      <w:bookmarkStart w:id="183" w:name="_Toc30304"/>
      <w:bookmarkStart w:id="184" w:name="_Toc507256691"/>
      <w:bookmarkStart w:id="185" w:name="_Toc25987"/>
      <w:bookmarkStart w:id="186" w:name="_Toc508966670"/>
      <w:bookmarkStart w:id="187" w:name="_Toc505609340"/>
      <w:bookmarkStart w:id="188" w:name="_Toc495270652"/>
      <w:r>
        <w:rPr>
          <w:rFonts w:hint="eastAsia" w:asciiTheme="minorEastAsia" w:hAnsiTheme="minorEastAsia" w:eastAsiaTheme="minorEastAsia" w:cstheme="minorEastAsia"/>
          <w:b/>
          <w:sz w:val="24"/>
          <w:szCs w:val="24"/>
          <w:shd w:val="clear" w:color="auto" w:fill="FFFFFF"/>
          <w:lang w:val="en-US" w:eastAsia="zh-CN"/>
        </w:rPr>
        <w:t>4.1</w:t>
      </w:r>
      <w:r>
        <w:rPr>
          <w:rFonts w:hint="eastAsia" w:asciiTheme="minorEastAsia" w:hAnsiTheme="minorEastAsia" w:eastAsiaTheme="minorEastAsia" w:cstheme="minorEastAsia"/>
          <w:b/>
          <w:sz w:val="24"/>
          <w:szCs w:val="24"/>
          <w:shd w:val="clear" w:color="auto" w:fill="FFFFFF"/>
        </w:rPr>
        <w:t>成立调查组</w:t>
      </w:r>
      <w:bookmarkEnd w:id="183"/>
      <w:bookmarkEnd w:id="184"/>
      <w:bookmarkEnd w:id="185"/>
      <w:bookmarkEnd w:id="186"/>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根据</w:t>
      </w:r>
      <w:r>
        <w:rPr>
          <w:rFonts w:hint="eastAsia" w:asciiTheme="minorEastAsia" w:hAnsiTheme="minorEastAsia" w:eastAsiaTheme="minorEastAsia" w:cstheme="minorEastAsia"/>
          <w:sz w:val="24"/>
          <w:szCs w:val="24"/>
          <w:shd w:val="clear" w:color="auto" w:fill="FFFFFF"/>
          <w:lang w:eastAsia="zh-CN"/>
        </w:rPr>
        <w:t>鄢陵县</w:t>
      </w:r>
      <w:r>
        <w:rPr>
          <w:rFonts w:hint="eastAsia" w:asciiTheme="minorEastAsia" w:hAnsiTheme="minorEastAsia" w:eastAsiaTheme="minorEastAsia" w:cstheme="minorEastAsia"/>
          <w:sz w:val="24"/>
          <w:szCs w:val="24"/>
          <w:shd w:val="clear" w:color="auto" w:fill="FFFFFF"/>
        </w:rPr>
        <w:t>土地调查工作的任务要求，针对调查工作“时间紧、任务重”的特点，采取了“标准化、规范化”管理的工作模式建立项目组织结构。通过规范化管理，在我单位领导的组织下，以相关业务部门为主，其他部门为辅，成立“</w:t>
      </w:r>
      <w:r>
        <w:rPr>
          <w:rFonts w:hint="eastAsia" w:asciiTheme="minorEastAsia" w:hAnsiTheme="minorEastAsia" w:eastAsiaTheme="minorEastAsia" w:cstheme="minorEastAsia"/>
          <w:sz w:val="24"/>
          <w:szCs w:val="24"/>
          <w:shd w:val="clear" w:color="auto" w:fill="FFFFFF"/>
          <w:lang w:eastAsia="zh-CN"/>
        </w:rPr>
        <w:t>鄢陵县</w:t>
      </w:r>
      <w:r>
        <w:rPr>
          <w:rFonts w:hint="eastAsia" w:asciiTheme="minorEastAsia" w:hAnsiTheme="minorEastAsia" w:eastAsiaTheme="minorEastAsia" w:cstheme="minorEastAsia"/>
          <w:sz w:val="24"/>
          <w:szCs w:val="24"/>
          <w:shd w:val="clear" w:color="auto" w:fill="FFFFFF"/>
        </w:rPr>
        <w:t>土地调查工作组”，全面负责项目的组织实施，确保调查任务保质保量如期完成。</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项目组在人员选派上，严格按照要求，组织具有土地调查、遥感、GIS、测绘相关专业背景，具备调查工作经验的技术人员成立项目组。项目组内配备项目负责人和技术联络员各1人。</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分工明确、管理到位</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建立精干、有力、高效的项目管理小组，实行项目经理负责制。选拔经验丰富的业务技术管理骨干组成项目管理小组；抽调业务精、技术好、工作积极、素质较高的熟练人员工作为项目质检小组；各组质检做到分工明确，责任到人，管理到位。在项目工作开展前，由单位领导组织对作业人员进行强化培训，以确保工程的进度和质量。</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准备充分、反应迅速</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充分做好项目前期准备工作，保证人员、软硬件设备迅速到位，投入充足的人力、设备与资金，做好各小组成员的合理调配，以满足高效率作业要求。</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精心设计、动态管理</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根据第三次土地调查工作的特点，精心设计作业过程，实施动态管理，及时调整各阶段工作的进度计划。提高工作效率，节约时间，全力以赴保工期。同时充分发挥技术组在工作过程中作用，对作业过程中的重点、难点，进行技术攻关；严格遵守质检工作的“三检”要求，保证成果的质量。</w:t>
      </w:r>
    </w:p>
    <w:p>
      <w:pPr>
        <w:spacing w:before="156" w:beforeLines="50" w:after="156" w:afterLines="50" w:line="360" w:lineRule="auto"/>
        <w:ind w:left="0" w:leftChars="0" w:firstLine="0" w:firstLineChars="0"/>
        <w:outlineLvl w:val="2"/>
        <w:rPr>
          <w:rFonts w:hint="eastAsia" w:asciiTheme="minorEastAsia" w:hAnsiTheme="minorEastAsia" w:eastAsiaTheme="minorEastAsia" w:cstheme="minorEastAsia"/>
          <w:b/>
          <w:sz w:val="24"/>
          <w:szCs w:val="24"/>
          <w:shd w:val="clear" w:color="auto" w:fill="FFFFFF"/>
        </w:rPr>
      </w:pPr>
      <w:bookmarkStart w:id="189" w:name="_Toc507256692"/>
      <w:bookmarkStart w:id="190" w:name="_Toc1038"/>
      <w:bookmarkStart w:id="191" w:name="_Toc508966671"/>
      <w:bookmarkStart w:id="192" w:name="_Toc24918"/>
      <w:r>
        <w:rPr>
          <w:rFonts w:hint="eastAsia" w:asciiTheme="minorEastAsia" w:hAnsiTheme="minorEastAsia" w:eastAsiaTheme="minorEastAsia" w:cstheme="minorEastAsia"/>
          <w:b/>
          <w:sz w:val="24"/>
          <w:szCs w:val="24"/>
          <w:shd w:val="clear" w:color="auto" w:fill="FFFFFF"/>
          <w:lang w:val="en-US" w:eastAsia="zh-CN"/>
        </w:rPr>
        <w:t>4.2</w:t>
      </w:r>
      <w:r>
        <w:rPr>
          <w:rFonts w:hint="eastAsia" w:asciiTheme="minorEastAsia" w:hAnsiTheme="minorEastAsia" w:eastAsiaTheme="minorEastAsia" w:cstheme="minorEastAsia"/>
          <w:b/>
          <w:sz w:val="24"/>
          <w:szCs w:val="24"/>
          <w:shd w:val="clear" w:color="auto" w:fill="FFFFFF"/>
        </w:rPr>
        <w:t>制定方案</w:t>
      </w:r>
      <w:bookmarkEnd w:id="187"/>
      <w:bookmarkEnd w:id="188"/>
      <w:bookmarkEnd w:id="189"/>
      <w:bookmarkEnd w:id="190"/>
      <w:bookmarkEnd w:id="191"/>
      <w:bookmarkEnd w:id="192"/>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根据</w:t>
      </w:r>
      <w:r>
        <w:rPr>
          <w:rFonts w:hint="eastAsia" w:asciiTheme="minorEastAsia" w:hAnsiTheme="minorEastAsia" w:eastAsiaTheme="minorEastAsia" w:cstheme="minorEastAsia"/>
          <w:sz w:val="24"/>
          <w:szCs w:val="24"/>
          <w:shd w:val="clear" w:color="auto" w:fill="FFFFFF"/>
          <w:lang w:eastAsia="zh-CN"/>
        </w:rPr>
        <w:t>鄢陵县</w:t>
      </w:r>
      <w:r>
        <w:rPr>
          <w:rFonts w:hint="eastAsia" w:asciiTheme="minorEastAsia" w:hAnsiTheme="minorEastAsia" w:eastAsiaTheme="minorEastAsia" w:cstheme="minorEastAsia"/>
          <w:sz w:val="24"/>
          <w:szCs w:val="24"/>
          <w:shd w:val="clear" w:color="auto" w:fill="FFFFFF"/>
        </w:rPr>
        <w:t>实际情况，编制第三次土地调查方案。</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方案内容包括：调查区基本概况、目标任务、技术路线与工作流程、调查准备工作、内业数据处理、外业实地调查、内业整理建库、成果质量控制、调查主要成果、计划进度安排、组织实施等。</w:t>
      </w:r>
    </w:p>
    <w:p>
      <w:pPr>
        <w:spacing w:before="156" w:beforeLines="50" w:after="156" w:afterLines="50" w:line="360" w:lineRule="auto"/>
        <w:ind w:firstLine="482" w:firstLineChars="200"/>
        <w:outlineLvl w:val="2"/>
        <w:rPr>
          <w:rFonts w:hint="eastAsia" w:asciiTheme="minorEastAsia" w:hAnsiTheme="minorEastAsia" w:eastAsiaTheme="minorEastAsia" w:cstheme="minorEastAsia"/>
          <w:b/>
          <w:sz w:val="24"/>
          <w:szCs w:val="24"/>
          <w:shd w:val="clear" w:color="auto" w:fill="FFFFFF"/>
        </w:rPr>
      </w:pPr>
      <w:bookmarkStart w:id="193" w:name="_Toc505609341"/>
      <w:bookmarkStart w:id="194" w:name="_Toc508966672"/>
      <w:bookmarkStart w:id="195" w:name="_Toc6035"/>
      <w:bookmarkStart w:id="196" w:name="_Toc495270653"/>
      <w:bookmarkStart w:id="197" w:name="_Toc507256693"/>
      <w:r>
        <w:rPr>
          <w:rFonts w:hint="eastAsia" w:asciiTheme="minorEastAsia" w:hAnsiTheme="minorEastAsia" w:eastAsiaTheme="minorEastAsia" w:cstheme="minorEastAsia"/>
          <w:b/>
          <w:sz w:val="24"/>
          <w:szCs w:val="24"/>
          <w:shd w:val="clear" w:color="auto" w:fill="FFFFFF"/>
          <w:lang w:val="en-US" w:eastAsia="zh-CN"/>
        </w:rPr>
        <w:t>4.3</w:t>
      </w:r>
      <w:r>
        <w:rPr>
          <w:rFonts w:hint="eastAsia" w:asciiTheme="minorEastAsia" w:hAnsiTheme="minorEastAsia" w:eastAsiaTheme="minorEastAsia" w:cstheme="minorEastAsia"/>
          <w:b/>
          <w:sz w:val="24"/>
          <w:szCs w:val="24"/>
          <w:shd w:val="clear" w:color="auto" w:fill="FFFFFF"/>
        </w:rPr>
        <w:t>人员培训</w:t>
      </w:r>
      <w:bookmarkEnd w:id="193"/>
      <w:bookmarkEnd w:id="194"/>
      <w:bookmarkEnd w:id="195"/>
      <w:bookmarkEnd w:id="196"/>
      <w:bookmarkEnd w:id="197"/>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在开展第三次土地调查前，对参加调查的人员进行培训，明确调查任务和主要内容、统一地类标准和成果要求、规范作业程序和调查方法、确定调查原则和工作纪律，保证调查工作进度，确保调查成果质量。</w:t>
      </w:r>
    </w:p>
    <w:p>
      <w:pPr>
        <w:spacing w:before="156" w:beforeLines="50" w:after="156" w:afterLines="50" w:line="360" w:lineRule="auto"/>
        <w:ind w:firstLine="482" w:firstLineChars="200"/>
        <w:outlineLvl w:val="2"/>
        <w:rPr>
          <w:rFonts w:hint="eastAsia" w:asciiTheme="minorEastAsia" w:hAnsiTheme="minorEastAsia" w:eastAsiaTheme="minorEastAsia" w:cstheme="minorEastAsia"/>
          <w:b/>
          <w:sz w:val="24"/>
          <w:szCs w:val="24"/>
          <w:shd w:val="clear" w:color="auto" w:fill="FFFFFF"/>
        </w:rPr>
      </w:pPr>
      <w:bookmarkStart w:id="198" w:name="_Toc495270655"/>
      <w:bookmarkStart w:id="199" w:name="_Toc10376"/>
      <w:bookmarkStart w:id="200" w:name="_Toc505609343"/>
      <w:bookmarkStart w:id="201" w:name="_Toc507256695"/>
      <w:bookmarkStart w:id="202" w:name="_Toc157921337"/>
      <w:bookmarkStart w:id="203" w:name="_Toc508966674"/>
      <w:r>
        <w:rPr>
          <w:rFonts w:hint="eastAsia" w:asciiTheme="minorEastAsia" w:hAnsiTheme="minorEastAsia" w:eastAsiaTheme="minorEastAsia" w:cstheme="minorEastAsia"/>
          <w:b/>
          <w:sz w:val="24"/>
          <w:szCs w:val="24"/>
          <w:shd w:val="clear" w:color="auto" w:fill="FFFFFF"/>
          <w:lang w:val="en-US" w:eastAsia="zh-CN"/>
        </w:rPr>
        <w:t>4.4</w:t>
      </w:r>
      <w:r>
        <w:rPr>
          <w:rFonts w:hint="eastAsia" w:asciiTheme="minorEastAsia" w:hAnsiTheme="minorEastAsia" w:eastAsiaTheme="minorEastAsia" w:cstheme="minorEastAsia"/>
          <w:b/>
          <w:sz w:val="24"/>
          <w:szCs w:val="24"/>
          <w:shd w:val="clear" w:color="auto" w:fill="FFFFFF"/>
        </w:rPr>
        <w:t>资料准备</w:t>
      </w:r>
      <w:bookmarkEnd w:id="198"/>
      <w:bookmarkEnd w:id="199"/>
      <w:bookmarkEnd w:id="200"/>
      <w:bookmarkEnd w:id="201"/>
      <w:bookmarkEnd w:id="202"/>
      <w:bookmarkEnd w:id="203"/>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bookmarkStart w:id="204" w:name="_Toc157921338"/>
      <w:r>
        <w:rPr>
          <w:rFonts w:hint="eastAsia" w:asciiTheme="minorEastAsia" w:hAnsiTheme="minorEastAsia" w:eastAsiaTheme="minorEastAsia" w:cstheme="minorEastAsia"/>
          <w:sz w:val="24"/>
          <w:szCs w:val="24"/>
          <w:shd w:val="clear" w:color="auto" w:fill="FFFFFF"/>
        </w:rPr>
        <w:t>收集第三次土地调查所需的相关基础资料。</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基础调查资料</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界线资料。包括国界线、陆地（含海岛）与海洋的分界线、行政区域界线等资料。</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遥感资料。近期航空、航天遥感图件和数据等资料。</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基础地理信息资料。收集整理地形图、DEM、地名等基础地理资料。</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权属调查资料</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农村集体土地所有权确权登记成果。</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城镇国有建设用地以外的国有土地使用权登记成果。</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《土地权属界线协议书》、《土地权属界线争议原由书》等调查成果。</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其他相关权属资料。</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地类调查资料</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包括原土地调查数据库、已有土地利用图、调查手簿、田坎系数测算原始资料等地类调查相关图件、表格、文本和数据库等。</w:t>
      </w:r>
    </w:p>
    <w:p>
      <w:pPr>
        <w:spacing w:before="156" w:beforeLines="50" w:after="156" w:afterLines="50" w:line="360" w:lineRule="auto"/>
        <w:ind w:firstLine="482" w:firstLineChars="200"/>
        <w:rPr>
          <w:rFonts w:hint="eastAsia" w:asciiTheme="minorEastAsia" w:hAnsiTheme="minorEastAsia" w:eastAsiaTheme="minorEastAsia" w:cstheme="minorEastAsia"/>
          <w:b/>
          <w:sz w:val="24"/>
          <w:szCs w:val="24"/>
          <w:shd w:val="clear" w:color="auto" w:fill="FFFFFF"/>
        </w:rPr>
      </w:pPr>
      <w:r>
        <w:rPr>
          <w:rFonts w:hint="eastAsia" w:asciiTheme="minorEastAsia" w:hAnsiTheme="minorEastAsia" w:eastAsiaTheme="minorEastAsia" w:cstheme="minorEastAsia"/>
          <w:b/>
          <w:sz w:val="24"/>
          <w:szCs w:val="24"/>
          <w:shd w:val="clear" w:color="auto" w:fill="FFFFFF"/>
        </w:rPr>
        <w:t>土地管理有关资料</w:t>
      </w:r>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包括基本农田、土地利用规划、建设用地审批、土地整治、土地执法等图件、数据和文字报告资料。</w:t>
      </w:r>
    </w:p>
    <w:bookmarkEnd w:id="204"/>
    <w:p>
      <w:pPr>
        <w:spacing w:before="156" w:beforeLines="50" w:after="156" w:afterLines="50" w:line="360" w:lineRule="auto"/>
        <w:ind w:firstLine="482" w:firstLineChars="200"/>
        <w:outlineLvl w:val="2"/>
        <w:rPr>
          <w:rFonts w:hint="eastAsia" w:asciiTheme="minorEastAsia" w:hAnsiTheme="minorEastAsia" w:eastAsiaTheme="minorEastAsia" w:cstheme="minorEastAsia"/>
          <w:b/>
          <w:sz w:val="24"/>
          <w:szCs w:val="24"/>
          <w:shd w:val="clear" w:color="auto" w:fill="FFFFFF"/>
        </w:rPr>
      </w:pPr>
      <w:bookmarkStart w:id="205" w:name="_Toc495269698"/>
      <w:bookmarkEnd w:id="205"/>
      <w:bookmarkStart w:id="206" w:name="_Toc496510339"/>
      <w:bookmarkEnd w:id="206"/>
      <w:bookmarkStart w:id="207" w:name="_Toc495270658"/>
      <w:bookmarkEnd w:id="207"/>
      <w:bookmarkStart w:id="208" w:name="_Toc496510242"/>
      <w:bookmarkEnd w:id="208"/>
      <w:bookmarkStart w:id="209" w:name="_Toc496510244"/>
      <w:bookmarkEnd w:id="209"/>
      <w:bookmarkStart w:id="210" w:name="_Toc496510243"/>
      <w:bookmarkEnd w:id="210"/>
      <w:bookmarkStart w:id="211" w:name="_Toc496510338"/>
      <w:bookmarkEnd w:id="211"/>
      <w:bookmarkStart w:id="212" w:name="_Toc495269697"/>
      <w:bookmarkEnd w:id="212"/>
      <w:bookmarkStart w:id="213" w:name="_Toc495269696"/>
      <w:bookmarkEnd w:id="213"/>
      <w:bookmarkStart w:id="214" w:name="_Toc496510340"/>
      <w:bookmarkEnd w:id="214"/>
      <w:bookmarkStart w:id="215" w:name="_Toc495270657"/>
      <w:bookmarkEnd w:id="215"/>
      <w:bookmarkStart w:id="216" w:name="_Toc495270656"/>
      <w:bookmarkEnd w:id="216"/>
      <w:bookmarkStart w:id="217" w:name="_Toc508966675"/>
      <w:bookmarkStart w:id="218" w:name="_Toc505609344"/>
      <w:bookmarkStart w:id="219" w:name="_Toc20363"/>
      <w:bookmarkStart w:id="220" w:name="_Toc507256696"/>
      <w:bookmarkStart w:id="221" w:name="_Toc495270659"/>
      <w:r>
        <w:rPr>
          <w:rFonts w:hint="eastAsia" w:asciiTheme="minorEastAsia" w:hAnsiTheme="minorEastAsia" w:eastAsiaTheme="minorEastAsia" w:cstheme="minorEastAsia"/>
          <w:b/>
          <w:sz w:val="24"/>
          <w:szCs w:val="24"/>
          <w:shd w:val="clear" w:color="auto" w:fill="FFFFFF"/>
          <w:lang w:val="en-US" w:eastAsia="zh-CN"/>
        </w:rPr>
        <w:t>4.5</w:t>
      </w:r>
      <w:r>
        <w:rPr>
          <w:rFonts w:hint="eastAsia" w:asciiTheme="minorEastAsia" w:hAnsiTheme="minorEastAsia" w:eastAsiaTheme="minorEastAsia" w:cstheme="minorEastAsia"/>
          <w:b/>
          <w:sz w:val="24"/>
          <w:szCs w:val="24"/>
          <w:shd w:val="clear" w:color="auto" w:fill="FFFFFF"/>
        </w:rPr>
        <w:t>仪器、工具和设备准备</w:t>
      </w:r>
      <w:bookmarkEnd w:id="217"/>
      <w:bookmarkEnd w:id="218"/>
      <w:bookmarkEnd w:id="219"/>
      <w:bookmarkEnd w:id="220"/>
      <w:bookmarkEnd w:id="221"/>
    </w:p>
    <w:p>
      <w:pPr>
        <w:spacing w:before="156" w:beforeLines="50" w:after="156" w:afterLines="50" w:line="360" w:lineRule="auto"/>
        <w:ind w:firstLine="480" w:firstLineChars="200"/>
        <w:rPr>
          <w:rFonts w:hint="eastAsia" w:asciiTheme="minorEastAsia" w:hAnsiTheme="minorEastAsia" w:eastAsiaTheme="minorEastAsia" w:cstheme="minorEastAsia"/>
          <w:sz w:val="24"/>
          <w:szCs w:val="24"/>
          <w:shd w:val="clear" w:color="auto" w:fill="FFFFFF"/>
        </w:rPr>
      </w:pPr>
      <w:r>
        <w:rPr>
          <w:rFonts w:hint="eastAsia" w:asciiTheme="minorEastAsia" w:hAnsiTheme="minorEastAsia" w:eastAsiaTheme="minorEastAsia" w:cstheme="minorEastAsia"/>
          <w:sz w:val="24"/>
          <w:szCs w:val="24"/>
          <w:shd w:val="clear" w:color="auto" w:fill="FFFFFF"/>
        </w:rPr>
        <w:t>包括GNSS定位测量设备、皮尺、计算机、平板电脑、移动通信设备、手持激光测距仪、全站仪、软件系统，以及交通工具等。</w:t>
      </w:r>
    </w:p>
    <w:p>
      <w:pPr>
        <w:pStyle w:val="11"/>
        <w:spacing w:line="360" w:lineRule="auto"/>
        <w:ind w:firstLine="480" w:firstLineChars="20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根据工程数量及工期要求，为满足施工需要，缩短工期，最大限度利用施工</w:t>
      </w:r>
      <w:r>
        <w:rPr>
          <w:rFonts w:hint="eastAsia" w:asciiTheme="minorEastAsia" w:hAnsiTheme="minorEastAsia" w:eastAsiaTheme="minorEastAsia" w:cstheme="minorEastAsia"/>
          <w:sz w:val="24"/>
          <w:szCs w:val="24"/>
          <w:lang w:eastAsia="zh-CN"/>
        </w:rPr>
        <w:t>仪器</w:t>
      </w:r>
      <w:r>
        <w:rPr>
          <w:rFonts w:hint="eastAsia" w:asciiTheme="minorEastAsia" w:hAnsiTheme="minorEastAsia" w:eastAsiaTheme="minorEastAsia" w:cstheme="minorEastAsia"/>
          <w:sz w:val="24"/>
          <w:szCs w:val="24"/>
        </w:rPr>
        <w:t>，以及不同施工阶段</w:t>
      </w:r>
      <w:r>
        <w:rPr>
          <w:rFonts w:hint="eastAsia" w:asciiTheme="minorEastAsia" w:hAnsiTheme="minorEastAsia" w:eastAsiaTheme="minorEastAsia" w:cstheme="minorEastAsia"/>
          <w:sz w:val="24"/>
          <w:szCs w:val="24"/>
          <w:lang w:eastAsia="zh-CN"/>
        </w:rPr>
        <w:t>设备</w:t>
      </w:r>
      <w:r>
        <w:rPr>
          <w:rFonts w:hint="eastAsia" w:asciiTheme="minorEastAsia" w:hAnsiTheme="minorEastAsia" w:eastAsiaTheme="minorEastAsia" w:cstheme="minorEastAsia"/>
          <w:sz w:val="24"/>
          <w:szCs w:val="24"/>
        </w:rPr>
        <w:t>的需求差别和有效衔接，主要配备如下：</w:t>
      </w:r>
    </w:p>
    <w:tbl>
      <w:tblPr>
        <w:tblStyle w:val="10"/>
        <w:tblW w:w="857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0"/>
        <w:gridCol w:w="1211"/>
        <w:gridCol w:w="931"/>
        <w:gridCol w:w="931"/>
        <w:gridCol w:w="1283"/>
        <w:gridCol w:w="1125"/>
        <w:gridCol w:w="1350"/>
        <w:gridCol w:w="10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25" w:hRule="atLeast"/>
          <w:jc w:val="center"/>
        </w:trPr>
        <w:tc>
          <w:tcPr>
            <w:tcW w:w="65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序号</w:t>
            </w:r>
          </w:p>
        </w:tc>
        <w:tc>
          <w:tcPr>
            <w:tcW w:w="1211"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设备名称</w:t>
            </w:r>
          </w:p>
        </w:tc>
        <w:tc>
          <w:tcPr>
            <w:tcW w:w="931"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型号</w:t>
            </w:r>
          </w:p>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规格</w:t>
            </w:r>
          </w:p>
        </w:tc>
        <w:tc>
          <w:tcPr>
            <w:tcW w:w="931"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数量</w:t>
            </w:r>
          </w:p>
        </w:tc>
        <w:tc>
          <w:tcPr>
            <w:tcW w:w="1283"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制造</w:t>
            </w:r>
          </w:p>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年份</w:t>
            </w:r>
          </w:p>
        </w:tc>
        <w:tc>
          <w:tcPr>
            <w:tcW w:w="1125"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生产</w:t>
            </w:r>
          </w:p>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能力</w:t>
            </w:r>
          </w:p>
        </w:tc>
        <w:tc>
          <w:tcPr>
            <w:tcW w:w="135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用于部位</w:t>
            </w:r>
          </w:p>
        </w:tc>
        <w:tc>
          <w:tcPr>
            <w:tcW w:w="109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45" w:hRule="atLeast"/>
          <w:jc w:val="center"/>
        </w:trPr>
        <w:tc>
          <w:tcPr>
            <w:tcW w:w="65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1</w:t>
            </w:r>
          </w:p>
        </w:tc>
        <w:tc>
          <w:tcPr>
            <w:tcW w:w="1211" w:type="dxa"/>
            <w:vAlign w:val="center"/>
          </w:tcPr>
          <w:p>
            <w:pPr>
              <w:spacing w:line="360" w:lineRule="auto"/>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GPS</w:t>
            </w:r>
          </w:p>
        </w:tc>
        <w:tc>
          <w:tcPr>
            <w:tcW w:w="931" w:type="dxa"/>
            <w:vAlign w:val="center"/>
          </w:tcPr>
          <w:p>
            <w:pPr>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A6/A8</w:t>
            </w:r>
          </w:p>
        </w:tc>
        <w:tc>
          <w:tcPr>
            <w:tcW w:w="931" w:type="dxa"/>
            <w:vAlign w:val="center"/>
          </w:tcPr>
          <w:p>
            <w:pPr>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16台</w:t>
            </w:r>
          </w:p>
        </w:tc>
        <w:tc>
          <w:tcPr>
            <w:tcW w:w="1283" w:type="dxa"/>
            <w:vAlign w:val="center"/>
          </w:tcPr>
          <w:p>
            <w:pPr>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2015</w:t>
            </w:r>
          </w:p>
        </w:tc>
        <w:tc>
          <w:tcPr>
            <w:tcW w:w="1125"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lang w:eastAsia="zh-CN"/>
              </w:rPr>
            </w:pPr>
            <w:r>
              <w:rPr>
                <w:rFonts w:hint="eastAsia" w:asciiTheme="minorEastAsia" w:hAnsiTheme="minorEastAsia" w:eastAsiaTheme="minorEastAsia" w:cstheme="minorEastAsia"/>
                <w:kern w:val="0"/>
                <w:sz w:val="24"/>
                <w:szCs w:val="24"/>
                <w:lang w:eastAsia="zh-CN"/>
              </w:rPr>
              <w:t>良好</w:t>
            </w:r>
          </w:p>
        </w:tc>
        <w:tc>
          <w:tcPr>
            <w:tcW w:w="1350" w:type="dxa"/>
            <w:vAlign w:val="center"/>
          </w:tcPr>
          <w:p>
            <w:pPr>
              <w:autoSpaceDE w:val="0"/>
              <w:autoSpaceDN w:val="0"/>
              <w:snapToGri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color w:val="000000"/>
                <w:sz w:val="24"/>
                <w:szCs w:val="24"/>
                <w:lang w:val="zh-CN" w:eastAsia="zh-CN"/>
              </w:rPr>
              <w:t>外业测量</w:t>
            </w:r>
          </w:p>
        </w:tc>
        <w:tc>
          <w:tcPr>
            <w:tcW w:w="109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lang w:eastAsia="zh-CN"/>
              </w:rPr>
            </w:pPr>
            <w:r>
              <w:rPr>
                <w:rFonts w:hint="eastAsia" w:asciiTheme="minorEastAsia" w:hAnsiTheme="minorEastAsia" w:eastAsiaTheme="minorEastAsia" w:cstheme="minorEastAsia"/>
                <w:kern w:val="0"/>
                <w:sz w:val="24"/>
                <w:szCs w:val="24"/>
                <w:lang w:eastAsia="zh-CN"/>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6" w:hRule="atLeast"/>
          <w:jc w:val="center"/>
        </w:trPr>
        <w:tc>
          <w:tcPr>
            <w:tcW w:w="65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2</w:t>
            </w:r>
          </w:p>
        </w:tc>
        <w:tc>
          <w:tcPr>
            <w:tcW w:w="1211" w:type="dxa"/>
            <w:vAlign w:val="center"/>
          </w:tcPr>
          <w:p>
            <w:pPr>
              <w:spacing w:line="360" w:lineRule="auto"/>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eastAsia="zh-CN"/>
              </w:rPr>
              <w:t>全站仪</w:t>
            </w:r>
          </w:p>
        </w:tc>
        <w:tc>
          <w:tcPr>
            <w:tcW w:w="931" w:type="dxa"/>
            <w:vAlign w:val="center"/>
          </w:tcPr>
          <w:p>
            <w:pPr>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HTS-220R</w:t>
            </w:r>
          </w:p>
        </w:tc>
        <w:tc>
          <w:tcPr>
            <w:tcW w:w="931" w:type="dxa"/>
            <w:vAlign w:val="center"/>
          </w:tcPr>
          <w:p>
            <w:pPr>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21台</w:t>
            </w:r>
          </w:p>
        </w:tc>
        <w:tc>
          <w:tcPr>
            <w:tcW w:w="1283" w:type="dxa"/>
            <w:vAlign w:val="center"/>
          </w:tcPr>
          <w:p>
            <w:pPr>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2015</w:t>
            </w:r>
          </w:p>
        </w:tc>
        <w:tc>
          <w:tcPr>
            <w:tcW w:w="1125"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良好</w:t>
            </w:r>
          </w:p>
        </w:tc>
        <w:tc>
          <w:tcPr>
            <w:tcW w:w="1350" w:type="dxa"/>
            <w:vAlign w:val="center"/>
          </w:tcPr>
          <w:p>
            <w:pPr>
              <w:autoSpaceDE w:val="0"/>
              <w:autoSpaceDN w:val="0"/>
              <w:snapToGri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color w:val="000000"/>
                <w:sz w:val="24"/>
                <w:szCs w:val="24"/>
                <w:lang w:val="zh-CN" w:eastAsia="zh-CN"/>
              </w:rPr>
              <w:t>外业测量</w:t>
            </w:r>
          </w:p>
        </w:tc>
        <w:tc>
          <w:tcPr>
            <w:tcW w:w="109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45" w:hRule="atLeast"/>
          <w:jc w:val="center"/>
        </w:trPr>
        <w:tc>
          <w:tcPr>
            <w:tcW w:w="65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3</w:t>
            </w:r>
          </w:p>
        </w:tc>
        <w:tc>
          <w:tcPr>
            <w:tcW w:w="121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GNSS</w:t>
            </w:r>
          </w:p>
        </w:tc>
        <w:tc>
          <w:tcPr>
            <w:tcW w:w="93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eastAsia="zh-CN"/>
              </w:rPr>
              <w:t>大地</w:t>
            </w:r>
          </w:p>
        </w:tc>
        <w:tc>
          <w:tcPr>
            <w:tcW w:w="93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7台</w:t>
            </w:r>
          </w:p>
        </w:tc>
        <w:tc>
          <w:tcPr>
            <w:tcW w:w="1283" w:type="dxa"/>
            <w:vAlign w:val="center"/>
          </w:tcPr>
          <w:p>
            <w:pPr>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2016</w:t>
            </w:r>
          </w:p>
        </w:tc>
        <w:tc>
          <w:tcPr>
            <w:tcW w:w="1125"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良好</w:t>
            </w:r>
          </w:p>
        </w:tc>
        <w:tc>
          <w:tcPr>
            <w:tcW w:w="1350" w:type="dxa"/>
            <w:vAlign w:val="center"/>
          </w:tcPr>
          <w:p>
            <w:pPr>
              <w:autoSpaceDE w:val="0"/>
              <w:autoSpaceDN w:val="0"/>
              <w:snapToGri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color w:val="000000"/>
                <w:sz w:val="24"/>
                <w:szCs w:val="24"/>
                <w:lang w:val="zh-CN" w:eastAsia="zh-CN"/>
              </w:rPr>
              <w:t>外业测量</w:t>
            </w:r>
          </w:p>
        </w:tc>
        <w:tc>
          <w:tcPr>
            <w:tcW w:w="109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6" w:hRule="atLeast"/>
          <w:jc w:val="center"/>
        </w:trPr>
        <w:tc>
          <w:tcPr>
            <w:tcW w:w="65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4</w:t>
            </w:r>
          </w:p>
        </w:tc>
        <w:tc>
          <w:tcPr>
            <w:tcW w:w="121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汽车</w:t>
            </w:r>
          </w:p>
        </w:tc>
        <w:tc>
          <w:tcPr>
            <w:tcW w:w="93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五菱荣光</w:t>
            </w:r>
          </w:p>
        </w:tc>
        <w:tc>
          <w:tcPr>
            <w:tcW w:w="93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2辆</w:t>
            </w:r>
          </w:p>
        </w:tc>
        <w:tc>
          <w:tcPr>
            <w:tcW w:w="1283" w:type="dxa"/>
            <w:vAlign w:val="center"/>
          </w:tcPr>
          <w:p>
            <w:pPr>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2015</w:t>
            </w:r>
          </w:p>
        </w:tc>
        <w:tc>
          <w:tcPr>
            <w:tcW w:w="1125"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良好</w:t>
            </w:r>
          </w:p>
        </w:tc>
        <w:tc>
          <w:tcPr>
            <w:tcW w:w="1350" w:type="dxa"/>
            <w:vAlign w:val="center"/>
          </w:tcPr>
          <w:p>
            <w:pPr>
              <w:autoSpaceDE w:val="0"/>
              <w:autoSpaceDN w:val="0"/>
              <w:snapToGri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color w:val="000000"/>
                <w:sz w:val="24"/>
                <w:szCs w:val="24"/>
                <w:lang w:val="zh-CN"/>
              </w:rPr>
              <w:t>运送人员、仪器和资料</w:t>
            </w:r>
          </w:p>
        </w:tc>
        <w:tc>
          <w:tcPr>
            <w:tcW w:w="109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45" w:hRule="atLeast"/>
          <w:jc w:val="center"/>
        </w:trPr>
        <w:tc>
          <w:tcPr>
            <w:tcW w:w="65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5</w:t>
            </w:r>
          </w:p>
        </w:tc>
        <w:tc>
          <w:tcPr>
            <w:tcW w:w="121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台式电脑</w:t>
            </w:r>
          </w:p>
        </w:tc>
        <w:tc>
          <w:tcPr>
            <w:tcW w:w="93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联想</w:t>
            </w:r>
          </w:p>
        </w:tc>
        <w:tc>
          <w:tcPr>
            <w:tcW w:w="93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10台</w:t>
            </w:r>
          </w:p>
        </w:tc>
        <w:tc>
          <w:tcPr>
            <w:tcW w:w="1283" w:type="dxa"/>
            <w:vAlign w:val="center"/>
          </w:tcPr>
          <w:p>
            <w:pPr>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2016</w:t>
            </w:r>
          </w:p>
        </w:tc>
        <w:tc>
          <w:tcPr>
            <w:tcW w:w="1125"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良好</w:t>
            </w:r>
          </w:p>
        </w:tc>
        <w:tc>
          <w:tcPr>
            <w:tcW w:w="1350" w:type="dxa"/>
            <w:vAlign w:val="center"/>
          </w:tcPr>
          <w:p>
            <w:pPr>
              <w:autoSpaceDE w:val="0"/>
              <w:autoSpaceDN w:val="0"/>
              <w:snapToGri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color w:val="000000"/>
                <w:sz w:val="24"/>
                <w:szCs w:val="24"/>
                <w:lang w:val="zh-CN"/>
              </w:rPr>
              <w:t>人员办公使用</w:t>
            </w:r>
          </w:p>
        </w:tc>
        <w:tc>
          <w:tcPr>
            <w:tcW w:w="109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6" w:hRule="atLeast"/>
          <w:jc w:val="center"/>
        </w:trPr>
        <w:tc>
          <w:tcPr>
            <w:tcW w:w="65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6</w:t>
            </w:r>
          </w:p>
        </w:tc>
        <w:tc>
          <w:tcPr>
            <w:tcW w:w="121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笔记本电脑</w:t>
            </w:r>
          </w:p>
        </w:tc>
        <w:tc>
          <w:tcPr>
            <w:tcW w:w="93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G460</w:t>
            </w:r>
          </w:p>
        </w:tc>
        <w:tc>
          <w:tcPr>
            <w:tcW w:w="93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20台</w:t>
            </w:r>
          </w:p>
        </w:tc>
        <w:tc>
          <w:tcPr>
            <w:tcW w:w="1283" w:type="dxa"/>
            <w:vAlign w:val="center"/>
          </w:tcPr>
          <w:p>
            <w:pPr>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2017</w:t>
            </w:r>
          </w:p>
        </w:tc>
        <w:tc>
          <w:tcPr>
            <w:tcW w:w="1125"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良好</w:t>
            </w:r>
          </w:p>
        </w:tc>
        <w:tc>
          <w:tcPr>
            <w:tcW w:w="1350" w:type="dxa"/>
            <w:vAlign w:val="center"/>
          </w:tcPr>
          <w:p>
            <w:pPr>
              <w:autoSpaceDE w:val="0"/>
              <w:autoSpaceDN w:val="0"/>
              <w:snapToGri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color w:val="000000"/>
                <w:sz w:val="24"/>
                <w:szCs w:val="24"/>
                <w:lang w:val="zh-CN"/>
              </w:rPr>
              <w:t>人员办公使用</w:t>
            </w:r>
          </w:p>
        </w:tc>
        <w:tc>
          <w:tcPr>
            <w:tcW w:w="109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45" w:hRule="atLeast"/>
          <w:jc w:val="center"/>
        </w:trPr>
        <w:tc>
          <w:tcPr>
            <w:tcW w:w="65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7</w:t>
            </w:r>
          </w:p>
        </w:tc>
        <w:tc>
          <w:tcPr>
            <w:tcW w:w="121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打印机</w:t>
            </w:r>
          </w:p>
        </w:tc>
        <w:tc>
          <w:tcPr>
            <w:tcW w:w="93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Hp1000p</w:t>
            </w:r>
          </w:p>
        </w:tc>
        <w:tc>
          <w:tcPr>
            <w:tcW w:w="93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2台</w:t>
            </w:r>
          </w:p>
        </w:tc>
        <w:tc>
          <w:tcPr>
            <w:tcW w:w="1283" w:type="dxa"/>
            <w:vAlign w:val="center"/>
          </w:tcPr>
          <w:p>
            <w:pPr>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2015</w:t>
            </w:r>
          </w:p>
        </w:tc>
        <w:tc>
          <w:tcPr>
            <w:tcW w:w="1125"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良好</w:t>
            </w:r>
          </w:p>
        </w:tc>
        <w:tc>
          <w:tcPr>
            <w:tcW w:w="1350" w:type="dxa"/>
            <w:vAlign w:val="center"/>
          </w:tcPr>
          <w:p>
            <w:pPr>
              <w:autoSpaceDE w:val="0"/>
              <w:autoSpaceDN w:val="0"/>
              <w:snapToGri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color w:val="000000"/>
                <w:sz w:val="24"/>
                <w:szCs w:val="24"/>
                <w:lang w:val="zh-CN"/>
              </w:rPr>
              <w:t>打印资料</w:t>
            </w:r>
          </w:p>
        </w:tc>
        <w:tc>
          <w:tcPr>
            <w:tcW w:w="109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6" w:hRule="atLeast"/>
          <w:jc w:val="center"/>
        </w:trPr>
        <w:tc>
          <w:tcPr>
            <w:tcW w:w="65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8</w:t>
            </w:r>
          </w:p>
        </w:tc>
        <w:tc>
          <w:tcPr>
            <w:tcW w:w="121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扫描仪</w:t>
            </w:r>
          </w:p>
        </w:tc>
        <w:tc>
          <w:tcPr>
            <w:tcW w:w="93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HD 3630</w:t>
            </w:r>
          </w:p>
        </w:tc>
        <w:tc>
          <w:tcPr>
            <w:tcW w:w="93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1台</w:t>
            </w:r>
          </w:p>
        </w:tc>
        <w:tc>
          <w:tcPr>
            <w:tcW w:w="1283" w:type="dxa"/>
            <w:vAlign w:val="center"/>
          </w:tcPr>
          <w:p>
            <w:pPr>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2016</w:t>
            </w:r>
          </w:p>
        </w:tc>
        <w:tc>
          <w:tcPr>
            <w:tcW w:w="1125"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良好</w:t>
            </w:r>
          </w:p>
        </w:tc>
        <w:tc>
          <w:tcPr>
            <w:tcW w:w="1350" w:type="dxa"/>
            <w:vAlign w:val="center"/>
          </w:tcPr>
          <w:p>
            <w:pPr>
              <w:autoSpaceDE w:val="0"/>
              <w:autoSpaceDN w:val="0"/>
              <w:snapToGri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color w:val="000000"/>
                <w:sz w:val="24"/>
                <w:szCs w:val="24"/>
                <w:lang w:val="zh-CN"/>
              </w:rPr>
              <w:t>扫描资料</w:t>
            </w:r>
          </w:p>
        </w:tc>
        <w:tc>
          <w:tcPr>
            <w:tcW w:w="109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45" w:hRule="atLeast"/>
          <w:jc w:val="center"/>
        </w:trPr>
        <w:tc>
          <w:tcPr>
            <w:tcW w:w="65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9</w:t>
            </w:r>
          </w:p>
        </w:tc>
        <w:tc>
          <w:tcPr>
            <w:tcW w:w="121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绘图仪</w:t>
            </w:r>
          </w:p>
        </w:tc>
        <w:tc>
          <w:tcPr>
            <w:tcW w:w="93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HP500</w:t>
            </w:r>
          </w:p>
        </w:tc>
        <w:tc>
          <w:tcPr>
            <w:tcW w:w="93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rPr>
              <w:t>1</w:t>
            </w:r>
            <w:r>
              <w:rPr>
                <w:rFonts w:hint="eastAsia" w:asciiTheme="minorEastAsia" w:hAnsiTheme="minorEastAsia" w:eastAsiaTheme="minorEastAsia" w:cstheme="minorEastAsia"/>
                <w:sz w:val="24"/>
                <w:szCs w:val="24"/>
                <w:lang w:val="en-US" w:eastAsia="zh-CN"/>
              </w:rPr>
              <w:t>台</w:t>
            </w:r>
          </w:p>
        </w:tc>
        <w:tc>
          <w:tcPr>
            <w:tcW w:w="1283" w:type="dxa"/>
            <w:vAlign w:val="center"/>
          </w:tcPr>
          <w:p>
            <w:pPr>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2017</w:t>
            </w:r>
          </w:p>
        </w:tc>
        <w:tc>
          <w:tcPr>
            <w:tcW w:w="1125"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良好</w:t>
            </w:r>
          </w:p>
        </w:tc>
        <w:tc>
          <w:tcPr>
            <w:tcW w:w="1350" w:type="dxa"/>
            <w:vAlign w:val="center"/>
          </w:tcPr>
          <w:p>
            <w:pPr>
              <w:autoSpaceDE w:val="0"/>
              <w:autoSpaceDN w:val="0"/>
              <w:snapToGri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color w:val="000000"/>
                <w:sz w:val="24"/>
                <w:szCs w:val="24"/>
                <w:lang w:val="zh-CN"/>
              </w:rPr>
              <w:t>绘制图件</w:t>
            </w:r>
          </w:p>
        </w:tc>
        <w:tc>
          <w:tcPr>
            <w:tcW w:w="109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76" w:hRule="atLeast"/>
          <w:jc w:val="center"/>
        </w:trPr>
        <w:tc>
          <w:tcPr>
            <w:tcW w:w="65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lang w:val="en-US" w:eastAsia="zh-CN"/>
              </w:rPr>
            </w:pPr>
            <w:r>
              <w:rPr>
                <w:rFonts w:hint="eastAsia" w:asciiTheme="minorEastAsia" w:hAnsiTheme="minorEastAsia" w:eastAsiaTheme="minorEastAsia" w:cstheme="minorEastAsia"/>
                <w:kern w:val="0"/>
                <w:sz w:val="24"/>
                <w:szCs w:val="24"/>
                <w:lang w:val="en-US" w:eastAsia="zh-CN"/>
              </w:rPr>
              <w:t>10</w:t>
            </w:r>
          </w:p>
        </w:tc>
        <w:tc>
          <w:tcPr>
            <w:tcW w:w="121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eastAsia="zh-CN"/>
              </w:rPr>
              <w:t>软件</w:t>
            </w:r>
          </w:p>
        </w:tc>
        <w:tc>
          <w:tcPr>
            <w:tcW w:w="93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eastAsia="zh-CN"/>
              </w:rPr>
              <w:t>南方</w:t>
            </w:r>
            <w:r>
              <w:rPr>
                <w:rFonts w:hint="eastAsia" w:asciiTheme="minorEastAsia" w:hAnsiTheme="minorEastAsia" w:eastAsiaTheme="minorEastAsia" w:cstheme="minorEastAsia"/>
                <w:sz w:val="24"/>
                <w:szCs w:val="24"/>
                <w:lang w:val="en-US" w:eastAsia="zh-CN"/>
              </w:rPr>
              <w:t>CASS9.0</w:t>
            </w:r>
          </w:p>
        </w:tc>
        <w:tc>
          <w:tcPr>
            <w:tcW w:w="931" w:type="dxa"/>
            <w:vAlign w:val="center"/>
          </w:tcPr>
          <w:p>
            <w:pPr>
              <w:pStyle w:val="12"/>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8</w:t>
            </w:r>
            <w:r>
              <w:rPr>
                <w:rFonts w:hint="eastAsia" w:asciiTheme="minorEastAsia" w:hAnsiTheme="minorEastAsia" w:eastAsiaTheme="minorEastAsia" w:cstheme="minorEastAsia"/>
                <w:sz w:val="24"/>
                <w:szCs w:val="24"/>
              </w:rPr>
              <w:t>套</w:t>
            </w:r>
          </w:p>
        </w:tc>
        <w:tc>
          <w:tcPr>
            <w:tcW w:w="1283" w:type="dxa"/>
            <w:vAlign w:val="center"/>
          </w:tcPr>
          <w:p>
            <w:pPr>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sz w:val="24"/>
                <w:szCs w:val="24"/>
                <w:lang w:val="en-US" w:eastAsia="zh-CN"/>
              </w:rPr>
              <w:t>2015</w:t>
            </w:r>
          </w:p>
        </w:tc>
        <w:tc>
          <w:tcPr>
            <w:tcW w:w="1125"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良好</w:t>
            </w:r>
          </w:p>
        </w:tc>
        <w:tc>
          <w:tcPr>
            <w:tcW w:w="1350" w:type="dxa"/>
            <w:vAlign w:val="center"/>
          </w:tcPr>
          <w:p>
            <w:pPr>
              <w:autoSpaceDE w:val="0"/>
              <w:autoSpaceDN w:val="0"/>
              <w:snapToGri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color w:val="000000"/>
                <w:sz w:val="24"/>
                <w:szCs w:val="24"/>
                <w:lang w:val="zh-CN"/>
              </w:rPr>
              <w:t>内业数据处理</w:t>
            </w:r>
          </w:p>
        </w:tc>
        <w:tc>
          <w:tcPr>
            <w:tcW w:w="1090" w:type="dxa"/>
            <w:vAlign w:val="center"/>
          </w:tcPr>
          <w:p>
            <w:pPr>
              <w:autoSpaceDE w:val="0"/>
              <w:autoSpaceDN w:val="0"/>
              <w:adjustRightInd w:val="0"/>
              <w:spacing w:line="360" w:lineRule="auto"/>
              <w:ind w:left="0" w:leftChars="0" w:firstLine="0" w:firstLineChars="0"/>
              <w:jc w:val="both"/>
              <w:rPr>
                <w:rFonts w:hint="eastAsia" w:asciiTheme="minorEastAsia" w:hAnsiTheme="minorEastAsia" w:eastAsiaTheme="minorEastAsia" w:cstheme="minorEastAsia"/>
                <w:kern w:val="0"/>
                <w:sz w:val="24"/>
                <w:szCs w:val="24"/>
              </w:rPr>
            </w:pPr>
            <w:r>
              <w:rPr>
                <w:rFonts w:hint="eastAsia" w:asciiTheme="minorEastAsia" w:hAnsiTheme="minorEastAsia" w:eastAsiaTheme="minorEastAsia" w:cstheme="minorEastAsia"/>
                <w:kern w:val="0"/>
                <w:sz w:val="24"/>
                <w:szCs w:val="24"/>
                <w:lang w:eastAsia="zh-CN"/>
              </w:rPr>
              <w:t>无</w:t>
            </w:r>
          </w:p>
        </w:tc>
      </w:tr>
    </w:tbl>
    <w:p>
      <w:pPr>
        <w:pStyle w:val="2"/>
        <w:spacing w:line="360" w:lineRule="auto"/>
        <w:rPr>
          <w:rFonts w:hint="eastAsia" w:asciiTheme="minorEastAsia" w:hAnsiTheme="minorEastAsia" w:eastAsiaTheme="minorEastAsia" w:cstheme="minorEastAsia"/>
          <w:sz w:val="24"/>
          <w:szCs w:val="24"/>
        </w:rPr>
      </w:pPr>
    </w:p>
    <w:p>
      <w:pPr>
        <w:pStyle w:val="13"/>
        <w:spacing w:line="360" w:lineRule="auto"/>
        <w:outlineLvl w:val="2"/>
        <w:rPr>
          <w:rFonts w:hint="eastAsia" w:asciiTheme="minorEastAsia" w:hAnsiTheme="minorEastAsia" w:eastAsiaTheme="minorEastAsia" w:cstheme="minorEastAsia"/>
          <w:b/>
          <w:bCs/>
          <w:sz w:val="24"/>
          <w:szCs w:val="24"/>
          <w:shd w:val="clear" w:color="auto" w:fill="FFFFFF"/>
          <w:lang w:val="en-US" w:eastAsia="zh-CN"/>
        </w:rPr>
      </w:pPr>
      <w:bookmarkStart w:id="222" w:name="_Toc22410"/>
      <w:r>
        <w:rPr>
          <w:rFonts w:hint="eastAsia" w:asciiTheme="minorEastAsia" w:hAnsiTheme="minorEastAsia" w:eastAsiaTheme="minorEastAsia" w:cstheme="minorEastAsia"/>
          <w:b/>
          <w:bCs/>
          <w:sz w:val="24"/>
          <w:szCs w:val="24"/>
          <w:shd w:val="clear" w:color="auto" w:fill="FFFFFF"/>
          <w:lang w:val="en-US" w:eastAsia="zh-CN"/>
        </w:rPr>
        <w:t>4.6土地调查步骤</w:t>
      </w:r>
      <w:bookmarkEnd w:id="222"/>
    </w:p>
    <w:p>
      <w:pPr>
        <w:spacing w:line="360" w:lineRule="auto"/>
        <w:ind w:left="0" w:leftChars="0" w:firstLine="0" w:firstLineChars="0"/>
        <w:outlineLvl w:val="3"/>
        <w:rPr>
          <w:rFonts w:hint="eastAsia" w:asciiTheme="minorEastAsia" w:hAnsiTheme="minorEastAsia" w:eastAsiaTheme="minorEastAsia" w:cstheme="minorEastAsia"/>
          <w:b/>
          <w:bCs/>
          <w:color w:val="auto"/>
          <w:sz w:val="24"/>
          <w:szCs w:val="24"/>
          <w:highlight w:val="none"/>
        </w:rPr>
      </w:pPr>
      <w:bookmarkStart w:id="223" w:name="_Toc26727"/>
      <w:r>
        <w:rPr>
          <w:rFonts w:hint="eastAsia" w:asciiTheme="minorEastAsia" w:hAnsiTheme="minorEastAsia" w:eastAsiaTheme="minorEastAsia" w:cstheme="minorEastAsia"/>
          <w:b/>
          <w:bCs/>
          <w:color w:val="auto"/>
          <w:sz w:val="24"/>
          <w:szCs w:val="24"/>
          <w:highlight w:val="none"/>
          <w:lang w:val="en-US" w:eastAsia="zh-CN"/>
        </w:rPr>
        <w:t>4.6.1</w:t>
      </w:r>
      <w:r>
        <w:rPr>
          <w:rFonts w:hint="eastAsia" w:asciiTheme="minorEastAsia" w:hAnsiTheme="minorEastAsia" w:eastAsiaTheme="minorEastAsia" w:cstheme="minorEastAsia"/>
          <w:b/>
          <w:bCs/>
          <w:color w:val="auto"/>
          <w:sz w:val="24"/>
          <w:szCs w:val="24"/>
          <w:highlight w:val="none"/>
        </w:rPr>
        <w:t>农村土地利用现状调查</w:t>
      </w:r>
      <w:bookmarkEnd w:id="223"/>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 数学基础</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采用2000国家大地坐标系，1985国家高程基准。</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（2）土地利用现状分类</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采用《第三次全国土地调查工作分类》（以下简称《工作分类》）。</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（3）调查界线及控制面积的确定</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调查界线继承最新年度土地变更调查界线。各级调查界线如果发生变化需要调整，必须依据相关主管部门的批准文件，报国土资源部批准后方调整。</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①调查界线的调整</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调查界线使用各主管部门确定的界线。市、县级调查界线，采用各级民政部门行政区划调整相关文件调整，报国土资源部审核备案；乡（镇）级调查界线，依据县（区、市）人民政府相关文件调整。市、县级调查界线由省级负责完成，乡（镇）级调查界线，由县级负责完成。</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②调查界线制作及控制面积确定</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省级土地调查办公室组织依据国家下发的省级控制界线和控制面积制作数字化县级调查界线图，并制作全省到县（区、市）的省级《图幅理论面积与控制面积接合图表》，依此计算各县级调查区域控制面积。</w:t>
      </w:r>
    </w:p>
    <w:p>
      <w:pPr>
        <w:spacing w:line="360" w:lineRule="auto"/>
        <w:ind w:firstLine="480"/>
        <w:rPr>
          <w:rFonts w:hint="eastAsia" w:asciiTheme="minorEastAsia" w:hAnsiTheme="minorEastAsia" w:eastAsiaTheme="minorEastAsia" w:cstheme="minorEastAsia"/>
          <w:color w:val="auto"/>
          <w:sz w:val="24"/>
          <w:szCs w:val="24"/>
          <w:highlight w:val="none"/>
        </w:rPr>
      </w:pPr>
      <w:bookmarkStart w:id="224" w:name="_Toc185915256"/>
      <w:bookmarkEnd w:id="224"/>
      <w:r>
        <w:rPr>
          <w:rFonts w:hint="eastAsia" w:asciiTheme="minorEastAsia" w:hAnsiTheme="minorEastAsia" w:eastAsiaTheme="minorEastAsia" w:cstheme="minorEastAsia"/>
          <w:color w:val="auto"/>
          <w:sz w:val="24"/>
          <w:szCs w:val="24"/>
          <w:highlight w:val="none"/>
        </w:rPr>
        <w:t>（4）调查底图的应用与管理</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各级国土资源部门要加强对遥感成果的管理，做好资料的接收、分发、保管、保密等工作。</w:t>
      </w:r>
    </w:p>
    <w:p>
      <w:pPr>
        <w:spacing w:line="360" w:lineRule="auto"/>
        <w:ind w:firstLine="480"/>
        <w:rPr>
          <w:rFonts w:hint="eastAsia" w:asciiTheme="minorEastAsia" w:hAnsiTheme="minorEastAsia" w:eastAsiaTheme="minorEastAsia" w:cstheme="minorEastAsia"/>
          <w:color w:val="auto"/>
          <w:sz w:val="24"/>
          <w:szCs w:val="24"/>
          <w:highlight w:val="none"/>
        </w:rPr>
      </w:pPr>
      <w:bookmarkStart w:id="225" w:name="_Toc472242226"/>
      <w:bookmarkEnd w:id="225"/>
      <w:r>
        <w:rPr>
          <w:rFonts w:hint="eastAsia" w:asciiTheme="minorEastAsia" w:hAnsiTheme="minorEastAsia" w:eastAsiaTheme="minorEastAsia" w:cstheme="minorEastAsia"/>
          <w:color w:val="auto"/>
          <w:sz w:val="24"/>
          <w:szCs w:val="24"/>
          <w:highlight w:val="none"/>
        </w:rPr>
        <w:t>（5）土地利用现状调查</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按照第三次全国土地调查工作分类，对外业调查核实图斑逐一进行地类认定。土地利用现状调查主要采用综合调绘法。综合调绘法是内业判读、外业调查补测和内业建库相结合的调绘方法。地方依据国家下发的最新高精度遥感影像和提取的全要素变化图斑，开展外业实地调查核实和举证，对影像未能反映的地物进行补测；最后依据外业调查结果，进行内业矢量化及建库工作。</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①调查内容与精度</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A. 实地面积超过150平方米的建设用地和实地超过200平方米设施农用地。</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B. 实地面积超过400平方米的农用地（不含设施农用地）。</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 xml:space="preserve"> C. 实地面积超过600平方米的其他地类。</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②地类调绘及补测</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县（市、区）以国家下发的调查底图为基础，套合土地调查数据库，叠加相关调查数据，制作外业调查数据。将数据导入带定位功能的移动外业调查设备或打印外业调查纸图，辅助开展外业实地调查工作，调查图斑地类、调绘图斑边界，详细记录图斑编号、地类编码和权属单位等属性信息。</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依据影像和实地现状进行图斑综合调绘及补测，对实地地类、边界与基础库或内业判读信息一致的，无需重新调绘，直接标记，记录相关调查信息；对实地地类、边界与基础库或内业判读信息不一致的，应进行实地调绘。对影像未能反映的新增地物应进行补测。对于我省在第二次土地调查期间因为林地覆盖等原因漏调的村庄，本次需补测上图。</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补测主要采用简易补测法和仪器补测法，为了提高调查的效率和成果精度，有条件的地区采用GPS仪器补测法，无条件的地区可采用简易补测法。补测平面位置精度要求，补测的地物点相对邻近明显地物点距离中误差，平地、丘陵地不得大于2.5m，山地不得大于5m，最大误差不超过2倍中误差。</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③变化图斑调查举证。</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按照以实地现状认定地类的原则，对国家内业提取的变化图斑进行调查核实，采用内外业相结合的方法对其他变化图斑进行调查。为保证实地现状与调查成果的一致性，省级将组织专业技术队伍，对地方调查成果进行核查。根据工作要求，地方须对重点变化图斑进行互联网+举证，省级将以图斑的遥感影像特征和实地举证照片为依据进行核查，核查通过后上报国土资源部。需要举证的图斑:</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A. 无论是否按照国家提取地类和范围调查，以下重点地类的变化必须实地拍照举证。</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a. 建设用地变化图斑</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相对原数据库新增的建设用地图斑。</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b. 耕地变化图斑</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包括新增耕地、耕地内部变化图斑（原数据库地类为水田或水浇地，调查地类为旱地或原数据库地类为旱地，调查地类为水田或水浇地的）。</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c. 农用地变化为未利用地图斑</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包括原数据库地类为农用地，调查地类为未利用地的图斑。</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B. 对地方未按国家内业提取变化图斑地类和范围变化的所有图斑，需要进行举证。</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C. 对国家未提取变化图斑的区域，图斑地类与原数据库地类不一致的地类图斑，原则上需要进行举证。</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图斑举证的要求:使用带卫星定位功能和方向传感器的手机，利用国家统一下发的互联网+举证软件，拍摄包含图斑实地GPS坐标、拍摄方位角、拍摄时间、实地照片及举证说明等综合信息的加密举证数据包，报送至国家举证平台，国家将以图斑的遥感影像特征和实地举证照片为依据进行核查。举证照片包括图斑全景照片、局部近景照片、利用特征照片三类，对未提交举证照片或提交的举证照片不能说明图斑变化情况的，国家核查将认定为不通过图斑。</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（6）关于可调整地类</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可调整地类（按照《关于在第二次全国土地调查中增加可调整地类的通知》（国土调查办发〔2009〕9号）认定）应继承最新土地调查数据库中的可调整地类；本次调查不再新增可调整地类；对永久基本农田范围内的可调整地类应按实地现状调查，不再作为可调整地类（即去掉K属性）。</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（7）关于道路调查</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对于在农村范围内宽度≥2. 0米、≤8米的道路，调查为农村道路或公路用地；对于大于8米的道路，须调查为公路。道路被权属界线分割的，按不同图斑上图。用地范围不确定的在建道路，暂不调查。</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（8）关于图斑标注</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①耕地标注</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A. 耕地实际利用情况调查标注</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按三次调查工作分类的要求调查为耕地的图斑，按实际利用情况标注种植属性。包括粮食、棉花、蔬菜、苗圃、花卉、果树、林木、水塘、草皮、休耕、撂荒和其他等属性。</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B. 耕地细化调查标注</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对于属于永久基本农田的耕地在耕地图斑中标注基本农田属性。</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对永久基本农田范围以外的耕地图斑，参考相关部门的有关资料，根据耕地的位置和立地条件，开展细化调查，并标注相应属性。包括河道内或滩涂上耕地、湖区或滩涂上耕地、草原中的耕地、林区内的耕地、荒漠化沙化耕地、石漠化耕地、污染耕地及其他耕地等。</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②建设用地标注</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建设用地调查图斑属性标注相应的城市、建制镇、村庄、采矿用地、风景名胜和特殊用地、各类独立工业用地的地类编码。</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③设施农用地《工作分类》要求细化标注。</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④草地细化调查标注</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在县级建库时,根据国家下发的林业部门相关资料，对灌木覆盖度大于30%小于40%的草地图斑，标注为灌丛草地属性；对于草覆盖度大于5%小于10%的草地图斑，标注为荒草地。</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（9）关于地类认定程序</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对存在相关部门管理需求交叉的耕地、园地、林地、草地、养殖水面等地类现状、质量状况和管理属性的多重标注。</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（10）关于线状地物交叉</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对于线状地物交叉的，上部的线状地物连续表示，下压的线状地物断在交叉处。线状地物穿过隧道时，线状地物断在隧道两端。</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（11）关于权属调查</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进一步完善集体土地所有权调查成果，并将城镇国有建设用地范围外已完成的集体土地所有权确权登记和国有土地使用权登记成果落实在土地调查成果中。</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（12）关于批而未用建设用地调查</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现有数据库中的批而未用图斑及当年新增的批而未用图斑，按实地现状进行调查。批而未用土地调查由国家在县级土地调查成果的基础上统一组织完成，形成批而未用图层下发各地。</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（13）关于设施农用地细化调查</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依据《工作分类》对设施农用地的细化分类要求，按照设施畜禽养殖用地、设施种植用地、设施水产养殖用地、辅助生产设施、临时存放场所、晾晒场和其他设施农用地等类型，查清辖区内所有设施农用地的实际情况。</w:t>
      </w:r>
    </w:p>
    <w:p>
      <w:pPr>
        <w:spacing w:line="360" w:lineRule="auto"/>
        <w:ind w:left="0" w:leftChars="0" w:firstLine="0" w:firstLineChars="0"/>
        <w:outlineLvl w:val="3"/>
        <w:rPr>
          <w:rFonts w:hint="eastAsia" w:asciiTheme="minorEastAsia" w:hAnsiTheme="minorEastAsia" w:eastAsiaTheme="minorEastAsia" w:cstheme="minorEastAsia"/>
          <w:b/>
          <w:bCs/>
          <w:color w:val="auto"/>
          <w:sz w:val="24"/>
          <w:szCs w:val="24"/>
          <w:highlight w:val="none"/>
        </w:rPr>
      </w:pPr>
      <w:bookmarkStart w:id="226" w:name="_Toc472242264"/>
      <w:bookmarkEnd w:id="226"/>
      <w:bookmarkStart w:id="227" w:name="_Toc162835570"/>
      <w:bookmarkStart w:id="228" w:name="_Toc7024"/>
      <w:r>
        <w:rPr>
          <w:rFonts w:hint="eastAsia" w:asciiTheme="minorEastAsia" w:hAnsiTheme="minorEastAsia" w:eastAsiaTheme="minorEastAsia" w:cstheme="minorEastAsia"/>
          <w:b/>
          <w:bCs/>
          <w:color w:val="auto"/>
          <w:sz w:val="24"/>
          <w:szCs w:val="24"/>
          <w:highlight w:val="none"/>
          <w:lang w:val="en-US" w:eastAsia="zh-CN"/>
        </w:rPr>
        <w:t>4.6.2</w:t>
      </w:r>
      <w:r>
        <w:rPr>
          <w:rFonts w:hint="eastAsia" w:asciiTheme="minorEastAsia" w:hAnsiTheme="minorEastAsia" w:eastAsiaTheme="minorEastAsia" w:cstheme="minorEastAsia"/>
          <w:b/>
          <w:bCs/>
          <w:color w:val="auto"/>
          <w:sz w:val="24"/>
          <w:szCs w:val="24"/>
          <w:highlight w:val="none"/>
        </w:rPr>
        <w:t>城镇村土地利用现状调查</w:t>
      </w:r>
      <w:bookmarkEnd w:id="227"/>
      <w:bookmarkEnd w:id="228"/>
      <w:bookmarkStart w:id="229" w:name="_Toc162835571"/>
      <w:bookmarkEnd w:id="229"/>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城镇村内部土地利用现状调查。对城市、建制镇、村庄内的土地利用现状开展大比例尺调查。推进城镇、村庄权籍调查，充分利用地籍调查和不动产统一登记成果，查清城镇内部商服用地、工业、仓储、住宅，公共管理与公共服务用地和特殊用地等土地利用状况。</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（1）资料收集</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城镇地籍调查数据库、城市总体规划数据库、大比例尺地形数字线画图（DLG）</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w:t>
      </w:r>
      <w:r>
        <w:rPr>
          <w:rFonts w:hint="eastAsia" w:asciiTheme="minorEastAsia" w:hAnsiTheme="minorEastAsia" w:eastAsiaTheme="minorEastAsia" w:cstheme="minorEastAsia"/>
          <w:color w:val="auto"/>
          <w:sz w:val="24"/>
          <w:szCs w:val="24"/>
          <w:highlight w:val="none"/>
          <w:lang w:val="en-US" w:eastAsia="zh-CN"/>
        </w:rPr>
        <w:t>2</w:t>
      </w:r>
      <w:r>
        <w:rPr>
          <w:rFonts w:hint="eastAsia" w:asciiTheme="minorEastAsia" w:hAnsiTheme="minorEastAsia" w:eastAsiaTheme="minorEastAsia" w:cstheme="minorEastAsia"/>
          <w:color w:val="auto"/>
          <w:sz w:val="24"/>
          <w:szCs w:val="24"/>
          <w:highlight w:val="none"/>
        </w:rPr>
        <w:t>）土地利用现状调查</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城镇、村庄土地利用现状调查工作，应以城镇和村庄地籍调查数据库成果为基础开展，将城镇和村庄地籍调查宗地成果同类合并，按照三次调查土地调查工作分类归并地类，被道路、水系等线状地物分割的同类宗地应分割为不同的图斑，道路、水系、绿地等应单独划分图斑，对有多种用途的宗地应按照主要用途调查，对于超大型宗地应按照宗地内用途划分为不同图斑。</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对城镇和村庄地籍调查数据库未覆盖和城市扩张等产生的新建区域，可参考最新的影像图与近期规划图、地形图，由当地国土资源部门组织街道办事处、土管所、及村委会相关人员配合建库单位技术人员，采用室内勾绘和实地核实相结合的方法，确定城镇、村庄内部的每一块地的土地利用类型。</w:t>
      </w:r>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城镇土地利用现状调查原则上按照三次土地调查工作分类汇总。</w:t>
      </w:r>
    </w:p>
    <w:p>
      <w:pPr>
        <w:spacing w:line="360" w:lineRule="auto"/>
        <w:outlineLvl w:val="3"/>
        <w:rPr>
          <w:rFonts w:hint="eastAsia" w:asciiTheme="minorEastAsia" w:hAnsiTheme="minorEastAsia" w:eastAsiaTheme="minorEastAsia" w:cstheme="minorEastAsia"/>
          <w:b/>
          <w:bCs/>
          <w:color w:val="auto"/>
          <w:sz w:val="24"/>
          <w:szCs w:val="24"/>
          <w:highlight w:val="none"/>
        </w:rPr>
      </w:pPr>
      <w:bookmarkStart w:id="230" w:name="_Toc472242269"/>
      <w:bookmarkEnd w:id="230"/>
      <w:bookmarkStart w:id="231" w:name="_Toc28898"/>
      <w:bookmarkStart w:id="232" w:name="_Toc171700083"/>
      <w:r>
        <w:rPr>
          <w:rFonts w:hint="eastAsia" w:asciiTheme="minorEastAsia" w:hAnsiTheme="minorEastAsia" w:eastAsiaTheme="minorEastAsia" w:cstheme="minorEastAsia"/>
          <w:b/>
          <w:bCs/>
          <w:color w:val="auto"/>
          <w:sz w:val="24"/>
          <w:szCs w:val="24"/>
          <w:highlight w:val="none"/>
          <w:lang w:val="en-US" w:eastAsia="zh-CN"/>
        </w:rPr>
        <w:t>4.6.3</w:t>
      </w:r>
      <w:r>
        <w:rPr>
          <w:rFonts w:hint="eastAsia" w:asciiTheme="minorEastAsia" w:hAnsiTheme="minorEastAsia" w:eastAsiaTheme="minorEastAsia" w:cstheme="minorEastAsia"/>
          <w:b/>
          <w:bCs/>
          <w:color w:val="auto"/>
          <w:sz w:val="24"/>
          <w:szCs w:val="24"/>
          <w:highlight w:val="none"/>
        </w:rPr>
        <w:t>数据接边</w:t>
      </w:r>
      <w:bookmarkEnd w:id="231"/>
      <w:bookmarkEnd w:id="232"/>
    </w:p>
    <w:p>
      <w:pPr>
        <w:spacing w:line="360" w:lineRule="auto"/>
        <w:ind w:firstLine="480"/>
        <w:rPr>
          <w:rFonts w:hint="eastAsia" w:asciiTheme="minorEastAsia" w:hAnsiTheme="minorEastAsia" w:eastAsiaTheme="minorEastAsia" w:cstheme="minorEastAsia"/>
          <w:color w:val="auto"/>
          <w:sz w:val="24"/>
          <w:szCs w:val="24"/>
          <w:highlight w:val="none"/>
        </w:rPr>
      </w:pPr>
      <w:r>
        <w:rPr>
          <w:rFonts w:hint="eastAsia" w:asciiTheme="minorEastAsia" w:hAnsiTheme="minorEastAsia" w:eastAsiaTheme="minorEastAsia" w:cstheme="minorEastAsia"/>
          <w:color w:val="auto"/>
          <w:sz w:val="24"/>
          <w:szCs w:val="24"/>
          <w:highlight w:val="none"/>
        </w:rPr>
        <w:t>完成相邻行政区之间的地类、权属等接边工作，要求边界两边数据建立拓扑结构，各要素之间拓扑关系正确。</w:t>
      </w:r>
    </w:p>
    <w:p>
      <w:pPr>
        <w:spacing w:line="360" w:lineRule="auto"/>
        <w:ind w:firstLine="482"/>
        <w:outlineLvl w:val="3"/>
        <w:rPr>
          <w:rFonts w:hint="eastAsia" w:asciiTheme="minorEastAsia" w:hAnsiTheme="minorEastAsia" w:eastAsiaTheme="minorEastAsia" w:cstheme="minorEastAsia"/>
          <w:b/>
          <w:bCs/>
          <w:color w:val="auto"/>
          <w:sz w:val="24"/>
          <w:szCs w:val="24"/>
          <w:highlight w:val="none"/>
        </w:rPr>
      </w:pPr>
      <w:bookmarkStart w:id="233" w:name="_Toc472242273"/>
      <w:bookmarkEnd w:id="233"/>
      <w:bookmarkStart w:id="234" w:name="_Toc162835575"/>
      <w:bookmarkEnd w:id="234"/>
      <w:bookmarkStart w:id="235" w:name="_Toc171940316"/>
      <w:bookmarkStart w:id="236" w:name="_Toc1687"/>
      <w:bookmarkStart w:id="241" w:name="_GoBack"/>
      <w:bookmarkEnd w:id="241"/>
      <w:r>
        <w:rPr>
          <w:rFonts w:hint="eastAsia" w:asciiTheme="minorEastAsia" w:hAnsiTheme="minorEastAsia" w:eastAsiaTheme="minorEastAsia" w:cstheme="minorEastAsia"/>
          <w:b/>
          <w:bCs/>
          <w:color w:val="auto"/>
          <w:sz w:val="24"/>
          <w:szCs w:val="24"/>
          <w:highlight w:val="none"/>
          <w:lang w:val="en-US" w:eastAsia="zh-CN"/>
        </w:rPr>
        <w:t>4.6.4</w:t>
      </w:r>
      <w:r>
        <w:rPr>
          <w:rFonts w:hint="eastAsia" w:asciiTheme="minorEastAsia" w:hAnsiTheme="minorEastAsia" w:eastAsiaTheme="minorEastAsia" w:cstheme="minorEastAsia"/>
          <w:b/>
          <w:bCs/>
          <w:color w:val="auto"/>
          <w:sz w:val="24"/>
          <w:szCs w:val="24"/>
          <w:highlight w:val="none"/>
        </w:rPr>
        <w:t>土地调查数据库建设</w:t>
      </w:r>
      <w:bookmarkEnd w:id="235"/>
      <w:bookmarkEnd w:id="236"/>
    </w:p>
    <w:p>
      <w:pPr>
        <w:spacing w:line="360" w:lineRule="auto"/>
        <w:ind w:firstLine="480"/>
        <w:rPr>
          <w:rFonts w:hint="eastAsia" w:asciiTheme="minorEastAsia" w:hAnsiTheme="minorEastAsia" w:eastAsiaTheme="minorEastAsia" w:cstheme="minorEastAsia"/>
          <w:color w:val="auto"/>
          <w:sz w:val="24"/>
          <w:szCs w:val="24"/>
          <w:highlight w:val="none"/>
        </w:rPr>
      </w:pPr>
      <w:bookmarkStart w:id="237" w:name="_Toc472242274"/>
      <w:bookmarkEnd w:id="237"/>
      <w:bookmarkStart w:id="238" w:name="_Toc171940317"/>
      <w:r>
        <w:rPr>
          <w:rFonts w:hint="eastAsia" w:asciiTheme="minorEastAsia" w:hAnsiTheme="minorEastAsia" w:eastAsiaTheme="minorEastAsia" w:cstheme="minorEastAsia"/>
          <w:color w:val="auto"/>
          <w:sz w:val="24"/>
          <w:szCs w:val="24"/>
          <w:highlight w:val="none"/>
        </w:rPr>
        <w:t>三次调查数据库建设采用国家规范标准、地方分级建设、成果统一汇交的模式开展。</w:t>
      </w:r>
      <w:bookmarkEnd w:id="238"/>
      <w:bookmarkStart w:id="239" w:name="_Toc171940319"/>
      <w:bookmarkEnd w:id="239"/>
    </w:p>
    <w:p>
      <w:pPr>
        <w:spacing w:line="360" w:lineRule="auto"/>
        <w:ind w:firstLine="480"/>
        <w:rPr>
          <w:rFonts w:hint="eastAsia" w:asciiTheme="minorEastAsia" w:hAnsiTheme="minorEastAsia" w:eastAsiaTheme="minorEastAsia" w:cstheme="minorEastAsia"/>
          <w:b/>
          <w:bCs/>
          <w:color w:val="auto"/>
          <w:sz w:val="24"/>
          <w:szCs w:val="24"/>
          <w:highlight w:val="none"/>
          <w:lang w:val="en-US" w:eastAsia="zh-CN"/>
        </w:rPr>
      </w:pPr>
      <w:r>
        <w:rPr>
          <w:rFonts w:hint="eastAsia" w:asciiTheme="minorEastAsia" w:hAnsiTheme="minorEastAsia" w:eastAsiaTheme="minorEastAsia" w:cstheme="minorEastAsia"/>
          <w:color w:val="auto"/>
          <w:sz w:val="24"/>
          <w:szCs w:val="24"/>
          <w:highlight w:val="none"/>
        </w:rPr>
        <w:t>县级国土资源管理部门负责组织开展县级土地调查数据库与管理系统建设工作。数据库主要内容包括：基础地理信息、土地利用数据、土地权属数据、永久基本农田数据、专项调查数据等矢量数据，数字高程模型（DEM）数据、DOM数据、扫描影像图数据等栅格数据和元数据。县级</w:t>
      </w:r>
      <w:bookmarkStart w:id="240" w:name="_Toc171700102"/>
      <w:r>
        <w:rPr>
          <w:rFonts w:hint="eastAsia" w:asciiTheme="minorEastAsia" w:hAnsiTheme="minorEastAsia" w:eastAsiaTheme="minorEastAsia" w:cstheme="minorEastAsia"/>
          <w:color w:val="auto"/>
          <w:sz w:val="24"/>
          <w:szCs w:val="24"/>
          <w:highlight w:val="none"/>
        </w:rPr>
        <w:t>数据库建设主要步骤包括数据库建设方案设计、基础数据准备与处理、图形和属性数据采集、数据接边后数据处理、拓扑关系构建、数据检查与入库等。县级土地调查数据库建设应严格遵守国家要求的质量标准，支持三次调查成果公开格式，数据库建设完成后，按照数据汇交程序逐级上交数据成果，并通过国家质量检查。县级土地调查数据库管理系统，</w:t>
      </w:r>
      <w:bookmarkEnd w:id="240"/>
      <w:r>
        <w:rPr>
          <w:rFonts w:hint="eastAsia" w:asciiTheme="minorEastAsia" w:hAnsiTheme="minorEastAsia" w:eastAsiaTheme="minorEastAsia" w:cstheme="minorEastAsia"/>
          <w:color w:val="auto"/>
          <w:sz w:val="24"/>
          <w:szCs w:val="24"/>
          <w:highlight w:val="none"/>
        </w:rPr>
        <w:t>应满足下列要求：能按照三次调查要求开展数据采集与入库工作，支持三次调查规定的数据交换格式；能对土地调查数据进行检查，并具有增、删、改等编辑功能；满足地方日常土地管理业务对土地调查数据的管理需求；数学基础、面积量算方法、数据统计表模版和图件输出格式等符合三次调查要求，支持土地调查数据更新。</w:t>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8"/>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 w:name="楷体_GB2312">
    <w:panose1 w:val="02010609030101010101"/>
    <w:charset w:val="86"/>
    <w:family w:val="modern"/>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right="360"/>
      <w:rPr>
        <w:rFonts w:ascii="宋体" w:hAnsi="宋体"/>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F009E44"/>
    <w:multiLevelType w:val="singleLevel"/>
    <w:tmpl w:val="AF009E44"/>
    <w:lvl w:ilvl="0" w:tentative="0">
      <w:start w:val="1"/>
      <w:numFmt w:val="decimal"/>
      <w:suff w:val="nothing"/>
      <w:lvlText w:val="%1、"/>
      <w:lvlJc w:val="left"/>
    </w:lvl>
  </w:abstractNum>
  <w:abstractNum w:abstractNumId="1">
    <w:nsid w:val="CEF05754"/>
    <w:multiLevelType w:val="singleLevel"/>
    <w:tmpl w:val="CEF05754"/>
    <w:lvl w:ilvl="0" w:tentative="0">
      <w:start w:val="1"/>
      <w:numFmt w:val="decimalEnclosedCircleChinese"/>
      <w:suff w:val="nothing"/>
      <w:lvlText w:val="%1　"/>
      <w:lvlJc w:val="left"/>
      <w:pPr>
        <w:ind w:left="0" w:firstLine="400"/>
      </w:pPr>
      <w:rPr>
        <w:rFonts w:hint="eastAsia"/>
      </w:rPr>
    </w:lvl>
  </w:abstractNum>
  <w:abstractNum w:abstractNumId="2">
    <w:nsid w:val="DD56C1CB"/>
    <w:multiLevelType w:val="singleLevel"/>
    <w:tmpl w:val="DD56C1CB"/>
    <w:lvl w:ilvl="0" w:tentative="0">
      <w:start w:val="1"/>
      <w:numFmt w:val="decimalEnclosedCircleChinese"/>
      <w:suff w:val="nothing"/>
      <w:lvlText w:val="%1　"/>
      <w:lvlJc w:val="left"/>
      <w:pPr>
        <w:ind w:left="0" w:firstLine="400"/>
      </w:pPr>
      <w:rPr>
        <w:rFonts w:hint="eastAsia"/>
      </w:rPr>
    </w:lvl>
  </w:abstractNum>
  <w:abstractNum w:abstractNumId="3">
    <w:nsid w:val="1B85A263"/>
    <w:multiLevelType w:val="singleLevel"/>
    <w:tmpl w:val="1B85A263"/>
    <w:lvl w:ilvl="0" w:tentative="0">
      <w:start w:val="1"/>
      <w:numFmt w:val="decimalEnclosedCircleChinese"/>
      <w:suff w:val="nothing"/>
      <w:lvlText w:val="%1　"/>
      <w:lvlJc w:val="left"/>
      <w:pPr>
        <w:ind w:left="0" w:firstLine="400"/>
      </w:pPr>
      <w:rPr>
        <w:rFonts w:hint="eastAsia"/>
      </w:rPr>
    </w:lvl>
  </w:abstractNum>
  <w:abstractNum w:abstractNumId="4">
    <w:nsid w:val="34FC02C9"/>
    <w:multiLevelType w:val="singleLevel"/>
    <w:tmpl w:val="34FC02C9"/>
    <w:lvl w:ilvl="0" w:tentative="0">
      <w:start w:val="1"/>
      <w:numFmt w:val="decimalEnclosedCircleChinese"/>
      <w:suff w:val="nothing"/>
      <w:lvlText w:val="%1　"/>
      <w:lvlJc w:val="left"/>
      <w:pPr>
        <w:ind w:left="0" w:firstLine="400"/>
      </w:pPr>
      <w:rPr>
        <w:rFonts w:hint="eastAsia"/>
      </w:rPr>
    </w:lvl>
  </w:abstractNum>
  <w:abstractNum w:abstractNumId="5">
    <w:nsid w:val="627745B0"/>
    <w:multiLevelType w:val="multilevel"/>
    <w:tmpl w:val="627745B0"/>
    <w:lvl w:ilvl="0" w:tentative="0">
      <w:start w:val="1"/>
      <w:numFmt w:val="bullet"/>
      <w:suff w:val="space"/>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6">
    <w:nsid w:val="77918599"/>
    <w:multiLevelType w:val="singleLevel"/>
    <w:tmpl w:val="77918599"/>
    <w:lvl w:ilvl="0" w:tentative="0">
      <w:start w:val="1"/>
      <w:numFmt w:val="decimalEnclosedCircleChinese"/>
      <w:suff w:val="nothing"/>
      <w:lvlText w:val="%1　"/>
      <w:lvlJc w:val="left"/>
      <w:pPr>
        <w:ind w:left="0" w:firstLine="400"/>
      </w:pPr>
      <w:rPr>
        <w:rFonts w:hint="eastAsia"/>
      </w:rPr>
    </w:lvl>
  </w:abstractNum>
  <w:num w:numId="1">
    <w:abstractNumId w:val="0"/>
  </w:num>
  <w:num w:numId="2">
    <w:abstractNumId w:val="6"/>
  </w:num>
  <w:num w:numId="3">
    <w:abstractNumId w:val="2"/>
  </w:num>
  <w:num w:numId="4">
    <w:abstractNumId w:val="1"/>
  </w:num>
  <w:num w:numId="5">
    <w:abstractNumId w:val="4"/>
  </w:num>
  <w:num w:numId="6">
    <w:abstractNumId w:val="3"/>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18531C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semiHidden="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2"/>
      <w:lang w:val="en-US" w:eastAsia="zh-CN" w:bidi="ar-SA"/>
    </w:rPr>
  </w:style>
  <w:style w:type="paragraph" w:styleId="4">
    <w:name w:val="heading 3"/>
    <w:basedOn w:val="1"/>
    <w:next w:val="1"/>
    <w:semiHidden/>
    <w:unhideWhenUsed/>
    <w:qFormat/>
    <w:uiPriority w:val="0"/>
    <w:pPr>
      <w:keepNext/>
      <w:keepLines/>
      <w:spacing w:before="260" w:beforeLines="0" w:beforeAutospacing="0" w:after="260" w:afterLines="0" w:afterAutospacing="0" w:line="413" w:lineRule="auto"/>
      <w:outlineLvl w:val="2"/>
    </w:pPr>
    <w:rPr>
      <w:b/>
      <w:sz w:val="32"/>
    </w:rPr>
  </w:style>
  <w:style w:type="paragraph" w:styleId="5">
    <w:name w:val="heading 5"/>
    <w:basedOn w:val="1"/>
    <w:next w:val="1"/>
    <w:unhideWhenUsed/>
    <w:qFormat/>
    <w:uiPriority w:val="0"/>
    <w:pPr>
      <w:keepNext/>
      <w:keepLines/>
      <w:spacing w:before="280" w:beforeLines="0" w:beforeAutospacing="0" w:after="290" w:afterLines="0" w:afterAutospacing="0" w:line="372" w:lineRule="auto"/>
      <w:outlineLvl w:val="4"/>
    </w:pPr>
    <w:rPr>
      <w:b/>
      <w:sz w:val="28"/>
    </w:rPr>
  </w:style>
  <w:style w:type="character" w:default="1" w:styleId="9">
    <w:name w:val="Default Paragraph Font"/>
    <w:semiHidden/>
    <w:uiPriority w:val="0"/>
  </w:style>
  <w:style w:type="table" w:default="1" w:styleId="10">
    <w:name w:val="Normal Table"/>
    <w:semiHidden/>
    <w:uiPriority w:val="0"/>
    <w:tblPr>
      <w:tblLayout w:type="fixed"/>
      <w:tblCellMar>
        <w:top w:w="0" w:type="dxa"/>
        <w:left w:w="108" w:type="dxa"/>
        <w:bottom w:w="0" w:type="dxa"/>
        <w:right w:w="108" w:type="dxa"/>
      </w:tblCellMar>
    </w:tblPr>
  </w:style>
  <w:style w:type="paragraph" w:styleId="2">
    <w:name w:val="Body Text Indent"/>
    <w:basedOn w:val="1"/>
    <w:next w:val="3"/>
    <w:qFormat/>
    <w:uiPriority w:val="0"/>
    <w:pPr>
      <w:spacing w:line="480" w:lineRule="exact"/>
      <w:ind w:firstLine="640" w:firstLineChars="200"/>
    </w:pPr>
    <w:rPr>
      <w:rFonts w:ascii="Times New Roman" w:eastAsia="楷体_GB2312"/>
      <w:kern w:val="2"/>
    </w:rPr>
  </w:style>
  <w:style w:type="paragraph" w:styleId="3">
    <w:name w:val="envelope return"/>
    <w:basedOn w:val="1"/>
    <w:qFormat/>
    <w:uiPriority w:val="0"/>
    <w:pPr>
      <w:snapToGrid w:val="0"/>
    </w:pPr>
    <w:rPr>
      <w:rFonts w:ascii="Arial" w:hAnsi="Arial"/>
    </w:rPr>
  </w:style>
  <w:style w:type="paragraph" w:styleId="6">
    <w:name w:val="Body Text"/>
    <w:basedOn w:val="1"/>
    <w:next w:val="7"/>
    <w:unhideWhenUsed/>
    <w:qFormat/>
    <w:uiPriority w:val="99"/>
    <w:rPr>
      <w:rFonts w:eastAsia="楷体_GB2312" w:cs="宋体"/>
      <w:sz w:val="28"/>
      <w:szCs w:val="28"/>
    </w:rPr>
  </w:style>
  <w:style w:type="paragraph" w:styleId="7">
    <w:name w:val="Body Text 2"/>
    <w:basedOn w:val="1"/>
    <w:next w:val="6"/>
    <w:qFormat/>
    <w:uiPriority w:val="0"/>
    <w:pPr>
      <w:jc w:val="center"/>
      <w:outlineLvl w:val="0"/>
    </w:pPr>
    <w:rPr>
      <w:rFonts w:ascii="楷体_GB2312"/>
      <w:sz w:val="30"/>
      <w:szCs w:val="20"/>
    </w:rPr>
  </w:style>
  <w:style w:type="paragraph" w:styleId="8">
    <w:name w:val="footer"/>
    <w:basedOn w:val="1"/>
    <w:qFormat/>
    <w:uiPriority w:val="99"/>
    <w:pPr>
      <w:tabs>
        <w:tab w:val="center" w:pos="4153"/>
        <w:tab w:val="right" w:pos="8306"/>
      </w:tabs>
      <w:snapToGrid w:val="0"/>
      <w:jc w:val="left"/>
    </w:pPr>
    <w:rPr>
      <w:sz w:val="18"/>
      <w:szCs w:val="18"/>
    </w:rPr>
  </w:style>
  <w:style w:type="paragraph" w:customStyle="1" w:styleId="11">
    <w:name w:val="正文(小四)"/>
    <w:basedOn w:val="1"/>
    <w:qFormat/>
    <w:uiPriority w:val="0"/>
    <w:pPr>
      <w:snapToGrid w:val="0"/>
      <w:spacing w:line="360" w:lineRule="auto"/>
    </w:pPr>
    <w:rPr>
      <w:sz w:val="28"/>
      <w:szCs w:val="20"/>
    </w:rPr>
  </w:style>
  <w:style w:type="paragraph" w:customStyle="1" w:styleId="12">
    <w:name w:val="表格"/>
    <w:basedOn w:val="1"/>
    <w:qFormat/>
    <w:uiPriority w:val="0"/>
    <w:pPr>
      <w:spacing w:line="240" w:lineRule="auto"/>
    </w:pPr>
  </w:style>
  <w:style w:type="paragraph" w:customStyle="1" w:styleId="13">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1.bin"/><Relationship Id="rId8" Type="http://schemas.openxmlformats.org/officeDocument/2006/relationships/image" Target="media/image4.png"/><Relationship Id="rId7" Type="http://schemas.openxmlformats.org/officeDocument/2006/relationships/image" Target="media/image3.jpeg"/><Relationship Id="rId68" Type="http://schemas.openxmlformats.org/officeDocument/2006/relationships/fontTable" Target="fontTable.xml"/><Relationship Id="rId67" Type="http://schemas.openxmlformats.org/officeDocument/2006/relationships/numbering" Target="numbering.xml"/><Relationship Id="rId66" Type="http://schemas.openxmlformats.org/officeDocument/2006/relationships/customXml" Target="../customXml/item1.xml"/><Relationship Id="rId65" Type="http://schemas.openxmlformats.org/officeDocument/2006/relationships/image" Target="media/image53.emf"/><Relationship Id="rId64" Type="http://schemas.openxmlformats.org/officeDocument/2006/relationships/oleObject" Target="embeddings/oleObject8.bin"/><Relationship Id="rId63" Type="http://schemas.openxmlformats.org/officeDocument/2006/relationships/image" Target="media/image52.emf"/><Relationship Id="rId62" Type="http://schemas.openxmlformats.org/officeDocument/2006/relationships/oleObject" Target="embeddings/oleObject7.bin"/><Relationship Id="rId61" Type="http://schemas.openxmlformats.org/officeDocument/2006/relationships/image" Target="media/image51.png"/><Relationship Id="rId60" Type="http://schemas.openxmlformats.org/officeDocument/2006/relationships/image" Target="media/image50.emf"/><Relationship Id="rId6" Type="http://schemas.openxmlformats.org/officeDocument/2006/relationships/image" Target="media/image2.png"/><Relationship Id="rId59" Type="http://schemas.openxmlformats.org/officeDocument/2006/relationships/oleObject" Target="embeddings/oleObject6.bin"/><Relationship Id="rId58" Type="http://schemas.openxmlformats.org/officeDocument/2006/relationships/image" Target="media/image49.png"/><Relationship Id="rId57" Type="http://schemas.openxmlformats.org/officeDocument/2006/relationships/image" Target="media/image48.jpeg"/><Relationship Id="rId56" Type="http://schemas.openxmlformats.org/officeDocument/2006/relationships/image" Target="media/image47.emf"/><Relationship Id="rId55" Type="http://schemas.openxmlformats.org/officeDocument/2006/relationships/oleObject" Target="embeddings/oleObject5.bin"/><Relationship Id="rId54" Type="http://schemas.openxmlformats.org/officeDocument/2006/relationships/image" Target="media/image46.png"/><Relationship Id="rId53" Type="http://schemas.openxmlformats.org/officeDocument/2006/relationships/image" Target="media/image45.jpeg"/><Relationship Id="rId52" Type="http://schemas.openxmlformats.org/officeDocument/2006/relationships/image" Target="media/image44.png"/><Relationship Id="rId51" Type="http://schemas.openxmlformats.org/officeDocument/2006/relationships/image" Target="media/image43.jpeg"/><Relationship Id="rId50" Type="http://schemas.openxmlformats.org/officeDocument/2006/relationships/image" Target="media/image42.png"/><Relationship Id="rId5" Type="http://schemas.openxmlformats.org/officeDocument/2006/relationships/image" Target="media/image1.jpeg"/><Relationship Id="rId49" Type="http://schemas.openxmlformats.org/officeDocument/2006/relationships/image" Target="media/image41.png"/><Relationship Id="rId48" Type="http://schemas.openxmlformats.org/officeDocument/2006/relationships/image" Target="media/image40.emf"/><Relationship Id="rId47" Type="http://schemas.openxmlformats.org/officeDocument/2006/relationships/oleObject" Target="embeddings/oleObject4.bin"/><Relationship Id="rId46" Type="http://schemas.openxmlformats.org/officeDocument/2006/relationships/image" Target="media/image39.png"/><Relationship Id="rId45" Type="http://schemas.openxmlformats.org/officeDocument/2006/relationships/image" Target="media/image38.jpeg"/><Relationship Id="rId44" Type="http://schemas.openxmlformats.org/officeDocument/2006/relationships/image" Target="media/image37.jpeg"/><Relationship Id="rId43" Type="http://schemas.openxmlformats.org/officeDocument/2006/relationships/image" Target="media/image36.jpeg"/><Relationship Id="rId42" Type="http://schemas.openxmlformats.org/officeDocument/2006/relationships/image" Target="media/image35.jpeg"/><Relationship Id="rId41" Type="http://schemas.openxmlformats.org/officeDocument/2006/relationships/image" Target="media/image34.png"/><Relationship Id="rId40" Type="http://schemas.openxmlformats.org/officeDocument/2006/relationships/image" Target="media/image33.jpeg"/><Relationship Id="rId4" Type="http://schemas.openxmlformats.org/officeDocument/2006/relationships/theme" Target="theme/theme1.xml"/><Relationship Id="rId39" Type="http://schemas.openxmlformats.org/officeDocument/2006/relationships/image" Target="media/image32.png"/><Relationship Id="rId38" Type="http://schemas.openxmlformats.org/officeDocument/2006/relationships/image" Target="media/image31.jpeg"/><Relationship Id="rId37" Type="http://schemas.openxmlformats.org/officeDocument/2006/relationships/image" Target="media/image30.jpeg"/><Relationship Id="rId36" Type="http://schemas.openxmlformats.org/officeDocument/2006/relationships/image" Target="media/image29.jpeg"/><Relationship Id="rId35" Type="http://schemas.openxmlformats.org/officeDocument/2006/relationships/image" Target="media/image28.jpeg"/><Relationship Id="rId34" Type="http://schemas.openxmlformats.org/officeDocument/2006/relationships/image" Target="media/image27.jpeg"/><Relationship Id="rId33" Type="http://schemas.openxmlformats.org/officeDocument/2006/relationships/image" Target="media/image26.jpeg"/><Relationship Id="rId32" Type="http://schemas.openxmlformats.org/officeDocument/2006/relationships/image" Target="media/image25.jpeg"/><Relationship Id="rId31" Type="http://schemas.openxmlformats.org/officeDocument/2006/relationships/image" Target="media/image24.jpeg"/><Relationship Id="rId30" Type="http://schemas.openxmlformats.org/officeDocument/2006/relationships/image" Target="media/image23.emf"/><Relationship Id="rId3" Type="http://schemas.openxmlformats.org/officeDocument/2006/relationships/footer" Target="footer1.xml"/><Relationship Id="rId29" Type="http://schemas.openxmlformats.org/officeDocument/2006/relationships/oleObject" Target="embeddings/oleObject3.bin"/><Relationship Id="rId28" Type="http://schemas.openxmlformats.org/officeDocument/2006/relationships/image" Target="media/image22.emf"/><Relationship Id="rId27" Type="http://schemas.openxmlformats.org/officeDocument/2006/relationships/oleObject" Target="embeddings/oleObject2.bin"/><Relationship Id="rId26" Type="http://schemas.openxmlformats.org/officeDocument/2006/relationships/image" Target="media/image21.jpeg"/><Relationship Id="rId25" Type="http://schemas.openxmlformats.org/officeDocument/2006/relationships/image" Target="media/image20.jpeg"/><Relationship Id="rId24" Type="http://schemas.openxmlformats.org/officeDocument/2006/relationships/image" Target="media/image19.jpeg"/><Relationship Id="rId23" Type="http://schemas.openxmlformats.org/officeDocument/2006/relationships/image" Target="media/image18.jpe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png"/><Relationship Id="rId17" Type="http://schemas.openxmlformats.org/officeDocument/2006/relationships/image" Target="media/image12.jpeg"/><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e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4</TotalTime>
  <ScaleCrop>false</ScaleCrop>
  <LinksUpToDate>false</LinksUpToDate>
  <CharactersWithSpaces>0</CharactersWithSpaces>
  <Application>WPS Office_11.1.0.8214_F1E327BC-269C-435d-A152-05C5408002CA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This Is D</cp:lastModifiedBy>
  <dcterms:modified xsi:type="dcterms:W3CDTF">2018-12-27T09:57:44Z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2052-11.1.0.8214</vt:lpwstr>
  </property>
</Properties>
</file>