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spacing w:line="360" w:lineRule="auto"/>
        <w:rPr>
          <w:rFonts w:asciiTheme="minorEastAsia" w:hAnsiTheme="minorEastAsia" w:eastAsiaTheme="minorEastAsia"/>
          <w:sz w:val="52"/>
          <w:szCs w:val="52"/>
        </w:rPr>
      </w:pPr>
    </w:p>
    <w:p>
      <w:pPr>
        <w:spacing w:line="360" w:lineRule="auto"/>
        <w:rPr>
          <w:rFonts w:asciiTheme="minorEastAsia" w:hAnsiTheme="minorEastAsia" w:eastAsiaTheme="minorEastAsia"/>
          <w:sz w:val="52"/>
          <w:szCs w:val="52"/>
        </w:rPr>
      </w:pPr>
    </w:p>
    <w:p>
      <w:pPr>
        <w:spacing w:line="360" w:lineRule="auto"/>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spacing w:line="360" w:lineRule="auto"/>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spacing w:line="360" w:lineRule="auto"/>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spacing w:line="360" w:lineRule="auto"/>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spacing w:line="360" w:lineRule="auto"/>
        <w:jc w:val="center"/>
        <w:rPr>
          <w:rFonts w:asciiTheme="minorEastAsia" w:hAnsiTheme="minorEastAsia" w:eastAsiaTheme="minorEastAsia"/>
          <w:sz w:val="32"/>
          <w:szCs w:val="32"/>
        </w:rPr>
      </w:pPr>
    </w:p>
    <w:p>
      <w:pPr>
        <w:spacing w:line="360" w:lineRule="auto"/>
        <w:rPr>
          <w:rFonts w:asciiTheme="minorEastAsia" w:hAnsiTheme="minorEastAsia" w:eastAsiaTheme="minorEastAsia"/>
          <w:sz w:val="32"/>
          <w:szCs w:val="32"/>
        </w:rPr>
      </w:pPr>
    </w:p>
    <w:p>
      <w:pPr>
        <w:spacing w:line="360" w:lineRule="auto"/>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220</w:t>
      </w:r>
      <w:r>
        <w:rPr>
          <w:rFonts w:hint="eastAsia" w:asciiTheme="minorEastAsia" w:hAnsiTheme="minorEastAsia" w:eastAsiaTheme="minorEastAsia"/>
          <w:sz w:val="32"/>
          <w:szCs w:val="32"/>
        </w:rPr>
        <w:t>号</w:t>
      </w:r>
    </w:p>
    <w:p>
      <w:pPr>
        <w:spacing w:line="360" w:lineRule="auto"/>
        <w:ind w:left="0" w:leftChars="0" w:firstLine="640" w:firstLineChars="2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昌盛路下穿京广铁路立交桥绿化景观工程</w:t>
      </w:r>
    </w:p>
    <w:p>
      <w:pPr>
        <w:spacing w:line="360" w:lineRule="auto"/>
        <w:ind w:left="0" w:leftChars="0" w:firstLine="640" w:firstLineChars="2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许昌市建安区住房和城乡规划建设局</w:t>
      </w:r>
    </w:p>
    <w:p>
      <w:pPr>
        <w:spacing w:line="360" w:lineRule="auto"/>
        <w:ind w:left="0" w:leftChars="0" w:firstLine="640" w:firstLineChars="2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 xml:space="preserve"> 河南天扬工程项目管理有限公司</w:t>
      </w:r>
    </w:p>
    <w:p>
      <w:pPr>
        <w:spacing w:line="360" w:lineRule="auto"/>
        <w:ind w:left="0" w:leftChars="0" w:firstLine="640" w:firstLineChars="200"/>
        <w:jc w:val="center"/>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十二</w:t>
      </w:r>
      <w:r>
        <w:rPr>
          <w:rFonts w:hint="eastAsia" w:asciiTheme="minorEastAsia" w:hAnsiTheme="minorEastAsia" w:eastAsiaTheme="minorEastAsia"/>
          <w:sz w:val="32"/>
          <w:szCs w:val="32"/>
        </w:rPr>
        <w:t>月</w:t>
      </w:r>
    </w:p>
    <w:p>
      <w:pPr>
        <w:spacing w:line="360" w:lineRule="auto"/>
        <w:rPr>
          <w:rFonts w:ascii="黑体" w:hAnsi="宋体" w:eastAsia="黑体"/>
          <w:b/>
          <w:sz w:val="44"/>
        </w:rPr>
      </w:pPr>
      <w:r>
        <w:rPr>
          <w:rFonts w:hint="eastAsia" w:ascii="黑体" w:hAnsi="宋体" w:eastAsia="黑体"/>
          <w:b/>
          <w:sz w:val="44"/>
        </w:rPr>
        <w:t xml:space="preserve">            </w:t>
      </w:r>
    </w:p>
    <w:p>
      <w:pPr>
        <w:spacing w:line="360" w:lineRule="auto"/>
        <w:jc w:val="center"/>
        <w:rPr>
          <w:rFonts w:ascii="黑体" w:hAnsi="宋体" w:eastAsia="黑体"/>
          <w:b/>
          <w:sz w:val="44"/>
        </w:rPr>
      </w:pPr>
      <w:r>
        <w:rPr>
          <w:rFonts w:hint="eastAsia" w:ascii="黑体" w:hAnsi="宋体" w:eastAsia="黑体"/>
          <w:b/>
          <w:sz w:val="44"/>
        </w:rPr>
        <w:t>目  录</w:t>
      </w:r>
    </w:p>
    <w:p>
      <w:pPr>
        <w:spacing w:line="360" w:lineRule="auto"/>
        <w:jc w:val="center"/>
        <w:rPr>
          <w:rFonts w:hAnsi="宋体"/>
          <w:b/>
          <w:sz w:val="32"/>
        </w:rPr>
      </w:pP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36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spacing w:line="360" w:lineRule="auto"/>
        <w:rPr>
          <w:rFonts w:hAnsi="宋体" w:cs="黑体"/>
          <w:b/>
          <w:sz w:val="32"/>
          <w:szCs w:val="32"/>
        </w:rPr>
      </w:pPr>
    </w:p>
    <w:p>
      <w:pPr>
        <w:spacing w:line="360" w:lineRule="auto"/>
        <w:ind w:firstLine="3465" w:firstLineChars="1083"/>
        <w:rPr>
          <w:rFonts w:hAnsi="宋体" w:cs="黑体"/>
          <w:b/>
          <w:sz w:val="32"/>
          <w:szCs w:val="32"/>
        </w:rPr>
      </w:pPr>
    </w:p>
    <w:p>
      <w:pPr>
        <w:spacing w:line="360" w:lineRule="auto"/>
        <w:rPr>
          <w:b/>
          <w:sz w:val="48"/>
          <w:szCs w:val="48"/>
        </w:rPr>
      </w:pPr>
    </w:p>
    <w:p>
      <w:pPr>
        <w:spacing w:line="360" w:lineRule="auto"/>
        <w:rPr>
          <w:rFonts w:hAnsi="宋体" w:cs="黑体"/>
          <w:b/>
          <w:sz w:val="32"/>
          <w:szCs w:val="32"/>
        </w:rPr>
      </w:pPr>
    </w:p>
    <w:p>
      <w:pPr>
        <w:spacing w:line="360" w:lineRule="auto"/>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850" w:gutter="0"/>
          <w:pgNumType w:start="0"/>
          <w:cols w:space="720" w:num="1"/>
          <w:titlePg/>
          <w:docGrid w:type="linesAndChars" w:linePitch="462" w:charSpace="0"/>
        </w:sectPr>
      </w:pPr>
    </w:p>
    <w:p>
      <w:pPr>
        <w:spacing w:line="360" w:lineRule="auto"/>
        <w:ind w:firstLine="3465" w:firstLineChars="1083"/>
        <w:rPr>
          <w:rFonts w:hAnsi="宋体" w:cs="黑体"/>
          <w:b/>
          <w:sz w:val="32"/>
          <w:szCs w:val="32"/>
        </w:rPr>
      </w:pPr>
    </w:p>
    <w:p>
      <w:pPr>
        <w:tabs>
          <w:tab w:val="left" w:pos="3185"/>
          <w:tab w:val="center" w:pos="5452"/>
        </w:tabs>
        <w:snapToGrid w:val="0"/>
        <w:spacing w:beforeLines="50" w:line="360" w:lineRule="auto"/>
        <w:jc w:val="left"/>
        <w:rPr>
          <w:rFonts w:hAnsi="宋体" w:cs="黑体"/>
          <w:b/>
          <w:sz w:val="36"/>
          <w:szCs w:val="36"/>
        </w:rPr>
      </w:pPr>
      <w:bookmarkStart w:id="0" w:name="_Toc215282124"/>
    </w:p>
    <w:p>
      <w:pPr>
        <w:tabs>
          <w:tab w:val="left" w:pos="3185"/>
          <w:tab w:val="center" w:pos="5452"/>
        </w:tabs>
        <w:snapToGrid w:val="0"/>
        <w:spacing w:beforeLines="50" w:line="360" w:lineRule="auto"/>
        <w:jc w:val="left"/>
        <w:rPr>
          <w:rFonts w:hint="eastAsia" w:hAnsi="宋体" w:eastAsia="宋体" w:cs="黑体"/>
          <w:b/>
          <w:sz w:val="36"/>
          <w:szCs w:val="36"/>
          <w:lang w:val="en-US" w:eastAsia="zh-CN"/>
        </w:rPr>
        <w:sectPr>
          <w:type w:val="continuous"/>
          <w:pgSz w:w="11906" w:h="16838"/>
          <w:pgMar w:top="1304" w:right="1134" w:bottom="1304" w:left="1134" w:header="851" w:footer="992" w:gutter="0"/>
          <w:cols w:space="720" w:num="1"/>
          <w:titlePg/>
          <w:docGrid w:type="linesAndChars" w:linePitch="312" w:charSpace="0"/>
        </w:sectPr>
      </w:pPr>
      <w:r>
        <w:rPr>
          <w:rFonts w:hint="eastAsia" w:hAnsi="宋体" w:cs="黑体"/>
          <w:b/>
          <w:sz w:val="36"/>
          <w:szCs w:val="36"/>
          <w:lang w:val="en-US" w:eastAsia="zh-CN"/>
        </w:rPr>
        <w:t xml:space="preserve"> </w:t>
      </w:r>
      <w:bookmarkStart w:id="79" w:name="_GoBack"/>
      <w:bookmarkEnd w:id="79"/>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center"/>
        <w:textAlignment w:val="auto"/>
        <w:outlineLvl w:val="0"/>
        <w:rPr>
          <w:rFonts w:hAnsi="宋体" w:cs="宋体"/>
          <w:b/>
          <w:sz w:val="28"/>
          <w:szCs w:val="28"/>
        </w:rPr>
      </w:pPr>
      <w:r>
        <w:rPr>
          <w:rFonts w:hint="eastAsia" w:hAnsi="宋体" w:cs="宋体"/>
          <w:b/>
          <w:sz w:val="28"/>
          <w:szCs w:val="28"/>
        </w:rPr>
        <w:t>建安建工公字〔2018〕</w:t>
      </w:r>
      <w:r>
        <w:rPr>
          <w:rFonts w:hint="eastAsia" w:hAnsi="宋体" w:cs="宋体"/>
          <w:b/>
          <w:sz w:val="28"/>
          <w:szCs w:val="28"/>
          <w:lang w:val="en-US" w:eastAsia="zh-CN"/>
        </w:rPr>
        <w:t>220</w:t>
      </w:r>
      <w:r>
        <w:rPr>
          <w:rFonts w:hint="eastAsia" w:hAnsi="宋体" w:cs="宋体"/>
          <w:b/>
          <w:sz w:val="28"/>
          <w:szCs w:val="28"/>
        </w:rPr>
        <w:t>号</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center"/>
        <w:textAlignment w:val="auto"/>
        <w:outlineLvl w:val="0"/>
        <w:rPr>
          <w:rFonts w:hint="eastAsia" w:hAnsi="宋体" w:eastAsia="宋体" w:cs="宋体"/>
          <w:b/>
          <w:sz w:val="28"/>
          <w:szCs w:val="28"/>
          <w:lang w:eastAsia="zh-CN"/>
        </w:rPr>
      </w:pPr>
      <w:r>
        <w:rPr>
          <w:rFonts w:hint="eastAsia" w:hAnsi="宋体" w:cs="宋体"/>
          <w:b/>
          <w:sz w:val="28"/>
          <w:szCs w:val="28"/>
          <w:lang w:eastAsia="zh-CN"/>
        </w:rPr>
        <w:t>许昌市建安区住房和城乡规划建设局</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center"/>
        <w:textAlignment w:val="auto"/>
        <w:outlineLvl w:val="0"/>
        <w:rPr>
          <w:rFonts w:hint="eastAsia" w:hAnsi="宋体" w:eastAsia="宋体" w:cs="宋体"/>
          <w:b/>
          <w:sz w:val="28"/>
          <w:szCs w:val="28"/>
          <w:lang w:eastAsia="zh-CN"/>
        </w:rPr>
      </w:pPr>
      <w:r>
        <w:rPr>
          <w:rFonts w:hint="eastAsia" w:hAnsi="宋体" w:cs="宋体"/>
          <w:b/>
          <w:sz w:val="28"/>
          <w:szCs w:val="28"/>
          <w:lang w:eastAsia="zh-CN"/>
        </w:rPr>
        <w:t>昌盛路下穿京广铁路立交桥绿化景观工程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center"/>
        <w:textAlignment w:val="auto"/>
        <w:outlineLvl w:val="0"/>
        <w:rPr>
          <w:rFonts w:hAnsi="宋体" w:cs="宋体"/>
          <w:sz w:val="28"/>
          <w:szCs w:val="28"/>
        </w:rPr>
      </w:pPr>
      <w:r>
        <w:rPr>
          <w:rFonts w:hAnsi="宋体" w:cs="宋体"/>
          <w:b/>
          <w:sz w:val="28"/>
          <w:szCs w:val="28"/>
        </w:rPr>
        <w:t>公开招标公告</w:t>
      </w:r>
      <w:r>
        <w:rPr>
          <w:rFonts w:hint="eastAsia" w:hAnsi="宋体" w:cs="宋体"/>
          <w:sz w:val="28"/>
          <w:szCs w:val="28"/>
        </w:rPr>
        <w:t xml:space="preserve"> </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一、项目概况</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1、项目编号：建安建工公字〔2018〕</w:t>
      </w:r>
      <w:r>
        <w:rPr>
          <w:rFonts w:hint="eastAsia" w:hAnsi="宋体" w:cs="宋体"/>
          <w:sz w:val="24"/>
          <w:szCs w:val="24"/>
          <w:lang w:val="en-US" w:eastAsia="zh-CN" w:bidi="ar-SA"/>
        </w:rPr>
        <w:t>220</w:t>
      </w:r>
      <w:r>
        <w:rPr>
          <w:rFonts w:hint="eastAsia" w:ascii="宋体" w:hAnsi="宋体" w:eastAsia="宋体" w:cs="宋体"/>
          <w:sz w:val="24"/>
          <w:szCs w:val="24"/>
          <w:lang w:val="en-US" w:eastAsia="zh-CN" w:bidi="ar-SA"/>
        </w:rPr>
        <w:t>号。</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2、项目名称：昌盛路下穿京广铁路立交桥绿化景观工程。</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3、招标单位：许昌市建安区住房和城乡规划建设局。</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4、项目简介：本项目位于许昌市建安区境内，包含整理绿化用地，渣土及建筑垃圾外运，回填土，雪松、垂柳、造型油松、枇杷、金枝国槐、木槿、紫</w:t>
      </w:r>
      <w:r>
        <w:rPr>
          <w:rFonts w:hint="eastAsia" w:hAnsi="宋体" w:cs="宋体"/>
          <w:sz w:val="24"/>
          <w:szCs w:val="24"/>
          <w:lang w:val="en-US" w:eastAsia="zh-CN" w:bidi="ar-SA"/>
        </w:rPr>
        <w:t>薇</w:t>
      </w:r>
      <w:r>
        <w:rPr>
          <w:rFonts w:hint="eastAsia" w:ascii="宋体" w:hAnsi="宋体" w:eastAsia="宋体" w:cs="宋体"/>
          <w:sz w:val="24"/>
          <w:szCs w:val="24"/>
          <w:lang w:val="en-US" w:eastAsia="zh-CN" w:bidi="ar-SA"/>
        </w:rPr>
        <w:t>、南天竹、常春藤、扶芳藤等乔灌木，花卉栽植，草坪播种，景石，堆筑土丘等。</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5、资金预算：2003097.32元。</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6、招标范围：招标文件、施工图纸、工程量清单、答疑纪要和补充文件（如有）范围内的所有建设内容。</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7、标段划分：本工程共设一个施工标段。</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8、工期</w:t>
      </w:r>
      <w:r>
        <w:rPr>
          <w:rFonts w:hint="eastAsia" w:ascii="宋体" w:hAnsi="宋体" w:eastAsia="宋体" w:cs="宋体"/>
          <w:color w:val="auto"/>
          <w:sz w:val="24"/>
          <w:szCs w:val="24"/>
          <w:lang w:val="en-US" w:eastAsia="zh-CN" w:bidi="ar-SA"/>
        </w:rPr>
        <w:t>：50日历天。</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9、质量要求：合格（符合国家建设工程质量验收规范和标准）。</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二、投标人资格要求</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2.1.资格要求：</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投标人须具有独立的法人资格，具有有效的营业执照；具备与园林绿化工程项目相匹配的经营范围及履约能力；</w:t>
      </w:r>
      <w:r>
        <w:rPr>
          <w:rFonts w:hint="eastAsia" w:hAnsi="宋体" w:cs="宋体"/>
          <w:sz w:val="24"/>
          <w:szCs w:val="24"/>
          <w:lang w:val="en-US" w:eastAsia="zh-CN" w:bidi="ar-SA"/>
        </w:rPr>
        <w:t>项目负责人应具有相关专业中级及以上职称</w:t>
      </w:r>
      <w:r>
        <w:rPr>
          <w:rFonts w:hint="eastAsia" w:ascii="宋体" w:hAnsi="宋体" w:eastAsia="宋体" w:cs="宋体"/>
          <w:sz w:val="24"/>
          <w:szCs w:val="24"/>
          <w:lang w:val="en-US" w:eastAsia="zh-CN" w:bidi="ar-SA"/>
        </w:rPr>
        <w:t>。</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2.2本次招标实行资格后审。</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2.3本次招标不接受联合体投标。</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2.4</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三、投标报名方式</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hAnsi="宋体" w:cs="宋体"/>
          <w:sz w:val="24"/>
          <w:szCs w:val="24"/>
          <w:lang w:val="en-US" w:eastAsia="zh-CN" w:bidi="ar-SA"/>
        </w:rPr>
        <w:t>1</w:t>
      </w:r>
      <w:r>
        <w:rPr>
          <w:rFonts w:hint="eastAsia" w:ascii="宋体" w:hAnsi="宋体" w:eastAsia="宋体" w:cs="宋体"/>
          <w:sz w:val="24"/>
          <w:szCs w:val="24"/>
          <w:lang w:val="en-US" w:eastAsia="zh-CN" w:bidi="ar-SA"/>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hAnsi="宋体" w:cs="宋体"/>
          <w:sz w:val="24"/>
          <w:szCs w:val="24"/>
          <w:lang w:val="en-US" w:eastAsia="zh-CN" w:bidi="ar-SA"/>
        </w:rPr>
        <w:t>2</w:t>
      </w:r>
      <w:r>
        <w:rPr>
          <w:rFonts w:hint="eastAsia" w:ascii="宋体" w:hAnsi="宋体" w:eastAsia="宋体" w:cs="宋体"/>
          <w:sz w:val="24"/>
          <w:szCs w:val="24"/>
          <w:lang w:val="en-US" w:eastAsia="zh-CN" w:bidi="ar-SA"/>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 xml:space="preserve">四、招标文件、工程量清单和施工图纸的获取  </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1、招标文件</w:t>
      </w:r>
      <w:r>
        <w:rPr>
          <w:rFonts w:hint="eastAsia" w:hAnsi="宋体" w:cs="宋体"/>
          <w:sz w:val="24"/>
          <w:szCs w:val="24"/>
          <w:lang w:val="en-US" w:eastAsia="zh-CN" w:bidi="ar-SA"/>
        </w:rPr>
        <w:t>、</w:t>
      </w:r>
      <w:r>
        <w:rPr>
          <w:rFonts w:hint="eastAsia" w:ascii="宋体" w:hAnsi="宋体" w:eastAsia="宋体" w:cs="宋体"/>
          <w:sz w:val="24"/>
          <w:szCs w:val="24"/>
          <w:lang w:val="en-US" w:eastAsia="zh-CN" w:bidi="ar-SA"/>
        </w:rPr>
        <w:t>工程量清单</w:t>
      </w:r>
      <w:r>
        <w:rPr>
          <w:rFonts w:hint="eastAsia" w:hAnsi="宋体" w:cs="宋体"/>
          <w:sz w:val="24"/>
          <w:szCs w:val="24"/>
          <w:lang w:val="en-US" w:eastAsia="zh-CN" w:bidi="ar-SA"/>
        </w:rPr>
        <w:t>和施工图纸</w:t>
      </w:r>
      <w:r>
        <w:rPr>
          <w:rFonts w:hint="eastAsia" w:ascii="宋体" w:hAnsi="宋体" w:eastAsia="宋体" w:cs="宋体"/>
          <w:sz w:val="24"/>
          <w:szCs w:val="24"/>
          <w:lang w:val="en-US" w:eastAsia="zh-CN" w:bidi="ar-SA"/>
        </w:rPr>
        <w:t>的获取：投标人于投标文件递交截止时间前均可登录《全国公共资源交易平台(河南省▪许昌市)》（</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"http://www.xczbtb.com/"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http://www.xcggzy.gov.cn/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），通过“投标人/供应商登录” 入口自行下载。</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hAnsi="宋体" w:cs="宋体"/>
          <w:sz w:val="24"/>
          <w:szCs w:val="24"/>
          <w:lang w:val="en-US" w:eastAsia="zh-CN" w:bidi="ar-SA"/>
        </w:rPr>
        <w:t>2</w:t>
      </w:r>
      <w:r>
        <w:rPr>
          <w:rFonts w:hint="eastAsia" w:ascii="宋体" w:hAnsi="宋体" w:eastAsia="宋体" w:cs="宋体"/>
          <w:sz w:val="24"/>
          <w:szCs w:val="24"/>
          <w:lang w:val="en-US" w:eastAsia="zh-CN" w:bidi="ar-SA"/>
        </w:rPr>
        <w:t>、招标文件每套售价300元，于递交投标文件时缴纳给招标代理机构，售后不退。</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五、投标文件的递交</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1、投标文件递交的截止时间为201</w:t>
      </w:r>
      <w:r>
        <w:rPr>
          <w:rFonts w:hint="eastAsia" w:hAnsi="宋体" w:cs="宋体"/>
          <w:sz w:val="24"/>
          <w:szCs w:val="24"/>
          <w:lang w:val="en-US" w:eastAsia="zh-CN" w:bidi="ar-SA"/>
        </w:rPr>
        <w:t>9</w:t>
      </w:r>
      <w:r>
        <w:rPr>
          <w:rFonts w:hint="eastAsia" w:ascii="宋体" w:hAnsi="宋体" w:eastAsia="宋体" w:cs="宋体"/>
          <w:sz w:val="24"/>
          <w:szCs w:val="24"/>
          <w:lang w:val="en-US" w:eastAsia="zh-CN" w:bidi="ar-SA"/>
        </w:rPr>
        <w:t>年</w:t>
      </w:r>
      <w:r>
        <w:rPr>
          <w:rFonts w:hint="eastAsia" w:hAnsi="宋体" w:cs="宋体"/>
          <w:sz w:val="24"/>
          <w:szCs w:val="24"/>
          <w:lang w:val="en-US" w:eastAsia="zh-CN" w:bidi="ar-SA"/>
        </w:rPr>
        <w:t>1</w:t>
      </w:r>
      <w:r>
        <w:rPr>
          <w:rFonts w:hint="eastAsia" w:ascii="宋体" w:hAnsi="宋体" w:eastAsia="宋体" w:cs="宋体"/>
          <w:sz w:val="24"/>
          <w:szCs w:val="24"/>
          <w:lang w:val="en-US" w:eastAsia="zh-CN" w:bidi="ar-SA"/>
        </w:rPr>
        <w:t>月</w:t>
      </w:r>
      <w:r>
        <w:rPr>
          <w:rFonts w:hint="eastAsia" w:hAnsi="宋体" w:cs="宋体"/>
          <w:sz w:val="24"/>
          <w:szCs w:val="24"/>
          <w:lang w:val="en-US" w:eastAsia="zh-CN" w:bidi="ar-SA"/>
        </w:rPr>
        <w:t>22</w:t>
      </w:r>
      <w:r>
        <w:rPr>
          <w:rFonts w:hint="eastAsia" w:ascii="宋体" w:hAnsi="宋体" w:eastAsia="宋体" w:cs="宋体"/>
          <w:sz w:val="24"/>
          <w:szCs w:val="24"/>
          <w:lang w:val="en-US" w:eastAsia="zh-CN" w:bidi="ar-SA"/>
        </w:rPr>
        <w:t>日</w:t>
      </w:r>
      <w:r>
        <w:rPr>
          <w:rFonts w:hint="eastAsia" w:hAnsi="宋体" w:cs="宋体"/>
          <w:sz w:val="24"/>
          <w:szCs w:val="24"/>
          <w:lang w:val="en-US" w:eastAsia="zh-CN" w:bidi="ar-SA"/>
        </w:rPr>
        <w:t>9</w:t>
      </w:r>
      <w:r>
        <w:rPr>
          <w:rFonts w:hint="eastAsia" w:ascii="宋体" w:hAnsi="宋体" w:eastAsia="宋体" w:cs="宋体"/>
          <w:sz w:val="24"/>
          <w:szCs w:val="24"/>
          <w:lang w:val="en-US" w:eastAsia="zh-CN" w:bidi="ar-SA"/>
        </w:rPr>
        <w:t>时</w:t>
      </w:r>
      <w:r>
        <w:rPr>
          <w:rFonts w:hint="eastAsia" w:hAnsi="宋体" w:cs="宋体"/>
          <w:sz w:val="24"/>
          <w:szCs w:val="24"/>
          <w:lang w:val="en-US" w:eastAsia="zh-CN" w:bidi="ar-SA"/>
        </w:rPr>
        <w:t>30</w:t>
      </w:r>
      <w:r>
        <w:rPr>
          <w:rFonts w:hint="eastAsia" w:ascii="宋体" w:hAnsi="宋体" w:eastAsia="宋体" w:cs="宋体"/>
          <w:sz w:val="24"/>
          <w:szCs w:val="24"/>
          <w:lang w:val="en-US" w:eastAsia="zh-CN" w:bidi="ar-SA"/>
        </w:rPr>
        <w:t>分，地点为许昌市建安区新元大道兴业大厦4楼4167室。</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2、逾期送达的或者未送达指定地点的投标文件，招标人不予受理。</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3、未通过全国公共资源交易平台（河南省·许昌市）下载招标文件的投标人，其投标文件不予受理。</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六、发布公告的媒介</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本次招标公告在《全国公共资源交易平台（河南省·许昌市）》和《河南省电子招标投标公共服务平台》上同时发布。</w:t>
      </w:r>
    </w:p>
    <w:p>
      <w:pPr>
        <w:autoSpaceDE w:val="0"/>
        <w:autoSpaceDN w:val="0"/>
        <w:adjustRightInd w:val="0"/>
        <w:spacing w:line="420" w:lineRule="exact"/>
        <w:ind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七、联系方式</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招 标 人：许昌市建安区住房和城乡规划建设局</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项目负责人：</w:t>
      </w:r>
      <w:r>
        <w:rPr>
          <w:rFonts w:hint="eastAsia" w:hAnsi="宋体" w:cs="宋体"/>
          <w:sz w:val="24"/>
          <w:szCs w:val="24"/>
          <w:lang w:val="en-US" w:eastAsia="zh-CN" w:bidi="ar-SA"/>
        </w:rPr>
        <w:t xml:space="preserve">杨会芳   </w:t>
      </w:r>
      <w:r>
        <w:rPr>
          <w:rFonts w:hint="eastAsia" w:ascii="宋体" w:hAnsi="宋体" w:eastAsia="宋体" w:cs="宋体"/>
          <w:sz w:val="24"/>
          <w:szCs w:val="24"/>
          <w:lang w:val="en-US" w:eastAsia="zh-CN" w:bidi="ar-SA"/>
        </w:rPr>
        <w:t xml:space="preserve">  电    话：</w:t>
      </w:r>
      <w:r>
        <w:rPr>
          <w:rFonts w:hint="eastAsia" w:hAnsi="宋体" w:cs="宋体"/>
          <w:sz w:val="24"/>
          <w:szCs w:val="24"/>
          <w:lang w:val="en-US" w:eastAsia="zh-CN" w:bidi="ar-SA"/>
        </w:rPr>
        <w:t>13849880890</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代理机构： 河南天扬工程项目管理有限公司</w:t>
      </w:r>
    </w:p>
    <w:p>
      <w:pPr>
        <w:autoSpaceDE w:val="0"/>
        <w:autoSpaceDN w:val="0"/>
        <w:adjustRightInd w:val="0"/>
        <w:spacing w:line="420" w:lineRule="exact"/>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项目负责人：刘  昕     电    话：18860315377</w:t>
      </w:r>
    </w:p>
    <w:p>
      <w:pPr>
        <w:autoSpaceDE w:val="0"/>
        <w:autoSpaceDN w:val="0"/>
        <w:adjustRightInd w:val="0"/>
        <w:spacing w:line="420" w:lineRule="exact"/>
        <w:ind w:firstLine="480" w:firstLineChars="200"/>
        <w:jc w:val="righ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许昌市建安区住房和城乡规划建设局</w:t>
      </w:r>
    </w:p>
    <w:p>
      <w:pPr>
        <w:autoSpaceDE w:val="0"/>
        <w:autoSpaceDN w:val="0"/>
        <w:adjustRightInd w:val="0"/>
        <w:spacing w:line="420" w:lineRule="exact"/>
        <w:jc w:val="right"/>
      </w:pPr>
      <w:r>
        <w:rPr>
          <w:rFonts w:hint="eastAsia" w:ascii="宋体" w:hAnsi="宋体" w:eastAsia="宋体" w:cs="宋体"/>
          <w:sz w:val="24"/>
          <w:szCs w:val="24"/>
          <w:lang w:val="en-US" w:eastAsia="zh-CN"/>
        </w:rPr>
        <w:t>2018年</w:t>
      </w:r>
      <w:r>
        <w:rPr>
          <w:rFonts w:hint="eastAsia" w:hAnsi="宋体" w:cs="宋体"/>
          <w:sz w:val="24"/>
          <w:szCs w:val="24"/>
          <w:lang w:val="en-US" w:eastAsia="zh-CN"/>
        </w:rPr>
        <w:t>12</w:t>
      </w:r>
      <w:r>
        <w:rPr>
          <w:rFonts w:hint="eastAsia" w:ascii="宋体" w:hAnsi="宋体" w:eastAsia="宋体" w:cs="宋体"/>
          <w:sz w:val="24"/>
          <w:szCs w:val="24"/>
          <w:lang w:val="en-US" w:eastAsia="zh-CN"/>
        </w:rPr>
        <w:t>月</w:t>
      </w:r>
      <w:r>
        <w:rPr>
          <w:rFonts w:hint="eastAsia" w:hAnsi="宋体" w:cs="宋体"/>
          <w:sz w:val="24"/>
          <w:szCs w:val="24"/>
          <w:lang w:val="en-US" w:eastAsia="zh-CN"/>
        </w:rPr>
        <w:t>28</w:t>
      </w:r>
      <w:r>
        <w:rPr>
          <w:rFonts w:hint="eastAsia" w:ascii="宋体" w:hAnsi="宋体" w:eastAsia="宋体" w:cs="宋体"/>
          <w:sz w:val="24"/>
          <w:szCs w:val="24"/>
          <w:lang w:val="en-US" w:eastAsia="zh-CN"/>
        </w:rPr>
        <w:t>日</w:t>
      </w: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pStyle w:val="2"/>
        <w:rPr>
          <w:rFonts w:hint="eastAsia"/>
        </w:rPr>
      </w:pPr>
    </w:p>
    <w:p>
      <w:pPr>
        <w:pStyle w:val="2"/>
        <w:rPr>
          <w:rFonts w:hint="eastAsia"/>
        </w:rPr>
      </w:pPr>
    </w:p>
    <w:p>
      <w:pPr>
        <w:pStyle w:val="2"/>
        <w:rPr>
          <w:rFonts w:hint="eastAsia"/>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spacing w:line="360" w:lineRule="auto"/>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820"/>
        <w:gridCol w:w="151"/>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仿宋_GB2312"/>
                <w:b/>
                <w:sz w:val="24"/>
              </w:rPr>
            </w:pPr>
            <w:r>
              <w:rPr>
                <w:rFonts w:hint="eastAsia" w:hAnsi="宋体" w:cs="仿宋_GB2312"/>
                <w:b/>
                <w:sz w:val="24"/>
              </w:rPr>
              <w:t>条款号</w:t>
            </w:r>
          </w:p>
        </w:tc>
        <w:tc>
          <w:tcPr>
            <w:tcW w:w="2638" w:type="dxa"/>
            <w:gridSpan w:val="4"/>
            <w:vAlign w:val="center"/>
          </w:tcPr>
          <w:p>
            <w:pPr>
              <w:autoSpaceDE w:val="0"/>
              <w:autoSpaceDN w:val="0"/>
              <w:adjustRightInd w:val="0"/>
              <w:jc w:val="center"/>
              <w:rPr>
                <w:rFonts w:hAnsi="宋体" w:cs="仿宋_GB2312"/>
                <w:b/>
                <w:sz w:val="24"/>
              </w:rPr>
            </w:pPr>
            <w:r>
              <w:rPr>
                <w:rFonts w:hint="eastAsia" w:hAnsi="宋体" w:cs="仿宋_GB2312"/>
                <w:b/>
                <w:sz w:val="24"/>
              </w:rPr>
              <w:t>条款名称</w:t>
            </w:r>
          </w:p>
        </w:tc>
        <w:tc>
          <w:tcPr>
            <w:tcW w:w="6233" w:type="dxa"/>
            <w:vAlign w:val="center"/>
          </w:tcPr>
          <w:p>
            <w:pPr>
              <w:autoSpaceDE w:val="0"/>
              <w:autoSpaceDN w:val="0"/>
              <w:adjustRightInd w:val="0"/>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招标人</w:t>
            </w:r>
          </w:p>
        </w:tc>
        <w:tc>
          <w:tcPr>
            <w:tcW w:w="623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hAnsi="宋体"/>
                <w:sz w:val="24"/>
                <w:szCs w:val="22"/>
                <w:lang w:eastAsia="zh-CN"/>
              </w:rPr>
            </w:pPr>
            <w:r>
              <w:rPr>
                <w:rFonts w:hint="eastAsia" w:hAnsi="宋体"/>
                <w:sz w:val="24"/>
                <w:szCs w:val="22"/>
              </w:rPr>
              <w:t>招 标 人：</w:t>
            </w:r>
            <w:r>
              <w:rPr>
                <w:rFonts w:hint="eastAsia" w:hAnsi="宋体"/>
                <w:sz w:val="24"/>
                <w:szCs w:val="22"/>
                <w:lang w:eastAsia="zh-CN"/>
              </w:rPr>
              <w:t>许昌市建安区住房和城乡规划建设局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hAnsi="宋体"/>
                <w:sz w:val="24"/>
                <w:szCs w:val="22"/>
                <w:lang w:val="en-US" w:eastAsia="zh-CN"/>
              </w:rPr>
            </w:pPr>
            <w:r>
              <w:rPr>
                <w:rFonts w:hint="eastAsia" w:hAnsi="宋体"/>
                <w:sz w:val="24"/>
                <w:szCs w:val="22"/>
              </w:rPr>
              <w:t>联 系 人：</w:t>
            </w:r>
            <w:r>
              <w:rPr>
                <w:rFonts w:hint="eastAsia" w:hAnsi="宋体"/>
                <w:sz w:val="24"/>
                <w:szCs w:val="22"/>
                <w:lang w:val="en-US" w:eastAsia="zh-CN"/>
              </w:rPr>
              <w:t>杨会芳</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Ansi="宋体"/>
                <w:bCs/>
                <w:sz w:val="24"/>
              </w:rPr>
            </w:pPr>
            <w:r>
              <w:rPr>
                <w:rFonts w:hint="eastAsia" w:hAnsi="宋体"/>
                <w:sz w:val="24"/>
                <w:szCs w:val="22"/>
              </w:rPr>
              <w:t>联系电话：</w:t>
            </w:r>
            <w:r>
              <w:rPr>
                <w:rFonts w:hint="eastAsia" w:hAnsi="宋体"/>
                <w:sz w:val="24"/>
                <w:szCs w:val="22"/>
                <w:lang w:val="en-US"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代理机构</w:t>
            </w:r>
          </w:p>
        </w:tc>
        <w:tc>
          <w:tcPr>
            <w:tcW w:w="623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hAnsi="宋体" w:eastAsia="宋体"/>
                <w:sz w:val="24"/>
                <w:lang w:val="en-US" w:eastAsia="zh-CN"/>
              </w:rPr>
            </w:pPr>
            <w:r>
              <w:rPr>
                <w:rFonts w:hint="eastAsia" w:hAnsi="宋体"/>
                <w:sz w:val="24"/>
              </w:rPr>
              <w:t>联 系 人：</w:t>
            </w:r>
            <w:r>
              <w:rPr>
                <w:rFonts w:hint="eastAsia" w:hAnsi="宋体"/>
                <w:sz w:val="24"/>
                <w:lang w:val="en-US" w:eastAsia="zh-CN"/>
              </w:rPr>
              <w:t>刘  昕</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Ansi="宋体"/>
                <w:sz w:val="24"/>
              </w:rPr>
            </w:pPr>
            <w:r>
              <w:rPr>
                <w:rFonts w:hint="eastAsia" w:hAnsi="宋体"/>
                <w:sz w:val="24"/>
              </w:rPr>
              <w:t>联系电话：</w:t>
            </w:r>
            <w:r>
              <w:rPr>
                <w:rFonts w:hint="eastAsia" w:ascii="宋体" w:hAnsi="宋体" w:eastAsia="宋体" w:cs="宋体"/>
                <w:sz w:val="24"/>
                <w:szCs w:val="24"/>
                <w:lang w:val="en-US" w:eastAsia="zh-CN"/>
              </w:rPr>
              <w:t>18860315377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4</w:t>
            </w:r>
          </w:p>
        </w:tc>
        <w:tc>
          <w:tcPr>
            <w:tcW w:w="2638" w:type="dxa"/>
            <w:gridSpan w:val="4"/>
            <w:vAlign w:val="center"/>
          </w:tcPr>
          <w:p>
            <w:pPr>
              <w:autoSpaceDE w:val="0"/>
              <w:autoSpaceDN w:val="0"/>
              <w:adjustRightInd w:val="0"/>
              <w:jc w:val="center"/>
              <w:rPr>
                <w:rFonts w:hAnsi="宋体"/>
                <w:sz w:val="24"/>
              </w:rPr>
            </w:pPr>
            <w:r>
              <w:rPr>
                <w:rFonts w:hint="eastAsia" w:hAnsi="宋体"/>
                <w:sz w:val="24"/>
              </w:rPr>
              <w:t>项目名称</w:t>
            </w:r>
          </w:p>
        </w:tc>
        <w:tc>
          <w:tcPr>
            <w:tcW w:w="6233" w:type="dxa"/>
            <w:vAlign w:val="center"/>
          </w:tcPr>
          <w:p>
            <w:pPr>
              <w:tabs>
                <w:tab w:val="center" w:pos="4739"/>
              </w:tabs>
              <w:rPr>
                <w:rFonts w:hint="eastAsia" w:hAnsi="宋体" w:eastAsia="宋体" w:cs="TimesNewRomanPSMT"/>
                <w:sz w:val="24"/>
                <w:lang w:eastAsia="zh-CN"/>
              </w:rPr>
            </w:pPr>
            <w:r>
              <w:rPr>
                <w:rFonts w:hint="eastAsia" w:hAnsi="宋体"/>
                <w:sz w:val="24"/>
                <w:lang w:eastAsia="zh-CN"/>
              </w:rPr>
              <w:t>昌盛路下穿京广铁路立交桥绿化景观工程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5</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建设地点</w:t>
            </w:r>
          </w:p>
        </w:tc>
        <w:tc>
          <w:tcPr>
            <w:tcW w:w="6233" w:type="dxa"/>
            <w:vAlign w:val="center"/>
          </w:tcPr>
          <w:p>
            <w:pPr>
              <w:tabs>
                <w:tab w:val="center" w:pos="4739"/>
              </w:tabs>
              <w:rPr>
                <w:rFonts w:hAnsi="宋体" w:cs="TimesNewRomanPSMT"/>
                <w:sz w:val="24"/>
              </w:rPr>
            </w:pPr>
            <w:r>
              <w:rPr>
                <w:rFonts w:hint="eastAsia" w:ascii="宋体" w:hAnsi="宋体" w:eastAsia="宋体" w:cs="宋体"/>
                <w:sz w:val="24"/>
                <w:szCs w:val="24"/>
              </w:rPr>
              <w:t>本项目位于</w:t>
            </w:r>
            <w:r>
              <w:rPr>
                <w:rFonts w:hint="eastAsia" w:ascii="宋体" w:hAnsi="宋体" w:eastAsia="宋体" w:cs="宋体"/>
                <w:sz w:val="24"/>
                <w:szCs w:val="24"/>
                <w:lang w:val="en-US" w:eastAsia="zh-CN"/>
              </w:rPr>
              <w:t>许昌市建安区境内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1.2.1</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资金来源</w:t>
            </w:r>
          </w:p>
        </w:tc>
        <w:tc>
          <w:tcPr>
            <w:tcW w:w="6233" w:type="dxa"/>
            <w:vAlign w:val="center"/>
          </w:tcPr>
          <w:p>
            <w:pPr>
              <w:tabs>
                <w:tab w:val="center" w:pos="4739"/>
              </w:tabs>
              <w:rPr>
                <w:rFonts w:hint="eastAsia" w:hAnsi="宋体" w:eastAsia="宋体" w:cs="TimesNewRomanPSMT"/>
                <w:color w:val="FF0000"/>
                <w:sz w:val="24"/>
                <w:lang w:val="en-US" w:eastAsia="zh-CN"/>
              </w:rPr>
            </w:pPr>
            <w:r>
              <w:rPr>
                <w:rFonts w:hint="eastAsia" w:hAnsi="宋体"/>
                <w:sz w:val="24"/>
                <w:lang w:val="en-US" w:eastAsia="zh-CN"/>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1.2.2</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出资比例</w:t>
            </w:r>
          </w:p>
        </w:tc>
        <w:tc>
          <w:tcPr>
            <w:tcW w:w="6233" w:type="dxa"/>
            <w:vAlign w:val="center"/>
          </w:tcPr>
          <w:p>
            <w:pPr>
              <w:tabs>
                <w:tab w:val="center" w:pos="4739"/>
              </w:tabs>
              <w:rPr>
                <w:rFonts w:hint="eastAsia" w:hAnsi="宋体" w:eastAsia="宋体" w:cs="TimesNewRomanPSMT"/>
                <w:sz w:val="24"/>
                <w:lang w:val="en-US" w:eastAsia="zh-CN"/>
              </w:rPr>
            </w:pPr>
            <w:r>
              <w:rPr>
                <w:rFonts w:hint="eastAsia" w:hAnsi="宋体" w:cs="TimesNewRomanPSMT"/>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1.2.3</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资金落实情况</w:t>
            </w:r>
          </w:p>
        </w:tc>
        <w:tc>
          <w:tcPr>
            <w:tcW w:w="6233" w:type="dxa"/>
            <w:vAlign w:val="center"/>
          </w:tcPr>
          <w:p>
            <w:pPr>
              <w:tabs>
                <w:tab w:val="center" w:pos="4739"/>
              </w:tabs>
              <w:rPr>
                <w:rFonts w:hint="eastAsia" w:hAnsi="宋体" w:eastAsia="宋体" w:cs="TimesNewRomanPSMT"/>
                <w:sz w:val="24"/>
                <w:lang w:eastAsia="zh-CN"/>
              </w:rPr>
            </w:pPr>
            <w:r>
              <w:rPr>
                <w:rFonts w:hint="eastAsia" w:hAnsi="宋体" w:cs="TimesNewRomanPSMT"/>
                <w:sz w:val="24"/>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1.3.1</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招标范围</w:t>
            </w:r>
          </w:p>
        </w:tc>
        <w:tc>
          <w:tcPr>
            <w:tcW w:w="6233" w:type="dxa"/>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1.3.2</w:t>
            </w:r>
          </w:p>
        </w:tc>
        <w:tc>
          <w:tcPr>
            <w:tcW w:w="2638" w:type="dxa"/>
            <w:gridSpan w:val="4"/>
            <w:tcBorders>
              <w:right w:val="single" w:color="auto" w:sz="4" w:space="0"/>
            </w:tcBorders>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计划工期</w:t>
            </w:r>
          </w:p>
        </w:tc>
        <w:tc>
          <w:tcPr>
            <w:tcW w:w="62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Ansi="宋体" w:cs="黑体"/>
                <w:color w:val="auto"/>
                <w:sz w:val="24"/>
              </w:rPr>
            </w:pPr>
            <w:r>
              <w:rPr>
                <w:rFonts w:hint="eastAsia" w:hAnsi="宋体" w:cs="宋体"/>
                <w:color w:val="auto"/>
                <w:sz w:val="24"/>
                <w:szCs w:val="24"/>
              </w:rPr>
              <w:t>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1.3.3</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质量要求</w:t>
            </w:r>
          </w:p>
        </w:tc>
        <w:tc>
          <w:tcPr>
            <w:tcW w:w="6233" w:type="dxa"/>
            <w:tcBorders>
              <w:top w:val="single" w:color="auto" w:sz="4" w:space="0"/>
            </w:tcBorders>
            <w:vAlign w:val="center"/>
          </w:tcPr>
          <w:p>
            <w:pPr>
              <w:autoSpaceDE w:val="0"/>
              <w:autoSpaceDN w:val="0"/>
              <w:adjustRightInd w:val="0"/>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1.4.1</w:t>
            </w:r>
          </w:p>
        </w:tc>
        <w:tc>
          <w:tcPr>
            <w:tcW w:w="2638" w:type="dxa"/>
            <w:gridSpan w:val="4"/>
            <w:vAlign w:val="center"/>
          </w:tcPr>
          <w:p>
            <w:pPr>
              <w:autoSpaceDE w:val="0"/>
              <w:autoSpaceDN w:val="0"/>
              <w:adjustRightInd w:val="0"/>
              <w:jc w:val="center"/>
              <w:rPr>
                <w:rFonts w:hAnsi="宋体" w:cs="宋体"/>
                <w:sz w:val="24"/>
                <w:szCs w:val="24"/>
              </w:rPr>
            </w:pPr>
            <w:r>
              <w:rPr>
                <w:rFonts w:hint="eastAsia" w:hAnsi="宋体" w:cs="宋体"/>
                <w:sz w:val="24"/>
                <w:szCs w:val="24"/>
              </w:rPr>
              <w:t>投标人</w:t>
            </w:r>
            <w:r>
              <w:rPr>
                <w:rFonts w:hint="eastAsia" w:hAnsi="宋体" w:cs="宋体"/>
                <w:sz w:val="24"/>
                <w:szCs w:val="24"/>
                <w:lang w:val="en-US" w:eastAsia="zh-CN"/>
              </w:rPr>
              <w:t>资格</w:t>
            </w:r>
            <w:r>
              <w:rPr>
                <w:rFonts w:hint="eastAsia" w:hAnsi="宋体" w:cs="宋体"/>
                <w:sz w:val="24"/>
                <w:szCs w:val="24"/>
              </w:rPr>
              <w:t>条件</w:t>
            </w:r>
          </w:p>
        </w:tc>
        <w:tc>
          <w:tcPr>
            <w:tcW w:w="6233" w:type="dxa"/>
          </w:tcPr>
          <w:p>
            <w:pPr>
              <w:numPr>
                <w:ilvl w:val="0"/>
                <w:numId w:val="0"/>
              </w:numPr>
              <w:autoSpaceDE w:val="0"/>
              <w:autoSpaceDN w:val="0"/>
              <w:adjustRightInd w:val="0"/>
              <w:spacing w:line="4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1、资格要求：</w:t>
            </w:r>
          </w:p>
          <w:p>
            <w:pPr>
              <w:numPr>
                <w:ilvl w:val="0"/>
                <w:numId w:val="0"/>
              </w:numPr>
              <w:autoSpaceDE w:val="0"/>
              <w:autoSpaceDN w:val="0"/>
              <w:adjustRightInd w:val="0"/>
              <w:spacing w:line="4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投标人须具有独立的法人资格，具有有效的营业执照；具备与园林绿化工程项目相匹配的经营范围及履约能力；项目</w:t>
            </w:r>
            <w:r>
              <w:rPr>
                <w:rFonts w:hint="eastAsia" w:hAnsi="宋体" w:cs="宋体"/>
                <w:sz w:val="24"/>
                <w:szCs w:val="24"/>
                <w:lang w:val="en-US" w:eastAsia="zh-CN"/>
              </w:rPr>
              <w:t>负责人</w:t>
            </w:r>
            <w:r>
              <w:rPr>
                <w:rFonts w:hint="eastAsia" w:ascii="宋体" w:hAnsi="宋体" w:eastAsia="宋体" w:cs="宋体"/>
                <w:sz w:val="24"/>
                <w:szCs w:val="24"/>
                <w:lang w:val="en-US" w:eastAsia="zh-CN"/>
              </w:rPr>
              <w:t>应具有相关专业中级</w:t>
            </w:r>
            <w:r>
              <w:rPr>
                <w:rFonts w:hint="eastAsia" w:hAnsi="宋体" w:cs="宋体"/>
                <w:sz w:val="24"/>
                <w:szCs w:val="24"/>
                <w:lang w:val="en-US" w:eastAsia="zh-CN"/>
              </w:rPr>
              <w:t>及以上职称</w:t>
            </w:r>
            <w:r>
              <w:rPr>
                <w:rFonts w:hint="eastAsia" w:ascii="宋体" w:hAnsi="宋体" w:eastAsia="宋体" w:cs="宋体"/>
                <w:sz w:val="24"/>
                <w:szCs w:val="24"/>
                <w:lang w:val="en-US" w:eastAsia="zh-CN"/>
              </w:rPr>
              <w:t>。</w:t>
            </w:r>
          </w:p>
          <w:p>
            <w:pPr>
              <w:numPr>
                <w:ilvl w:val="0"/>
                <w:numId w:val="0"/>
              </w:numPr>
              <w:autoSpaceDE w:val="0"/>
              <w:autoSpaceDN w:val="0"/>
              <w:adjustRightInd w:val="0"/>
              <w:spacing w:line="4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2、本次招标实行资格后审。</w:t>
            </w:r>
          </w:p>
          <w:p>
            <w:pPr>
              <w:numPr>
                <w:ilvl w:val="0"/>
                <w:numId w:val="0"/>
              </w:numPr>
              <w:autoSpaceDE w:val="0"/>
              <w:autoSpaceDN w:val="0"/>
              <w:adjustRightInd w:val="0"/>
              <w:spacing w:line="4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3、本次招标不接受联合体投标。</w:t>
            </w:r>
          </w:p>
          <w:p>
            <w:pPr>
              <w:numPr>
                <w:ilvl w:val="0"/>
                <w:numId w:val="0"/>
              </w:numPr>
              <w:autoSpaceDE w:val="0"/>
              <w:autoSpaceDN w:val="0"/>
              <w:adjustRightInd w:val="0"/>
              <w:spacing w:line="420" w:lineRule="exact"/>
              <w:jc w:val="left"/>
              <w:rPr>
                <w:rFonts w:hAnsi="宋体" w:cs="宋体"/>
                <w:sz w:val="24"/>
                <w:szCs w:val="24"/>
              </w:rPr>
            </w:pPr>
            <w:r>
              <w:rPr>
                <w:rFonts w:hint="eastAsia" w:ascii="宋体" w:hAnsi="宋体" w:eastAsia="宋体" w:cs="宋体"/>
                <w:sz w:val="24"/>
                <w:szCs w:val="24"/>
                <w:lang w:val="en-US" w:eastAsia="zh-CN"/>
              </w:rPr>
              <w:t>4、</w:t>
            </w:r>
            <w:r>
              <w:rPr>
                <w:rFonts w:hint="eastAsia" w:ascii="宋体" w:hAnsi="宋体"/>
                <w:color w:val="auto"/>
                <w:sz w:val="24"/>
                <w:highlight w:val="none"/>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1.4.2</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是否接受联合体投标</w:t>
            </w:r>
          </w:p>
        </w:tc>
        <w:tc>
          <w:tcPr>
            <w:tcW w:w="6233" w:type="dxa"/>
          </w:tcPr>
          <w:p>
            <w:pPr>
              <w:autoSpaceDE w:val="0"/>
              <w:autoSpaceDN w:val="0"/>
              <w:adjustRightInd w:val="0"/>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踏勘现场</w:t>
            </w:r>
          </w:p>
        </w:tc>
        <w:tc>
          <w:tcPr>
            <w:tcW w:w="6233" w:type="dxa"/>
          </w:tcPr>
          <w:p>
            <w:pPr>
              <w:autoSpaceDE w:val="0"/>
              <w:autoSpaceDN w:val="0"/>
              <w:adjustRightInd w:val="0"/>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投标预备会</w:t>
            </w:r>
          </w:p>
        </w:tc>
        <w:tc>
          <w:tcPr>
            <w:tcW w:w="6233" w:type="dxa"/>
          </w:tcPr>
          <w:p>
            <w:pPr>
              <w:autoSpaceDE w:val="0"/>
              <w:autoSpaceDN w:val="0"/>
              <w:adjustRightInd w:val="0"/>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638" w:type="dxa"/>
            <w:gridSpan w:val="4"/>
            <w:vAlign w:val="center"/>
          </w:tcPr>
          <w:p>
            <w:pPr>
              <w:autoSpaceDE w:val="0"/>
              <w:autoSpaceDN w:val="0"/>
              <w:adjustRightInd w:val="0"/>
              <w:jc w:val="center"/>
              <w:rPr>
                <w:rFonts w:hint="eastAsia" w:hAnsi="宋体" w:cs="仿宋_GB2312"/>
                <w:sz w:val="24"/>
              </w:rPr>
            </w:pPr>
            <w:r>
              <w:rPr>
                <w:rFonts w:hint="eastAsia" w:hAnsi="宋体" w:cs="仿宋_GB2312"/>
                <w:sz w:val="24"/>
              </w:rPr>
              <w:t>投标人提出问题的</w:t>
            </w:r>
          </w:p>
          <w:p>
            <w:pPr>
              <w:autoSpaceDE w:val="0"/>
              <w:autoSpaceDN w:val="0"/>
              <w:adjustRightInd w:val="0"/>
              <w:jc w:val="center"/>
              <w:rPr>
                <w:rFonts w:hAnsi="宋体" w:cs="仿宋_GB2312"/>
                <w:sz w:val="24"/>
              </w:rPr>
            </w:pPr>
            <w:r>
              <w:rPr>
                <w:rFonts w:hint="eastAsia" w:hAnsi="宋体" w:cs="仿宋_GB2312"/>
                <w:sz w:val="24"/>
              </w:rPr>
              <w:t>截止时间</w:t>
            </w:r>
          </w:p>
        </w:tc>
        <w:tc>
          <w:tcPr>
            <w:tcW w:w="6233" w:type="dxa"/>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638" w:type="dxa"/>
            <w:gridSpan w:val="4"/>
            <w:vAlign w:val="center"/>
          </w:tcPr>
          <w:p>
            <w:pPr>
              <w:jc w:val="center"/>
              <w:rPr>
                <w:rFonts w:hAnsi="宋体"/>
                <w:sz w:val="24"/>
              </w:rPr>
            </w:pPr>
            <w:r>
              <w:rPr>
                <w:rFonts w:hint="eastAsia" w:hAnsi="宋体"/>
                <w:sz w:val="24"/>
              </w:rPr>
              <w:t>招标人澄清的时间</w:t>
            </w:r>
          </w:p>
        </w:tc>
        <w:tc>
          <w:tcPr>
            <w:tcW w:w="6233" w:type="dxa"/>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w:t>
            </w:r>
            <w:r>
              <w:rPr>
                <w:rFonts w:hint="eastAsia" w:hAnsi="宋体" w:cs="TimesNewRomanPSMT"/>
                <w:sz w:val="24"/>
              </w:rPr>
              <w:t>11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分包</w:t>
            </w:r>
          </w:p>
        </w:tc>
        <w:tc>
          <w:tcPr>
            <w:tcW w:w="6233" w:type="dxa"/>
          </w:tcPr>
          <w:p>
            <w:pPr>
              <w:autoSpaceDE w:val="0"/>
              <w:autoSpaceDN w:val="0"/>
              <w:adjustRightInd w:val="0"/>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偏离</w:t>
            </w:r>
          </w:p>
        </w:tc>
        <w:tc>
          <w:tcPr>
            <w:tcW w:w="6233" w:type="dxa"/>
          </w:tcPr>
          <w:p>
            <w:pPr>
              <w:autoSpaceDE w:val="0"/>
              <w:autoSpaceDN w:val="0"/>
              <w:adjustRightInd w:val="0"/>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atLeast"/>
          <w:jc w:val="center"/>
        </w:trPr>
        <w:tc>
          <w:tcPr>
            <w:tcW w:w="1003" w:type="dxa"/>
            <w:vAlign w:val="center"/>
          </w:tcPr>
          <w:p>
            <w:pPr>
              <w:jc w:val="center"/>
              <w:rPr>
                <w:rFonts w:hAnsi="宋体"/>
                <w:sz w:val="24"/>
              </w:rPr>
            </w:pPr>
            <w:r>
              <w:rPr>
                <w:rFonts w:hAnsi="宋体"/>
                <w:sz w:val="24"/>
              </w:rPr>
              <w:t>2.1</w:t>
            </w:r>
          </w:p>
        </w:tc>
        <w:tc>
          <w:tcPr>
            <w:tcW w:w="2638" w:type="dxa"/>
            <w:gridSpan w:val="4"/>
            <w:vAlign w:val="center"/>
          </w:tcPr>
          <w:p>
            <w:pPr>
              <w:jc w:val="center"/>
              <w:rPr>
                <w:rFonts w:hAnsi="宋体"/>
                <w:color w:val="auto"/>
                <w:sz w:val="24"/>
              </w:rPr>
            </w:pPr>
            <w:r>
              <w:rPr>
                <w:rFonts w:hint="eastAsia" w:hAnsi="宋体"/>
                <w:color w:val="auto"/>
                <w:sz w:val="24"/>
              </w:rPr>
              <w:t>招标文件及图纸的获取</w:t>
            </w:r>
          </w:p>
        </w:tc>
        <w:tc>
          <w:tcPr>
            <w:tcW w:w="6233" w:type="dxa"/>
          </w:tcPr>
          <w:p>
            <w:pPr>
              <w:spacing w:line="240" w:lineRule="auto"/>
              <w:jc w:val="left"/>
              <w:rPr>
                <w:rFonts w:hAnsi="宋体"/>
                <w:color w:val="auto"/>
                <w:sz w:val="24"/>
              </w:rPr>
            </w:pPr>
            <w:r>
              <w:rPr>
                <w:rFonts w:hint="eastAsia" w:hAnsi="宋体"/>
                <w:color w:val="auto"/>
                <w:sz w:val="24"/>
              </w:rPr>
              <w:t>招标文件</w:t>
            </w:r>
            <w:r>
              <w:rPr>
                <w:rFonts w:hint="eastAsia" w:hAnsi="宋体"/>
                <w:color w:val="auto"/>
                <w:sz w:val="24"/>
                <w:lang w:eastAsia="zh-CN"/>
              </w:rPr>
              <w:t>、</w:t>
            </w:r>
            <w:r>
              <w:rPr>
                <w:rFonts w:hint="eastAsia" w:hAnsi="宋体"/>
                <w:color w:val="auto"/>
                <w:sz w:val="24"/>
              </w:rPr>
              <w:t>工程量清单</w:t>
            </w:r>
            <w:r>
              <w:rPr>
                <w:rFonts w:hint="eastAsia" w:hAnsi="宋体"/>
                <w:color w:val="auto"/>
                <w:sz w:val="24"/>
                <w:lang w:val="en-US" w:eastAsia="zh-CN"/>
              </w:rPr>
              <w:t>和施工图纸的</w:t>
            </w:r>
            <w:r>
              <w:rPr>
                <w:rFonts w:hint="eastAsia" w:hAnsi="宋体"/>
                <w:color w:val="auto"/>
                <w:sz w:val="24"/>
              </w:rPr>
              <w:t xml:space="preserve">获取：投标人于投标文件递交截止时间前均可登录《全国公共资源交易平台(河南省▪许昌市)》（ </w:t>
            </w:r>
            <w:r>
              <w:rPr>
                <w:color w:val="auto"/>
              </w:rPr>
              <w:fldChar w:fldCharType="begin"/>
            </w:r>
            <w:r>
              <w:rPr>
                <w:color w:val="auto"/>
              </w:rPr>
              <w:instrText xml:space="preserve"> HYPERLINK "http://www.xczbtb.com/），通过“投标人/供应商登录”后自行下载" </w:instrText>
            </w:r>
            <w:r>
              <w:rPr>
                <w:color w:val="auto"/>
              </w:rPr>
              <w:fldChar w:fldCharType="separate"/>
            </w:r>
            <w:r>
              <w:rPr>
                <w:rStyle w:val="33"/>
                <w:rFonts w:hint="eastAsia" w:hAnsi="宋体"/>
                <w:color w:val="auto"/>
                <w:sz w:val="24"/>
              </w:rPr>
              <w:t>http://www.xczbtb.com/），通过“投标人/供应商登录”后自行下载</w:t>
            </w:r>
            <w:r>
              <w:rPr>
                <w:rStyle w:val="33"/>
                <w:rFonts w:hint="eastAsia" w:hAnsi="宋体"/>
                <w:color w:val="auto"/>
                <w:sz w:val="24"/>
              </w:rPr>
              <w:fldChar w:fldCharType="end"/>
            </w:r>
            <w:r>
              <w:rPr>
                <w:rFonts w:hint="eastAsia"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2.1.1</w:t>
            </w:r>
          </w:p>
        </w:tc>
        <w:tc>
          <w:tcPr>
            <w:tcW w:w="2638" w:type="dxa"/>
            <w:gridSpan w:val="4"/>
            <w:vAlign w:val="center"/>
          </w:tcPr>
          <w:p>
            <w:pPr>
              <w:autoSpaceDE w:val="0"/>
              <w:autoSpaceDN w:val="0"/>
              <w:adjustRightInd w:val="0"/>
              <w:jc w:val="center"/>
              <w:rPr>
                <w:rFonts w:hint="eastAsia" w:hAnsi="宋体" w:cs="仿宋_GB2312"/>
                <w:sz w:val="24"/>
              </w:rPr>
            </w:pPr>
            <w:r>
              <w:rPr>
                <w:rFonts w:hint="eastAsia" w:hAnsi="宋体" w:cs="仿宋_GB2312"/>
                <w:sz w:val="24"/>
              </w:rPr>
              <w:t>构成招标文件的</w:t>
            </w:r>
          </w:p>
          <w:p>
            <w:pPr>
              <w:autoSpaceDE w:val="0"/>
              <w:autoSpaceDN w:val="0"/>
              <w:adjustRightInd w:val="0"/>
              <w:jc w:val="center"/>
              <w:rPr>
                <w:rFonts w:hAnsi="宋体" w:cs="仿宋_GB2312"/>
                <w:sz w:val="24"/>
              </w:rPr>
            </w:pPr>
            <w:r>
              <w:rPr>
                <w:rFonts w:hint="eastAsia" w:hAnsi="宋体" w:cs="仿宋_GB2312"/>
                <w:sz w:val="24"/>
              </w:rPr>
              <w:t>其他材料</w:t>
            </w:r>
          </w:p>
        </w:tc>
        <w:tc>
          <w:tcPr>
            <w:tcW w:w="6233" w:type="dxa"/>
            <w:vAlign w:val="center"/>
          </w:tcPr>
          <w:p>
            <w:pPr>
              <w:autoSpaceDE w:val="0"/>
              <w:autoSpaceDN w:val="0"/>
              <w:adjustRightInd w:val="0"/>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2.2.1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33" w:type="dxa"/>
            <w:vAlign w:val="center"/>
          </w:tcPr>
          <w:p>
            <w:pPr>
              <w:autoSpaceDE w:val="0"/>
              <w:autoSpaceDN w:val="0"/>
              <w:adjustRightInd w:val="0"/>
              <w:spacing w:line="240" w:lineRule="auto"/>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2.2.2</w:t>
            </w:r>
          </w:p>
        </w:tc>
        <w:tc>
          <w:tcPr>
            <w:tcW w:w="2638" w:type="dxa"/>
            <w:gridSpan w:val="4"/>
            <w:vAlign w:val="center"/>
          </w:tcPr>
          <w:p>
            <w:pPr>
              <w:autoSpaceDE w:val="0"/>
              <w:autoSpaceDN w:val="0"/>
              <w:adjustRightInd w:val="0"/>
              <w:rPr>
                <w:rFonts w:hAnsi="宋体"/>
                <w:bCs/>
                <w:color w:val="000000" w:themeColor="text1"/>
                <w:sz w:val="24"/>
                <w:szCs w:val="22"/>
              </w:rPr>
            </w:pPr>
            <w:r>
              <w:rPr>
                <w:rFonts w:hint="eastAsia" w:hAnsi="宋体"/>
                <w:bCs/>
                <w:color w:val="000000" w:themeColor="text1"/>
                <w:sz w:val="24"/>
                <w:szCs w:val="22"/>
              </w:rPr>
              <w:t>投标截止时间</w:t>
            </w:r>
          </w:p>
        </w:tc>
        <w:tc>
          <w:tcPr>
            <w:tcW w:w="6233" w:type="dxa"/>
          </w:tcPr>
          <w:p>
            <w:pPr>
              <w:autoSpaceDE w:val="0"/>
              <w:autoSpaceDN w:val="0"/>
              <w:adjustRightInd w:val="0"/>
              <w:rPr>
                <w:rFonts w:hAnsi="宋体"/>
                <w:bCs/>
                <w:color w:val="000000" w:themeColor="text1"/>
                <w:sz w:val="24"/>
                <w:szCs w:val="22"/>
              </w:rPr>
            </w:pPr>
            <w:r>
              <w:rPr>
                <w:rFonts w:hint="eastAsia" w:hAnsi="宋体"/>
                <w:bCs/>
                <w:color w:val="000000" w:themeColor="text1"/>
                <w:sz w:val="24"/>
              </w:rPr>
              <w:t>201</w:t>
            </w:r>
            <w:r>
              <w:rPr>
                <w:rFonts w:hint="eastAsia" w:hAnsi="宋体"/>
                <w:bCs/>
                <w:color w:val="000000" w:themeColor="text1"/>
                <w:sz w:val="24"/>
                <w:lang w:val="en-US" w:eastAsia="zh-CN"/>
              </w:rPr>
              <w:t>9</w:t>
            </w:r>
            <w:r>
              <w:rPr>
                <w:rFonts w:hint="eastAsia" w:hAnsi="宋体"/>
                <w:bCs/>
                <w:color w:val="000000" w:themeColor="text1"/>
                <w:sz w:val="24"/>
              </w:rPr>
              <w:t>年</w:t>
            </w:r>
            <w:r>
              <w:rPr>
                <w:rFonts w:hint="eastAsia" w:hAnsi="宋体"/>
                <w:bCs/>
                <w:color w:val="000000" w:themeColor="text1"/>
                <w:sz w:val="24"/>
                <w:lang w:val="en-US" w:eastAsia="zh-CN"/>
              </w:rPr>
              <w:t>1</w:t>
            </w:r>
            <w:r>
              <w:rPr>
                <w:rFonts w:hint="eastAsia" w:hAnsi="宋体"/>
                <w:bCs/>
                <w:color w:val="000000" w:themeColor="text1"/>
                <w:sz w:val="24"/>
              </w:rPr>
              <w:t>月</w:t>
            </w:r>
            <w:r>
              <w:rPr>
                <w:rFonts w:hint="eastAsia" w:hAnsi="宋体"/>
                <w:bCs/>
                <w:color w:val="000000" w:themeColor="text1"/>
                <w:sz w:val="24"/>
                <w:lang w:val="en-US" w:eastAsia="zh-CN"/>
              </w:rPr>
              <w:t>22</w:t>
            </w:r>
            <w:r>
              <w:rPr>
                <w:rFonts w:hint="eastAsia" w:hAnsi="宋体"/>
                <w:bCs/>
                <w:color w:val="000000" w:themeColor="text1"/>
                <w:sz w:val="24"/>
              </w:rPr>
              <w:t>日</w:t>
            </w:r>
            <w:r>
              <w:rPr>
                <w:rFonts w:hint="eastAsia" w:hAnsi="宋体"/>
                <w:bCs/>
                <w:color w:val="000000" w:themeColor="text1"/>
                <w:sz w:val="24"/>
                <w:lang w:val="en-US" w:eastAsia="zh-CN"/>
              </w:rPr>
              <w:t>9</w:t>
            </w:r>
            <w:r>
              <w:rPr>
                <w:rFonts w:hint="eastAsia" w:hAnsi="宋体"/>
                <w:bCs/>
                <w:color w:val="000000" w:themeColor="text1"/>
                <w:sz w:val="24"/>
              </w:rPr>
              <w:t>时</w:t>
            </w:r>
            <w:r>
              <w:rPr>
                <w:rFonts w:hint="eastAsia" w:hAnsi="宋体"/>
                <w:bCs/>
                <w:color w:val="000000" w:themeColor="text1"/>
                <w:sz w:val="24"/>
                <w:lang w:val="en-US" w:eastAsia="zh-CN"/>
              </w:rPr>
              <w:t>30</w:t>
            </w:r>
            <w:r>
              <w:rPr>
                <w:rFonts w:hint="eastAsia" w:hAnsi="宋体"/>
                <w:bCs/>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2.2.3</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33" w:type="dxa"/>
            <w:vAlign w:val="center"/>
          </w:tcPr>
          <w:p>
            <w:pPr>
              <w:autoSpaceDE w:val="0"/>
              <w:autoSpaceDN w:val="0"/>
              <w:adjustRightInd w:val="0"/>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33" w:type="dxa"/>
            <w:vAlign w:val="center"/>
          </w:tcPr>
          <w:p>
            <w:pPr>
              <w:autoSpaceDE w:val="0"/>
              <w:autoSpaceDN w:val="0"/>
              <w:adjustRightInd w:val="0"/>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3.1.1</w:t>
            </w:r>
          </w:p>
        </w:tc>
        <w:tc>
          <w:tcPr>
            <w:tcW w:w="2638" w:type="dxa"/>
            <w:gridSpan w:val="4"/>
            <w:vAlign w:val="center"/>
          </w:tcPr>
          <w:p>
            <w:pPr>
              <w:autoSpaceDE w:val="0"/>
              <w:autoSpaceDN w:val="0"/>
              <w:adjustRightInd w:val="0"/>
              <w:jc w:val="center"/>
              <w:rPr>
                <w:rFonts w:hint="eastAsia" w:hAnsi="宋体" w:cs="仿宋_GB2312"/>
                <w:sz w:val="24"/>
              </w:rPr>
            </w:pPr>
            <w:r>
              <w:rPr>
                <w:rFonts w:hint="eastAsia" w:hAnsi="宋体" w:cs="仿宋_GB2312"/>
                <w:sz w:val="24"/>
              </w:rPr>
              <w:t>构成投标文件的</w:t>
            </w:r>
          </w:p>
          <w:p>
            <w:pPr>
              <w:autoSpaceDE w:val="0"/>
              <w:autoSpaceDN w:val="0"/>
              <w:adjustRightInd w:val="0"/>
              <w:jc w:val="center"/>
              <w:rPr>
                <w:rFonts w:hAnsi="宋体" w:cs="黑体"/>
                <w:sz w:val="24"/>
              </w:rPr>
            </w:pPr>
            <w:r>
              <w:rPr>
                <w:rFonts w:hint="eastAsia" w:hAnsi="宋体" w:cs="仿宋_GB2312"/>
                <w:sz w:val="24"/>
              </w:rPr>
              <w:t>其他材料</w:t>
            </w:r>
          </w:p>
        </w:tc>
        <w:tc>
          <w:tcPr>
            <w:tcW w:w="6233" w:type="dxa"/>
          </w:tcPr>
          <w:p>
            <w:pPr>
              <w:autoSpaceDE w:val="0"/>
              <w:autoSpaceDN w:val="0"/>
              <w:adjustRightInd w:val="0"/>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投标有效期</w:t>
            </w:r>
          </w:p>
        </w:tc>
        <w:tc>
          <w:tcPr>
            <w:tcW w:w="6233" w:type="dxa"/>
          </w:tcPr>
          <w:p>
            <w:pPr>
              <w:autoSpaceDE w:val="0"/>
              <w:autoSpaceDN w:val="0"/>
              <w:adjustRightInd w:val="0"/>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投标保证金</w:t>
            </w:r>
          </w:p>
        </w:tc>
        <w:tc>
          <w:tcPr>
            <w:tcW w:w="6233" w:type="dxa"/>
            <w:vAlign w:val="center"/>
          </w:tcPr>
          <w:p>
            <w:pPr>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3.5.2</w:t>
            </w:r>
          </w:p>
        </w:tc>
        <w:tc>
          <w:tcPr>
            <w:tcW w:w="2638" w:type="dxa"/>
            <w:gridSpan w:val="4"/>
            <w:vAlign w:val="center"/>
          </w:tcPr>
          <w:p>
            <w:pPr>
              <w:jc w:val="center"/>
              <w:rPr>
                <w:sz w:val="24"/>
              </w:rPr>
            </w:pPr>
            <w:r>
              <w:rPr>
                <w:rFonts w:hint="eastAsia"/>
                <w:sz w:val="24"/>
              </w:rPr>
              <w:t>近年财务状况要求</w:t>
            </w:r>
          </w:p>
        </w:tc>
        <w:tc>
          <w:tcPr>
            <w:tcW w:w="6233" w:type="dxa"/>
            <w:vAlign w:val="center"/>
          </w:tcPr>
          <w:p>
            <w:pPr>
              <w:autoSpaceDE w:val="0"/>
              <w:autoSpaceDN w:val="0"/>
              <w:adjustRightInd w:val="0"/>
              <w:jc w:val="left"/>
              <w:rPr>
                <w:rFonts w:hAnsi="宋体" w:cs="仿宋_GB2312"/>
                <w:b/>
                <w:szCs w:val="21"/>
              </w:rPr>
            </w:pPr>
            <w:r>
              <w:rPr>
                <w:rFonts w:hint="eastAsia" w:hAnsi="宋体" w:cs="仿宋_GB2312"/>
                <w:sz w:val="24"/>
              </w:rPr>
              <w:t>近三年，指2015、2016、2017年（如投标企业成立年限不足三年时，须按实际年份提交审计报告）。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3.5.3</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33" w:type="dxa"/>
            <w:vAlign w:val="center"/>
          </w:tcPr>
          <w:p>
            <w:pPr>
              <w:autoSpaceDE w:val="0"/>
              <w:autoSpaceDN w:val="0"/>
              <w:adjustRightInd w:val="0"/>
              <w:rPr>
                <w:rFonts w:hAnsi="宋体" w:cs="TimesNewRomanPSMT"/>
                <w:sz w:val="24"/>
              </w:rPr>
            </w:pPr>
            <w:r>
              <w:rPr>
                <w:rFonts w:hint="eastAsia" w:hAnsi="宋体" w:cs="TimesNewRomanPSMT"/>
                <w:sz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638"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233"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3.6</w:t>
            </w:r>
          </w:p>
        </w:tc>
        <w:tc>
          <w:tcPr>
            <w:tcW w:w="2638" w:type="dxa"/>
            <w:gridSpan w:val="4"/>
            <w:vAlign w:val="center"/>
          </w:tcPr>
          <w:p>
            <w:pPr>
              <w:autoSpaceDE w:val="0"/>
              <w:autoSpaceDN w:val="0"/>
              <w:adjustRightInd w:val="0"/>
              <w:jc w:val="center"/>
              <w:rPr>
                <w:rFonts w:hint="eastAsia" w:hAnsi="宋体" w:cs="仿宋_GB2312"/>
                <w:sz w:val="24"/>
              </w:rPr>
            </w:pPr>
            <w:r>
              <w:rPr>
                <w:rFonts w:hint="eastAsia" w:hAnsi="宋体" w:cs="仿宋_GB2312"/>
                <w:sz w:val="24"/>
              </w:rPr>
              <w:t>是否允许递交</w:t>
            </w:r>
          </w:p>
          <w:p>
            <w:pPr>
              <w:autoSpaceDE w:val="0"/>
              <w:autoSpaceDN w:val="0"/>
              <w:adjustRightInd w:val="0"/>
              <w:jc w:val="center"/>
              <w:rPr>
                <w:rFonts w:hAnsi="宋体" w:cs="黑体"/>
                <w:sz w:val="24"/>
              </w:rPr>
            </w:pPr>
            <w:r>
              <w:rPr>
                <w:rFonts w:hint="eastAsia" w:hAnsi="宋体" w:cs="仿宋_GB2312"/>
                <w:sz w:val="24"/>
              </w:rPr>
              <w:t>备选投标方案</w:t>
            </w:r>
          </w:p>
        </w:tc>
        <w:tc>
          <w:tcPr>
            <w:tcW w:w="6233"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3.7.3</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签字或盖章要求</w:t>
            </w:r>
          </w:p>
        </w:tc>
        <w:tc>
          <w:tcPr>
            <w:tcW w:w="6233"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3.7.4</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投标文件份数</w:t>
            </w:r>
          </w:p>
        </w:tc>
        <w:tc>
          <w:tcPr>
            <w:tcW w:w="6233" w:type="dxa"/>
            <w:vAlign w:val="center"/>
          </w:tcPr>
          <w:p>
            <w:pPr>
              <w:autoSpaceDE w:val="0"/>
              <w:autoSpaceDN w:val="0"/>
              <w:adjustRightInd w:val="0"/>
              <w:rPr>
                <w:rFonts w:hint="eastAsia" w:hAnsi="宋体" w:cs="TimesNewRomanPSMT"/>
                <w:sz w:val="24"/>
                <w:szCs w:val="22"/>
              </w:rPr>
            </w:pPr>
            <w:r>
              <w:rPr>
                <w:rFonts w:hint="eastAsia" w:hAnsi="宋体" w:cs="TimesNewRomanPSMT"/>
                <w:sz w:val="24"/>
                <w:szCs w:val="22"/>
              </w:rPr>
              <w:t>商务标：正本一份，副本四份；</w:t>
            </w:r>
          </w:p>
          <w:p>
            <w:pPr>
              <w:autoSpaceDE w:val="0"/>
              <w:autoSpaceDN w:val="0"/>
              <w:adjustRightInd w:val="0"/>
              <w:rPr>
                <w:rFonts w:hint="eastAsia" w:hAnsi="宋体" w:cs="TimesNewRomanPSMT"/>
                <w:sz w:val="24"/>
                <w:szCs w:val="22"/>
              </w:rPr>
            </w:pPr>
            <w:r>
              <w:rPr>
                <w:rFonts w:hint="eastAsia" w:hAnsi="宋体" w:cs="TimesNewRomanPSMT"/>
                <w:sz w:val="24"/>
                <w:szCs w:val="22"/>
              </w:rPr>
              <w:t xml:space="preserve">综合（信用）标：正本一份，副本四份； </w:t>
            </w:r>
          </w:p>
          <w:p>
            <w:pPr>
              <w:autoSpaceDE w:val="0"/>
              <w:autoSpaceDN w:val="0"/>
              <w:adjustRightInd w:val="0"/>
              <w:rPr>
                <w:rFonts w:ascii="新宋体" w:hAnsi="新宋体" w:eastAsia="新宋体"/>
                <w:sz w:val="24"/>
              </w:rPr>
            </w:pPr>
            <w:r>
              <w:rPr>
                <w:rFonts w:hint="eastAsia" w:hAnsi="宋体" w:cs="TimesNewRomanPSMT"/>
                <w:sz w:val="24"/>
                <w:szCs w:val="22"/>
              </w:rPr>
              <w:t xml:space="preserve">技术标：正本一份，副本四份。  </w:t>
            </w:r>
            <w:r>
              <w:rPr>
                <w:rFonts w:hint="eastAsia" w:ascii="新宋体" w:hAnsi="新宋体" w:eastAsia="新宋体"/>
                <w:sz w:val="24"/>
              </w:rPr>
              <w:t xml:space="preserve"> </w:t>
            </w:r>
          </w:p>
          <w:p>
            <w:pPr>
              <w:spacing w:line="360" w:lineRule="exact"/>
              <w:rPr>
                <w:rFonts w:cs="仿宋_GB2312"/>
              </w:rPr>
            </w:pPr>
            <w:r>
              <w:rPr>
                <w:rFonts w:hint="eastAsia" w:ascii="宋体" w:hAnsi="宋体" w:cs="宋体"/>
                <w:b/>
                <w:bCs/>
                <w:kern w:val="0"/>
                <w:sz w:val="22"/>
                <w:szCs w:val="22"/>
              </w:rPr>
              <w:t>投标人须提供商务标电子版（U盘）两份，内附已标价工程量清单电子版（EXCEL版本）。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3.7.5</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装订要求</w:t>
            </w:r>
          </w:p>
        </w:tc>
        <w:tc>
          <w:tcPr>
            <w:tcW w:w="6233" w:type="dxa"/>
            <w:vAlign w:val="center"/>
          </w:tcPr>
          <w:p>
            <w:pPr>
              <w:autoSpaceDE w:val="0"/>
              <w:autoSpaceDN w:val="0"/>
              <w:adjustRightInd w:val="0"/>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ind w:firstLine="480" w:firstLineChars="200"/>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rPr>
                <w:rFonts w:ascii="新宋体" w:hAnsi="新宋体" w:eastAsia="新宋体"/>
                <w:sz w:val="24"/>
              </w:rPr>
            </w:pPr>
            <w:r>
              <w:rPr>
                <w:rFonts w:hint="eastAsia" w:hAnsi="宋体" w:cs="宋体"/>
                <w:b/>
                <w:bCs/>
                <w:sz w:val="24"/>
              </w:rPr>
              <w:t xml:space="preserve"> </w:t>
            </w:r>
            <w:r>
              <w:rPr>
                <w:rFonts w:hint="eastAsia" w:hAnsi="宋体" w:cs="宋体"/>
                <w:b/>
                <w:bCs/>
                <w:sz w:val="24"/>
                <w:lang w:eastAsia="zh-CN"/>
              </w:rPr>
              <w:t>（</w:t>
            </w:r>
            <w:r>
              <w:rPr>
                <w:rFonts w:hint="eastAsia" w:hAnsi="宋体" w:cs="宋体"/>
                <w:b/>
                <w:bCs/>
                <w:sz w:val="24"/>
              </w:rPr>
              <w:t>投标文件的正本、副本和电子版（U盘）应分开包装，最后把包装好的正本与副本包装在一个包装内,电子版单独包装递交，加贴封条，并在封套的封口处加盖投标人公章，密封不符合要求的不予受理。</w:t>
            </w:r>
            <w:r>
              <w:rPr>
                <w:rFonts w:hint="eastAsia" w:hAnsi="宋体" w:cs="宋体"/>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4.1.2</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封套上写明</w:t>
            </w:r>
          </w:p>
        </w:tc>
        <w:tc>
          <w:tcPr>
            <w:tcW w:w="6233" w:type="dxa"/>
          </w:tcPr>
          <w:p>
            <w:pPr>
              <w:autoSpaceDE w:val="0"/>
              <w:autoSpaceDN w:val="0"/>
              <w:adjustRightInd w:val="0"/>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jc w:val="left"/>
              <w:rPr>
                <w:rFonts w:hAnsi="宋体" w:cs="黑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w:t>
            </w:r>
            <w:r>
              <w:rPr>
                <w:rFonts w:hint="eastAsia" w:hAnsi="宋体" w:cs="仿宋_GB2312"/>
                <w:sz w:val="24"/>
                <w:lang w:val="en-US" w:eastAsia="zh-CN"/>
              </w:rPr>
              <w:t>22</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w:t>
            </w:r>
            <w:r>
              <w:rPr>
                <w:rFonts w:hint="eastAsia" w:hAnsi="宋体" w:cs="仿宋_GB2312"/>
                <w:sz w:val="24"/>
                <w:lang w:val="en-US" w:eastAsia="zh-CN"/>
              </w:rPr>
              <w:t>30</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4.2.2</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递交投标文件地点</w:t>
            </w:r>
          </w:p>
        </w:tc>
        <w:tc>
          <w:tcPr>
            <w:tcW w:w="6233" w:type="dxa"/>
            <w:vAlign w:val="center"/>
          </w:tcPr>
          <w:p>
            <w:pPr>
              <w:numPr>
                <w:ilvl w:val="0"/>
                <w:numId w:val="2"/>
              </w:numPr>
              <w:tabs>
                <w:tab w:val="left" w:pos="0"/>
                <w:tab w:val="clear" w:pos="360"/>
              </w:tabs>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4.2.3</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是否退还投标文件</w:t>
            </w:r>
          </w:p>
        </w:tc>
        <w:tc>
          <w:tcPr>
            <w:tcW w:w="6233" w:type="dxa"/>
            <w:vAlign w:val="center"/>
          </w:tcPr>
          <w:p>
            <w:pPr>
              <w:autoSpaceDE w:val="0"/>
              <w:autoSpaceDN w:val="0"/>
              <w:adjustRightInd w:val="0"/>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5.1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开标时间和地点</w:t>
            </w:r>
          </w:p>
        </w:tc>
        <w:tc>
          <w:tcPr>
            <w:tcW w:w="6233" w:type="dxa"/>
          </w:tcPr>
          <w:p>
            <w:pPr>
              <w:autoSpaceDE w:val="0"/>
              <w:autoSpaceDN w:val="0"/>
              <w:adjustRightInd w:val="0"/>
              <w:jc w:val="left"/>
              <w:rPr>
                <w:rFonts w:hAnsi="宋体" w:cs="仿宋_GB2312"/>
                <w:sz w:val="24"/>
              </w:rPr>
            </w:pPr>
            <w:r>
              <w:rPr>
                <w:rFonts w:hint="eastAsia" w:hAnsi="宋体" w:cs="仿宋_GB2312"/>
                <w:sz w:val="24"/>
              </w:rPr>
              <w:t>开标时间：同投标截止时间</w:t>
            </w:r>
          </w:p>
          <w:p>
            <w:pPr>
              <w:autoSpaceDE w:val="0"/>
              <w:autoSpaceDN w:val="0"/>
              <w:adjustRightInd w:val="0"/>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 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 xml:space="preserve">5.2 </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开标程序</w:t>
            </w:r>
          </w:p>
        </w:tc>
        <w:tc>
          <w:tcPr>
            <w:tcW w:w="6233" w:type="dxa"/>
          </w:tcPr>
          <w:p>
            <w:pPr>
              <w:autoSpaceDE w:val="0"/>
              <w:autoSpaceDN w:val="0"/>
              <w:adjustRightInd w:val="0"/>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6.1.</w:t>
            </w:r>
            <w:r>
              <w:rPr>
                <w:rFonts w:hint="eastAsia" w:hAnsi="宋体" w:cs="TimesNewRomanPSMT"/>
                <w:sz w:val="24"/>
              </w:rPr>
              <w:t>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评标委员会的组建</w:t>
            </w:r>
          </w:p>
        </w:tc>
        <w:tc>
          <w:tcPr>
            <w:tcW w:w="6233" w:type="dxa"/>
            <w:vAlign w:val="center"/>
          </w:tcPr>
          <w:p>
            <w:pPr>
              <w:rPr>
                <w:sz w:val="24"/>
              </w:rPr>
            </w:pPr>
            <w:r>
              <w:rPr>
                <w:rFonts w:hint="eastAsia" w:ascii="新宋体" w:hAnsi="新宋体" w:eastAsia="新宋体"/>
                <w:color w:val="000000" w:themeColor="text1"/>
                <w:sz w:val="24"/>
              </w:rPr>
              <w:t>评标委员会构成：5人，从河南省综合评标专家库中随机抽取4人和招标人代1人（其中注册造价工程师不少于2人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7.1</w:t>
            </w:r>
          </w:p>
        </w:tc>
        <w:tc>
          <w:tcPr>
            <w:tcW w:w="2638" w:type="dxa"/>
            <w:gridSpan w:val="4"/>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33" w:type="dxa"/>
            <w:vAlign w:val="center"/>
          </w:tcPr>
          <w:p>
            <w:pPr>
              <w:autoSpaceDE w:val="0"/>
              <w:autoSpaceDN w:val="0"/>
              <w:adjustRightInd w:val="0"/>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int="eastAsia" w:ascii="宋体" w:hAnsi="宋体" w:eastAsia="宋体" w:cs="仿宋_GB2312"/>
                <w:sz w:val="24"/>
                <w:szCs w:val="22"/>
                <w:lang w:val="en-US" w:eastAsia="zh-CN"/>
              </w:rPr>
            </w:pPr>
            <w:r>
              <w:rPr>
                <w:rFonts w:hint="eastAsia" w:ascii="宋体" w:hAnsi="宋体" w:eastAsia="宋体" w:cs="仿宋_GB2312"/>
                <w:sz w:val="24"/>
                <w:szCs w:val="22"/>
                <w:lang w:val="en-US" w:eastAsia="zh-CN"/>
              </w:rPr>
              <w:t>7.4</w:t>
            </w:r>
          </w:p>
        </w:tc>
        <w:tc>
          <w:tcPr>
            <w:tcW w:w="2638" w:type="dxa"/>
            <w:gridSpan w:val="4"/>
            <w:vAlign w:val="center"/>
          </w:tcPr>
          <w:p>
            <w:pPr>
              <w:autoSpaceDE w:val="0"/>
              <w:autoSpaceDN w:val="0"/>
              <w:adjustRightInd w:val="0"/>
              <w:jc w:val="center"/>
              <w:rPr>
                <w:rFonts w:hint="eastAsia" w:ascii="宋体" w:hAnsi="宋体" w:eastAsia="宋体" w:cs="仿宋_GB2312"/>
                <w:sz w:val="24"/>
                <w:szCs w:val="22"/>
              </w:rPr>
            </w:pPr>
            <w:r>
              <w:rPr>
                <w:rFonts w:hint="eastAsia" w:ascii="宋体" w:hAnsi="宋体" w:eastAsia="宋体" w:cs="仿宋_GB2312"/>
                <w:sz w:val="24"/>
                <w:szCs w:val="22"/>
                <w:lang w:val="en-US" w:eastAsia="zh-CN"/>
              </w:rPr>
              <w:t>履约保证金</w:t>
            </w:r>
          </w:p>
        </w:tc>
        <w:tc>
          <w:tcPr>
            <w:tcW w:w="6233" w:type="dxa"/>
            <w:vAlign w:val="center"/>
          </w:tcPr>
          <w:p>
            <w:pPr>
              <w:autoSpaceDE w:val="0"/>
              <w:autoSpaceDN w:val="0"/>
              <w:adjustRightInd w:val="0"/>
              <w:rPr>
                <w:rFonts w:hint="eastAsia" w:ascii="宋体" w:hAnsi="宋体" w:eastAsia="宋体" w:cs="仿宋_GB2312"/>
                <w:sz w:val="24"/>
                <w:szCs w:val="22"/>
              </w:rPr>
            </w:pPr>
            <w:r>
              <w:rPr>
                <w:rFonts w:hint="eastAsia" w:ascii="宋体" w:hAnsi="宋体" w:eastAsia="宋体" w:cs="仿宋_GB2312"/>
                <w:sz w:val="24"/>
                <w:szCs w:val="22"/>
                <w:lang w:val="en-US" w:eastAsia="zh-CN"/>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rPr>
                <w:rFonts w:hint="eastAsia" w:ascii="宋体" w:hAnsi="宋体" w:eastAsia="宋体" w:cs="仿宋_GB2312"/>
                <w:sz w:val="24"/>
                <w:szCs w:val="22"/>
              </w:rPr>
            </w:pPr>
            <w:r>
              <w:rPr>
                <w:rFonts w:hint="eastAsia" w:ascii="宋体" w:hAnsi="宋体" w:eastAsia="宋体" w:cs="仿宋_GB231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077"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jc w:val="left"/>
              <w:rPr>
                <w:rFonts w:hAnsi="宋体" w:cs="仿宋_GB2312"/>
                <w:color w:val="FF0000"/>
                <w:sz w:val="24"/>
              </w:rPr>
            </w:pPr>
            <w:r>
              <w:rPr>
                <w:rFonts w:hint="eastAsia" w:hAnsi="宋体" w:cs="TimesNewRomanPSMT"/>
                <w:sz w:val="24"/>
              </w:rPr>
              <w:t>类似的景观绿化项目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10.2.1</w:t>
            </w:r>
          </w:p>
        </w:tc>
        <w:tc>
          <w:tcPr>
            <w:tcW w:w="2487" w:type="dxa"/>
            <w:gridSpan w:val="3"/>
            <w:vAlign w:val="center"/>
          </w:tcPr>
          <w:p>
            <w:pPr>
              <w:autoSpaceDE w:val="0"/>
              <w:autoSpaceDN w:val="0"/>
              <w:adjustRightInd w:val="0"/>
              <w:jc w:val="center"/>
              <w:rPr>
                <w:rFonts w:hAnsi="宋体" w:cs="TimesNewRomanPSMT"/>
                <w:sz w:val="24"/>
              </w:rPr>
            </w:pPr>
            <w:r>
              <w:rPr>
                <w:rFonts w:hint="eastAsia" w:ascii="新宋体" w:hAnsi="新宋体" w:eastAsia="新宋体"/>
                <w:b/>
                <w:sz w:val="24"/>
              </w:rPr>
              <w:t>招标控制价</w:t>
            </w:r>
          </w:p>
        </w:tc>
        <w:tc>
          <w:tcPr>
            <w:tcW w:w="6384" w:type="dxa"/>
            <w:gridSpan w:val="2"/>
            <w:vAlign w:val="center"/>
          </w:tcPr>
          <w:p>
            <w:pPr>
              <w:keepNext w:val="0"/>
              <w:keepLines w:val="0"/>
              <w:pageBreakBefore w:val="0"/>
              <w:widowControl w:val="0"/>
              <w:kinsoku/>
              <w:wordWrap/>
              <w:overflowPunct/>
              <w:topLinePunct w:val="0"/>
              <w:bidi w:val="0"/>
              <w:snapToGrid/>
              <w:spacing w:line="400" w:lineRule="exact"/>
              <w:jc w:val="left"/>
              <w:textAlignment w:val="auto"/>
              <w:outlineLvl w:val="9"/>
              <w:rPr>
                <w:rFonts w:hAnsi="宋体" w:cs="宋体"/>
                <w:b/>
                <w:bCs/>
                <w:sz w:val="24"/>
                <w:szCs w:val="24"/>
              </w:rPr>
            </w:pPr>
            <w:r>
              <w:rPr>
                <w:rFonts w:hint="eastAsia" w:hAnsi="宋体" w:cs="宋体"/>
                <w:b/>
                <w:bCs/>
                <w:sz w:val="24"/>
                <w:szCs w:val="24"/>
              </w:rPr>
              <w:t>招标控制价：</w:t>
            </w:r>
          </w:p>
          <w:p>
            <w:pPr>
              <w:keepNext w:val="0"/>
              <w:keepLines w:val="0"/>
              <w:pageBreakBefore w:val="0"/>
              <w:widowControl w:val="0"/>
              <w:kinsoku/>
              <w:wordWrap/>
              <w:overflowPunct/>
              <w:topLinePunct w:val="0"/>
              <w:bidi w:val="0"/>
              <w:snapToGrid/>
              <w:spacing w:line="400" w:lineRule="exact"/>
              <w:jc w:val="left"/>
              <w:textAlignment w:val="auto"/>
              <w:outlineLvl w:val="9"/>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贰佰万零叁仟零玖拾柒元叁角贰</w:t>
            </w:r>
            <w:r>
              <w:rPr>
                <w:rFonts w:hint="eastAsia" w:hAnsi="宋体" w:cs="宋体"/>
                <w:b/>
                <w:bCs/>
                <w:sz w:val="24"/>
                <w:szCs w:val="24"/>
              </w:rPr>
              <w:t>分；</w:t>
            </w:r>
          </w:p>
          <w:p>
            <w:pPr>
              <w:keepNext w:val="0"/>
              <w:keepLines w:val="0"/>
              <w:pageBreakBefore w:val="0"/>
              <w:widowControl w:val="0"/>
              <w:kinsoku/>
              <w:wordWrap/>
              <w:overflowPunct/>
              <w:topLinePunct w:val="0"/>
              <w:bidi w:val="0"/>
              <w:snapToGrid/>
              <w:spacing w:line="400" w:lineRule="exact"/>
              <w:jc w:val="left"/>
              <w:textAlignment w:val="auto"/>
              <w:outlineLvl w:val="9"/>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2003097.32</w:t>
            </w:r>
            <w:r>
              <w:rPr>
                <w:rFonts w:hint="eastAsia" w:hAnsi="宋体" w:cs="宋体"/>
                <w:b/>
                <w:bCs/>
                <w:sz w:val="24"/>
                <w:szCs w:val="24"/>
              </w:rPr>
              <w:t>元。</w:t>
            </w:r>
          </w:p>
          <w:p>
            <w:pPr>
              <w:keepNext w:val="0"/>
              <w:keepLines w:val="0"/>
              <w:pageBreakBefore w:val="0"/>
              <w:widowControl w:val="0"/>
              <w:kinsoku/>
              <w:wordWrap/>
              <w:overflowPunct/>
              <w:topLinePunct w:val="0"/>
              <w:bidi w:val="0"/>
              <w:snapToGrid/>
              <w:spacing w:line="400" w:lineRule="exact"/>
              <w:jc w:val="left"/>
              <w:textAlignment w:val="auto"/>
              <w:outlineLvl w:val="9"/>
              <w:rPr>
                <w:rFonts w:hAnsi="宋体" w:cs="宋体"/>
                <w:sz w:val="24"/>
                <w:szCs w:val="24"/>
              </w:rPr>
            </w:pPr>
            <w:r>
              <w:rPr>
                <w:rFonts w:hint="eastAsia" w:hAnsi="宋体" w:cs="宋体"/>
                <w:sz w:val="24"/>
                <w:szCs w:val="24"/>
              </w:rPr>
              <w:t>国有资金投资的建设工程采用工程量清单方式招标，必须编制招标控制价。招标控制价在招标时公布。招标控制价由招标人依据国家计价规范、河南省现行计价依据的规定编制。</w:t>
            </w:r>
          </w:p>
          <w:p>
            <w:pPr>
              <w:keepNext w:val="0"/>
              <w:keepLines w:val="0"/>
              <w:pageBreakBefore w:val="0"/>
              <w:widowControl w:val="0"/>
              <w:kinsoku/>
              <w:wordWrap/>
              <w:overflowPunct/>
              <w:topLinePunct w:val="0"/>
              <w:bidi w:val="0"/>
              <w:snapToGrid/>
              <w:spacing w:line="400" w:lineRule="exact"/>
              <w:jc w:val="left"/>
              <w:textAlignment w:val="auto"/>
              <w:outlineLvl w:val="9"/>
              <w:rPr>
                <w:rFonts w:hAnsi="宋体" w:cs="宋体"/>
                <w:b/>
                <w:bCs/>
                <w:sz w:val="24"/>
                <w:szCs w:val="24"/>
              </w:rPr>
            </w:pPr>
            <w:r>
              <w:rPr>
                <w:rFonts w:hint="eastAsia" w:hAnsi="宋体" w:cs="宋体"/>
                <w:b/>
                <w:bCs/>
                <w:sz w:val="24"/>
                <w:szCs w:val="24"/>
              </w:rPr>
              <w:t>特别说明：</w:t>
            </w:r>
          </w:p>
          <w:p>
            <w:pPr>
              <w:keepNext w:val="0"/>
              <w:keepLines w:val="0"/>
              <w:pageBreakBefore w:val="0"/>
              <w:widowControl w:val="0"/>
              <w:kinsoku/>
              <w:wordWrap/>
              <w:overflowPunct/>
              <w:topLinePunct w:val="0"/>
              <w:bidi w:val="0"/>
              <w:snapToGrid/>
              <w:spacing w:line="400" w:lineRule="exact"/>
              <w:textAlignment w:val="auto"/>
              <w:outlineLvl w:val="9"/>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keepNext w:val="0"/>
              <w:keepLines w:val="0"/>
              <w:pageBreakBefore w:val="0"/>
              <w:widowControl w:val="0"/>
              <w:kinsoku/>
              <w:wordWrap/>
              <w:overflowPunct/>
              <w:topLinePunct w:val="0"/>
              <w:bidi w:val="0"/>
              <w:snapToGrid/>
              <w:spacing w:line="400" w:lineRule="exact"/>
              <w:jc w:val="left"/>
              <w:textAlignment w:val="auto"/>
              <w:outlineLvl w:val="9"/>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rPr>
                <w:rFonts w:hint="eastAsia" w:hAnsi="宋体" w:eastAsia="宋体" w:cs="TimesNewRomanPSMT"/>
                <w:sz w:val="24"/>
                <w:lang w:eastAsia="zh-CN"/>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r>
              <w:rPr>
                <w:rFonts w:hint="eastAsia" w:hAnsi="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rPr>
                <w:sz w:val="24"/>
              </w:rPr>
            </w:pPr>
          </w:p>
        </w:tc>
        <w:tc>
          <w:tcPr>
            <w:tcW w:w="2487" w:type="dxa"/>
            <w:gridSpan w:val="3"/>
            <w:vAlign w:val="center"/>
          </w:tcPr>
          <w:p>
            <w:pPr>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6384" w:type="dxa"/>
            <w:gridSpan w:val="2"/>
            <w:vAlign w:val="center"/>
          </w:tcPr>
          <w:p>
            <w:pPr>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rPr>
                <w:rFonts w:ascii="新宋体" w:hAnsi="新宋体" w:eastAsia="新宋体"/>
                <w:b/>
                <w:sz w:val="24"/>
              </w:rPr>
            </w:pPr>
          </w:p>
        </w:tc>
        <w:tc>
          <w:tcPr>
            <w:tcW w:w="8871" w:type="dxa"/>
            <w:gridSpan w:val="5"/>
            <w:vAlign w:val="center"/>
          </w:tcPr>
          <w:p>
            <w:pPr>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rPr>
                <w:sz w:val="24"/>
              </w:rPr>
            </w:pPr>
          </w:p>
        </w:tc>
        <w:tc>
          <w:tcPr>
            <w:tcW w:w="8871" w:type="dxa"/>
            <w:gridSpan w:val="5"/>
            <w:vAlign w:val="center"/>
          </w:tcPr>
          <w:p>
            <w:pPr>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rPr>
                <w:rFonts w:ascii="新宋体" w:hAnsi="新宋体" w:eastAsia="新宋体"/>
                <w:sz w:val="24"/>
              </w:rPr>
            </w:pPr>
          </w:p>
        </w:tc>
        <w:tc>
          <w:tcPr>
            <w:tcW w:w="8871" w:type="dxa"/>
            <w:gridSpan w:val="5"/>
            <w:vAlign w:val="center"/>
          </w:tcPr>
          <w:p>
            <w:pPr>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rPr>
                <w:rFonts w:ascii="新宋体" w:hAnsi="新宋体" w:eastAsia="新宋体"/>
                <w:sz w:val="24"/>
              </w:rPr>
            </w:pPr>
          </w:p>
        </w:tc>
        <w:tc>
          <w:tcPr>
            <w:tcW w:w="8871" w:type="dxa"/>
            <w:gridSpan w:val="5"/>
            <w:vAlign w:val="center"/>
          </w:tcPr>
          <w:p>
            <w:pPr>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rPr>
                <w:sz w:val="24"/>
              </w:rPr>
            </w:pPr>
          </w:p>
        </w:tc>
        <w:tc>
          <w:tcPr>
            <w:tcW w:w="8871" w:type="dxa"/>
            <w:gridSpan w:val="5"/>
            <w:vAlign w:val="center"/>
          </w:tcPr>
          <w:p>
            <w:pPr>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rPr>
                <w:sz w:val="24"/>
              </w:rPr>
            </w:pPr>
          </w:p>
        </w:tc>
        <w:tc>
          <w:tcPr>
            <w:tcW w:w="8871" w:type="dxa"/>
            <w:gridSpan w:val="5"/>
            <w:vAlign w:val="center"/>
          </w:tcPr>
          <w:p>
            <w:pPr>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rPr>
                <w:sz w:val="24"/>
              </w:rPr>
            </w:pPr>
          </w:p>
        </w:tc>
        <w:tc>
          <w:tcPr>
            <w:tcW w:w="8871" w:type="dxa"/>
            <w:gridSpan w:val="5"/>
            <w:vAlign w:val="center"/>
          </w:tcPr>
          <w:p>
            <w:pPr>
              <w:rPr>
                <w:rFonts w:hint="eastAsia" w:ascii="新宋体" w:hAnsi="新宋体" w:eastAsia="新宋体" w:cs="Times New Roman"/>
                <w:sz w:val="24"/>
                <w:szCs w:val="22"/>
              </w:rPr>
            </w:pPr>
            <w:r>
              <w:rPr>
                <w:rFonts w:hint="eastAsia" w:ascii="新宋体" w:hAnsi="新宋体" w:eastAsia="新宋体" w:cs="Times New Roman"/>
                <w:sz w:val="24"/>
                <w:szCs w:val="22"/>
              </w:rPr>
              <w:t>构成本招标文件的各个组成文件应互为解释，互为说明；</w:t>
            </w:r>
          </w:p>
          <w:p>
            <w:pPr>
              <w:rPr>
                <w:rFonts w:hint="eastAsia" w:ascii="新宋体" w:hAnsi="新宋体" w:eastAsia="新宋体" w:cs="Times New Roman"/>
                <w:sz w:val="24"/>
                <w:szCs w:val="22"/>
              </w:rPr>
            </w:pPr>
            <w:r>
              <w:rPr>
                <w:rFonts w:hint="eastAsia" w:ascii="新宋体" w:hAnsi="新宋体" w:eastAsia="新宋体" w:cs="Times New Roman"/>
                <w:sz w:val="24"/>
                <w:szCs w:val="22"/>
              </w:rPr>
              <w:t>1、如有不明确或不一致，构成合同文件组成内容，以合同文件约定内容为准，且以专用合同条款约定的合同文件优先顺序解释；</w:t>
            </w:r>
          </w:p>
          <w:p>
            <w:pPr>
              <w:rPr>
                <w:rFonts w:hint="eastAsia" w:ascii="新宋体" w:hAnsi="新宋体" w:eastAsia="新宋体" w:cs="Times New Roman"/>
                <w:sz w:val="24"/>
                <w:szCs w:val="22"/>
              </w:rPr>
            </w:pPr>
            <w:r>
              <w:rPr>
                <w:rFonts w:hint="eastAsia" w:ascii="新宋体" w:hAnsi="新宋体" w:eastAsia="新宋体" w:cs="Times New Roman"/>
                <w:sz w:val="24"/>
                <w:szCs w:val="22"/>
              </w:rPr>
              <w:t>2、除招标文件中有特别规定外，仅适用于招标投标阶段的规定，按招标公告（投标邀请书）、投标人须知、评标办法、投标文件格式的先后顺序解释；</w:t>
            </w:r>
          </w:p>
          <w:p>
            <w:pPr>
              <w:rPr>
                <w:rFonts w:hint="eastAsia" w:ascii="新宋体" w:hAnsi="新宋体" w:eastAsia="新宋体" w:cs="Times New Roman"/>
                <w:sz w:val="24"/>
                <w:szCs w:val="22"/>
              </w:rPr>
            </w:pPr>
            <w:r>
              <w:rPr>
                <w:rFonts w:hint="eastAsia" w:ascii="新宋体" w:hAnsi="新宋体" w:eastAsia="新宋体" w:cs="Times New Roman"/>
                <w:sz w:val="24"/>
                <w:szCs w:val="22"/>
              </w:rPr>
              <w:t>3、同一组成文件中就同一事项的规定或约定不一致的，以编排顺序在后者为准；</w:t>
            </w:r>
          </w:p>
          <w:p>
            <w:pPr>
              <w:rPr>
                <w:rFonts w:hint="eastAsia" w:ascii="新宋体" w:hAnsi="新宋体" w:eastAsia="新宋体" w:cs="Times New Roman"/>
                <w:sz w:val="24"/>
                <w:szCs w:val="22"/>
              </w:rPr>
            </w:pPr>
            <w:r>
              <w:rPr>
                <w:rFonts w:hint="eastAsia" w:ascii="新宋体" w:hAnsi="新宋体" w:eastAsia="新宋体" w:cs="Times New Roman"/>
                <w:sz w:val="24"/>
                <w:szCs w:val="22"/>
              </w:rPr>
              <w:t>4、同一组成文件不同版本之间有不一致的，以形成时间在后者为准。</w:t>
            </w:r>
          </w:p>
          <w:p>
            <w:pPr>
              <w:rPr>
                <w:rFonts w:ascii="新宋体" w:hAnsi="新宋体" w:eastAsia="新宋体"/>
                <w:sz w:val="24"/>
              </w:rPr>
            </w:pPr>
            <w:r>
              <w:rPr>
                <w:rFonts w:hint="eastAsia" w:ascii="新宋体" w:hAnsi="新宋体" w:eastAsia="新宋体" w:cs="Times New Roman"/>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rPr>
                <w:sz w:val="24"/>
              </w:rPr>
            </w:pPr>
          </w:p>
        </w:tc>
        <w:tc>
          <w:tcPr>
            <w:tcW w:w="8871" w:type="dxa"/>
            <w:gridSpan w:val="5"/>
            <w:vAlign w:val="center"/>
          </w:tcPr>
          <w:p>
            <w:pPr>
              <w:spacing w:line="240" w:lineRule="auto"/>
              <w:rPr>
                <w:rFonts w:hAnsi="宋体" w:cs="仿宋_GB2312"/>
                <w:sz w:val="24"/>
              </w:rPr>
            </w:pPr>
            <w:r>
              <w:rPr>
                <w:rFonts w:hint="eastAsia" w:hAnsi="宋体" w:cs="仿宋_GB2312"/>
                <w:sz w:val="24"/>
              </w:rPr>
              <w:t>1、逾期送达的或者未送达指定地点的纸质投标文件；</w:t>
            </w:r>
          </w:p>
          <w:p>
            <w:pPr>
              <w:spacing w:line="240" w:lineRule="auto"/>
              <w:rPr>
                <w:rFonts w:hAnsi="宋体" w:cs="仿宋_GB2312"/>
                <w:sz w:val="24"/>
              </w:rPr>
            </w:pPr>
            <w:r>
              <w:rPr>
                <w:rFonts w:hint="eastAsia" w:hAnsi="宋体" w:cs="仿宋_GB2312"/>
                <w:sz w:val="24"/>
              </w:rPr>
              <w:t>2、纸质投标文件、电子介质存储的投标文件未按招标文件要求密封的；</w:t>
            </w:r>
          </w:p>
          <w:p>
            <w:pPr>
              <w:spacing w:line="240" w:lineRule="auto"/>
              <w:rPr>
                <w:rFonts w:hAnsi="宋体" w:cs="仿宋_GB2312"/>
                <w:sz w:val="24"/>
              </w:rPr>
            </w:pPr>
            <w:r>
              <w:rPr>
                <w:rFonts w:hint="eastAsia" w:hAnsi="宋体" w:cs="仿宋_GB2312"/>
                <w:sz w:val="24"/>
              </w:rPr>
              <w:t>3、未按招标文件要求缴纳投标保证金的；</w:t>
            </w:r>
          </w:p>
          <w:p>
            <w:pPr>
              <w:spacing w:line="240" w:lineRule="auto"/>
              <w:rPr>
                <w:rFonts w:hAnsi="宋体" w:cs="仿宋_GB2312"/>
                <w:sz w:val="24"/>
              </w:rPr>
            </w:pPr>
            <w:r>
              <w:rPr>
                <w:rFonts w:hint="eastAsia" w:hAnsi="宋体" w:cs="仿宋_GB2312"/>
                <w:sz w:val="24"/>
              </w:rPr>
              <w:t>4、开标时法人或授权委托人（持有效的授权委托书）未携带本人身份证到开标现场并签到的；</w:t>
            </w:r>
          </w:p>
          <w:p>
            <w:pPr>
              <w:spacing w:line="240" w:lineRule="auto"/>
            </w:pPr>
            <w:r>
              <w:rPr>
                <w:rFonts w:hint="eastAsia" w:hAnsi="宋体" w:cs="仿宋_GB2312"/>
                <w:sz w:val="24"/>
                <w:lang w:val="en-US" w:eastAsia="zh-CN"/>
              </w:rPr>
              <w:t>5</w:t>
            </w:r>
            <w:r>
              <w:rPr>
                <w:rFonts w:hint="eastAsia" w:hAnsi="宋体" w:cs="仿宋_GB2312"/>
                <w:sz w:val="24"/>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rPr>
                <w:sz w:val="24"/>
              </w:rPr>
            </w:pPr>
          </w:p>
        </w:tc>
        <w:tc>
          <w:tcPr>
            <w:tcW w:w="8871" w:type="dxa"/>
            <w:gridSpan w:val="5"/>
            <w:vAlign w:val="center"/>
          </w:tcPr>
          <w:p>
            <w:pPr>
              <w:tabs>
                <w:tab w:val="left" w:pos="1213"/>
              </w:tabs>
              <w:adjustRightInd w:val="0"/>
              <w:snapToGrid w:val="0"/>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rPr>
                <w:sz w:val="24"/>
              </w:rPr>
            </w:pPr>
          </w:p>
        </w:tc>
        <w:tc>
          <w:tcPr>
            <w:tcW w:w="8871" w:type="dxa"/>
            <w:gridSpan w:val="5"/>
            <w:vAlign w:val="center"/>
          </w:tcPr>
          <w:p>
            <w:pPr>
              <w:spacing w:line="240" w:lineRule="auto"/>
              <w:rPr>
                <w:rFonts w:hint="eastAsia" w:ascii="新宋体" w:hAnsi="新宋体" w:eastAsia="新宋体"/>
                <w:sz w:val="24"/>
                <w:szCs w:val="22"/>
              </w:rPr>
            </w:pPr>
            <w:r>
              <w:rPr>
                <w:rFonts w:hint="eastAsia" w:ascii="新宋体" w:hAnsi="新宋体" w:eastAsia="新宋体"/>
                <w:sz w:val="24"/>
                <w:szCs w:val="22"/>
                <w:lang w:val="en-US" w:eastAsia="zh-CN"/>
              </w:rPr>
              <w:t>1、</w:t>
            </w:r>
            <w:r>
              <w:rPr>
                <w:rFonts w:hint="eastAsia" w:ascii="新宋体" w:hAnsi="新宋体" w:eastAsia="新宋体"/>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240" w:lineRule="auto"/>
              <w:rPr>
                <w:rFonts w:hint="eastAsia"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2、潜在投标人如对招标文件有异议，请在规定时间内在《全国公共资源交易平台（河南省·许昌市）》公共资源交易系统中提出，以其他方式递交的异议不予接受。</w:t>
            </w:r>
          </w:p>
          <w:p>
            <w:pPr>
              <w:spacing w:line="240" w:lineRule="auto"/>
              <w:rPr>
                <w:rFonts w:hint="eastAsia"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3、投标人在投标截止时间前应随时关注《全国公共资源交易平台（河南省·许昌市）》公共资源交易系统发出的有关本项目的答疑、变更修改等相关内容。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pPr>
            <w:r>
              <w:rPr>
                <w:rFonts w:hint="eastAsia"/>
                <w:b/>
                <w:bCs/>
                <w:sz w:val="30"/>
                <w:szCs w:val="30"/>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tc>
      </w:tr>
    </w:tbl>
    <w:p>
      <w:pPr>
        <w:pStyle w:val="2"/>
        <w:ind w:left="0" w:leftChars="0" w:firstLine="0" w:firstLineChars="0"/>
        <w:rPr>
          <w:rFonts w:hint="eastAsia" w:hAnsi="宋体" w:cs="宋体"/>
          <w:b/>
          <w:sz w:val="28"/>
          <w:szCs w:val="28"/>
        </w:rPr>
      </w:pPr>
      <w:bookmarkStart w:id="7" w:name="_Toc283559947"/>
    </w:p>
    <w:p>
      <w:pPr>
        <w:pStyle w:val="2"/>
        <w:ind w:left="0" w:leftChars="0" w:firstLine="0" w:firstLineChars="0"/>
        <w:rPr>
          <w:rFonts w:hint="eastAsia" w:hAnsi="宋体" w:cs="宋体"/>
          <w:b/>
          <w:sz w:val="28"/>
          <w:szCs w:val="28"/>
        </w:rPr>
      </w:pPr>
    </w:p>
    <w:p>
      <w:pPr>
        <w:autoSpaceDE w:val="0"/>
        <w:autoSpaceDN w:val="0"/>
        <w:jc w:val="left"/>
        <w:outlineLvl w:val="0"/>
        <w:rPr>
          <w:rFonts w:hAnsi="宋体" w:cs="宋体"/>
          <w:b/>
          <w:sz w:val="28"/>
          <w:szCs w:val="28"/>
        </w:rPr>
      </w:pPr>
      <w:r>
        <w:rPr>
          <w:rFonts w:hint="eastAsia" w:hAnsi="宋体" w:cs="宋体"/>
          <w:b/>
          <w:sz w:val="28"/>
          <w:szCs w:val="28"/>
        </w:rPr>
        <w:t>1. 总则</w:t>
      </w:r>
    </w:p>
    <w:p>
      <w:pPr>
        <w:autoSpaceDE w:val="0"/>
        <w:autoSpaceDN w:val="0"/>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1</w:t>
      </w:r>
      <w:r>
        <w:rPr>
          <w:rFonts w:hint="eastAsia" w:hAnsi="宋体" w:cs="仿宋_GB2312"/>
          <w:sz w:val="24"/>
        </w:rPr>
        <w:t xml:space="preserve"> 本招标项目招标人：见投标人须知前附表。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1.1.4 本招标项目</w:t>
      </w:r>
      <w:r>
        <w:rPr>
          <w:rFonts w:hint="eastAsia" w:hAnsi="宋体" w:cs="仿宋_GB2312"/>
          <w:sz w:val="24"/>
          <w:lang w:val="en-US" w:eastAsia="zh-CN"/>
        </w:rPr>
        <w:t>名称</w:t>
      </w:r>
      <w:r>
        <w:rPr>
          <w:rFonts w:hint="eastAsia" w:hAnsi="宋体" w:cs="仿宋_GB2312"/>
          <w:sz w:val="24"/>
        </w:rPr>
        <w:t>：见投标人须知前附表。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1.1.5 本</w:t>
      </w:r>
      <w:r>
        <w:rPr>
          <w:rFonts w:hint="eastAsia" w:hAnsi="宋体" w:cs="仿宋_GB2312"/>
          <w:sz w:val="24"/>
          <w:lang w:val="en-US" w:eastAsia="zh-CN"/>
        </w:rPr>
        <w:t>项目</w:t>
      </w:r>
      <w:r>
        <w:rPr>
          <w:rFonts w:hint="eastAsia" w:hAnsi="宋体" w:cs="仿宋_GB2312"/>
          <w:sz w:val="24"/>
        </w:rPr>
        <w:t>建设地点：见</w:t>
      </w:r>
      <w:r>
        <w:rPr>
          <w:rFonts w:hint="eastAsia" w:hAnsi="宋体" w:cs="仿宋_GB2312"/>
          <w:sz w:val="24"/>
          <w:lang w:val="en-US" w:eastAsia="zh-CN"/>
        </w:rPr>
        <w:t>招标</w:t>
      </w:r>
      <w:r>
        <w:rPr>
          <w:rFonts w:hint="eastAsia" w:hAnsi="宋体" w:cs="仿宋_GB2312"/>
          <w:sz w:val="24"/>
        </w:rPr>
        <w:t>人须知前附表。</w:t>
      </w:r>
    </w:p>
    <w:p>
      <w:pPr>
        <w:autoSpaceDE w:val="0"/>
        <w:autoSpaceDN w:val="0"/>
        <w:jc w:val="left"/>
        <w:outlineLvl w:val="0"/>
        <w:rPr>
          <w:rFonts w:hAnsi="宋体" w:cs="宋体"/>
          <w:b/>
          <w:sz w:val="24"/>
        </w:rPr>
      </w:pPr>
      <w:r>
        <w:rPr>
          <w:rFonts w:hint="eastAsia" w:hAnsi="宋体" w:cs="宋体"/>
          <w:b/>
          <w:sz w:val="24"/>
        </w:rPr>
        <w:t>1.2 资金来源和落实情况</w:t>
      </w:r>
    </w:p>
    <w:p>
      <w:pPr>
        <w:autoSpaceDE w:val="0"/>
        <w:autoSpaceDN w:val="0"/>
        <w:adjustRightInd w:val="0"/>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负责人</w:t>
      </w:r>
      <w:r>
        <w:rPr>
          <w:rFonts w:hint="eastAsia" w:hAnsi="宋体" w:cs="宋体"/>
          <w:b/>
          <w:sz w:val="24"/>
        </w:rPr>
        <w:t>资格要求</w:t>
      </w:r>
    </w:p>
    <w:p>
      <w:pPr>
        <w:autoSpaceDE w:val="0"/>
        <w:autoSpaceDN w:val="0"/>
        <w:adjustRightInd w:val="0"/>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负责人</w:t>
      </w:r>
      <w:r>
        <w:rPr>
          <w:rFonts w:hint="eastAsia" w:hAnsi="宋体" w:cs="仿宋_GB2312"/>
          <w:sz w:val="24"/>
        </w:rPr>
        <w:t>资格要求：见投标人须知前附表。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jc w:val="left"/>
        <w:outlineLvl w:val="0"/>
        <w:rPr>
          <w:rFonts w:hAnsi="宋体" w:cs="宋体"/>
          <w:b/>
          <w:sz w:val="24"/>
        </w:rPr>
      </w:pPr>
      <w:bookmarkStart w:id="8" w:name="_Toc152045535"/>
      <w:bookmarkStart w:id="9" w:name="_Toc179632552"/>
      <w:bookmarkStart w:id="10" w:name="_Toc152042311"/>
      <w:bookmarkStart w:id="11" w:name="_Toc144974503"/>
      <w:r>
        <w:rPr>
          <w:rFonts w:hint="eastAsia" w:hAnsi="宋体" w:cs="宋体"/>
          <w:b/>
          <w:sz w:val="24"/>
        </w:rPr>
        <w:t>1.5 费用承担</w:t>
      </w:r>
      <w:bookmarkEnd w:id="8"/>
      <w:bookmarkEnd w:id="9"/>
      <w:bookmarkEnd w:id="10"/>
      <w:bookmarkEnd w:id="11"/>
    </w:p>
    <w:p>
      <w:pPr>
        <w:autoSpaceDE w:val="0"/>
        <w:autoSpaceDN w:val="0"/>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ind w:firstLine="480" w:firstLineChars="200"/>
        <w:jc w:val="left"/>
        <w:outlineLvl w:val="0"/>
        <w:rPr>
          <w:rFonts w:hAnsi="宋体" w:cs="宋体"/>
          <w:sz w:val="24"/>
        </w:rPr>
      </w:pPr>
      <w:r>
        <w:rPr>
          <w:rFonts w:hint="eastAsia" w:hAnsi="宋体" w:cs="宋体"/>
          <w:sz w:val="24"/>
        </w:rPr>
        <w:t>本招标文件包括：</w:t>
      </w:r>
    </w:p>
    <w:p>
      <w:pPr>
        <w:ind w:firstLine="410" w:firstLineChars="171"/>
        <w:rPr>
          <w:sz w:val="24"/>
        </w:rPr>
      </w:pPr>
      <w:r>
        <w:rPr>
          <w:rFonts w:hint="eastAsia"/>
          <w:sz w:val="24"/>
        </w:rPr>
        <w:t>（1）招标公告；</w:t>
      </w:r>
    </w:p>
    <w:p>
      <w:pPr>
        <w:ind w:firstLine="410" w:firstLineChars="171"/>
        <w:rPr>
          <w:sz w:val="24"/>
        </w:rPr>
      </w:pPr>
      <w:r>
        <w:rPr>
          <w:rFonts w:hint="eastAsia"/>
          <w:sz w:val="24"/>
        </w:rPr>
        <w:t>（2）投标人须知；</w:t>
      </w:r>
    </w:p>
    <w:p>
      <w:pPr>
        <w:ind w:firstLine="410" w:firstLineChars="171"/>
        <w:rPr>
          <w:sz w:val="24"/>
        </w:rPr>
      </w:pPr>
      <w:r>
        <w:rPr>
          <w:rFonts w:hint="eastAsia"/>
          <w:sz w:val="24"/>
        </w:rPr>
        <w:t>（3）评标办法；</w:t>
      </w:r>
    </w:p>
    <w:p>
      <w:pPr>
        <w:ind w:firstLine="410" w:firstLineChars="171"/>
        <w:rPr>
          <w:sz w:val="24"/>
        </w:rPr>
      </w:pPr>
      <w:r>
        <w:rPr>
          <w:rFonts w:hint="eastAsia"/>
          <w:sz w:val="24"/>
        </w:rPr>
        <w:t>（4）合同条款及格式；</w:t>
      </w:r>
    </w:p>
    <w:p>
      <w:pPr>
        <w:ind w:firstLine="410" w:firstLineChars="171"/>
        <w:rPr>
          <w:sz w:val="24"/>
        </w:rPr>
      </w:pPr>
      <w:r>
        <w:rPr>
          <w:rFonts w:hint="eastAsia"/>
          <w:sz w:val="24"/>
        </w:rPr>
        <w:t xml:space="preserve">（5）工程量清单； </w:t>
      </w:r>
    </w:p>
    <w:p>
      <w:pPr>
        <w:ind w:firstLine="410" w:firstLineChars="171"/>
        <w:rPr>
          <w:sz w:val="24"/>
        </w:rPr>
      </w:pPr>
      <w:r>
        <w:rPr>
          <w:rFonts w:hint="eastAsia"/>
          <w:sz w:val="24"/>
        </w:rPr>
        <w:t>（6）图纸；</w:t>
      </w:r>
      <w:r>
        <w:rPr>
          <w:rFonts w:hint="eastAsia"/>
          <w:sz w:val="24"/>
          <w:lang w:eastAsia="zh-CN"/>
        </w:rPr>
        <w:t>（</w:t>
      </w:r>
      <w:r>
        <w:rPr>
          <w:rFonts w:hint="eastAsia"/>
          <w:sz w:val="24"/>
          <w:lang w:val="en-US" w:eastAsia="zh-CN"/>
        </w:rPr>
        <w:t>另附</w:t>
      </w:r>
      <w:r>
        <w:rPr>
          <w:rFonts w:hint="eastAsia"/>
          <w:sz w:val="24"/>
          <w:lang w:eastAsia="zh-CN"/>
        </w:rPr>
        <w:t>）</w:t>
      </w:r>
      <w:r>
        <w:rPr>
          <w:rFonts w:hint="eastAsia"/>
          <w:sz w:val="24"/>
        </w:rPr>
        <w:t xml:space="preserve"> </w:t>
      </w:r>
    </w:p>
    <w:p>
      <w:pPr>
        <w:ind w:firstLine="410" w:firstLineChars="171"/>
        <w:rPr>
          <w:sz w:val="24"/>
        </w:rPr>
      </w:pPr>
      <w:r>
        <w:rPr>
          <w:rFonts w:hint="eastAsia"/>
          <w:sz w:val="24"/>
        </w:rPr>
        <w:t>（7）技术标准和要求；</w:t>
      </w:r>
    </w:p>
    <w:p>
      <w:pPr>
        <w:ind w:firstLine="410" w:firstLineChars="171"/>
        <w:rPr>
          <w:sz w:val="24"/>
        </w:rPr>
      </w:pPr>
      <w:r>
        <w:rPr>
          <w:rFonts w:hint="eastAsia"/>
          <w:sz w:val="24"/>
        </w:rPr>
        <w:t>（8）投标文件格式；</w:t>
      </w:r>
    </w:p>
    <w:p>
      <w:pPr>
        <w:ind w:firstLine="410" w:firstLineChars="171"/>
        <w:rPr>
          <w:sz w:val="24"/>
        </w:rPr>
      </w:pPr>
      <w:r>
        <w:rPr>
          <w:rFonts w:hint="eastAsia"/>
          <w:sz w:val="24"/>
        </w:rPr>
        <w:t>（9）投标人须知前附表规定的其他材料；</w:t>
      </w:r>
    </w:p>
    <w:p>
      <w:pPr>
        <w:autoSpaceDE w:val="0"/>
        <w:autoSpaceDN w:val="0"/>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ind w:firstLine="480" w:firstLineChars="200"/>
        <w:jc w:val="left"/>
        <w:outlineLvl w:val="0"/>
        <w:rPr>
          <w:rFonts w:hAnsi="宋体" w:cs="宋体"/>
          <w:sz w:val="24"/>
        </w:rPr>
      </w:pPr>
      <w:r>
        <w:rPr>
          <w:rFonts w:hint="eastAsia" w:hAnsi="宋体" w:cs="宋体"/>
          <w:sz w:val="24"/>
        </w:rPr>
        <w:t>3.1.1  商务标组成：</w:t>
      </w:r>
    </w:p>
    <w:p>
      <w:pPr>
        <w:autoSpaceDE w:val="0"/>
        <w:autoSpaceDN w:val="0"/>
        <w:ind w:firstLine="480" w:firstLineChars="200"/>
        <w:jc w:val="left"/>
        <w:outlineLvl w:val="0"/>
        <w:rPr>
          <w:rFonts w:hAnsi="宋体" w:cs="宋体"/>
          <w:sz w:val="24"/>
        </w:rPr>
      </w:pPr>
      <w:r>
        <w:rPr>
          <w:rFonts w:hint="eastAsia" w:hAnsi="宋体" w:cs="宋体"/>
          <w:sz w:val="24"/>
        </w:rPr>
        <w:t>已标价工程量清单。</w:t>
      </w:r>
    </w:p>
    <w:p>
      <w:pPr>
        <w:autoSpaceDE w:val="0"/>
        <w:autoSpaceDN w:val="0"/>
        <w:ind w:firstLine="480" w:firstLineChars="200"/>
        <w:jc w:val="left"/>
        <w:outlineLvl w:val="0"/>
        <w:rPr>
          <w:rFonts w:hAnsi="宋体" w:cs="宋体"/>
          <w:sz w:val="24"/>
        </w:rPr>
      </w:pPr>
      <w:r>
        <w:rPr>
          <w:rFonts w:hint="eastAsia" w:hAnsi="宋体" w:cs="宋体"/>
          <w:sz w:val="24"/>
        </w:rPr>
        <w:t>3.1.2  综合（信用）标组成：</w:t>
      </w:r>
    </w:p>
    <w:p>
      <w:pPr>
        <w:autoSpaceDE w:val="0"/>
        <w:autoSpaceDN w:val="0"/>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ind w:firstLine="480" w:firstLineChars="200"/>
        <w:jc w:val="left"/>
        <w:outlineLvl w:val="0"/>
        <w:rPr>
          <w:rFonts w:hAnsi="宋体" w:cs="宋体"/>
          <w:sz w:val="24"/>
        </w:rPr>
      </w:pPr>
      <w:r>
        <w:rPr>
          <w:rFonts w:hint="eastAsia" w:hAnsi="宋体" w:cs="宋体"/>
          <w:sz w:val="24"/>
        </w:rPr>
        <w:t>（3）投标保证金；</w:t>
      </w:r>
    </w:p>
    <w:p>
      <w:pPr>
        <w:autoSpaceDE w:val="0"/>
        <w:autoSpaceDN w:val="0"/>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ind w:firstLine="480" w:firstLineChars="200"/>
        <w:jc w:val="left"/>
        <w:outlineLvl w:val="0"/>
        <w:rPr>
          <w:rFonts w:hAnsi="宋体" w:cs="宋体"/>
          <w:sz w:val="24"/>
        </w:rPr>
      </w:pPr>
      <w:r>
        <w:rPr>
          <w:rFonts w:hint="eastAsia" w:hAnsi="宋体" w:cs="宋体"/>
          <w:sz w:val="24"/>
        </w:rPr>
        <w:t>（6）资格证明文件；</w:t>
      </w:r>
    </w:p>
    <w:p>
      <w:pPr>
        <w:autoSpaceDE w:val="0"/>
        <w:autoSpaceDN w:val="0"/>
        <w:ind w:firstLine="480" w:firstLineChars="200"/>
        <w:jc w:val="left"/>
        <w:outlineLvl w:val="0"/>
        <w:rPr>
          <w:rFonts w:hAnsi="宋体" w:cs="宋体"/>
          <w:sz w:val="24"/>
        </w:rPr>
      </w:pPr>
      <w:r>
        <w:rPr>
          <w:rFonts w:hint="eastAsia" w:hAnsi="宋体" w:cs="宋体"/>
          <w:sz w:val="24"/>
        </w:rPr>
        <w:t>（7）近年财务状况；</w:t>
      </w:r>
    </w:p>
    <w:p>
      <w:pPr>
        <w:autoSpaceDE w:val="0"/>
        <w:autoSpaceDN w:val="0"/>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ind w:firstLine="480" w:firstLineChars="200"/>
        <w:jc w:val="left"/>
        <w:outlineLvl w:val="0"/>
        <w:rPr>
          <w:rFonts w:hAnsi="宋体" w:cs="宋体"/>
          <w:sz w:val="24"/>
        </w:rPr>
      </w:pPr>
      <w:r>
        <w:rPr>
          <w:rFonts w:hint="eastAsia" w:hAnsi="宋体" w:cs="宋体"/>
          <w:sz w:val="24"/>
        </w:rPr>
        <w:t>（11）其它材料；</w:t>
      </w:r>
    </w:p>
    <w:p>
      <w:pPr>
        <w:autoSpaceDE w:val="0"/>
        <w:autoSpaceDN w:val="0"/>
        <w:ind w:firstLine="480" w:firstLineChars="200"/>
        <w:jc w:val="left"/>
        <w:outlineLvl w:val="0"/>
        <w:rPr>
          <w:rFonts w:hAnsi="宋体" w:cs="宋体"/>
          <w:sz w:val="24"/>
        </w:rPr>
      </w:pPr>
      <w:r>
        <w:rPr>
          <w:rFonts w:hint="eastAsia" w:hAnsi="宋体" w:cs="宋体"/>
          <w:sz w:val="24"/>
        </w:rPr>
        <w:t>3.1.3  技术标组成：</w:t>
      </w:r>
    </w:p>
    <w:p>
      <w:pPr>
        <w:autoSpaceDE w:val="0"/>
        <w:autoSpaceDN w:val="0"/>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ind w:firstLine="480" w:firstLineChars="200"/>
        <w:jc w:val="left"/>
        <w:outlineLvl w:val="0"/>
        <w:rPr>
          <w:rFonts w:hAnsi="宋体" w:cs="宋体"/>
          <w:sz w:val="24"/>
        </w:rPr>
      </w:pPr>
      <w:r>
        <w:rPr>
          <w:rFonts w:hint="eastAsia" w:hAnsi="宋体" w:cs="宋体"/>
          <w:sz w:val="24"/>
        </w:rPr>
        <w:t>（9）施工总平面布置图；</w:t>
      </w:r>
    </w:p>
    <w:p>
      <w:pPr>
        <w:autoSpaceDE w:val="0"/>
        <w:autoSpaceDN w:val="0"/>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ind w:firstLine="480" w:firstLineChars="200"/>
        <w:rPr>
          <w:rFonts w:hAnsi="宋体" w:cs="宋体"/>
          <w:sz w:val="24"/>
        </w:rPr>
      </w:pPr>
      <w:bookmarkStart w:id="36" w:name="_Toc283559960"/>
      <w:r>
        <w:rPr>
          <w:rFonts w:hint="eastAsia" w:hAnsi="宋体" w:cs="宋体"/>
          <w:sz w:val="24"/>
        </w:rPr>
        <w:t>1、 投标保证金的退还：</w:t>
      </w:r>
    </w:p>
    <w:p>
      <w:pPr>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ind w:firstLine="480" w:firstLineChars="200"/>
        <w:rPr>
          <w:rFonts w:hAnsi="宋体" w:cs="宋体"/>
          <w:sz w:val="24"/>
        </w:rPr>
      </w:pPr>
      <w:r>
        <w:rPr>
          <w:rFonts w:hint="eastAsia" w:hAnsi="宋体" w:cs="宋体"/>
          <w:sz w:val="24"/>
        </w:rPr>
        <w:t>2、投标人有下列情形之一的，不予退还投标保证金：</w:t>
      </w:r>
    </w:p>
    <w:p>
      <w:pPr>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ind w:firstLine="480" w:firstLineChars="200"/>
        <w:rPr>
          <w:rFonts w:hAnsi="宋体" w:cs="宋体"/>
          <w:sz w:val="24"/>
        </w:rPr>
      </w:pPr>
      <w:r>
        <w:rPr>
          <w:rFonts w:hint="eastAsia" w:hAnsi="宋体" w:cs="宋体"/>
          <w:sz w:val="24"/>
        </w:rPr>
        <w:t xml:space="preserve"> （五）拒绝履行合同义务的；</w:t>
      </w:r>
    </w:p>
    <w:p>
      <w:pPr>
        <w:ind w:firstLine="480" w:firstLineChars="200"/>
        <w:rPr>
          <w:rFonts w:hAnsi="宋体" w:cs="宋体"/>
          <w:sz w:val="24"/>
        </w:rPr>
      </w:pPr>
      <w:r>
        <w:rPr>
          <w:rFonts w:hint="eastAsia" w:hAnsi="宋体" w:cs="宋体"/>
          <w:sz w:val="24"/>
        </w:rPr>
        <w:t xml:space="preserve"> （六）相关法律、法规规定不予退还的其它情形。</w:t>
      </w:r>
    </w:p>
    <w:p>
      <w:pPr>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“投标人基本情况表”应附投标人营业执照副本、资质证书副本和安全生产许可证等材料的复印件。</w:t>
      </w:r>
    </w:p>
    <w:p>
      <w:pPr>
        <w:pStyle w:val="2"/>
        <w:ind w:firstLine="480" w:firstLineChars="200"/>
        <w:rPr>
          <w:rFonts w:hAnsi="宋体" w:cs="宋体"/>
          <w:sz w:val="24"/>
          <w:lang w:val="zh-CN"/>
        </w:rPr>
      </w:pPr>
      <w:r>
        <w:rPr>
          <w:rFonts w:hint="eastAsia" w:hAnsi="宋体" w:cs="宋体"/>
          <w:sz w:val="24"/>
          <w:lang w:val="zh-CN"/>
        </w:rPr>
        <w:t>3.5.2 “项目管理机构配备情况”应填报满足本章第 1.4 项规定的项目</w:t>
      </w:r>
      <w:r>
        <w:rPr>
          <w:rFonts w:hint="eastAsia" w:hAnsi="宋体" w:cs="宋体"/>
          <w:sz w:val="24"/>
          <w:lang w:val="en-US" w:eastAsia="zh-CN"/>
        </w:rPr>
        <w:t>负责人</w:t>
      </w:r>
      <w:r>
        <w:rPr>
          <w:rFonts w:hint="eastAsia" w:hAnsi="宋体" w:cs="宋体"/>
          <w:sz w:val="24"/>
          <w:lang w:val="zh-CN"/>
        </w:rPr>
        <w:t>相关信息。“主要人员简历表”中项目</w:t>
      </w:r>
      <w:r>
        <w:rPr>
          <w:rFonts w:hint="eastAsia" w:hAnsi="宋体" w:cs="宋体"/>
          <w:sz w:val="24"/>
          <w:lang w:val="en-US" w:eastAsia="zh-CN"/>
        </w:rPr>
        <w:t>负责人</w:t>
      </w:r>
      <w:r>
        <w:rPr>
          <w:rFonts w:hint="eastAsia" w:hAnsi="宋体" w:cs="宋体"/>
          <w:sz w:val="24"/>
          <w:lang w:val="zh-CN"/>
        </w:rPr>
        <w:t>应附身份证、职称证、执业资格证书和社保缴费证明复印件，其他主要人员应附身份证、有关证书和社保缴费证明复印件。</w:t>
      </w:r>
    </w:p>
    <w:p>
      <w:pPr>
        <w:tabs>
          <w:tab w:val="left" w:pos="1260"/>
        </w:tabs>
        <w:autoSpaceDE w:val="0"/>
        <w:autoSpaceDN w:val="0"/>
        <w:adjustRightInd w:val="0"/>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“近年财务状况表”应附经会计师事务所或审计机构审计的财务会计报表，包括资产负债表、现金流量表、利润表和财务情况说明书的复印件，具体年份要求见投标人须知前附表。</w:t>
      </w:r>
    </w:p>
    <w:p>
      <w:pPr>
        <w:tabs>
          <w:tab w:val="left" w:pos="1260"/>
        </w:tabs>
        <w:autoSpaceDE w:val="0"/>
        <w:autoSpaceDN w:val="0"/>
        <w:adjustRightInd w:val="0"/>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“近年完成的类似项目情况表”应附中标通知书和合同协议书或合同协议书和工程竣工验收备案表（或工程竣工验收证书）的复印件，具体年份要求见投标人须知前附表。每张表格只填写一个项目，并标明序号。</w:t>
      </w:r>
    </w:p>
    <w:p>
      <w:pPr>
        <w:tabs>
          <w:tab w:val="left" w:pos="1260"/>
        </w:tabs>
        <w:autoSpaceDE w:val="0"/>
        <w:autoSpaceDN w:val="0"/>
        <w:adjustRightInd w:val="0"/>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“正在施工和新承接的项目情况表”应附合同协议书的复印件。每张表格只填写一个项目，并标明序号。</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“近年发生的诉讼及仲裁情况”应说明相关情况，并附法院或仲裁机构作出的判决、裁决等有关法律文书复印件，具体年份要求见投标人须知前附表。</w:t>
      </w:r>
    </w:p>
    <w:p>
      <w:pPr>
        <w:autoSpaceDE w:val="0"/>
        <w:autoSpaceDN w:val="0"/>
        <w:jc w:val="left"/>
        <w:rPr>
          <w:rFonts w:hAnsi="宋体" w:cs="宋体"/>
          <w:b/>
          <w:sz w:val="24"/>
        </w:rPr>
      </w:pPr>
      <w:r>
        <w:rPr>
          <w:rFonts w:hint="eastAsia" w:hAnsi="宋体" w:cs="宋体"/>
          <w:b/>
          <w:sz w:val="24"/>
        </w:rPr>
        <w:t xml:space="preserve">3.6 </w:t>
      </w:r>
      <w:bookmarkStart w:id="37" w:name="_Toc152042329"/>
      <w:bookmarkStart w:id="38" w:name="_Toc152045553"/>
      <w:bookmarkStart w:id="39" w:name="_Toc144974521"/>
      <w:bookmarkStart w:id="40" w:name="_Toc179632571"/>
      <w:r>
        <w:rPr>
          <w:rFonts w:hint="eastAsia" w:hAnsi="宋体" w:cs="宋体"/>
          <w:b/>
          <w:sz w:val="24"/>
        </w:rPr>
        <w:t>备选投标方案</w:t>
      </w:r>
    </w:p>
    <w:bookmarkEnd w:id="37"/>
    <w:bookmarkEnd w:id="38"/>
    <w:bookmarkEnd w:id="39"/>
    <w:bookmarkEnd w:id="40"/>
    <w:p>
      <w:pPr>
        <w:autoSpaceDE w:val="0"/>
        <w:autoSpaceDN w:val="0"/>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jc w:val="left"/>
        <w:rPr>
          <w:rFonts w:hAnsi="宋体" w:cs="宋体"/>
          <w:b/>
          <w:sz w:val="24"/>
        </w:rPr>
      </w:pPr>
      <w:bookmarkStart w:id="41" w:name="_Toc283559961"/>
      <w:r>
        <w:rPr>
          <w:rFonts w:hint="eastAsia" w:hAnsi="宋体" w:cs="宋体"/>
          <w:b/>
          <w:sz w:val="24"/>
        </w:rPr>
        <w:t>3.7 投标文件的编制</w:t>
      </w:r>
    </w:p>
    <w:p>
      <w:pPr>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ind w:firstLine="480" w:firstLineChars="200"/>
        <w:rPr>
          <w:rFonts w:hAnsi="宋体" w:cs="宋体"/>
          <w:sz w:val="24"/>
        </w:rPr>
      </w:pPr>
      <w:r>
        <w:rPr>
          <w:rFonts w:hint="eastAsia" w:hAnsi="宋体" w:cs="宋体"/>
          <w:sz w:val="24"/>
        </w:rPr>
        <w:t>3.7.3 投标人编制的投标文件应分为商务标、综合（信用）标和技术标。</w:t>
      </w:r>
    </w:p>
    <w:p>
      <w:pPr>
        <w:autoSpaceDE w:val="0"/>
        <w:autoSpaceDN w:val="0"/>
        <w:ind w:firstLine="480" w:firstLineChars="200"/>
        <w:jc w:val="left"/>
        <w:outlineLvl w:val="0"/>
        <w:rPr>
          <w:rFonts w:hAnsi="宋体" w:cs="宋体"/>
          <w:sz w:val="24"/>
        </w:rPr>
      </w:pPr>
      <w:r>
        <w:rPr>
          <w:rFonts w:hint="eastAsia" w:hAnsi="宋体" w:cs="宋体"/>
          <w:sz w:val="24"/>
        </w:rPr>
        <w:t>3.7.4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tabs>
          <w:tab w:val="left" w:pos="7095"/>
        </w:tabs>
        <w:ind w:firstLine="480" w:firstLineChars="200"/>
        <w:rPr>
          <w:rFonts w:hAnsi="宋体" w:cs="宋体"/>
          <w:sz w:val="24"/>
        </w:rPr>
      </w:pPr>
      <w:r>
        <w:rPr>
          <w:rFonts w:hint="eastAsia" w:hAnsi="宋体" w:cs="宋体"/>
          <w:sz w:val="24"/>
        </w:rPr>
        <w:t>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ind w:firstLine="480" w:firstLineChars="200"/>
        <w:jc w:val="left"/>
        <w:rPr>
          <w:rFonts w:hAnsi="宋体" w:cs="宋体"/>
          <w:sz w:val="24"/>
        </w:rPr>
      </w:pPr>
      <w:r>
        <w:rPr>
          <w:rFonts w:hint="eastAsia" w:hAnsi="宋体" w:cs="宋体"/>
          <w:sz w:val="24"/>
        </w:rPr>
        <w:t>3.7.6 纸质投标文件的正本与副本应分别装订成册同时加盖骑缝章，并编制目录，具体装订要求见投标人须知前附表规定。</w:t>
      </w:r>
    </w:p>
    <w:p>
      <w:pPr>
        <w:pStyle w:val="66"/>
        <w:jc w:val="both"/>
        <w:outlineLvl w:val="0"/>
        <w:rPr>
          <w:rFonts w:hAnsi="宋体"/>
          <w:b/>
          <w:color w:val="auto"/>
        </w:rPr>
      </w:pPr>
      <w:r>
        <w:rPr>
          <w:rFonts w:hAnsi="宋体"/>
          <w:b/>
          <w:color w:val="auto"/>
        </w:rPr>
        <w:t xml:space="preserve">4. </w:t>
      </w:r>
      <w:r>
        <w:rPr>
          <w:rFonts w:hint="eastAsia" w:hAnsi="宋体"/>
          <w:b/>
          <w:color w:val="auto"/>
        </w:rPr>
        <w:t>投标</w:t>
      </w:r>
      <w:bookmarkEnd w:id="41"/>
    </w:p>
    <w:p>
      <w:pPr>
        <w:autoSpaceDE w:val="0"/>
        <w:autoSpaceDN w:val="0"/>
        <w:adjustRightInd w:val="0"/>
        <w:jc w:val="left"/>
        <w:outlineLvl w:val="0"/>
        <w:rPr>
          <w:rFonts w:hAnsi="宋体" w:cs="宋体"/>
          <w:b/>
          <w:sz w:val="24"/>
        </w:rPr>
      </w:pPr>
      <w:bookmarkStart w:id="42" w:name="_Toc283559962"/>
      <w:r>
        <w:rPr>
          <w:rFonts w:hAnsi="宋体" w:cs="宋体"/>
          <w:b/>
          <w:sz w:val="24"/>
        </w:rPr>
        <w:t xml:space="preserve">4.1 </w:t>
      </w:r>
      <w:r>
        <w:rPr>
          <w:rFonts w:hint="eastAsia" w:hAnsi="宋体" w:cs="宋体"/>
          <w:b/>
          <w:sz w:val="24"/>
        </w:rPr>
        <w:t>投标文件的密封和标记</w:t>
      </w:r>
      <w:bookmarkEnd w:id="42"/>
    </w:p>
    <w:p>
      <w:pPr>
        <w:autoSpaceDE w:val="0"/>
        <w:autoSpaceDN w:val="0"/>
        <w:jc w:val="left"/>
        <w:outlineLvl w:val="0"/>
        <w:rPr>
          <w:rFonts w:hAnsi="宋体" w:cs="宋体"/>
          <w:b/>
          <w:bCs/>
          <w:sz w:val="24"/>
        </w:rPr>
      </w:pPr>
      <w:bookmarkStart w:id="43" w:name="_Toc283559963"/>
      <w:r>
        <w:rPr>
          <w:rFonts w:hint="eastAsia" w:hAnsi="宋体" w:cs="宋体"/>
          <w:b/>
          <w:bCs/>
          <w:sz w:val="24"/>
        </w:rPr>
        <w:t xml:space="preserve">    4.1.1 投标文件的正本、副本和电子版（U盘）应分开包装，最后把包装好的正本与副本包装在一个包装内,电子版单独包装递交，加贴封条，并在封套的封口处加盖投标人公章，密封不符合要求的不予受理。 </w:t>
      </w:r>
    </w:p>
    <w:p>
      <w:pPr>
        <w:autoSpaceDE w:val="0"/>
        <w:autoSpaceDN w:val="0"/>
        <w:jc w:val="left"/>
        <w:outlineLvl w:val="0"/>
        <w:rPr>
          <w:rFonts w:hAnsi="宋体" w:cs="宋体"/>
          <w:sz w:val="24"/>
        </w:rPr>
      </w:pPr>
      <w:r>
        <w:rPr>
          <w:rFonts w:hint="eastAsia" w:hAnsi="宋体" w:cs="宋体"/>
          <w:b/>
          <w:bCs/>
          <w:sz w:val="24"/>
        </w:rPr>
        <w:t xml:space="preserve">   </w:t>
      </w:r>
      <w:r>
        <w:rPr>
          <w:rFonts w:hint="eastAsia" w:hAnsi="宋体" w:cs="宋体"/>
          <w:sz w:val="24"/>
        </w:rPr>
        <w:t xml:space="preserve"> 4.1.2 投标文件的封套应清楚地标记“正本”或“副本”“电子版”的字样，封套上应写明的其他内容见投标人须知前附表。</w:t>
      </w:r>
    </w:p>
    <w:p>
      <w:pPr>
        <w:autoSpaceDE w:val="0"/>
        <w:autoSpaceDN w:val="0"/>
        <w:jc w:val="left"/>
        <w:outlineLvl w:val="0"/>
        <w:rPr>
          <w:rFonts w:hAnsi="宋体" w:cs="宋体"/>
          <w:sz w:val="24"/>
        </w:rPr>
      </w:pPr>
      <w:r>
        <w:rPr>
          <w:rFonts w:hint="eastAsia" w:hAnsi="宋体" w:cs="宋体"/>
          <w:sz w:val="24"/>
        </w:rPr>
        <w:t xml:space="preserve">    4.1.3 未按本章第4.1.1项或第4.1.2项要求密封和加写标记的投标文件，招标人不予受理。</w:t>
      </w:r>
    </w:p>
    <w:p>
      <w:pPr>
        <w:autoSpaceDE w:val="0"/>
        <w:autoSpaceDN w:val="0"/>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3"/>
    </w:p>
    <w:p>
      <w:pPr>
        <w:autoSpaceDE w:val="0"/>
        <w:autoSpaceDN w:val="0"/>
        <w:ind w:firstLine="480" w:firstLineChars="200"/>
        <w:jc w:val="left"/>
        <w:outlineLvl w:val="0"/>
        <w:rPr>
          <w:rFonts w:hAnsi="宋体" w:cs="宋体"/>
          <w:sz w:val="24"/>
        </w:rPr>
      </w:pPr>
      <w:bookmarkStart w:id="44" w:name="_Toc283559964"/>
      <w:r>
        <w:rPr>
          <w:rFonts w:hint="eastAsia" w:hAnsi="宋体" w:cs="宋体"/>
          <w:sz w:val="24"/>
        </w:rPr>
        <w:t>4.2.1 投标人应在本章第2.2.2项规定的投标截止时间前递交投标文件。</w:t>
      </w:r>
    </w:p>
    <w:p>
      <w:pPr>
        <w:autoSpaceDE w:val="0"/>
        <w:autoSpaceDN w:val="0"/>
        <w:ind w:firstLine="480" w:firstLineChars="200"/>
        <w:jc w:val="left"/>
        <w:outlineLvl w:val="0"/>
        <w:rPr>
          <w:rFonts w:hAnsi="宋体" w:cs="宋体"/>
          <w:sz w:val="24"/>
        </w:rPr>
      </w:pPr>
      <w:r>
        <w:rPr>
          <w:rFonts w:hint="eastAsia" w:hAnsi="宋体" w:cs="宋体"/>
          <w:sz w:val="24"/>
        </w:rPr>
        <w:t>4.2.2 投标人递交投标文件的地点：见投标人须知前附表。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4.2.3 除投标人须知前附表另有规定外，投标人所递交的投标文件不予退还。</w:t>
      </w:r>
    </w:p>
    <w:p>
      <w:pPr>
        <w:autoSpaceDE w:val="0"/>
        <w:autoSpaceDN w:val="0"/>
        <w:ind w:firstLine="480" w:firstLineChars="200"/>
        <w:jc w:val="left"/>
        <w:outlineLvl w:val="0"/>
        <w:rPr>
          <w:rFonts w:hAnsi="宋体" w:cs="宋体"/>
          <w:sz w:val="24"/>
        </w:rPr>
      </w:pPr>
      <w:r>
        <w:rPr>
          <w:rFonts w:hint="eastAsia" w:hAnsi="宋体" w:cs="宋体"/>
          <w:sz w:val="24"/>
        </w:rPr>
        <w:t>4.2.4 招标人收到投标文件后，向投标人出具签收凭证。</w:t>
      </w:r>
    </w:p>
    <w:p>
      <w:pPr>
        <w:autoSpaceDE w:val="0"/>
        <w:autoSpaceDN w:val="0"/>
        <w:ind w:firstLine="480" w:firstLineChars="200"/>
        <w:jc w:val="left"/>
        <w:outlineLvl w:val="0"/>
        <w:rPr>
          <w:rFonts w:hAnsi="宋体" w:cs="宋体"/>
          <w:sz w:val="24"/>
        </w:rPr>
      </w:pPr>
      <w:r>
        <w:rPr>
          <w:rFonts w:hint="eastAsia" w:hAnsi="宋体" w:cs="宋体"/>
          <w:sz w:val="24"/>
        </w:rPr>
        <w:t>4.2.5 逾期送达的或者未送达指定地点的投标文件，招标人不予受理。</w:t>
      </w:r>
    </w:p>
    <w:p>
      <w:pPr>
        <w:autoSpaceDE w:val="0"/>
        <w:autoSpaceDN w:val="0"/>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4"/>
    </w:p>
    <w:p>
      <w:pPr>
        <w:pStyle w:val="66"/>
        <w:ind w:firstLine="480" w:firstLineChars="200"/>
        <w:jc w:val="both"/>
        <w:rPr>
          <w:rFonts w:hAnsi="宋体"/>
        </w:rPr>
      </w:pPr>
      <w:bookmarkStart w:id="45" w:name="_Toc283559967"/>
      <w:r>
        <w:rPr>
          <w:rFonts w:hint="eastAsia" w:hAnsi="宋体"/>
        </w:rPr>
        <w:t>4.3.1 在本章第2.2.2 项规定的投标截止时间前，投标人可以修改或撤回已递交的投标文件，但应通知招标人。</w:t>
      </w:r>
    </w:p>
    <w:p>
      <w:pPr>
        <w:pStyle w:val="66"/>
        <w:ind w:firstLine="480" w:firstLineChars="200"/>
        <w:jc w:val="both"/>
        <w:rPr>
          <w:rFonts w:hAnsi="宋体"/>
        </w:rPr>
      </w:pPr>
      <w:r>
        <w:rPr>
          <w:rFonts w:hint="eastAsia" w:hAnsi="宋体"/>
        </w:rPr>
        <w:t>4.3.2 投标人修改或撤回已递交投标文件的书面通知应按照本章第3.7.4 项的要求签字或盖章。招标人收到书面通知后，向投标人出具签收凭证。</w:t>
      </w:r>
    </w:p>
    <w:p>
      <w:pPr>
        <w:pStyle w:val="66"/>
        <w:ind w:firstLine="480" w:firstLineChars="200"/>
        <w:jc w:val="both"/>
        <w:rPr>
          <w:rFonts w:hAnsi="宋体"/>
        </w:rPr>
      </w:pPr>
      <w:r>
        <w:rPr>
          <w:rFonts w:hint="eastAsia" w:hAnsi="宋体"/>
        </w:rPr>
        <w:t>4.3.3 修改的内容为投标文件的组成部分。修改的投标文件应按照本章第3条、第4条规定进行编制、密封、标记和递交，并标明“修改”字样。</w:t>
      </w:r>
    </w:p>
    <w:p>
      <w:pPr>
        <w:pStyle w:val="66"/>
        <w:jc w:val="both"/>
        <w:outlineLvl w:val="0"/>
        <w:rPr>
          <w:rFonts w:hAnsi="宋体"/>
          <w:b/>
          <w:color w:val="auto"/>
        </w:rPr>
      </w:pPr>
      <w:r>
        <w:rPr>
          <w:rFonts w:hAnsi="宋体"/>
          <w:b/>
          <w:color w:val="auto"/>
        </w:rPr>
        <w:t xml:space="preserve">5. </w:t>
      </w:r>
      <w:r>
        <w:rPr>
          <w:rFonts w:hint="eastAsia" w:hAnsi="宋体"/>
          <w:b/>
          <w:color w:val="auto"/>
        </w:rPr>
        <w:t>开标</w:t>
      </w:r>
      <w:bookmarkEnd w:id="45"/>
    </w:p>
    <w:p>
      <w:pPr>
        <w:autoSpaceDE w:val="0"/>
        <w:autoSpaceDN w:val="0"/>
        <w:adjustRightInd w:val="0"/>
        <w:jc w:val="left"/>
        <w:outlineLvl w:val="0"/>
        <w:rPr>
          <w:rFonts w:hAnsi="宋体" w:cs="宋体"/>
          <w:b/>
          <w:sz w:val="24"/>
        </w:rPr>
      </w:pPr>
      <w:bookmarkStart w:id="46" w:name="_Toc283559968"/>
      <w:r>
        <w:rPr>
          <w:rFonts w:hAnsi="宋体" w:cs="宋体"/>
          <w:b/>
          <w:sz w:val="24"/>
        </w:rPr>
        <w:t xml:space="preserve">5.1 </w:t>
      </w:r>
      <w:r>
        <w:rPr>
          <w:rFonts w:hint="eastAsia" w:hAnsi="宋体" w:cs="宋体"/>
          <w:b/>
          <w:sz w:val="24"/>
        </w:rPr>
        <w:t>开标时间和地点</w:t>
      </w:r>
      <w:bookmarkEnd w:id="46"/>
    </w:p>
    <w:p>
      <w:pPr>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jc w:val="left"/>
        <w:rPr>
          <w:rFonts w:hAnsi="宋体" w:cs="宋体"/>
          <w:b/>
          <w:sz w:val="24"/>
        </w:rPr>
      </w:pPr>
      <w:bookmarkStart w:id="47" w:name="_Toc283559970"/>
      <w:r>
        <w:rPr>
          <w:rFonts w:hint="eastAsia" w:hAnsi="宋体" w:cs="宋体"/>
          <w:b/>
          <w:sz w:val="24"/>
        </w:rPr>
        <w:t>5.2 开标、解密、唱标程序</w:t>
      </w:r>
    </w:p>
    <w:p>
      <w:pPr>
        <w:ind w:firstLine="480" w:firstLineChars="200"/>
        <w:rPr>
          <w:rFonts w:hAnsi="宋体" w:cs="宋体"/>
          <w:sz w:val="24"/>
        </w:rPr>
      </w:pPr>
      <w:r>
        <w:rPr>
          <w:rFonts w:hint="eastAsia" w:hAnsi="宋体" w:cs="宋体"/>
          <w:sz w:val="24"/>
        </w:rPr>
        <w:t>5.2.1主持人按下列程序进行开标：</w:t>
      </w:r>
    </w:p>
    <w:p>
      <w:pPr>
        <w:pStyle w:val="66"/>
        <w:ind w:firstLine="480" w:firstLineChars="200"/>
        <w:jc w:val="both"/>
        <w:outlineLvl w:val="0"/>
        <w:rPr>
          <w:rFonts w:hAnsi="宋体"/>
        </w:rPr>
      </w:pPr>
      <w:r>
        <w:rPr>
          <w:rFonts w:hint="eastAsia" w:hAnsi="宋体"/>
        </w:rPr>
        <w:t>（1）宣布开标纪律；</w:t>
      </w:r>
    </w:p>
    <w:p>
      <w:pPr>
        <w:pStyle w:val="66"/>
        <w:ind w:firstLine="480" w:firstLineChars="200"/>
        <w:jc w:val="both"/>
        <w:outlineLvl w:val="0"/>
        <w:rPr>
          <w:rFonts w:hAnsi="宋体"/>
        </w:rPr>
      </w:pPr>
      <w:r>
        <w:rPr>
          <w:rFonts w:hint="eastAsia" w:hAnsi="宋体"/>
        </w:rPr>
        <w:t>（2）公布在投标截止时间前递交投标文件的投标人名称，并点名确认投标人是否派人到场；</w:t>
      </w:r>
    </w:p>
    <w:p>
      <w:pPr>
        <w:pStyle w:val="66"/>
        <w:ind w:firstLine="480" w:firstLineChars="200"/>
        <w:jc w:val="both"/>
        <w:outlineLvl w:val="0"/>
        <w:rPr>
          <w:rFonts w:hAnsi="宋体"/>
        </w:rPr>
      </w:pPr>
      <w:r>
        <w:rPr>
          <w:rFonts w:hint="eastAsia" w:hAnsi="宋体"/>
        </w:rPr>
        <w:t>（3）宣读经备案的招标文件的补充和修改文件的份数；</w:t>
      </w:r>
    </w:p>
    <w:p>
      <w:pPr>
        <w:pStyle w:val="66"/>
        <w:ind w:firstLine="480" w:firstLineChars="200"/>
        <w:jc w:val="both"/>
        <w:outlineLvl w:val="0"/>
        <w:rPr>
          <w:rFonts w:hAnsi="宋体"/>
        </w:rPr>
      </w:pPr>
      <w:r>
        <w:rPr>
          <w:rFonts w:hint="eastAsia" w:hAnsi="宋体"/>
        </w:rPr>
        <w:t>（4）宣布开标人、唱标人、记录人、监标人等有关人员姓名；</w:t>
      </w:r>
    </w:p>
    <w:p>
      <w:pPr>
        <w:pStyle w:val="66"/>
        <w:ind w:firstLine="480" w:firstLineChars="200"/>
        <w:jc w:val="both"/>
        <w:outlineLvl w:val="0"/>
        <w:rPr>
          <w:rFonts w:hAnsi="宋体"/>
        </w:rPr>
      </w:pPr>
      <w:r>
        <w:rPr>
          <w:rFonts w:hint="eastAsia" w:hAnsi="宋体"/>
        </w:rPr>
        <w:t>（5）按照投标人须知前附表规定检查投标文件的密封情况；</w:t>
      </w:r>
    </w:p>
    <w:p>
      <w:pPr>
        <w:pStyle w:val="66"/>
        <w:ind w:firstLine="480" w:firstLineChars="200"/>
        <w:jc w:val="both"/>
        <w:outlineLvl w:val="0"/>
        <w:rPr>
          <w:rFonts w:hAnsi="宋体"/>
        </w:rPr>
      </w:pPr>
      <w:r>
        <w:rPr>
          <w:rFonts w:hint="eastAsia" w:hAnsi="宋体"/>
        </w:rPr>
        <w:t>（6）宣布投标文件开标顺序；</w:t>
      </w:r>
    </w:p>
    <w:p>
      <w:pPr>
        <w:pStyle w:val="66"/>
        <w:ind w:firstLine="480" w:firstLineChars="200"/>
        <w:jc w:val="both"/>
        <w:outlineLvl w:val="0"/>
        <w:rPr>
          <w:rFonts w:hint="eastAsia" w:hAnsi="宋体" w:eastAsia="宋体"/>
          <w:lang w:val="en-US" w:eastAsia="zh-CN"/>
        </w:rPr>
      </w:pPr>
      <w:r>
        <w:rPr>
          <w:rFonts w:hint="eastAsia" w:hAnsi="宋体"/>
        </w:rPr>
        <w:t>（7）按照宣布的开标顺序当众开标，公布投标人名称、标段名称、投标保证金的递交情况、投标报价、质量目标、工期及其他内容，并记录在案；</w:t>
      </w:r>
      <w:r>
        <w:rPr>
          <w:rFonts w:hint="eastAsia" w:hAnsi="宋体"/>
          <w:lang w:val="en-US" w:eastAsia="zh-CN"/>
        </w:rPr>
        <w:t>抽取K值。</w:t>
      </w:r>
    </w:p>
    <w:p>
      <w:pPr>
        <w:pStyle w:val="66"/>
        <w:ind w:firstLine="480" w:firstLineChars="200"/>
        <w:jc w:val="both"/>
        <w:outlineLvl w:val="0"/>
        <w:rPr>
          <w:rFonts w:hAnsi="宋体"/>
        </w:rPr>
      </w:pPr>
      <w:r>
        <w:rPr>
          <w:rFonts w:hint="eastAsia" w:hAnsi="宋体"/>
        </w:rPr>
        <w:t>（8）投标人代表、招标人代表、监标人、记录人等有关人员在开标记录上签字确认；</w:t>
      </w:r>
    </w:p>
    <w:p>
      <w:pPr>
        <w:pStyle w:val="66"/>
        <w:ind w:firstLine="480" w:firstLineChars="200"/>
        <w:jc w:val="both"/>
        <w:outlineLvl w:val="0"/>
        <w:rPr>
          <w:rFonts w:hAnsi="宋体"/>
        </w:rPr>
      </w:pPr>
      <w:r>
        <w:rPr>
          <w:rFonts w:hint="eastAsia" w:hAnsi="宋体"/>
        </w:rPr>
        <w:t>（9）开标结束。</w:t>
      </w:r>
    </w:p>
    <w:p>
      <w:pPr>
        <w:pStyle w:val="66"/>
        <w:jc w:val="both"/>
        <w:outlineLvl w:val="0"/>
        <w:rPr>
          <w:rFonts w:hAnsi="宋体"/>
          <w:b/>
          <w:color w:val="auto"/>
        </w:rPr>
      </w:pPr>
      <w:r>
        <w:rPr>
          <w:rFonts w:hAnsi="宋体"/>
          <w:b/>
          <w:color w:val="auto"/>
        </w:rPr>
        <w:t xml:space="preserve">6. </w:t>
      </w:r>
      <w:r>
        <w:rPr>
          <w:rFonts w:hint="eastAsia" w:hAnsi="宋体"/>
          <w:b/>
          <w:color w:val="auto"/>
        </w:rPr>
        <w:t>评标</w:t>
      </w:r>
      <w:bookmarkEnd w:id="47"/>
    </w:p>
    <w:p>
      <w:pPr>
        <w:autoSpaceDE w:val="0"/>
        <w:autoSpaceDN w:val="0"/>
        <w:adjustRightInd w:val="0"/>
        <w:jc w:val="left"/>
        <w:outlineLvl w:val="0"/>
        <w:rPr>
          <w:rFonts w:hAnsi="宋体" w:cs="宋体"/>
          <w:b/>
          <w:sz w:val="24"/>
        </w:rPr>
      </w:pPr>
      <w:bookmarkStart w:id="48" w:name="_Toc283559971"/>
      <w:r>
        <w:rPr>
          <w:rFonts w:hAnsi="宋体" w:cs="宋体"/>
          <w:b/>
          <w:sz w:val="24"/>
        </w:rPr>
        <w:t xml:space="preserve">6.1 </w:t>
      </w:r>
      <w:r>
        <w:rPr>
          <w:rFonts w:hint="eastAsia" w:hAnsi="宋体" w:cs="宋体"/>
          <w:b/>
          <w:sz w:val="24"/>
        </w:rPr>
        <w:t>评标委员会</w:t>
      </w:r>
      <w:bookmarkEnd w:id="48"/>
    </w:p>
    <w:p>
      <w:pPr>
        <w:autoSpaceDE w:val="0"/>
        <w:autoSpaceDN w:val="0"/>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jc w:val="left"/>
        <w:outlineLvl w:val="0"/>
        <w:rPr>
          <w:rFonts w:hAnsi="宋体" w:cs="宋体"/>
          <w:b/>
          <w:sz w:val="24"/>
        </w:rPr>
      </w:pPr>
      <w:bookmarkStart w:id="49" w:name="_Toc283559972"/>
      <w:r>
        <w:rPr>
          <w:rFonts w:hAnsi="宋体" w:cs="宋体"/>
          <w:b/>
          <w:sz w:val="24"/>
        </w:rPr>
        <w:t xml:space="preserve">6.2 </w:t>
      </w:r>
      <w:r>
        <w:rPr>
          <w:rFonts w:hint="eastAsia" w:hAnsi="宋体" w:cs="宋体"/>
          <w:b/>
          <w:sz w:val="24"/>
        </w:rPr>
        <w:t>评标原则</w:t>
      </w:r>
      <w:bookmarkEnd w:id="49"/>
    </w:p>
    <w:p>
      <w:pPr>
        <w:autoSpaceDE w:val="0"/>
        <w:autoSpaceDN w:val="0"/>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jc w:val="left"/>
        <w:outlineLvl w:val="0"/>
        <w:rPr>
          <w:rFonts w:hAnsi="宋体" w:cs="宋体"/>
          <w:b/>
          <w:sz w:val="24"/>
        </w:rPr>
      </w:pPr>
      <w:bookmarkStart w:id="50" w:name="_Toc283559973"/>
      <w:r>
        <w:rPr>
          <w:rFonts w:hAnsi="宋体" w:cs="宋体"/>
          <w:b/>
          <w:sz w:val="24"/>
        </w:rPr>
        <w:t xml:space="preserve">6.3 </w:t>
      </w:r>
      <w:r>
        <w:rPr>
          <w:rFonts w:hint="eastAsia" w:hAnsi="宋体" w:cs="宋体"/>
          <w:b/>
          <w:sz w:val="24"/>
        </w:rPr>
        <w:t>评标</w:t>
      </w:r>
      <w:bookmarkEnd w:id="50"/>
    </w:p>
    <w:p>
      <w:pPr>
        <w:autoSpaceDE w:val="0"/>
        <w:autoSpaceDN w:val="0"/>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jc w:val="both"/>
        <w:outlineLvl w:val="0"/>
        <w:rPr>
          <w:rFonts w:hAnsi="宋体"/>
          <w:b/>
          <w:color w:val="auto"/>
        </w:rPr>
      </w:pPr>
      <w:bookmarkStart w:id="51" w:name="_Toc283559974"/>
      <w:r>
        <w:rPr>
          <w:rFonts w:hAnsi="宋体"/>
          <w:b/>
          <w:color w:val="auto"/>
        </w:rPr>
        <w:t xml:space="preserve">7. </w:t>
      </w:r>
      <w:r>
        <w:rPr>
          <w:rFonts w:hint="eastAsia" w:hAnsi="宋体"/>
          <w:b/>
          <w:color w:val="auto"/>
        </w:rPr>
        <w:t>合同授予</w:t>
      </w:r>
      <w:bookmarkEnd w:id="51"/>
    </w:p>
    <w:p>
      <w:pPr>
        <w:autoSpaceDE w:val="0"/>
        <w:autoSpaceDN w:val="0"/>
        <w:jc w:val="left"/>
        <w:outlineLvl w:val="0"/>
        <w:rPr>
          <w:rFonts w:hAnsi="宋体" w:cs="宋体"/>
          <w:b/>
          <w:sz w:val="24"/>
        </w:rPr>
      </w:pPr>
      <w:bookmarkStart w:id="52" w:name="_Toc283559975"/>
      <w:r>
        <w:rPr>
          <w:rFonts w:hAnsi="宋体" w:cs="宋体"/>
          <w:b/>
          <w:sz w:val="24"/>
        </w:rPr>
        <w:t xml:space="preserve">7.1 </w:t>
      </w:r>
      <w:r>
        <w:rPr>
          <w:rFonts w:hint="eastAsia" w:hAnsi="宋体" w:cs="宋体"/>
          <w:b/>
          <w:sz w:val="24"/>
        </w:rPr>
        <w:t>定标方式</w:t>
      </w:r>
      <w:bookmarkEnd w:id="52"/>
    </w:p>
    <w:p>
      <w:pPr>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jc w:val="left"/>
        <w:outlineLvl w:val="0"/>
        <w:rPr>
          <w:rFonts w:hAnsi="宋体" w:cs="宋体"/>
          <w:b/>
          <w:sz w:val="24"/>
        </w:rPr>
      </w:pPr>
      <w:bookmarkStart w:id="53" w:name="_Toc283559976"/>
      <w:r>
        <w:rPr>
          <w:rFonts w:hAnsi="宋体" w:cs="宋体"/>
          <w:b/>
          <w:sz w:val="24"/>
        </w:rPr>
        <w:t>7.</w:t>
      </w:r>
      <w:r>
        <w:rPr>
          <w:rFonts w:hint="eastAsia" w:hAnsi="宋体" w:cs="宋体"/>
          <w:b/>
          <w:sz w:val="24"/>
        </w:rPr>
        <w:t>2中标通知</w:t>
      </w:r>
      <w:bookmarkEnd w:id="53"/>
    </w:p>
    <w:p>
      <w:pPr>
        <w:autoSpaceDE w:val="0"/>
        <w:autoSpaceDN w:val="0"/>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4" w:name="_Toc152042345"/>
      <w:bookmarkStart w:id="55" w:name="_Toc152045569"/>
      <w:bookmarkStart w:id="56" w:name="_Toc179632587"/>
      <w:bookmarkStart w:id="57" w:name="_Toc144974537"/>
    </w:p>
    <w:bookmarkEnd w:id="54"/>
    <w:bookmarkEnd w:id="55"/>
    <w:bookmarkEnd w:id="56"/>
    <w:bookmarkEnd w:id="57"/>
    <w:p>
      <w:pPr>
        <w:autoSpaceDE w:val="0"/>
        <w:autoSpaceDN w:val="0"/>
        <w:jc w:val="left"/>
        <w:outlineLvl w:val="0"/>
        <w:rPr>
          <w:rFonts w:hAnsi="宋体" w:cs="宋体"/>
          <w:b/>
          <w:sz w:val="24"/>
        </w:rPr>
      </w:pPr>
      <w:r>
        <w:rPr>
          <w:rFonts w:hint="eastAsia" w:hAnsi="宋体" w:cs="宋体"/>
          <w:b/>
          <w:sz w:val="24"/>
        </w:rPr>
        <w:t>7.3 签订合同</w:t>
      </w:r>
    </w:p>
    <w:p>
      <w:pPr>
        <w:autoSpaceDE w:val="0"/>
        <w:autoSpaceDN w:val="0"/>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jc w:val="left"/>
        <w:outlineLvl w:val="0"/>
        <w:rPr>
          <w:rFonts w:hint="eastAsia" w:ascii="宋体" w:hAnsi="宋体" w:eastAsia="宋体" w:cs="宋体"/>
          <w:b/>
          <w:sz w:val="24"/>
          <w:szCs w:val="22"/>
          <w:lang w:val="en-US" w:eastAsia="zh-CN"/>
        </w:rPr>
      </w:pPr>
      <w:r>
        <w:rPr>
          <w:rFonts w:hint="eastAsia" w:ascii="宋体" w:hAnsi="宋体" w:eastAsia="宋体" w:cs="宋体"/>
          <w:b/>
          <w:sz w:val="24"/>
          <w:szCs w:val="22"/>
          <w:lang w:val="en-US" w:eastAsia="zh-CN"/>
        </w:rPr>
        <w:t>7.4履约保证金</w:t>
      </w:r>
    </w:p>
    <w:p>
      <w:pPr>
        <w:autoSpaceDE w:val="0"/>
        <w:autoSpaceDN w:val="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7.4.1</w:t>
      </w:r>
      <w:r>
        <w:rPr>
          <w:rFonts w:hint="eastAsia" w:ascii="宋体" w:hAnsi="宋体" w:eastAsia="宋体" w:cs="宋体"/>
          <w:sz w:val="24"/>
          <w:szCs w:val="22"/>
        </w:rPr>
        <w:t xml:space="preserve">履约保证金提交方式 </w:t>
      </w:r>
    </w:p>
    <w:p>
      <w:pPr>
        <w:autoSpaceDE w:val="0"/>
        <w:autoSpaceDN w:val="0"/>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1、以网银、银行转账支票、银行电汇方式提交。  </w:t>
      </w:r>
    </w:p>
    <w:p>
      <w:pPr>
        <w:autoSpaceDE w:val="0"/>
        <w:autoSpaceDN w:val="0"/>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2、现金支票和现金不得作为履约保证金提交方式。  </w:t>
      </w:r>
    </w:p>
    <w:p>
      <w:pPr>
        <w:autoSpaceDE w:val="0"/>
        <w:autoSpaceDN w:val="0"/>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3、中标人必须通过其公司账户按照规定的方式提交，其名称应与中标单位的名称一致。</w:t>
      </w:r>
    </w:p>
    <w:p>
      <w:pPr>
        <w:autoSpaceDE w:val="0"/>
        <w:autoSpaceDN w:val="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7.4.2</w:t>
      </w:r>
      <w:r>
        <w:rPr>
          <w:rFonts w:hint="eastAsia" w:ascii="宋体" w:hAnsi="宋体" w:eastAsia="宋体" w:cs="宋体"/>
          <w:sz w:val="24"/>
          <w:szCs w:val="22"/>
        </w:rPr>
        <w:t xml:space="preserve">履约保证金提交比例和数额 </w:t>
      </w:r>
    </w:p>
    <w:p>
      <w:pPr>
        <w:autoSpaceDE w:val="0"/>
        <w:autoSpaceDN w:val="0"/>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履约保证金数额不得超过中标合同金额的10%。</w:t>
      </w:r>
    </w:p>
    <w:p>
      <w:pPr>
        <w:autoSpaceDE w:val="0"/>
        <w:autoSpaceDN w:val="0"/>
        <w:jc w:val="left"/>
        <w:outlineLvl w:val="0"/>
        <w:rPr>
          <w:rFonts w:hint="eastAsia" w:ascii="宋体" w:hAnsi="宋体" w:eastAsia="宋体" w:cs="宋体"/>
          <w:sz w:val="24"/>
          <w:szCs w:val="22"/>
        </w:rPr>
      </w:pPr>
      <w:r>
        <w:rPr>
          <w:rFonts w:hint="eastAsia" w:ascii="宋体" w:hAnsi="宋体" w:eastAsia="宋体" w:cs="宋体"/>
          <w:sz w:val="24"/>
          <w:szCs w:val="22"/>
          <w:lang w:val="en-US" w:eastAsia="zh-CN"/>
        </w:rPr>
        <w:t>7.4.3</w:t>
      </w:r>
      <w:r>
        <w:rPr>
          <w:rFonts w:hint="eastAsia" w:ascii="宋体" w:hAnsi="宋体" w:eastAsia="宋体" w:cs="宋体"/>
          <w:sz w:val="24"/>
          <w:szCs w:val="22"/>
        </w:rPr>
        <w:t xml:space="preserve"> 履约保证金的退还 </w:t>
      </w:r>
    </w:p>
    <w:p>
      <w:pPr>
        <w:autoSpaceDE w:val="0"/>
        <w:autoSpaceDN w:val="0"/>
        <w:ind w:firstLine="480" w:firstLineChars="200"/>
        <w:jc w:val="left"/>
        <w:outlineLvl w:val="0"/>
        <w:rPr>
          <w:rFonts w:hint="eastAsia" w:ascii="宋体" w:hAnsi="宋体" w:eastAsia="宋体" w:cs="宋体"/>
          <w:sz w:val="24"/>
          <w:szCs w:val="22"/>
        </w:rPr>
      </w:pPr>
      <w:r>
        <w:rPr>
          <w:rFonts w:hint="eastAsia" w:ascii="宋体" w:hAnsi="宋体" w:eastAsia="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ind w:firstLine="480" w:firstLineChars="200"/>
        <w:jc w:val="left"/>
        <w:outlineLvl w:val="0"/>
      </w:pPr>
      <w:r>
        <w:rPr>
          <w:rFonts w:hint="eastAsia" w:ascii="宋体" w:hAnsi="宋体" w:eastAsia="宋体" w:cs="宋体"/>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pPr>
        <w:autoSpaceDE w:val="0"/>
        <w:autoSpaceDN w:val="0"/>
        <w:jc w:val="left"/>
        <w:outlineLvl w:val="0"/>
        <w:rPr>
          <w:rFonts w:hAnsi="宋体" w:cs="宋体"/>
          <w:b/>
          <w:sz w:val="24"/>
        </w:rPr>
      </w:pPr>
      <w:bookmarkStart w:id="58" w:name="_Toc283559978"/>
      <w:r>
        <w:rPr>
          <w:rFonts w:hAnsi="宋体" w:cs="宋体"/>
          <w:b/>
          <w:sz w:val="24"/>
        </w:rPr>
        <w:t xml:space="preserve">8. </w:t>
      </w:r>
      <w:r>
        <w:rPr>
          <w:rFonts w:hint="eastAsia" w:hAnsi="宋体" w:cs="宋体"/>
          <w:b/>
          <w:sz w:val="24"/>
        </w:rPr>
        <w:t>重新招标和不再招标</w:t>
      </w:r>
      <w:bookmarkEnd w:id="58"/>
    </w:p>
    <w:p>
      <w:pPr>
        <w:autoSpaceDE w:val="0"/>
        <w:autoSpaceDN w:val="0"/>
        <w:adjustRightInd w:val="0"/>
        <w:jc w:val="left"/>
        <w:outlineLvl w:val="0"/>
        <w:rPr>
          <w:rFonts w:hAnsi="宋体" w:cs="宋体"/>
          <w:b/>
          <w:sz w:val="24"/>
        </w:rPr>
      </w:pPr>
      <w:bookmarkStart w:id="59" w:name="_Toc283559979"/>
      <w:r>
        <w:rPr>
          <w:rFonts w:hAnsi="宋体" w:cs="宋体"/>
          <w:b/>
          <w:sz w:val="24"/>
        </w:rPr>
        <w:t xml:space="preserve">8.1 </w:t>
      </w:r>
      <w:r>
        <w:rPr>
          <w:rFonts w:hint="eastAsia" w:hAnsi="宋体" w:cs="宋体"/>
          <w:b/>
          <w:sz w:val="24"/>
        </w:rPr>
        <w:t>重新招标</w:t>
      </w:r>
      <w:bookmarkEnd w:id="59"/>
    </w:p>
    <w:p>
      <w:pPr>
        <w:autoSpaceDE w:val="0"/>
        <w:autoSpaceDN w:val="0"/>
        <w:adjustRightInd w:val="0"/>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jc w:val="left"/>
        <w:outlineLvl w:val="0"/>
        <w:rPr>
          <w:rFonts w:hAnsi="宋体" w:cs="宋体"/>
          <w:b/>
          <w:sz w:val="24"/>
        </w:rPr>
      </w:pPr>
      <w:bookmarkStart w:id="60" w:name="_Toc283559980"/>
      <w:r>
        <w:rPr>
          <w:rFonts w:hAnsi="宋体" w:cs="宋体"/>
          <w:b/>
          <w:sz w:val="24"/>
        </w:rPr>
        <w:t xml:space="preserve">8.2 </w:t>
      </w:r>
      <w:r>
        <w:rPr>
          <w:rFonts w:hint="eastAsia" w:hAnsi="宋体" w:cs="宋体"/>
          <w:b/>
          <w:sz w:val="24"/>
        </w:rPr>
        <w:t>不再招标</w:t>
      </w:r>
      <w:bookmarkEnd w:id="60"/>
    </w:p>
    <w:p>
      <w:pPr>
        <w:autoSpaceDE w:val="0"/>
        <w:autoSpaceDN w:val="0"/>
        <w:adjustRightInd w:val="0"/>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jc w:val="both"/>
        <w:outlineLvl w:val="0"/>
        <w:rPr>
          <w:rFonts w:hAnsi="宋体"/>
          <w:b/>
          <w:color w:val="auto"/>
        </w:rPr>
      </w:pPr>
      <w:bookmarkStart w:id="61" w:name="_Toc283559981"/>
      <w:r>
        <w:rPr>
          <w:rFonts w:hAnsi="宋体"/>
          <w:b/>
          <w:color w:val="auto"/>
        </w:rPr>
        <w:t xml:space="preserve">9. </w:t>
      </w:r>
      <w:r>
        <w:rPr>
          <w:rFonts w:hint="eastAsia" w:hAnsi="宋体"/>
          <w:b/>
          <w:color w:val="auto"/>
        </w:rPr>
        <w:t>纪律和监督</w:t>
      </w:r>
      <w:bookmarkEnd w:id="61"/>
    </w:p>
    <w:p>
      <w:pPr>
        <w:autoSpaceDE w:val="0"/>
        <w:autoSpaceDN w:val="0"/>
        <w:adjustRightInd w:val="0"/>
        <w:jc w:val="left"/>
        <w:outlineLvl w:val="0"/>
        <w:rPr>
          <w:rFonts w:hAnsi="宋体" w:cs="宋体"/>
          <w:b/>
          <w:sz w:val="24"/>
        </w:rPr>
      </w:pPr>
      <w:bookmarkStart w:id="62" w:name="_Toc283559982"/>
      <w:r>
        <w:rPr>
          <w:rFonts w:hAnsi="宋体" w:cs="宋体"/>
          <w:b/>
          <w:sz w:val="24"/>
        </w:rPr>
        <w:t xml:space="preserve">9.1 </w:t>
      </w:r>
      <w:r>
        <w:rPr>
          <w:rFonts w:hint="eastAsia" w:hAnsi="宋体" w:cs="宋体"/>
          <w:b/>
          <w:sz w:val="24"/>
        </w:rPr>
        <w:t>对招标人的纪律要求</w:t>
      </w:r>
      <w:bookmarkEnd w:id="62"/>
    </w:p>
    <w:p>
      <w:pPr>
        <w:autoSpaceDE w:val="0"/>
        <w:autoSpaceDN w:val="0"/>
        <w:adjustRightInd w:val="0"/>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jc w:val="left"/>
        <w:outlineLvl w:val="0"/>
        <w:rPr>
          <w:rFonts w:hAnsi="宋体" w:cs="宋体"/>
          <w:b/>
          <w:sz w:val="24"/>
        </w:rPr>
      </w:pPr>
      <w:bookmarkStart w:id="63" w:name="_Toc283559983"/>
      <w:r>
        <w:rPr>
          <w:rFonts w:hAnsi="宋体" w:cs="宋体"/>
          <w:b/>
          <w:sz w:val="24"/>
        </w:rPr>
        <w:t xml:space="preserve">9.2 </w:t>
      </w:r>
      <w:r>
        <w:rPr>
          <w:rFonts w:hint="eastAsia" w:hAnsi="宋体" w:cs="宋体"/>
          <w:b/>
          <w:sz w:val="24"/>
        </w:rPr>
        <w:t>对投标人的纪律要求</w:t>
      </w:r>
      <w:bookmarkEnd w:id="63"/>
    </w:p>
    <w:p>
      <w:pPr>
        <w:autoSpaceDE w:val="0"/>
        <w:autoSpaceDN w:val="0"/>
        <w:adjustRightInd w:val="0"/>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outlineLvl w:val="0"/>
        <w:rPr>
          <w:rFonts w:hAnsi="宋体" w:cs="宋体"/>
          <w:b/>
          <w:sz w:val="24"/>
        </w:rPr>
      </w:pPr>
      <w:bookmarkStart w:id="64" w:name="_Toc283559984"/>
      <w:r>
        <w:rPr>
          <w:rFonts w:hAnsi="宋体" w:cs="宋体"/>
          <w:b/>
          <w:sz w:val="24"/>
        </w:rPr>
        <w:t xml:space="preserve">9.3 </w:t>
      </w:r>
      <w:r>
        <w:rPr>
          <w:rFonts w:hint="eastAsia" w:hAnsi="宋体" w:cs="宋体"/>
          <w:b/>
          <w:sz w:val="24"/>
        </w:rPr>
        <w:t>对评标委员会成员的纪律要求</w:t>
      </w:r>
      <w:bookmarkEnd w:id="64"/>
    </w:p>
    <w:p>
      <w:pPr>
        <w:autoSpaceDE w:val="0"/>
        <w:autoSpaceDN w:val="0"/>
        <w:adjustRightInd w:val="0"/>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jc w:val="left"/>
        <w:outlineLvl w:val="0"/>
        <w:rPr>
          <w:rFonts w:hAnsi="宋体" w:cs="宋体"/>
          <w:b/>
          <w:sz w:val="24"/>
        </w:rPr>
      </w:pPr>
      <w:bookmarkStart w:id="65" w:name="_Toc283559985"/>
      <w:r>
        <w:rPr>
          <w:rFonts w:hAnsi="宋体" w:cs="宋体"/>
          <w:b/>
          <w:sz w:val="24"/>
        </w:rPr>
        <w:t xml:space="preserve">9.4 </w:t>
      </w:r>
      <w:r>
        <w:rPr>
          <w:rFonts w:hint="eastAsia" w:hAnsi="宋体" w:cs="宋体"/>
          <w:b/>
          <w:sz w:val="24"/>
        </w:rPr>
        <w:t>对与评标活动有关的工作人员的纪律要求</w:t>
      </w:r>
      <w:bookmarkEnd w:id="65"/>
    </w:p>
    <w:p>
      <w:pPr>
        <w:autoSpaceDE w:val="0"/>
        <w:autoSpaceDN w:val="0"/>
        <w:adjustRightInd w:val="0"/>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jc w:val="left"/>
        <w:outlineLvl w:val="0"/>
        <w:rPr>
          <w:rFonts w:hAnsi="宋体" w:cs="宋体"/>
          <w:b/>
          <w:sz w:val="24"/>
        </w:rPr>
      </w:pPr>
      <w:bookmarkStart w:id="66" w:name="_Toc283559986"/>
      <w:r>
        <w:rPr>
          <w:rFonts w:hAnsi="宋体" w:cs="宋体"/>
          <w:b/>
          <w:sz w:val="24"/>
        </w:rPr>
        <w:t xml:space="preserve">9.5 </w:t>
      </w:r>
      <w:r>
        <w:rPr>
          <w:rFonts w:hint="eastAsia" w:hAnsi="宋体" w:cs="宋体"/>
          <w:b/>
          <w:sz w:val="24"/>
        </w:rPr>
        <w:t>投诉</w:t>
      </w:r>
      <w:bookmarkEnd w:id="66"/>
    </w:p>
    <w:p>
      <w:pPr>
        <w:autoSpaceDE w:val="0"/>
        <w:autoSpaceDN w:val="0"/>
        <w:adjustRightInd w:val="0"/>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jc w:val="both"/>
        <w:outlineLvl w:val="0"/>
        <w:rPr>
          <w:rFonts w:hAnsi="宋体"/>
          <w:b/>
          <w:color w:val="auto"/>
        </w:rPr>
      </w:pPr>
      <w:bookmarkStart w:id="67" w:name="_Toc283559987"/>
      <w:r>
        <w:rPr>
          <w:rFonts w:hAnsi="宋体"/>
          <w:b/>
          <w:color w:val="auto"/>
        </w:rPr>
        <w:t xml:space="preserve">10. </w:t>
      </w:r>
      <w:r>
        <w:rPr>
          <w:rFonts w:hint="eastAsia" w:hAnsi="宋体"/>
          <w:b/>
          <w:color w:val="auto"/>
        </w:rPr>
        <w:t>需要补充的其他内容</w:t>
      </w:r>
      <w:bookmarkEnd w:id="67"/>
    </w:p>
    <w:p>
      <w:pPr>
        <w:autoSpaceDE w:val="0"/>
        <w:autoSpaceDN w:val="0"/>
        <w:adjustRightInd w:val="0"/>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8" w:name="_Toc283559990"/>
    </w:p>
    <w:p>
      <w:pPr>
        <w:spacing w:line="360" w:lineRule="auto"/>
        <w:ind w:firstLine="480" w:firstLineChars="200"/>
        <w:rPr>
          <w:rFonts w:ascii="新宋体" w:hAnsi="新宋体" w:eastAsia="新宋体"/>
          <w:b/>
          <w:sz w:val="24"/>
        </w:rPr>
      </w:pPr>
    </w:p>
    <w:p>
      <w:pPr>
        <w:spacing w:line="360" w:lineRule="auto"/>
        <w:ind w:firstLine="480" w:firstLineChars="200"/>
        <w:rPr>
          <w:rFonts w:ascii="新宋体" w:hAnsi="新宋体" w:eastAsia="新宋体"/>
          <w:b/>
          <w:sz w:val="24"/>
        </w:rPr>
      </w:pPr>
    </w:p>
    <w:p>
      <w:pPr>
        <w:spacing w:line="360" w:lineRule="auto"/>
        <w:ind w:firstLine="480" w:firstLineChars="200"/>
        <w:rPr>
          <w:rFonts w:ascii="新宋体" w:hAnsi="新宋体" w:eastAsia="新宋体"/>
          <w:b/>
          <w:sz w:val="24"/>
        </w:rPr>
      </w:pPr>
    </w:p>
    <w:p>
      <w:pPr>
        <w:spacing w:line="360" w:lineRule="auto"/>
        <w:rPr>
          <w:rFonts w:ascii="新宋体" w:hAnsi="新宋体" w:eastAsia="新宋体"/>
          <w:b/>
          <w:sz w:val="24"/>
        </w:rPr>
      </w:pPr>
    </w:p>
    <w:p>
      <w:pPr>
        <w:spacing w:beforeLines="100" w:afterLines="100" w:line="360" w:lineRule="auto"/>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pStyle w:val="2"/>
        <w:spacing w:line="360" w:lineRule="auto"/>
        <w:ind w:firstLine="241"/>
        <w:rPr>
          <w:rFonts w:hAnsi="宋体" w:cs="宋体"/>
          <w:b/>
          <w:bCs/>
          <w:sz w:val="24"/>
        </w:rPr>
      </w:pPr>
    </w:p>
    <w:p>
      <w:pPr>
        <w:spacing w:beforeLines="100" w:afterLines="100" w:line="360" w:lineRule="auto"/>
        <w:rPr>
          <w:rFonts w:hint="eastAsia" w:hAnsi="宋体" w:cs="宋体"/>
          <w:b/>
          <w:bCs/>
          <w:sz w:val="24"/>
        </w:rPr>
      </w:pPr>
    </w:p>
    <w:p>
      <w:pPr>
        <w:spacing w:beforeLines="100" w:afterLines="100" w:line="360" w:lineRule="auto"/>
        <w:rPr>
          <w:rFonts w:hAnsi="宋体" w:cs="宋体"/>
          <w:b/>
          <w:bCs/>
          <w:sz w:val="24"/>
        </w:rPr>
      </w:pPr>
      <w:r>
        <w:rPr>
          <w:rFonts w:hint="eastAsia" w:hAnsi="宋体" w:cs="宋体"/>
          <w:b/>
          <w:bCs/>
          <w:sz w:val="24"/>
        </w:rPr>
        <w:t>附表一：</w:t>
      </w:r>
    </w:p>
    <w:p>
      <w:pPr>
        <w:spacing w:beforeLines="100" w:afterLines="100" w:line="360" w:lineRule="auto"/>
        <w:jc w:val="center"/>
        <w:rPr>
          <w:rFonts w:hAnsi="宋体" w:cs="宋体"/>
          <w:sz w:val="28"/>
          <w:szCs w:val="28"/>
        </w:rPr>
      </w:pPr>
      <w:r>
        <w:rPr>
          <w:rFonts w:hint="eastAsia" w:hAnsi="宋体" w:cs="宋体"/>
          <w:sz w:val="28"/>
          <w:szCs w:val="28"/>
        </w:rPr>
        <w:t>问题澄清通知</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360" w:lineRule="auto"/>
        <w:rPr>
          <w:rFonts w:hAnsi="宋体" w:cs="宋体"/>
          <w:sz w:val="24"/>
        </w:rPr>
      </w:pPr>
    </w:p>
    <w:p>
      <w:pPr>
        <w:spacing w:line="360" w:lineRule="auto"/>
        <w:rPr>
          <w:rFonts w:hAnsi="宋体" w:cs="宋体"/>
          <w:sz w:val="24"/>
        </w:rPr>
      </w:pPr>
      <w:r>
        <w:rPr>
          <w:rFonts w:hint="eastAsia" w:hAnsi="宋体" w:cs="宋体"/>
          <w:sz w:val="24"/>
        </w:rPr>
        <w:t>附件：质疑问卷</w:t>
      </w:r>
    </w:p>
    <w:p>
      <w:pPr>
        <w:spacing w:line="360" w:lineRule="auto"/>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360" w:lineRule="auto"/>
        <w:ind w:firstLine="2880" w:firstLineChars="1200"/>
        <w:rPr>
          <w:color w:val="000000"/>
          <w:sz w:val="24"/>
        </w:rPr>
      </w:pPr>
      <w:r>
        <w:rPr>
          <w:rFonts w:hint="eastAsia"/>
          <w:color w:val="000000"/>
          <w:sz w:val="24"/>
        </w:rPr>
        <w:t>（经评标委员会授权的招标人代表签字或招标人加盖单位章）</w:t>
      </w:r>
    </w:p>
    <w:p>
      <w:pPr>
        <w:spacing w:line="360" w:lineRule="auto"/>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360" w:lineRule="auto"/>
        <w:ind w:firstLine="480" w:firstLineChars="200"/>
        <w:rPr>
          <w:rFonts w:ascii="新宋体" w:hAnsi="新宋体" w:eastAsia="新宋体"/>
          <w:b/>
          <w:sz w:val="24"/>
        </w:rPr>
      </w:pPr>
    </w:p>
    <w:p>
      <w:pPr>
        <w:pStyle w:val="2"/>
        <w:spacing w:line="360" w:lineRule="auto"/>
        <w:ind w:firstLine="340"/>
      </w:pPr>
    </w:p>
    <w:p>
      <w:pPr>
        <w:pStyle w:val="2"/>
        <w:spacing w:line="360" w:lineRule="auto"/>
        <w:ind w:firstLine="340"/>
      </w:pPr>
    </w:p>
    <w:p>
      <w:pPr>
        <w:spacing w:line="360" w:lineRule="auto"/>
        <w:rPr>
          <w:rFonts w:hAnsi="宋体" w:cs="宋体"/>
          <w:b/>
          <w:bCs/>
          <w:sz w:val="24"/>
        </w:rPr>
      </w:pPr>
      <w:r>
        <w:rPr>
          <w:rFonts w:hint="eastAsia" w:hAnsi="宋体" w:cs="宋体"/>
          <w:b/>
          <w:bCs/>
          <w:sz w:val="24"/>
        </w:rPr>
        <w:t>附表二：问题的澄清</w:t>
      </w:r>
    </w:p>
    <w:p>
      <w:pPr>
        <w:spacing w:beforeLines="100" w:afterLines="100" w:line="360" w:lineRule="auto"/>
        <w:jc w:val="center"/>
        <w:rPr>
          <w:rFonts w:hAnsi="宋体" w:cs="宋体"/>
          <w:sz w:val="28"/>
          <w:szCs w:val="28"/>
        </w:rPr>
      </w:pPr>
      <w:r>
        <w:rPr>
          <w:rFonts w:hint="eastAsia" w:hAnsi="宋体" w:cs="宋体"/>
          <w:sz w:val="28"/>
          <w:szCs w:val="28"/>
        </w:rPr>
        <w:t>问题的澄清、说明或补正</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360" w:lineRule="auto"/>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spacing w:beforeLines="50" w:afterLines="50" w:line="360" w:lineRule="auto"/>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jc w:val="center"/>
        <w:rPr>
          <w:rFonts w:hint="eastAsia" w:hAnsi="宋体"/>
          <w:b/>
          <w:sz w:val="36"/>
          <w:szCs w:val="36"/>
        </w:rPr>
      </w:pPr>
    </w:p>
    <w:p>
      <w:pPr>
        <w:spacing w:line="360" w:lineRule="auto"/>
        <w:jc w:val="center"/>
        <w:rPr>
          <w:rFonts w:hint="eastAsia" w:hAnsi="宋体"/>
          <w:b/>
          <w:sz w:val="36"/>
          <w:szCs w:val="36"/>
        </w:rPr>
      </w:pPr>
    </w:p>
    <w:p>
      <w:pPr>
        <w:spacing w:line="360" w:lineRule="auto"/>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360" w:lineRule="auto"/>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一、评标应遵循公正、公平、择优的原则严格按照招标文件进行。</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二、评标委员会构成：5人，从河南省综合评标专家库中随机抽取4人和招标人代表1人（其中注册造价工程师不少于2人）。</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三、评标采用综合计分法，是指评标委员会根据招标文件要求，应从技术标、商务标、综合（信用）标三部分进行综合评审。</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四、评标程序为：</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（一）初步评审；</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（二）详细评审；</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（三）问题的澄清、说明或补正；</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（四）推荐中标候选人；</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（五）评标现场宣布中标候选人确定结果并在指定媒体上进行公示。</w:t>
      </w:r>
    </w:p>
    <w:p>
      <w:pPr>
        <w:snapToGrid w:val="0"/>
        <w:spacing w:line="360" w:lineRule="auto"/>
        <w:ind w:firstLine="480" w:firstLineChars="200"/>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五、清标</w:t>
      </w:r>
    </w:p>
    <w:p>
      <w:pPr>
        <w:autoSpaceDE w:val="0"/>
        <w:autoSpaceDN w:val="0"/>
        <w:adjustRightInd w:val="0"/>
        <w:snapToGrid w:val="0"/>
        <w:spacing w:line="360" w:lineRule="auto"/>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先由评标委员会对投标文件进行基础性数据分析和整理（清标内容见下表），形成清标成果。”</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3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466"/>
        <w:gridCol w:w="3794"/>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4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3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0"/>
              </w:rPr>
            </w:pPr>
          </w:p>
        </w:tc>
        <w:tc>
          <w:tcPr>
            <w:tcW w:w="3466"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0"/>
              </w:rPr>
            </w:pPr>
          </w:p>
        </w:tc>
        <w:tc>
          <w:tcPr>
            <w:tcW w:w="3794"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w:t>
            </w:r>
            <w:r>
              <w:rPr>
                <w:rFonts w:hint="eastAsia" w:asciiTheme="minorEastAsia" w:hAnsiTheme="minorEastAsia" w:eastAsiaTheme="minorEastAsia" w:cstheme="minorEastAsia"/>
                <w:sz w:val="21"/>
                <w:szCs w:val="21"/>
                <w:lang w:val="en-US" w:eastAsia="zh-CN"/>
              </w:rPr>
              <w:t>价格</w:t>
            </w:r>
            <w:r>
              <w:rPr>
                <w:rFonts w:hint="eastAsia" w:asciiTheme="minorEastAsia" w:hAnsiTheme="minorEastAsia" w:eastAsiaTheme="minorEastAsia" w:cstheme="minorEastAsia"/>
                <w:sz w:val="21"/>
                <w:szCs w:val="21"/>
              </w:rPr>
              <w:t>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w:t>
            </w:r>
            <w:r>
              <w:rPr>
                <w:rFonts w:hint="eastAsia" w:asciiTheme="minorEastAsia" w:hAnsiTheme="minorEastAsia" w:eastAsiaTheme="minorEastAsia" w:cstheme="minorEastAsia"/>
                <w:sz w:val="21"/>
                <w:szCs w:val="21"/>
                <w:lang w:val="en-US" w:eastAsia="zh-CN"/>
              </w:rPr>
              <w:t>价格</w:t>
            </w:r>
            <w:r>
              <w:rPr>
                <w:rFonts w:hint="eastAsia" w:asciiTheme="minorEastAsia" w:hAnsiTheme="minorEastAsia" w:eastAsiaTheme="minorEastAsia" w:cstheme="minorEastAsia"/>
                <w:sz w:val="21"/>
                <w:szCs w:val="21"/>
              </w:rPr>
              <w:t>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4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37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1"/>
                <w:szCs w:val="21"/>
              </w:rPr>
            </w:pPr>
          </w:p>
        </w:tc>
      </w:tr>
    </w:tbl>
    <w:p>
      <w:pPr>
        <w:numPr>
          <w:ilvl w:val="0"/>
          <w:numId w:val="3"/>
        </w:numPr>
        <w:jc w:val="center"/>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按照住建部《建设工程工程量清单计价规范》（GB50500-2013）及省住建厅有关规定，规费和税金</w:t>
      </w:r>
    </w:p>
    <w:p>
      <w:pPr>
        <w:numPr>
          <w:ilvl w:val="0"/>
          <w:numId w:val="0"/>
        </w:numPr>
        <w:jc w:val="both"/>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应按规定费（税）率足额计取，即费（税）率不可竞争。规费、税金、安全文明施工措施费计入投标总报价，并在投标函、投标函附录中单列，不参与商务标评审。</w:t>
      </w:r>
    </w:p>
    <w:p>
      <w:pPr>
        <w:numPr>
          <w:ilvl w:val="0"/>
          <w:numId w:val="3"/>
        </w:numPr>
        <w:ind w:left="0" w:leftChars="0" w:firstLine="0" w:firstLineChars="0"/>
        <w:jc w:val="center"/>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w:t>
      </w:r>
    </w:p>
    <w:p>
      <w:pPr>
        <w:numPr>
          <w:ilvl w:val="0"/>
          <w:numId w:val="0"/>
        </w:numPr>
        <w:ind w:leftChars="0"/>
        <w:jc w:val="both"/>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施费费用总额且不得低于90%。</w:t>
      </w:r>
    </w:p>
    <w:p>
      <w:pPr>
        <w:jc w:val="both"/>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（3）投标人编制投标报价时，同一投标文件综合工日应前后保持一致。</w:t>
      </w:r>
    </w:p>
    <w:p>
      <w:pPr>
        <w:jc w:val="center"/>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（4）不按照以上要求编制投标报价的，视为违反《许昌市建设工程工程量清单招标评标办法（试行）》</w:t>
      </w:r>
    </w:p>
    <w:p>
      <w:pPr>
        <w:jc w:val="both"/>
        <w:rPr>
          <w:rFonts w:hint="eastAsia" w:ascii="新宋体" w:hAnsi="新宋体" w:eastAsia="新宋体" w:cs="新宋体"/>
          <w:b/>
          <w:kern w:val="2"/>
          <w:sz w:val="21"/>
          <w:szCs w:val="21"/>
        </w:rPr>
      </w:pPr>
      <w:r>
        <w:rPr>
          <w:rFonts w:hint="eastAsia" w:ascii="新宋体" w:hAnsi="新宋体" w:eastAsia="新宋体" w:cs="新宋体"/>
          <w:b/>
          <w:kern w:val="2"/>
          <w:sz w:val="21"/>
          <w:szCs w:val="21"/>
        </w:rPr>
        <w:t>第八条第3款之规定，按废标处理。”</w:t>
      </w:r>
    </w:p>
    <w:p>
      <w:pPr>
        <w:snapToGrid w:val="0"/>
        <w:spacing w:line="360" w:lineRule="auto"/>
        <w:ind w:firstLine="480" w:firstLineChars="200"/>
        <w:rPr>
          <w:rFonts w:hint="eastAsia" w:asciiTheme="minorEastAsia" w:hAnsiTheme="minorEastAsia" w:eastAsiaTheme="minorEastAsia" w:cstheme="minorEastAsia"/>
          <w:b/>
          <w:sz w:val="24"/>
          <w:szCs w:val="22"/>
        </w:rPr>
      </w:pPr>
      <w:r>
        <w:rPr>
          <w:rFonts w:hint="eastAsia" w:asciiTheme="minorEastAsia" w:hAnsiTheme="minorEastAsia" w:eastAsiaTheme="minorEastAsia" w:cstheme="minorEastAsia"/>
          <w:b/>
          <w:sz w:val="24"/>
          <w:szCs w:val="22"/>
        </w:rPr>
        <w:t>六、初步评审</w:t>
      </w:r>
    </w:p>
    <w:p>
      <w:pPr>
        <w:snapToGrid w:val="0"/>
        <w:spacing w:line="360" w:lineRule="auto"/>
        <w:ind w:firstLine="481"/>
        <w:rPr>
          <w:rFonts w:ascii="新宋体" w:hAnsi="新宋体" w:eastAsia="新宋体" w:cs="宋体"/>
          <w:bCs/>
          <w:sz w:val="24"/>
        </w:rPr>
      </w:pPr>
      <w:r>
        <w:rPr>
          <w:rFonts w:hint="eastAsia" w:asciiTheme="minorEastAsia" w:hAnsiTheme="minorEastAsia" w:eastAsiaTheme="minorEastAsia" w:cstheme="minorEastAsia"/>
          <w:sz w:val="24"/>
          <w:szCs w:val="24"/>
        </w:rPr>
        <w:t>评标委员会按招标文件要求对所有投标文件真实性、符合性、响应性和重大偏差逐一评审，经审查不符合招标文件要求的，不再进入详细评审阶段。初步评审主要包括以下内容：</w:t>
      </w:r>
      <w:r>
        <w:rPr>
          <w:rFonts w:hint="eastAsia" w:ascii="新宋体" w:hAnsi="新宋体" w:eastAsia="新宋体" w:cs="宋体"/>
          <w:bCs/>
          <w:sz w:val="24"/>
        </w:rPr>
        <w:t xml:space="preserve">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（1）投标文件是否按招标文件要求签字盖章；</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（2）投标联合体是否提交共同投标协议（允许联合体投标的）；</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（3）投标人是否符合国家或者招标文件规定的资格条件，注册建造师注册单位与投标人是否一致；</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（4）同一投标人是否提交两个以上不同的投标文件或者投标报价，但招标文件要求提交备选投标的除外；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（5）投标报价是否高于招标文件设定的最高投标限价；</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（6）投标范围、工期、工程质量、投标有效期</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是否符合招标文件规定；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（7）投标人是否有串通投标、弄虚作假、行贿等违法行为。</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初步评审经审查后应写出评审意见。</w:t>
      </w:r>
    </w:p>
    <w:p>
      <w:pPr>
        <w:snapToGri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w:t>
      </w:r>
      <w:r>
        <w:rPr>
          <w:rFonts w:hint="eastAsia" w:asciiTheme="minorEastAsia" w:hAnsiTheme="minorEastAsia" w:eastAsiaTheme="minorEastAsia" w:cstheme="minorEastAsia"/>
          <w:b/>
          <w:bCs/>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ind w:firstLine="48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（二）技术标（20分）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1、内容完整性和编制水平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0-1分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2、施工方案和技术措施                             1-2分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3、质量管理体系与措施                             1-2分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4、安全管理体系与措施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1-2分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5、环境保护管理体系与措施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1-2分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6、工程进度计划与措施                             0-1分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7、拟投入资源配备计划                             1-2分</w:t>
      </w:r>
    </w:p>
    <w:p>
      <w:pPr>
        <w:snapToGrid w:val="0"/>
        <w:spacing w:line="360"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8、施工进度表或施工网络图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0-1分</w:t>
      </w:r>
    </w:p>
    <w:p>
      <w:pPr>
        <w:snapToGrid w:val="0"/>
        <w:spacing w:line="360" w:lineRule="auto"/>
        <w:ind w:firstLine="481"/>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9、施工总平面布置图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adjustRightInd w:val="0"/>
        <w:snapToGrid w:val="0"/>
        <w:spacing w:line="360" w:lineRule="auto"/>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360" w:lineRule="auto"/>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keepNext w:val="0"/>
        <w:keepLines w:val="0"/>
        <w:pageBreakBefore w:val="0"/>
        <w:widowControl w:val="0"/>
        <w:kinsoku/>
        <w:wordWrap/>
        <w:overflowPunct/>
        <w:topLinePunct w:val="0"/>
        <w:autoSpaceDE/>
        <w:autoSpaceDN/>
        <w:bidi w:val="0"/>
        <w:adjustRightInd/>
        <w:snapToGrid w:val="0"/>
        <w:spacing w:line="240" w:lineRule="auto"/>
        <w:ind w:firstLine="481"/>
        <w:textAlignment w:val="auto"/>
        <w:outlineLvl w:val="9"/>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p>
      <w:pPr>
        <w:keepNext w:val="0"/>
        <w:keepLines w:val="0"/>
        <w:pageBreakBefore w:val="0"/>
        <w:widowControl w:val="0"/>
        <w:kinsoku/>
        <w:wordWrap/>
        <w:overflowPunct/>
        <w:topLinePunct w:val="0"/>
        <w:autoSpaceDE/>
        <w:autoSpaceDN/>
        <w:bidi w:val="0"/>
        <w:adjustRightInd/>
        <w:spacing w:line="240" w:lineRule="auto"/>
        <w:ind w:firstLine="480" w:firstLineChars="200"/>
        <w:contextualSpacing/>
        <w:textAlignment w:val="auto"/>
        <w:outlineLvl w:val="9"/>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分)</w:t>
      </w:r>
    </w:p>
    <w:p>
      <w:pPr>
        <w:snapToGrid w:val="0"/>
        <w:spacing w:line="360" w:lineRule="auto"/>
        <w:ind w:firstLine="480" w:firstLineChars="200"/>
        <w:rPr>
          <w:rFonts w:ascii="新宋体" w:eastAsia="新宋体"/>
          <w:sz w:val="24"/>
        </w:rPr>
      </w:pPr>
      <w:r>
        <w:rPr>
          <w:rFonts w:hint="eastAsia" w:ascii="新宋体" w:eastAsia="新宋体"/>
          <w:sz w:val="24"/>
        </w:rPr>
        <w:t>1.1拟派项目</w:t>
      </w:r>
      <w:r>
        <w:rPr>
          <w:rFonts w:hint="eastAsia" w:ascii="新宋体" w:eastAsia="新宋体"/>
          <w:sz w:val="24"/>
          <w:lang w:val="en-US" w:eastAsia="zh-CN"/>
        </w:rPr>
        <w:t>负责人</w:t>
      </w:r>
      <w:r>
        <w:rPr>
          <w:rFonts w:hint="eastAsia" w:ascii="新宋体" w:eastAsia="新宋体"/>
          <w:sz w:val="24"/>
        </w:rPr>
        <w:t>为中级职称得1分，高级职称得</w:t>
      </w:r>
      <w:r>
        <w:rPr>
          <w:rFonts w:hint="eastAsia" w:ascii="新宋体" w:eastAsia="新宋体"/>
          <w:sz w:val="24"/>
          <w:lang w:val="en-US" w:eastAsia="zh-CN"/>
        </w:rPr>
        <w:t>2</w:t>
      </w:r>
      <w:r>
        <w:rPr>
          <w:rFonts w:hint="eastAsia" w:ascii="新宋体" w:eastAsia="新宋体"/>
          <w:sz w:val="24"/>
        </w:rPr>
        <w:t>分，本项最高得</w:t>
      </w:r>
      <w:r>
        <w:rPr>
          <w:rFonts w:hint="eastAsia" w:ascii="新宋体" w:eastAsia="新宋体"/>
          <w:sz w:val="24"/>
          <w:lang w:val="en-US" w:eastAsia="zh-CN"/>
        </w:rPr>
        <w:t>2</w:t>
      </w:r>
      <w:r>
        <w:rPr>
          <w:rFonts w:hint="eastAsia" w:ascii="新宋体" w:eastAsia="新宋体"/>
          <w:sz w:val="24"/>
        </w:rPr>
        <w:t>分（以证书为准）</w:t>
      </w:r>
    </w:p>
    <w:p>
      <w:pPr>
        <w:snapToGrid w:val="0"/>
        <w:spacing w:line="360" w:lineRule="auto"/>
        <w:ind w:firstLine="480" w:firstLineChars="200"/>
        <w:rPr>
          <w:rFonts w:hint="eastAsia" w:ascii="新宋体" w:eastAsia="新宋体"/>
          <w:sz w:val="24"/>
        </w:rPr>
      </w:pPr>
      <w:r>
        <w:rPr>
          <w:rFonts w:hint="eastAsia" w:ascii="新宋体" w:eastAsia="新宋体"/>
          <w:sz w:val="24"/>
        </w:rPr>
        <w:t>1.2 拟派项目班子中施工员、质检员、安全员、资料员，全部提供得2分，每缺一个扣0.5分。（以证书为准）</w:t>
      </w:r>
    </w:p>
    <w:p>
      <w:pPr>
        <w:snapToGrid w:val="0"/>
        <w:spacing w:line="360" w:lineRule="auto"/>
        <w:ind w:firstLine="484"/>
        <w:rPr>
          <w:rFonts w:hint="eastAsia" w:cs="宋体"/>
          <w:b/>
          <w:bCs/>
          <w:sz w:val="24"/>
          <w:szCs w:val="24"/>
        </w:rPr>
      </w:pPr>
      <w:r>
        <w:rPr>
          <w:rFonts w:hint="eastAsia" w:ascii="新宋体" w:eastAsia="新宋体"/>
          <w:b/>
          <w:bCs/>
          <w:sz w:val="24"/>
          <w:lang w:val="en-US" w:eastAsia="zh-CN"/>
        </w:rPr>
        <w:t>2、</w:t>
      </w:r>
      <w:r>
        <w:rPr>
          <w:rFonts w:hint="eastAsia" w:cs="宋体"/>
          <w:b/>
          <w:bCs/>
          <w:sz w:val="24"/>
          <w:szCs w:val="24"/>
          <w:lang w:eastAsia="zh-CN"/>
        </w:rPr>
        <w:t>项目</w:t>
      </w:r>
      <w:r>
        <w:rPr>
          <w:rFonts w:hint="eastAsia" w:cs="宋体"/>
          <w:b/>
          <w:bCs/>
          <w:sz w:val="24"/>
          <w:szCs w:val="24"/>
          <w:lang w:val="en-US" w:eastAsia="zh-CN"/>
        </w:rPr>
        <w:t>负责人</w:t>
      </w:r>
      <w:r>
        <w:rPr>
          <w:rFonts w:hint="eastAsia" w:cs="宋体"/>
          <w:b/>
          <w:bCs/>
          <w:sz w:val="24"/>
          <w:szCs w:val="24"/>
        </w:rPr>
        <w:t xml:space="preserve">业绩及信用 </w:t>
      </w:r>
      <w:r>
        <w:rPr>
          <w:rFonts w:hint="eastAsia" w:cs="宋体"/>
          <w:b/>
          <w:bCs/>
          <w:sz w:val="24"/>
          <w:szCs w:val="24"/>
          <w:lang w:eastAsia="zh-CN"/>
        </w:rPr>
        <w:t>（</w:t>
      </w:r>
      <w:r>
        <w:rPr>
          <w:rFonts w:hint="eastAsia" w:cs="宋体"/>
          <w:b/>
          <w:bCs/>
          <w:sz w:val="24"/>
          <w:szCs w:val="24"/>
        </w:rPr>
        <w:t>0-</w:t>
      </w:r>
      <w:r>
        <w:rPr>
          <w:rFonts w:hint="eastAsia" w:cs="宋体"/>
          <w:b/>
          <w:bCs/>
          <w:sz w:val="24"/>
          <w:szCs w:val="24"/>
          <w:lang w:val="en-US" w:eastAsia="zh-CN"/>
        </w:rPr>
        <w:t>2</w:t>
      </w:r>
      <w:r>
        <w:rPr>
          <w:rFonts w:hint="eastAsia" w:cs="宋体"/>
          <w:b/>
          <w:bCs/>
          <w:sz w:val="24"/>
          <w:szCs w:val="24"/>
        </w:rPr>
        <w:t>分</w:t>
      </w:r>
      <w:r>
        <w:rPr>
          <w:rFonts w:hint="eastAsia" w:cs="宋体"/>
          <w:b/>
          <w:bCs/>
          <w:sz w:val="24"/>
          <w:szCs w:val="24"/>
          <w:lang w:eastAsia="zh-CN"/>
        </w:rPr>
        <w:t>）</w:t>
      </w:r>
      <w:r>
        <w:rPr>
          <w:rFonts w:hint="eastAsia" w:cs="宋体"/>
          <w:b/>
          <w:bCs/>
          <w:sz w:val="24"/>
          <w:szCs w:val="24"/>
        </w:rPr>
        <w:t xml:space="preserve"> </w:t>
      </w:r>
    </w:p>
    <w:p>
      <w:pPr>
        <w:snapToGrid w:val="0"/>
        <w:spacing w:line="360" w:lineRule="auto"/>
        <w:ind w:firstLine="480" w:firstLineChars="200"/>
        <w:rPr>
          <w:rFonts w:hint="eastAsia" w:ascii="新宋体" w:eastAsia="新宋体"/>
          <w:b/>
          <w:bCs/>
          <w:sz w:val="24"/>
          <w:lang w:val="en-US" w:eastAsia="zh-CN"/>
        </w:rPr>
      </w:pPr>
      <w:r>
        <w:rPr>
          <w:rFonts w:hint="eastAsia" w:hAnsi="宋体" w:cs="宋体"/>
          <w:sz w:val="24"/>
          <w:szCs w:val="24"/>
        </w:rPr>
        <w:t>近年来拟派</w:t>
      </w:r>
      <w:r>
        <w:rPr>
          <w:rFonts w:hint="eastAsia" w:hAnsi="宋体" w:cs="宋体"/>
          <w:sz w:val="24"/>
          <w:szCs w:val="24"/>
          <w:lang w:eastAsia="zh-CN"/>
        </w:rPr>
        <w:t>项目</w:t>
      </w:r>
      <w:r>
        <w:rPr>
          <w:rFonts w:hint="eastAsia" w:hAnsi="宋体" w:cs="宋体"/>
          <w:sz w:val="24"/>
          <w:szCs w:val="24"/>
          <w:lang w:val="en-US" w:eastAsia="zh-CN"/>
        </w:rPr>
        <w:t>负责人</w:t>
      </w:r>
      <w:r>
        <w:rPr>
          <w:rFonts w:hint="eastAsia" w:hAnsi="宋体" w:cs="宋体"/>
          <w:sz w:val="24"/>
          <w:szCs w:val="24"/>
        </w:rPr>
        <w:t>承建过类似工程的，每项得</w:t>
      </w:r>
      <w:r>
        <w:rPr>
          <w:rFonts w:hint="eastAsia" w:hAnsi="宋体" w:cs="宋体"/>
          <w:sz w:val="24"/>
          <w:szCs w:val="24"/>
          <w:lang w:val="en-US" w:eastAsia="zh-CN"/>
        </w:rPr>
        <w:t>1</w:t>
      </w:r>
      <w:r>
        <w:rPr>
          <w:rFonts w:hint="eastAsia" w:hAnsi="宋体" w:cs="宋体"/>
          <w:sz w:val="24"/>
          <w:szCs w:val="24"/>
        </w:rPr>
        <w:t>分，本项最高得</w:t>
      </w:r>
      <w:r>
        <w:rPr>
          <w:rFonts w:hint="eastAsia" w:hAnsi="宋体" w:cs="宋体"/>
          <w:sz w:val="24"/>
          <w:szCs w:val="24"/>
          <w:lang w:val="en-US" w:eastAsia="zh-CN"/>
        </w:rPr>
        <w:t>2</w:t>
      </w:r>
      <w:r>
        <w:rPr>
          <w:rFonts w:hint="eastAsia" w:hAnsi="宋体" w:cs="宋体"/>
          <w:sz w:val="24"/>
          <w:szCs w:val="24"/>
        </w:rPr>
        <w:t>分。（提供施工合同</w:t>
      </w:r>
      <w:r>
        <w:rPr>
          <w:rFonts w:hint="eastAsia" w:hAnsi="宋体" w:cs="宋体"/>
          <w:sz w:val="24"/>
          <w:szCs w:val="24"/>
          <w:lang w:eastAsia="zh-CN"/>
        </w:rPr>
        <w:t>、</w:t>
      </w:r>
      <w:r>
        <w:rPr>
          <w:rFonts w:hint="eastAsia" w:hAnsi="宋体" w:cs="宋体"/>
          <w:sz w:val="24"/>
          <w:szCs w:val="24"/>
        </w:rPr>
        <w:t>竣工验收备案表（或施工合同</w:t>
      </w:r>
      <w:r>
        <w:rPr>
          <w:rFonts w:hint="eastAsia" w:hAnsi="宋体" w:cs="宋体"/>
          <w:sz w:val="24"/>
          <w:szCs w:val="24"/>
          <w:lang w:eastAsia="zh-CN"/>
        </w:rPr>
        <w:t>、</w:t>
      </w:r>
      <w:r>
        <w:rPr>
          <w:rFonts w:hint="eastAsia" w:hAnsi="宋体" w:cs="宋体"/>
          <w:sz w:val="24"/>
          <w:szCs w:val="24"/>
        </w:rPr>
        <w:t>中标通知书），</w:t>
      </w:r>
      <w:r>
        <w:rPr>
          <w:rFonts w:hint="eastAsia" w:hAnsi="宋体" w:cs="宋体"/>
          <w:color w:val="000000"/>
          <w:sz w:val="24"/>
          <w:szCs w:val="24"/>
        </w:rPr>
        <w:t>若上述资料不显示</w:t>
      </w:r>
      <w:r>
        <w:rPr>
          <w:rFonts w:hint="eastAsia" w:hAnsi="宋体" w:cs="宋体"/>
          <w:color w:val="000000"/>
          <w:sz w:val="24"/>
          <w:szCs w:val="24"/>
          <w:lang w:eastAsia="zh-CN"/>
        </w:rPr>
        <w:t>项目</w:t>
      </w:r>
      <w:r>
        <w:rPr>
          <w:rFonts w:hint="eastAsia" w:hAnsi="宋体" w:cs="宋体"/>
          <w:color w:val="000000"/>
          <w:sz w:val="24"/>
          <w:szCs w:val="24"/>
          <w:lang w:val="en-US" w:eastAsia="zh-CN"/>
        </w:rPr>
        <w:t>负责人</w:t>
      </w:r>
      <w:r>
        <w:rPr>
          <w:rFonts w:hint="eastAsia" w:hAnsi="宋体" w:cs="宋体"/>
          <w:color w:val="000000"/>
          <w:sz w:val="24"/>
          <w:szCs w:val="24"/>
        </w:rPr>
        <w:t>姓名，还须同时提供相关证明文件</w:t>
      </w:r>
      <w:r>
        <w:rPr>
          <w:rFonts w:hint="eastAsia" w:hAnsi="宋体" w:cs="宋体"/>
          <w:sz w:val="24"/>
          <w:szCs w:val="24"/>
        </w:rPr>
        <w:t>。）</w:t>
      </w:r>
    </w:p>
    <w:p>
      <w:pPr>
        <w:snapToGrid w:val="0"/>
        <w:spacing w:line="360" w:lineRule="auto"/>
        <w:ind w:firstLine="480" w:firstLineChars="200"/>
        <w:rPr>
          <w:rFonts w:ascii="新宋体" w:eastAsia="新宋体"/>
          <w:b/>
          <w:bCs/>
          <w:sz w:val="24"/>
        </w:rPr>
      </w:pPr>
      <w:r>
        <w:rPr>
          <w:rFonts w:hint="eastAsia" w:ascii="新宋体" w:eastAsia="新宋体"/>
          <w:b/>
          <w:bCs/>
          <w:sz w:val="24"/>
          <w:lang w:val="en-US" w:eastAsia="zh-CN"/>
        </w:rPr>
        <w:t>3</w:t>
      </w:r>
      <w:r>
        <w:rPr>
          <w:rFonts w:hint="eastAsia" w:ascii="新宋体" w:eastAsia="新宋体"/>
          <w:b/>
          <w:bCs/>
          <w:sz w:val="24"/>
        </w:rPr>
        <w:t>、企业综合信用（0-</w:t>
      </w:r>
      <w:r>
        <w:rPr>
          <w:rFonts w:hint="eastAsia" w:ascii="新宋体" w:eastAsia="新宋体"/>
          <w:b/>
          <w:bCs/>
          <w:sz w:val="24"/>
          <w:lang w:val="en-US" w:eastAsia="zh-CN"/>
        </w:rPr>
        <w:t>8</w:t>
      </w:r>
      <w:r>
        <w:rPr>
          <w:rFonts w:hint="eastAsia" w:ascii="新宋体" w:eastAsia="新宋体"/>
          <w:b/>
          <w:bCs/>
          <w:sz w:val="24"/>
        </w:rPr>
        <w:t>分）</w:t>
      </w:r>
    </w:p>
    <w:p>
      <w:pPr>
        <w:snapToGrid w:val="0"/>
        <w:spacing w:line="360" w:lineRule="auto"/>
        <w:ind w:firstLine="480" w:firstLineChars="200"/>
        <w:rPr>
          <w:rFonts w:ascii="新宋体" w:eastAsia="新宋体"/>
          <w:sz w:val="24"/>
        </w:rPr>
      </w:pPr>
      <w:r>
        <w:rPr>
          <w:rFonts w:hint="eastAsia" w:ascii="新宋体" w:eastAsia="新宋体"/>
          <w:sz w:val="24"/>
        </w:rPr>
        <w:t>2.1 企业近年来具有类似工程施工业绩者，每项得2分，本项最高得6分。（提供施工合同和中标通知书或施工合同和竣工验收报告，缺一项不得分，以合同签订时间为准。）</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新宋体" w:eastAsia="新宋体"/>
          <w:sz w:val="24"/>
        </w:rPr>
        <w:t>2.2企业未被列入信用中国网站信用记录失信被执行人、重大税收违法案件当事人名单、严重违法失信行为记录名单的，得</w:t>
      </w:r>
      <w:r>
        <w:rPr>
          <w:rFonts w:hint="eastAsia" w:ascii="新宋体" w:eastAsia="新宋体"/>
          <w:sz w:val="24"/>
          <w:lang w:val="en-US" w:eastAsia="zh-CN"/>
        </w:rPr>
        <w:t>2</w:t>
      </w:r>
      <w:r>
        <w:rPr>
          <w:rFonts w:hint="eastAsia" w:ascii="新宋体" w:eastAsia="新宋体"/>
          <w:sz w:val="24"/>
        </w:rPr>
        <w:t>分（查询网站：信用中国，以网站截图为准</w:t>
      </w:r>
      <w:r>
        <w:rPr>
          <w:rFonts w:hint="eastAsia" w:asciiTheme="minorEastAsia" w:hAnsiTheme="minorEastAsia" w:eastAsiaTheme="minorEastAsia" w:cstheme="minorEastAsia"/>
          <w:sz w:val="24"/>
          <w:szCs w:val="24"/>
        </w:rPr>
        <w:t>）</w:t>
      </w:r>
    </w:p>
    <w:p>
      <w:pPr>
        <w:spacing w:line="360" w:lineRule="auto"/>
        <w:ind w:firstLine="480" w:firstLineChars="200"/>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服务承诺（含不拖欠农民工工资承诺、扬尘治理等内容）（0-</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分）</w:t>
      </w:r>
    </w:p>
    <w:p>
      <w:pPr>
        <w:snapToGrid w:val="0"/>
        <w:spacing w:line="360" w:lineRule="auto"/>
        <w:ind w:firstLine="480" w:firstLineChars="200"/>
        <w:rPr>
          <w:rFonts w:hint="eastAsia" w:ascii="新宋体" w:eastAsia="新宋体"/>
          <w:sz w:val="24"/>
        </w:rPr>
      </w:pPr>
      <w:r>
        <w:rPr>
          <w:rFonts w:hint="eastAsia" w:ascii="新宋体" w:eastAsia="新宋体"/>
          <w:sz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420" w:lineRule="exact"/>
        <w:ind w:firstLine="480" w:firstLineChars="200"/>
        <w:rPr>
          <w:rFonts w:hint="eastAsia"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2）类似工程：指2015年1月1日以来承建的绿化工程项目；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pStyle w:val="2"/>
        <w:ind w:firstLine="960" w:firstLineChars="400"/>
      </w:pPr>
      <w:r>
        <w:rPr>
          <w:rFonts w:hint="eastAsia" w:hAnsi="宋体" w:cs="宋体"/>
          <w:b/>
          <w:bCs/>
          <w:color w:val="000000"/>
          <w:sz w:val="24"/>
          <w:szCs w:val="22"/>
        </w:rPr>
        <w:t>4）企业业绩和</w:t>
      </w:r>
      <w:r>
        <w:rPr>
          <w:rFonts w:hint="eastAsia" w:hAnsi="宋体" w:cs="宋体"/>
          <w:b/>
          <w:bCs/>
          <w:color w:val="000000"/>
          <w:sz w:val="24"/>
          <w:szCs w:val="22"/>
          <w:lang w:val="en-US" w:eastAsia="zh-CN"/>
        </w:rPr>
        <w:t>项目负责人</w:t>
      </w:r>
      <w:r>
        <w:rPr>
          <w:rFonts w:hint="eastAsia" w:hAnsi="宋体" w:cs="宋体"/>
          <w:b/>
          <w:bCs/>
          <w:color w:val="000000"/>
          <w:sz w:val="24"/>
          <w:szCs w:val="22"/>
        </w:rPr>
        <w:t>业绩不可累计使用。</w:t>
      </w:r>
    </w:p>
    <w:p>
      <w:pPr>
        <w:snapToGrid w:val="0"/>
        <w:spacing w:line="360" w:lineRule="auto"/>
        <w:ind w:firstLine="480" w:firstLineChars="200"/>
        <w:rPr>
          <w:rFonts w:ascii="新宋体" w:eastAsia="新宋体"/>
          <w:sz w:val="24"/>
        </w:rPr>
      </w:pPr>
      <w:r>
        <w:rPr>
          <w:rFonts w:hint="eastAsia" w:ascii="新宋体" w:eastAsia="新宋体"/>
          <w:sz w:val="24"/>
        </w:rPr>
        <w:t>（五）投标人综合得分</w:t>
      </w:r>
    </w:p>
    <w:p>
      <w:pPr>
        <w:snapToGrid w:val="0"/>
        <w:spacing w:line="360" w:lineRule="auto"/>
        <w:ind w:firstLine="480" w:firstLineChars="200"/>
        <w:rPr>
          <w:rFonts w:ascii="新宋体" w:eastAsia="新宋体"/>
          <w:sz w:val="24"/>
        </w:rPr>
      </w:pPr>
      <w:r>
        <w:rPr>
          <w:rFonts w:hint="eastAsia" w:ascii="新宋体" w:eastAsia="新宋体"/>
          <w:sz w:val="24"/>
        </w:rPr>
        <w:t xml:space="preserve">投标人综合得分＝技术标得分＋商务标得分＋综合（信用）标得分 </w:t>
      </w:r>
    </w:p>
    <w:p>
      <w:pPr>
        <w:snapToGrid w:val="0"/>
        <w:spacing w:line="360" w:lineRule="auto"/>
        <w:ind w:firstLine="480" w:firstLineChars="200"/>
        <w:rPr>
          <w:rFonts w:ascii="新宋体" w:eastAsia="新宋体"/>
          <w:sz w:val="24"/>
        </w:rPr>
      </w:pPr>
      <w:r>
        <w:rPr>
          <w:rFonts w:hint="eastAsia" w:ascii="新宋体" w:eastAsia="新宋体"/>
          <w:sz w:val="24"/>
        </w:rPr>
        <w:t xml:space="preserve">（六）投标人的最终得分及中标候选人排序 </w:t>
      </w:r>
    </w:p>
    <w:p>
      <w:pPr>
        <w:snapToGrid w:val="0"/>
        <w:spacing w:line="360" w:lineRule="auto"/>
        <w:ind w:firstLine="480" w:firstLineChars="200"/>
        <w:rPr>
          <w:rFonts w:ascii="新宋体" w:eastAsia="新宋体"/>
          <w:sz w:val="24"/>
        </w:rPr>
      </w:pPr>
      <w:r>
        <w:rPr>
          <w:rFonts w:hint="eastAsia" w:ascii="新宋体" w:eastAsia="新宋体"/>
          <w:sz w:val="24"/>
        </w:rPr>
        <w:t>1.评标委员会完成技术标评分、综合（信用）标评分后，应分别从中去掉一个最高分和</w:t>
      </w:r>
      <w:r>
        <w:rPr>
          <w:rFonts w:hint="eastAsia" w:asciiTheme="minorEastAsia" w:hAnsiTheme="minorEastAsia" w:eastAsiaTheme="minorEastAsia" w:cstheme="minorEastAsia"/>
          <w:color w:val="000000" w:themeColor="text1"/>
          <w:sz w:val="24"/>
          <w:szCs w:val="24"/>
        </w:rPr>
        <w:t>一个最低分，取平均值作为该投标人的技术标、综合（信用）标得分；投标人最终得分=技</w:t>
      </w:r>
      <w:r>
        <w:rPr>
          <w:rFonts w:hint="eastAsia" w:ascii="新宋体" w:eastAsia="新宋体"/>
          <w:sz w:val="24"/>
        </w:rPr>
        <w:t>术标平均得分＋商务标得分＋综合（信用）标平均得分。计算分值均四舍五入保留两位小数。</w:t>
      </w:r>
    </w:p>
    <w:p>
      <w:pPr>
        <w:snapToGrid w:val="0"/>
        <w:spacing w:line="360" w:lineRule="auto"/>
        <w:ind w:firstLine="480" w:firstLineChars="200"/>
        <w:rPr>
          <w:rFonts w:ascii="新宋体" w:eastAsia="新宋体"/>
          <w:sz w:val="24"/>
        </w:rPr>
      </w:pPr>
      <w:r>
        <w:rPr>
          <w:rFonts w:hint="eastAsia" w:ascii="新宋体" w:eastAsia="新宋体"/>
          <w:sz w:val="24"/>
        </w:rPr>
        <w:t>评标委员会人数在5人以上时，去掉一个最高分和一个最低分取平均值；评标委员会人数在5人时，取所有评委评分的平均值。</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新宋体" w:eastAsia="新宋体"/>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asciiTheme="minorEastAsia" w:hAnsiTheme="minorEastAsia" w:eastAsiaTheme="minorEastAsia" w:cstheme="minorEastAsia"/>
          <w:sz w:val="24"/>
          <w:szCs w:val="24"/>
        </w:rPr>
        <w:t xml:space="preserve"> </w:t>
      </w:r>
    </w:p>
    <w:p>
      <w:pPr>
        <w:snapToGrid w:val="0"/>
        <w:spacing w:line="360" w:lineRule="auto"/>
        <w:ind w:firstLine="480" w:firstLineChars="200"/>
        <w:rPr>
          <w:rFonts w:cs="宋体"/>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69" w:name="_Toc23277"/>
      <w:r>
        <w:rPr>
          <w:rFonts w:hint="eastAsia" w:ascii="新宋体" w:eastAsia="新宋体"/>
          <w:b/>
          <w:szCs w:val="24"/>
        </w:rPr>
        <w:t>九、评标报告</w:t>
      </w:r>
      <w:bookmarkEnd w:id="69"/>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0" w:name="_Toc8686"/>
      <w:r>
        <w:rPr>
          <w:rFonts w:hint="eastAsia" w:ascii="新宋体" w:eastAsia="新宋体"/>
          <w:b/>
        </w:rPr>
        <w:t>十、</w:t>
      </w:r>
      <w:r>
        <w:rPr>
          <w:rFonts w:hint="eastAsia" w:ascii="新宋体" w:eastAsia="新宋体"/>
          <w:b/>
          <w:szCs w:val="24"/>
        </w:rPr>
        <w:t>公示</w:t>
      </w:r>
      <w:bookmarkEnd w:id="70"/>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int="eastAsia" w:ascii="方正小标宋简体" w:hAnsi="黑体" w:eastAsia="方正小标宋简体"/>
          <w:b/>
          <w:bCs/>
          <w:sz w:val="32"/>
          <w:szCs w:val="32"/>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220</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昌盛路下穿京广铁路立交桥绿化景观工程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投标保证金</w:t>
            </w:r>
          </w:p>
          <w:p>
            <w:pPr>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宋体" w:eastAsia="仿宋_GB2312" w:cs="宋体"/>
                <w:sz w:val="24"/>
              </w:rPr>
            </w:pPr>
            <w:r>
              <w:rPr>
                <w:rFonts w:hint="eastAsia" w:ascii="仿宋_GB2312" w:hAnsi="宋体" w:eastAsia="仿宋_GB2312" w:cs="宋体"/>
                <w:sz w:val="24"/>
                <w:szCs w:val="22"/>
              </w:rPr>
              <w:t>金额：人民币：肆万元整（4</w:t>
            </w:r>
            <w:r>
              <w:rPr>
                <w:rFonts w:hint="eastAsia" w:ascii="仿宋_GB2312" w:hAnsi="宋体" w:eastAsia="仿宋_GB2312" w:cs="宋体"/>
                <w:sz w:val="24"/>
                <w:szCs w:val="22"/>
                <w:lang w:val="en-US" w:eastAsia="zh-CN"/>
              </w:rPr>
              <w:t>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宋体" w:eastAsia="仿宋_GB2312" w:cs="宋体"/>
                <w:sz w:val="24"/>
                <w:lang w:val="en-US" w:eastAsia="zh-CN"/>
              </w:rPr>
            </w:pPr>
            <w:r>
              <w:rPr>
                <w:rFonts w:hint="eastAsia" w:ascii="仿宋_GB2312" w:hAnsi="宋体" w:eastAsia="仿宋_GB2312" w:cs="宋体"/>
                <w:sz w:val="24"/>
              </w:rPr>
              <w:t>截止时间：</w:t>
            </w:r>
            <w:r>
              <w:rPr>
                <w:rFonts w:hint="eastAsia" w:ascii="仿宋_GB2312" w:hAnsi="宋体" w:eastAsia="仿宋_GB2312" w:cs="宋体"/>
                <w:sz w:val="24"/>
                <w:lang w:val="en-US" w:eastAsia="zh-CN"/>
              </w:rPr>
              <w:t>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line="360" w:lineRule="auto"/>
        <w:rPr>
          <w:rFonts w:ascii="仿宋_GB2312" w:hAnsi="新宋体" w:eastAsia="仿宋_GB2312"/>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pacing w:line="360" w:lineRule="auto"/>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_GB2312" w:hAnsi="新宋体" w:eastAsia="仿宋_GB2312" w:cs="新宋体"/>
                <w:sz w:val="24"/>
              </w:rPr>
            </w:pPr>
          </w:p>
          <w:p>
            <w:pPr>
              <w:spacing w:line="360" w:lineRule="auto"/>
              <w:ind w:right="480" w:firstLine="5880" w:firstLineChars="2450"/>
              <w:rPr>
                <w:rFonts w:ascii="仿宋_GB2312" w:hAnsi="新宋体" w:eastAsia="仿宋_GB2312" w:cs="新宋体"/>
                <w:sz w:val="24"/>
              </w:rPr>
            </w:pPr>
          </w:p>
          <w:p>
            <w:pPr>
              <w:spacing w:line="360" w:lineRule="auto"/>
              <w:ind w:right="480" w:firstLine="5880" w:firstLineChars="2450"/>
              <w:rPr>
                <w:rFonts w:ascii="仿宋_GB2312" w:hAnsi="新宋体" w:eastAsia="仿宋_GB2312" w:cs="新宋体"/>
                <w:sz w:val="24"/>
              </w:rPr>
            </w:pPr>
          </w:p>
          <w:p>
            <w:pPr>
              <w:spacing w:line="360" w:lineRule="auto"/>
              <w:ind w:right="480" w:firstLine="5880" w:firstLineChars="2450"/>
              <w:rPr>
                <w:rFonts w:ascii="仿宋_GB2312" w:hAnsi="新宋体" w:eastAsia="仿宋_GB2312" w:cs="新宋体"/>
                <w:sz w:val="24"/>
              </w:rPr>
            </w:pPr>
          </w:p>
          <w:p>
            <w:pPr>
              <w:spacing w:line="360" w:lineRule="auto"/>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jc w:val="left"/>
        <w:rPr>
          <w:rFonts w:ascii="华文中宋" w:hAnsi="华文中宋" w:eastAsia="华文中宋"/>
          <w:b/>
          <w:bCs/>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napToGrid w:val="0"/>
        <w:spacing w:line="360" w:lineRule="auto"/>
        <w:jc w:val="both"/>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8"/>
    </w:p>
    <w:p>
      <w:pPr>
        <w:snapToGrid w:val="0"/>
        <w:spacing w:line="360" w:lineRule="auto"/>
        <w:ind w:firstLine="480" w:firstLineChars="200"/>
        <w:rPr>
          <w:rFonts w:hint="eastAsia" w:ascii="新宋体" w:eastAsia="新宋体"/>
          <w:sz w:val="24"/>
          <w:szCs w:val="22"/>
        </w:rPr>
      </w:pPr>
      <w:bookmarkStart w:id="71" w:name="_Toc278443514"/>
      <w:r>
        <w:rPr>
          <w:rFonts w:hint="eastAsia" w:ascii="新宋体" w:eastAsia="新宋体"/>
          <w:sz w:val="24"/>
          <w:szCs w:val="22"/>
        </w:rPr>
        <w:t xml:space="preserve"> 采用由中华人民共和国住房和城乡建设部与国家工商行政管理局联合制定的《建设工程施工合同示范文本》（GF-2017-0201）签订合</w:t>
      </w:r>
      <w:bookmarkEnd w:id="71"/>
      <w:bookmarkStart w:id="72" w:name="_Toc278443518"/>
      <w:r>
        <w:rPr>
          <w:rFonts w:hint="eastAsia" w:ascii="新宋体" w:eastAsia="新宋体"/>
          <w:sz w:val="24"/>
          <w:szCs w:val="22"/>
        </w:rPr>
        <w:t>同。</w:t>
      </w: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1.2 本工程量清单应与招标文件中的投标人须知、通用合同条款、专用合同条款、技术标准和要求及图纸等章节内容一起阅读和理解。</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1.3 本工程量清单仅是投标报价的共同基础，竣工结算的工程量按合同约定确定。合同价格的确定以及价款支付应遵循合同条款(包括通用合同条款和专用合同条款)、技术标准和要求以及本章的有关约定。</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1.4补充子目的子目特征、计量单位、工程量计算规则及工作内容说明如下：本工程使用《建设工程工程量清单计价规范》（G2013）</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1.5 本条第1.1款中约定的计量和计价规则适用于合同履约过程中工程量计量与价款支付、工程变更、索赔和工程结算。</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1.6 本条与下述第2条和第3条的说明内容是构成合同文件的已标价工程量清单的组成部分。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2.1 投标报价应根据招标文件中的有关计价要求，并按照下列依据自主报价。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 本招标文件及施工图纸；</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 定额及取费按《河南省建设工程工程量清单综合计价》2008版（ E园林工程）、《</w:t>
      </w:r>
      <w:r>
        <w:rPr>
          <w:rFonts w:hint="eastAsia" w:hAnsi="宋体" w:cs="仿宋_GB2312"/>
          <w:sz w:val="24"/>
          <w:szCs w:val="22"/>
          <w:lang w:val="en-US" w:eastAsia="zh-CN"/>
        </w:rPr>
        <w:t>&lt;河南省房屋与装饰工程预算定额（HAO1-331-2016）&gt;&lt;</w:t>
      </w:r>
      <w:r>
        <w:rPr>
          <w:rFonts w:hint="eastAsia" w:hAnsi="宋体" w:cs="仿宋_GB2312"/>
          <w:sz w:val="24"/>
          <w:szCs w:val="22"/>
          <w:lang w:val="en-US" w:eastAsia="zh-CN"/>
        </w:rPr>
        <w:tab/>
      </w:r>
      <w:r>
        <w:rPr>
          <w:rFonts w:hint="eastAsia" w:hAnsi="宋体" w:cs="仿宋_GB2312"/>
          <w:sz w:val="24"/>
          <w:szCs w:val="22"/>
          <w:lang w:val="en-US" w:eastAsia="zh-CN"/>
        </w:rPr>
        <w:t>河南省通用安装工程预算定额（HAO02-31-2016）&gt;&lt;河南省市政工程预算定额(HAO1-31-2016)&gt;综合解释</w:t>
      </w:r>
      <w:r>
        <w:rPr>
          <w:rFonts w:hint="eastAsia" w:hAnsi="宋体" w:cs="仿宋_GB2312"/>
          <w:sz w:val="24"/>
          <w:szCs w:val="22"/>
        </w:rPr>
        <w:t>》</w:t>
      </w:r>
      <w:r>
        <w:rPr>
          <w:rFonts w:hint="eastAsia" w:hAnsi="宋体" w:cs="仿宋_GB2312"/>
          <w:sz w:val="24"/>
          <w:szCs w:val="22"/>
          <w:lang w:val="en-US" w:eastAsia="zh-CN"/>
        </w:rPr>
        <w:t>以及相关造价文件等进行编制</w:t>
      </w:r>
      <w:r>
        <w:rPr>
          <w:rFonts w:hint="eastAsia" w:hAnsi="宋体" w:cs="仿宋_GB2312"/>
          <w:sz w:val="24"/>
          <w:szCs w:val="22"/>
        </w:rPr>
        <w:t>。</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（3）材料价格依据《许昌工程造价信息》2018年第</w:t>
      </w:r>
      <w:r>
        <w:rPr>
          <w:rFonts w:hint="eastAsia" w:hAnsi="宋体" w:cs="仿宋_GB2312"/>
          <w:sz w:val="24"/>
          <w:szCs w:val="22"/>
          <w:lang w:val="en-US" w:eastAsia="zh-CN"/>
        </w:rPr>
        <w:t>五</w:t>
      </w:r>
      <w:r>
        <w:rPr>
          <w:rFonts w:hint="eastAsia" w:hAnsi="宋体" w:cs="仿宋_GB2312"/>
          <w:sz w:val="24"/>
          <w:szCs w:val="22"/>
        </w:rPr>
        <w:t>期</w:t>
      </w:r>
      <w:r>
        <w:rPr>
          <w:rFonts w:hint="eastAsia" w:hAnsi="宋体" w:cs="仿宋_GB2312"/>
          <w:sz w:val="24"/>
          <w:szCs w:val="22"/>
          <w:lang w:val="en-US" w:eastAsia="zh-CN"/>
        </w:rPr>
        <w:t>材料信息价，其不足部分采取市场询价</w:t>
      </w:r>
      <w:r>
        <w:rPr>
          <w:rFonts w:hint="eastAsia" w:hAnsi="宋体" w:cs="仿宋_GB2312"/>
          <w:sz w:val="24"/>
          <w:szCs w:val="22"/>
        </w:rPr>
        <w:t>。</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（4）税金调整依据豫建设标号【2018】22号文件10%计入</w:t>
      </w:r>
      <w:r>
        <w:rPr>
          <w:rFonts w:hint="eastAsia" w:hAnsi="宋体" w:cs="仿宋_GB2312"/>
          <w:sz w:val="24"/>
          <w:szCs w:val="22"/>
          <w:lang w:eastAsia="zh-CN"/>
        </w:rPr>
        <w:t>，</w:t>
      </w:r>
      <w:r>
        <w:rPr>
          <w:rFonts w:hint="eastAsia" w:hAnsi="宋体" w:cs="仿宋_GB2312"/>
          <w:sz w:val="24"/>
          <w:szCs w:val="22"/>
          <w:lang w:val="en-US" w:eastAsia="zh-CN"/>
        </w:rPr>
        <w:t>规费执行豫建设标【2014】29号文及豫建建【2016】62号文足额计取</w:t>
      </w:r>
      <w:r>
        <w:rPr>
          <w:rFonts w:hint="eastAsia" w:hAnsi="宋体" w:cs="仿宋_GB2312"/>
          <w:sz w:val="24"/>
          <w:szCs w:val="22"/>
        </w:rPr>
        <w:t>。</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（5）人工费指数按豫建标定【2018】</w:t>
      </w:r>
      <w:r>
        <w:rPr>
          <w:rFonts w:hint="eastAsia" w:hAnsi="宋体" w:cs="仿宋_GB2312"/>
          <w:sz w:val="24"/>
          <w:szCs w:val="22"/>
          <w:lang w:val="en-US" w:eastAsia="zh-CN"/>
        </w:rPr>
        <w:t>39</w:t>
      </w:r>
      <w:r>
        <w:rPr>
          <w:rFonts w:hint="eastAsia" w:hAnsi="宋体" w:cs="仿宋_GB2312"/>
          <w:sz w:val="24"/>
          <w:szCs w:val="22"/>
        </w:rPr>
        <w:t>号文</w:t>
      </w:r>
      <w:r>
        <w:rPr>
          <w:rFonts w:hint="eastAsia" w:hAnsi="宋体" w:cs="仿宋_GB2312"/>
          <w:sz w:val="24"/>
          <w:szCs w:val="22"/>
          <w:lang w:eastAsia="zh-CN"/>
        </w:rPr>
        <w:t>，</w:t>
      </w:r>
      <w:r>
        <w:rPr>
          <w:rFonts w:hint="eastAsia" w:hAnsi="宋体" w:cs="仿宋_GB2312"/>
          <w:sz w:val="24"/>
          <w:szCs w:val="22"/>
          <w:lang w:val="en-US" w:eastAsia="zh-CN"/>
        </w:rPr>
        <w:t>单价以79.875元/工日计</w:t>
      </w:r>
      <w:r>
        <w:rPr>
          <w:rFonts w:hint="eastAsia" w:hAnsi="宋体" w:cs="仿宋_GB2312"/>
          <w:sz w:val="24"/>
          <w:szCs w:val="22"/>
        </w:rPr>
        <w:t>。</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（6）扬尘污染防治增加费依据豫建设标【2016】</w:t>
      </w:r>
      <w:r>
        <w:rPr>
          <w:rFonts w:hint="eastAsia" w:hAnsi="宋体" w:cs="仿宋_GB2312"/>
          <w:sz w:val="24"/>
          <w:szCs w:val="22"/>
          <w:lang w:val="en-US" w:eastAsia="zh-CN"/>
        </w:rPr>
        <w:t>47</w:t>
      </w:r>
      <w:r>
        <w:rPr>
          <w:rFonts w:hint="eastAsia" w:hAnsi="宋体" w:cs="仿宋_GB2312"/>
          <w:sz w:val="24"/>
          <w:szCs w:val="22"/>
        </w:rPr>
        <w:t>号文</w:t>
      </w:r>
      <w:r>
        <w:rPr>
          <w:rFonts w:hint="eastAsia" w:hAnsi="宋体" w:cs="仿宋_GB2312"/>
          <w:sz w:val="24"/>
          <w:szCs w:val="22"/>
          <w:lang w:val="en-US" w:eastAsia="zh-CN"/>
        </w:rPr>
        <w:t>足额</w:t>
      </w:r>
      <w:r>
        <w:rPr>
          <w:rFonts w:hint="eastAsia" w:hAnsi="宋体" w:cs="仿宋_GB2312"/>
          <w:sz w:val="24"/>
          <w:szCs w:val="22"/>
        </w:rPr>
        <w:t>计取。</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（7）</w:t>
      </w:r>
      <w:r>
        <w:rPr>
          <w:rFonts w:hint="eastAsia" w:hAnsi="宋体" w:cs="仿宋_GB2312"/>
          <w:sz w:val="24"/>
          <w:szCs w:val="22"/>
          <w:lang w:val="en-US" w:eastAsia="zh-CN"/>
        </w:rPr>
        <w:t>安全文明施工费执行豫建设标【2014】57号文计入</w:t>
      </w:r>
      <w:r>
        <w:rPr>
          <w:rFonts w:hint="eastAsia" w:hAnsi="宋体" w:cs="仿宋_GB2312"/>
          <w:sz w:val="24"/>
          <w:szCs w:val="22"/>
        </w:rPr>
        <w:t>。</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（8）其他</w:t>
      </w:r>
      <w:r>
        <w:rPr>
          <w:rFonts w:hint="eastAsia" w:hAnsi="宋体" w:cs="仿宋_GB2312"/>
          <w:sz w:val="24"/>
          <w:szCs w:val="22"/>
          <w:lang w:val="en-US" w:eastAsia="zh-CN"/>
        </w:rPr>
        <w:t>计算依据参考现行的文件</w:t>
      </w:r>
      <w:r>
        <w:rPr>
          <w:rFonts w:hint="eastAsia" w:hAnsi="宋体" w:cs="仿宋_GB2312"/>
          <w:sz w:val="24"/>
          <w:szCs w:val="22"/>
        </w:rPr>
        <w:t>：</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2.2 工程量清单中的每一子目须填入单价或价格，且只允许有一个报价。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2.3 工程量清单中标价的单价或金额，应包括所需人工费、材料费、施工机械使用费和管理费及利润，以及一定范围内的风险费用。所谓“一定范围内的风险”是指合同约定的风险。</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2.4 已标价工程量清单中投标人没有填入单价或价格的子目，其费用视为已分摊在工程量清单中其他已标价的相关子目的单价或价格之中。</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2.6 分部分项工程项目按下列要求报价：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2.6.1 分部分项工程量清单计价应依据计价规范中关于综合单价的组成内容确定报价。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2.6.4 “分部分项工程量清单与计价表”所列各子目的综合单价组成中，各子目的人工、材料和机械台班消耗量由投标人按照其自身情况做充分的、竞争性考虑。材料消耗量包括损耗量。</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2.7 措施项目按下列要求报价：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2.7.3 “措施项目清单与计价表”中所填写的报价金额，应全面涵盖招标文件约定的投标人中标后施工、竣工、交付本工程并维修其任何缺陷所需要履行的责任和义务的全部费用。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2.7.4 对于“措施项目清单与计价表”中所填写的报价金额，应按照“措施项目清单报价分析表”对措施项目报价的组成进行详细的列项和分析。</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2.8 其他项目清单费应按下列规定报价：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2.8.1 暂列金额按“暂列金额明细表”中列出的金额报价，此处的暂列金额是招标人在招标文件中统一给定的，并不包括本章第2.8.3项的计日工金额。</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2.8.3 计日工按“计日工表”中列出的子目和估算数量，自主确定综合单价并计算计日工金额。计日工综合单价均不包括规费和税金，其中：</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(1) 劳务单价应当包括工人工资、交通费用、各种补贴、劳动安全保护、社保费用、手提手动和电动工器具、施工场地内已经搭设的脚手架、水电和低值易耗品费用、现场管理费用、企业管理费和利润；</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 材料价格包括材料运到现场的价格以及现场搬运、仓储、二次搬运、损耗、保险、企业管理费和利润；</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 施工机械限于在施工场地(现场)的机械设备，其价格包括租赁或折旧、维修、维护和燃油等消耗品以及操作人员费用，包括承包人企业管理费和利润，但不包括规费和税金。辅助人员按劳务价格另计。</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 xml:space="preserve">    2.9 规费和税金应按“规费、税金项目清单与计价表”所列项目并根据国家、省级或行业建设主管部门的有关规定列项和计算，不得作为竞争性费用。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2.10 除招标文件有强制性规定外，投标报价由投标人自主确定，但不得低于其成本。</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2.12 管理费应由投标人在保证不低于其成本的基础上做竞争性考虑；利润由投标人根据自身情况和综合实力做竞争性考虑。</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2.13 投标报价中应考虑招标文件中要求投标人承担的风险范围以及相关的费用。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2.14 投标总价为投标人在投标文件中提出的各项支付金额的总和，为实施、完成招标工程并修补缺陷以及履行招标文件中约定的风险范围内的所有责任和义务所发生的全部费用。</w:t>
      </w:r>
    </w:p>
    <w:p>
      <w:pPr>
        <w:autoSpaceDE w:val="0"/>
        <w:autoSpaceDN w:val="0"/>
        <w:adjustRightInd w:val="0"/>
        <w:ind w:firstLine="480" w:firstLineChars="200"/>
        <w:jc w:val="left"/>
        <w:rPr>
          <w:rFonts w:hint="eastAsia" w:hAnsi="宋体" w:cs="仿宋_GB2312"/>
          <w:b/>
          <w:bCs/>
          <w:sz w:val="24"/>
          <w:szCs w:val="22"/>
        </w:rPr>
      </w:pPr>
      <w:r>
        <w:rPr>
          <w:rFonts w:hint="eastAsia" w:hAnsi="宋体" w:cs="仿宋_GB2312"/>
          <w:b/>
          <w:bCs/>
          <w:sz w:val="24"/>
          <w:szCs w:val="22"/>
        </w:rPr>
        <w:t>2.15 有关投标报价的其他说明：</w:t>
      </w:r>
    </w:p>
    <w:p>
      <w:pPr>
        <w:autoSpaceDE w:val="0"/>
        <w:autoSpaceDN w:val="0"/>
        <w:adjustRightInd w:val="0"/>
        <w:ind w:firstLine="480" w:firstLineChars="200"/>
        <w:jc w:val="left"/>
        <w:rPr>
          <w:rFonts w:hint="eastAsia" w:hAnsi="宋体" w:cs="仿宋_GB2312"/>
          <w:b/>
          <w:bCs/>
          <w:sz w:val="24"/>
          <w:szCs w:val="22"/>
        </w:rPr>
      </w:pPr>
      <w:r>
        <w:rPr>
          <w:rFonts w:hint="eastAsia" w:hAnsi="宋体" w:cs="仿宋_GB2312"/>
          <w:b/>
          <w:bCs/>
          <w:sz w:val="24"/>
          <w:szCs w:val="22"/>
        </w:rPr>
        <w:t>2.15.1“规费和税金”的规定按照住建部《建设工程工程量清单计价规范》（GB50500-2013）及省住建厅有关规定，规费和税金应按规定费（税）率足额计取，即费（税）率不可竞争。</w:t>
      </w:r>
    </w:p>
    <w:p>
      <w:pPr>
        <w:autoSpaceDE w:val="0"/>
        <w:autoSpaceDN w:val="0"/>
        <w:adjustRightInd w:val="0"/>
        <w:ind w:firstLine="480" w:firstLineChars="200"/>
        <w:jc w:val="left"/>
        <w:rPr>
          <w:rFonts w:hint="eastAsia" w:hAnsi="宋体" w:cs="仿宋_GB2312"/>
          <w:b/>
          <w:bCs/>
          <w:sz w:val="24"/>
          <w:szCs w:val="22"/>
        </w:rPr>
      </w:pPr>
      <w:r>
        <w:rPr>
          <w:rFonts w:hint="eastAsia" w:hAnsi="宋体" w:cs="仿宋_GB2312"/>
          <w:b/>
          <w:bCs/>
          <w:sz w:val="24"/>
          <w:szCs w:val="22"/>
        </w:rPr>
        <w:t>规费、税金、安全文明施工措施费计入投标总报价，并在投标函、投标函附录中单列，不参与商务标评审。</w:t>
      </w:r>
    </w:p>
    <w:p>
      <w:pPr>
        <w:autoSpaceDE w:val="0"/>
        <w:autoSpaceDN w:val="0"/>
        <w:adjustRightInd w:val="0"/>
        <w:ind w:firstLine="480" w:firstLineChars="200"/>
        <w:jc w:val="left"/>
        <w:rPr>
          <w:rFonts w:hint="eastAsia" w:hAnsi="宋体" w:cs="仿宋_GB2312"/>
          <w:b/>
          <w:bCs/>
          <w:sz w:val="24"/>
          <w:szCs w:val="22"/>
        </w:rPr>
      </w:pPr>
      <w:r>
        <w:rPr>
          <w:rFonts w:hint="eastAsia" w:hAnsi="宋体" w:cs="仿宋_GB2312"/>
          <w:b/>
          <w:bCs/>
          <w:sz w:val="24"/>
          <w:szCs w:val="22"/>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ind w:firstLine="480" w:firstLineChars="200"/>
        <w:jc w:val="left"/>
        <w:rPr>
          <w:rFonts w:hint="eastAsia" w:hAnsi="宋体" w:cs="仿宋_GB2312"/>
          <w:b/>
          <w:bCs/>
          <w:sz w:val="24"/>
          <w:szCs w:val="22"/>
        </w:rPr>
      </w:pPr>
      <w:r>
        <w:rPr>
          <w:rFonts w:hint="eastAsia" w:hAnsi="宋体" w:cs="仿宋_GB2312"/>
          <w:b/>
          <w:bCs/>
          <w:sz w:val="24"/>
          <w:szCs w:val="22"/>
        </w:rPr>
        <w:t>投标人编制投标报价时，同一投标文件综合工日应前后保持一致。</w:t>
      </w:r>
    </w:p>
    <w:p>
      <w:pPr>
        <w:autoSpaceDE w:val="0"/>
        <w:autoSpaceDN w:val="0"/>
        <w:adjustRightInd w:val="0"/>
        <w:ind w:firstLine="480" w:firstLineChars="200"/>
        <w:jc w:val="left"/>
        <w:rPr>
          <w:rFonts w:hint="eastAsia" w:hAnsi="宋体" w:cs="仿宋_GB2312"/>
          <w:b/>
          <w:bCs/>
          <w:sz w:val="24"/>
          <w:szCs w:val="22"/>
        </w:rPr>
      </w:pPr>
      <w:r>
        <w:rPr>
          <w:rFonts w:hint="eastAsia" w:hAnsi="宋体" w:cs="仿宋_GB2312"/>
          <w:b/>
          <w:bCs/>
          <w:sz w:val="24"/>
          <w:szCs w:val="22"/>
        </w:rPr>
        <w:t>不按照以上要求编制投标报价的，视为违反《许昌市建设工程工程量清单招标评标办法（试行）》第八条第3款之规定，按废标处理。</w:t>
      </w:r>
    </w:p>
    <w:p>
      <w:pPr>
        <w:spacing w:line="360" w:lineRule="auto"/>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3.1词语和定义</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3.1.1 工程量清单</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是表现本工程分部分项工程项目、措施项目、其他项目、规费项目和税金的名称和相应数量等的明细清单。</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3.1.2 总价子目</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3.1.3 单价子目</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工程量清单中以单价计价，根据有合同约束力的图纸和工程量计算规则进行计量，以实际完成数量乘以相应单价进行结算的子目。</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3.1.4 子目编码</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分部分项工程项目清单中所列的子目名称的数字标识和代码，子目编码与项目编码同义。</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3.1.5 子目特征</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构成分部分项工程项目清单子目、措施项目的实质内容、决定其自身价值的本质特征，子目特征与项目特征同义。</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3.1.6 规费</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承包人根据省级政府或省级有关权力部门规定必须缴纳的，应计入建筑安装工程造价的费用。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3.1.7 税金</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国家税法规定的应计入建筑安装工程造价内的营业税、城市维护建设税及教育费附加等。</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3.1.8 总承包服务费</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总承包人为配合协调发包人发包的专业工程以及发包人采购的材料和工程设备等进行管理、服务以及施工现场管理、竣工资料汇总整理等所需的费用。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3.1.9 同义词语</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本章中使用的词语“招标人”和“投标人”分别与合同条款中定义的“发包人”和“承包人”同义；就工程量清单而言，“子目”与“项目”同义。</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3.2工程量差异调整</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3.2.1 工程量清单中的工作内容分类、子目列项、特征描述以及“分部分项工程量清单与计价表”中附带的工程量都不应理解为是对承包(招标)范围以及合同工作内容的唯一的、最终的或全部的定义。</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3.3暂列金额和暂估价</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3.4其他补充说明</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 xml:space="preserve">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autoSpaceDE w:val="0"/>
        <w:autoSpaceDN w:val="0"/>
        <w:adjustRightInd w:val="0"/>
        <w:ind w:firstLine="480" w:firstLineChars="200"/>
        <w:jc w:val="left"/>
        <w:rPr>
          <w:rFonts w:hint="eastAsia" w:hAnsi="宋体" w:cs="仿宋_GB2312"/>
          <w:sz w:val="24"/>
          <w:szCs w:val="22"/>
        </w:rPr>
      </w:pPr>
      <w:r>
        <w:rPr>
          <w:rFonts w:hint="eastAsia" w:hAnsi="宋体" w:cs="仿宋_GB2312"/>
          <w:sz w:val="24"/>
          <w:szCs w:val="22"/>
        </w:rPr>
        <w:t>工程量清单在《全国公共资源交易平台（河南省·许昌市）》（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），通过“投标人/供应商登录”后自行下载。投标人按照下载的工程量清单编制投标报价，未尽事宜按照国家、省、市、行业现行的文件执行。</w:t>
      </w:r>
    </w:p>
    <w:p>
      <w:pPr>
        <w:autoSpaceDE w:val="0"/>
        <w:autoSpaceDN w:val="0"/>
        <w:adjustRightInd w:val="0"/>
        <w:spacing w:line="360" w:lineRule="auto"/>
        <w:jc w:val="center"/>
        <w:outlineLvl w:val="0"/>
        <w:rPr>
          <w:rFonts w:hint="eastAsia" w:hAnsi="宋体" w:cs="黑体"/>
          <w:b/>
          <w:sz w:val="36"/>
          <w:szCs w:val="36"/>
        </w:rPr>
      </w:pPr>
    </w:p>
    <w:p>
      <w:pPr>
        <w:autoSpaceDE w:val="0"/>
        <w:autoSpaceDN w:val="0"/>
        <w:adjustRightInd w:val="0"/>
        <w:spacing w:line="360" w:lineRule="auto"/>
        <w:jc w:val="center"/>
        <w:outlineLvl w:val="0"/>
        <w:rPr>
          <w:rFonts w:hint="eastAsia" w:hAnsi="宋体" w:cs="黑体"/>
          <w:b/>
          <w:sz w:val="36"/>
          <w:szCs w:val="36"/>
        </w:rPr>
      </w:pPr>
    </w:p>
    <w:p>
      <w:pPr>
        <w:autoSpaceDE w:val="0"/>
        <w:autoSpaceDN w:val="0"/>
        <w:adjustRightInd w:val="0"/>
        <w:spacing w:line="360" w:lineRule="auto"/>
        <w:jc w:val="center"/>
        <w:outlineLvl w:val="0"/>
        <w:rPr>
          <w:rFonts w:hint="eastAsia" w:hAnsi="宋体" w:cs="黑体"/>
          <w:b/>
          <w:sz w:val="36"/>
          <w:szCs w:val="36"/>
        </w:rPr>
      </w:pPr>
    </w:p>
    <w:p>
      <w:pPr>
        <w:autoSpaceDE w:val="0"/>
        <w:autoSpaceDN w:val="0"/>
        <w:adjustRightInd w:val="0"/>
        <w:spacing w:line="360" w:lineRule="auto"/>
        <w:jc w:val="center"/>
        <w:outlineLvl w:val="0"/>
        <w:rPr>
          <w:rFonts w:hint="eastAsia" w:hAnsi="宋体" w:cs="黑体"/>
          <w:b/>
          <w:sz w:val="36"/>
          <w:szCs w:val="36"/>
        </w:rPr>
      </w:pPr>
    </w:p>
    <w:p>
      <w:pPr>
        <w:autoSpaceDE w:val="0"/>
        <w:autoSpaceDN w:val="0"/>
        <w:adjustRightInd w:val="0"/>
        <w:spacing w:line="360" w:lineRule="auto"/>
        <w:jc w:val="center"/>
        <w:outlineLvl w:val="0"/>
        <w:rPr>
          <w:rFonts w:hint="eastAsia" w:hAnsi="宋体" w:cs="黑体"/>
          <w:b/>
          <w:sz w:val="36"/>
          <w:szCs w:val="36"/>
        </w:rPr>
      </w:pPr>
    </w:p>
    <w:p>
      <w:pPr>
        <w:autoSpaceDE w:val="0"/>
        <w:autoSpaceDN w:val="0"/>
        <w:adjustRightInd w:val="0"/>
        <w:spacing w:line="360" w:lineRule="auto"/>
        <w:jc w:val="center"/>
        <w:outlineLvl w:val="0"/>
        <w:rPr>
          <w:rFonts w:hint="eastAsia" w:hAnsi="宋体" w:cs="黑体"/>
          <w:b/>
          <w:sz w:val="36"/>
          <w:szCs w:val="36"/>
        </w:rPr>
      </w:pPr>
    </w:p>
    <w:p>
      <w:pPr>
        <w:autoSpaceDE w:val="0"/>
        <w:autoSpaceDN w:val="0"/>
        <w:adjustRightInd w:val="0"/>
        <w:spacing w:line="360" w:lineRule="auto"/>
        <w:jc w:val="center"/>
        <w:outlineLvl w:val="0"/>
        <w:rPr>
          <w:rFonts w:hAnsi="宋体" w:cs="黑体"/>
          <w:b/>
          <w:sz w:val="24"/>
        </w:rPr>
      </w:pPr>
      <w:r>
        <w:rPr>
          <w:rFonts w:hint="eastAsia" w:hAnsi="宋体" w:cs="黑体"/>
          <w:b/>
          <w:sz w:val="36"/>
          <w:szCs w:val="36"/>
        </w:rPr>
        <w:t>第六章  图纸</w:t>
      </w:r>
      <w:bookmarkEnd w:id="72"/>
    </w:p>
    <w:p>
      <w:pPr>
        <w:autoSpaceDE w:val="0"/>
        <w:autoSpaceDN w:val="0"/>
        <w:adjustRightInd w:val="0"/>
        <w:spacing w:line="360" w:lineRule="auto"/>
        <w:jc w:val="center"/>
        <w:rPr>
          <w:rFonts w:hint="eastAsia" w:hAnsi="宋体" w:eastAsia="宋体" w:cs="黑体"/>
          <w:sz w:val="28"/>
          <w:szCs w:val="28"/>
          <w:lang w:eastAsia="zh-CN"/>
        </w:rPr>
      </w:pPr>
      <w:r>
        <w:rPr>
          <w:rFonts w:hint="eastAsia" w:hAnsi="宋体" w:cs="黑体"/>
          <w:sz w:val="28"/>
          <w:szCs w:val="28"/>
        </w:rPr>
        <w:t>按照招标文件中第二章投标人须知前附表第2.1项所给的网址自行下载。</w:t>
      </w:r>
      <w:r>
        <w:rPr>
          <w:rFonts w:hint="eastAsia" w:hAnsi="宋体" w:cs="黑体"/>
          <w:sz w:val="28"/>
          <w:szCs w:val="28"/>
          <w:lang w:eastAsia="zh-CN"/>
        </w:rPr>
        <w:t>（</w:t>
      </w:r>
      <w:r>
        <w:rPr>
          <w:rFonts w:hint="eastAsia" w:hAnsi="宋体" w:cs="黑体"/>
          <w:sz w:val="28"/>
          <w:szCs w:val="28"/>
          <w:lang w:val="en-US" w:eastAsia="zh-CN"/>
        </w:rPr>
        <w:t>如有</w:t>
      </w:r>
      <w:r>
        <w:rPr>
          <w:rFonts w:hint="eastAsia" w:hAnsi="宋体" w:cs="黑体"/>
          <w:sz w:val="28"/>
          <w:szCs w:val="28"/>
          <w:lang w:eastAsia="zh-CN"/>
        </w:rPr>
        <w:t>）</w:t>
      </w:r>
    </w:p>
    <w:p>
      <w:pPr>
        <w:autoSpaceDE w:val="0"/>
        <w:autoSpaceDN w:val="0"/>
        <w:adjustRightInd w:val="0"/>
        <w:spacing w:line="360" w:lineRule="auto"/>
        <w:jc w:val="center"/>
        <w:outlineLvl w:val="0"/>
        <w:rPr>
          <w:rFonts w:hAnsi="宋体" w:cs="黑体"/>
          <w:b/>
          <w:sz w:val="36"/>
          <w:szCs w:val="36"/>
        </w:rPr>
      </w:pPr>
      <w:bookmarkStart w:id="73" w:name="_Toc278443522"/>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outlineLvl w:val="0"/>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r>
        <w:rPr>
          <w:rFonts w:hint="eastAsia" w:hAnsi="宋体" w:cs="黑体"/>
          <w:b/>
          <w:sz w:val="36"/>
          <w:szCs w:val="36"/>
        </w:rPr>
        <w:t>第七章技术标准和要求</w:t>
      </w:r>
      <w:bookmarkEnd w:id="73"/>
    </w:p>
    <w:p>
      <w:pPr>
        <w:spacing w:line="360" w:lineRule="auto"/>
        <w:ind w:firstLine="480" w:firstLineChars="200"/>
        <w:jc w:val="left"/>
        <w:rPr>
          <w:rFonts w:ascii="新宋体" w:hAnsi="新宋体" w:eastAsia="新宋体"/>
          <w:sz w:val="24"/>
        </w:rPr>
      </w:pPr>
    </w:p>
    <w:p>
      <w:pPr>
        <w:spacing w:line="240" w:lineRule="auto"/>
        <w:ind w:firstLine="560" w:firstLineChars="200"/>
        <w:jc w:val="left"/>
        <w:rPr>
          <w:rFonts w:ascii="新宋体" w:hAnsi="新宋体" w:eastAsia="新宋体"/>
          <w:sz w:val="28"/>
          <w:szCs w:val="21"/>
        </w:rPr>
      </w:pPr>
      <w:r>
        <w:rPr>
          <w:rFonts w:hint="eastAsia" w:ascii="新宋体" w:hAnsi="新宋体" w:eastAsia="新宋体"/>
          <w:sz w:val="28"/>
          <w:szCs w:val="21"/>
        </w:rPr>
        <w:t>1、本工程技术标准和要求以本工程施工图纸和适用的国家、行业以及地方规范、标准和规程为准。</w:t>
      </w:r>
    </w:p>
    <w:p>
      <w:pPr>
        <w:spacing w:line="240" w:lineRule="auto"/>
        <w:ind w:firstLine="560" w:firstLineChars="200"/>
        <w:jc w:val="left"/>
        <w:rPr>
          <w:rFonts w:ascii="新宋体" w:hAnsi="新宋体" w:eastAsia="新宋体"/>
          <w:sz w:val="28"/>
          <w:szCs w:val="21"/>
        </w:rPr>
      </w:pPr>
      <w:r>
        <w:rPr>
          <w:rFonts w:hint="eastAsia" w:ascii="新宋体" w:hAnsi="新宋体" w:eastAsia="新宋体"/>
          <w:sz w:val="28"/>
          <w:szCs w:val="21"/>
        </w:rPr>
        <w:t>2、根据河南省住房和城乡建设厅文件豫建设标【2016】47号文《关于调整房屋建筑和市政基础设施工程现场扬尘污染防治费的通知》，本工程计取了扬尘污染防治费。</w:t>
      </w:r>
    </w:p>
    <w:p>
      <w:pPr>
        <w:spacing w:line="360" w:lineRule="auto"/>
        <w:ind w:firstLine="480" w:firstLineChars="200"/>
        <w:jc w:val="left"/>
        <w:rPr>
          <w:rFonts w:ascii="新宋体" w:hAnsi="新宋体" w:eastAsia="新宋体"/>
          <w:sz w:val="24"/>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color w:val="0000FF"/>
          <w:sz w:val="32"/>
          <w:szCs w:val="32"/>
        </w:rPr>
      </w:pPr>
    </w:p>
    <w:p>
      <w:pPr>
        <w:autoSpaceDE w:val="0"/>
        <w:autoSpaceDN w:val="0"/>
        <w:adjustRightInd w:val="0"/>
        <w:spacing w:line="360" w:lineRule="auto"/>
        <w:jc w:val="center"/>
        <w:rPr>
          <w:rFonts w:hAnsi="宋体" w:cs="黑体"/>
          <w:color w:val="0000FF"/>
          <w:sz w:val="32"/>
          <w:szCs w:val="32"/>
        </w:rPr>
      </w:pPr>
    </w:p>
    <w:p>
      <w:pPr>
        <w:autoSpaceDE w:val="0"/>
        <w:autoSpaceDN w:val="0"/>
        <w:adjustRightInd w:val="0"/>
        <w:spacing w:line="360" w:lineRule="auto"/>
        <w:jc w:val="center"/>
        <w:rPr>
          <w:rFonts w:hAnsi="宋体" w:cs="黑体"/>
          <w:color w:val="0000FF"/>
          <w:sz w:val="32"/>
          <w:szCs w:val="32"/>
        </w:rPr>
      </w:pPr>
    </w:p>
    <w:p>
      <w:pPr>
        <w:autoSpaceDE w:val="0"/>
        <w:autoSpaceDN w:val="0"/>
        <w:adjustRightInd w:val="0"/>
        <w:spacing w:beforeLines="100" w:afterLines="100" w:line="360" w:lineRule="auto"/>
        <w:jc w:val="center"/>
        <w:outlineLvl w:val="0"/>
        <w:rPr>
          <w:rFonts w:hAnsi="宋体" w:cs="黑体"/>
          <w:b/>
          <w:sz w:val="44"/>
          <w:szCs w:val="44"/>
        </w:rPr>
      </w:pPr>
      <w:bookmarkStart w:id="74" w:name="_Toc278443525"/>
      <w:r>
        <w:rPr>
          <w:rFonts w:hAnsi="宋体" w:cs="黑体"/>
          <w:b/>
          <w:color w:val="0000FF"/>
          <w:sz w:val="44"/>
          <w:szCs w:val="44"/>
        </w:rPr>
        <w:br w:type="page"/>
      </w:r>
      <w:r>
        <w:rPr>
          <w:rFonts w:hint="eastAsia" w:hAnsi="宋体" w:cs="黑体"/>
          <w:b/>
          <w:sz w:val="44"/>
          <w:szCs w:val="44"/>
        </w:rPr>
        <w:t>第八章投标文件格式</w:t>
      </w:r>
      <w:bookmarkEnd w:id="74"/>
    </w:p>
    <w:p>
      <w:pPr>
        <w:autoSpaceDE w:val="0"/>
        <w:autoSpaceDN w:val="0"/>
        <w:adjustRightInd w:val="0"/>
        <w:spacing w:line="360" w:lineRule="auto"/>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spacing w:line="360" w:lineRule="auto"/>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360" w:lineRule="auto"/>
        <w:jc w:val="left"/>
        <w:rPr>
          <w:rFonts w:hAnsi="宋体" w:cs="宋体"/>
          <w:sz w:val="28"/>
        </w:rPr>
      </w:pPr>
    </w:p>
    <w:p>
      <w:pPr>
        <w:autoSpaceDE w:val="0"/>
        <w:autoSpaceDN w:val="0"/>
        <w:adjustRightInd w:val="0"/>
        <w:spacing w:line="360" w:lineRule="auto"/>
        <w:rPr>
          <w:rFonts w:hAnsi="宋体" w:cs="宋体"/>
          <w:b/>
          <w:spacing w:val="60"/>
          <w:sz w:val="70"/>
        </w:rPr>
      </w:pPr>
    </w:p>
    <w:p>
      <w:pPr>
        <w:autoSpaceDE w:val="0"/>
        <w:autoSpaceDN w:val="0"/>
        <w:adjustRightInd w:val="0"/>
        <w:spacing w:line="360" w:lineRule="auto"/>
        <w:jc w:val="center"/>
        <w:rPr>
          <w:rFonts w:hAnsi="宋体" w:cs="宋体"/>
          <w:b/>
          <w:spacing w:val="60"/>
          <w:sz w:val="70"/>
        </w:rPr>
      </w:pPr>
    </w:p>
    <w:p>
      <w:pPr>
        <w:autoSpaceDE w:val="0"/>
        <w:autoSpaceDN w:val="0"/>
        <w:adjustRightInd w:val="0"/>
        <w:spacing w:line="360" w:lineRule="auto"/>
        <w:jc w:val="center"/>
        <w:rPr>
          <w:rFonts w:hAnsi="宋体" w:cs="宋体"/>
          <w:sz w:val="44"/>
        </w:rPr>
      </w:pPr>
      <w:r>
        <w:rPr>
          <w:rFonts w:hint="eastAsia" w:hAnsi="宋体" w:cs="宋体"/>
          <w:b/>
          <w:spacing w:val="60"/>
          <w:sz w:val="70"/>
        </w:rPr>
        <w:t>投 标 文 件</w:t>
      </w:r>
    </w:p>
    <w:p>
      <w:pPr>
        <w:autoSpaceDE w:val="0"/>
        <w:autoSpaceDN w:val="0"/>
        <w:adjustRightInd w:val="0"/>
        <w:spacing w:line="360" w:lineRule="auto"/>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220</w:t>
      </w:r>
      <w:r>
        <w:rPr>
          <w:rFonts w:hint="eastAsia" w:hAnsi="宋体" w:cs="宋体"/>
          <w:bCs/>
          <w:color w:val="000000" w:themeColor="text1"/>
          <w:sz w:val="32"/>
          <w:szCs w:val="22"/>
        </w:rPr>
        <w:t>号</w:t>
      </w:r>
    </w:p>
    <w:p>
      <w:pPr>
        <w:autoSpaceDE w:val="0"/>
        <w:autoSpaceDN w:val="0"/>
        <w:adjustRightInd w:val="0"/>
        <w:spacing w:line="360" w:lineRule="auto"/>
        <w:jc w:val="center"/>
        <w:rPr>
          <w:rFonts w:hAnsi="宋体" w:cs="宋体"/>
          <w:sz w:val="44"/>
        </w:rPr>
      </w:pPr>
      <w:r>
        <w:rPr>
          <w:rFonts w:hint="eastAsia"/>
          <w:bCs/>
          <w:sz w:val="44"/>
          <w:szCs w:val="44"/>
        </w:rPr>
        <w:t>商务标</w:t>
      </w:r>
    </w:p>
    <w:p>
      <w:pPr>
        <w:autoSpaceDE w:val="0"/>
        <w:autoSpaceDN w:val="0"/>
        <w:adjustRightInd w:val="0"/>
        <w:spacing w:line="360" w:lineRule="auto"/>
        <w:jc w:val="center"/>
        <w:rPr>
          <w:rFonts w:hAnsi="宋体" w:cs="宋体"/>
          <w:sz w:val="44"/>
        </w:rPr>
      </w:pPr>
    </w:p>
    <w:p>
      <w:pPr>
        <w:pStyle w:val="66"/>
        <w:spacing w:line="360" w:lineRule="auto"/>
        <w:jc w:val="center"/>
        <w:rPr>
          <w:rFonts w:hAnsi="宋体"/>
          <w:color w:val="auto"/>
          <w:sz w:val="23"/>
        </w:rPr>
      </w:pPr>
    </w:p>
    <w:p>
      <w:pPr>
        <w:pStyle w:val="66"/>
        <w:spacing w:line="360" w:lineRule="auto"/>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360" w:lineRule="auto"/>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360" w:lineRule="auto"/>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spacing w:line="360" w:lineRule="auto"/>
        <w:jc w:val="left"/>
        <w:rPr>
          <w:rFonts w:hAnsi="宋体" w:cs="黑体"/>
          <w:b/>
          <w:sz w:val="36"/>
          <w:szCs w:val="36"/>
        </w:rPr>
      </w:pPr>
      <w:r>
        <w:rPr>
          <w:rFonts w:hint="eastAsia" w:hAnsi="宋体" w:cs="宋体"/>
          <w:sz w:val="28"/>
        </w:rPr>
        <w:br w:type="page"/>
      </w:r>
    </w:p>
    <w:p>
      <w:pPr>
        <w:autoSpaceDE w:val="0"/>
        <w:autoSpaceDN w:val="0"/>
        <w:adjustRightInd w:val="0"/>
        <w:spacing w:line="360" w:lineRule="auto"/>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spacing w:line="360" w:lineRule="auto"/>
        <w:ind w:left="180"/>
        <w:jc w:val="center"/>
        <w:rPr>
          <w:rFonts w:ascii="黑体" w:eastAsia="黑体"/>
          <w:b/>
          <w:sz w:val="32"/>
        </w:rPr>
      </w:pPr>
    </w:p>
    <w:p>
      <w:pPr>
        <w:autoSpaceDE w:val="0"/>
        <w:autoSpaceDN w:val="0"/>
        <w:adjustRightInd w:val="0"/>
        <w:spacing w:line="360" w:lineRule="auto"/>
        <w:ind w:firstLine="3780" w:firstLineChars="1050"/>
        <w:jc w:val="left"/>
        <w:rPr>
          <w:rFonts w:hAnsi="宋体" w:cs="黑体"/>
          <w:b/>
          <w:sz w:val="36"/>
          <w:szCs w:val="36"/>
        </w:rPr>
      </w:pPr>
    </w:p>
    <w:p>
      <w:pPr>
        <w:autoSpaceDE w:val="0"/>
        <w:autoSpaceDN w:val="0"/>
        <w:adjustRightInd w:val="0"/>
        <w:spacing w:line="360" w:lineRule="auto"/>
        <w:jc w:val="center"/>
        <w:rPr>
          <w:rFonts w:hAnsi="宋体" w:cs="黑体"/>
          <w:b/>
          <w:sz w:val="36"/>
          <w:szCs w:val="36"/>
        </w:rPr>
      </w:pPr>
      <w:r>
        <w:rPr>
          <w:rFonts w:hAnsi="宋体" w:cs="黑体"/>
          <w:b/>
          <w:sz w:val="36"/>
          <w:szCs w:val="36"/>
        </w:rPr>
        <w:br w:type="page"/>
      </w:r>
    </w:p>
    <w:p>
      <w:pPr>
        <w:autoSpaceDE w:val="0"/>
        <w:autoSpaceDN w:val="0"/>
        <w:adjustRightInd w:val="0"/>
        <w:spacing w:line="360" w:lineRule="auto"/>
        <w:jc w:val="right"/>
        <w:rPr>
          <w:rFonts w:hAnsi="宋体" w:cs="宋体"/>
          <w:sz w:val="23"/>
        </w:rPr>
      </w:pPr>
    </w:p>
    <w:p>
      <w:pPr>
        <w:autoSpaceDE w:val="0"/>
        <w:autoSpaceDN w:val="0"/>
        <w:adjustRightInd w:val="0"/>
        <w:spacing w:line="360" w:lineRule="auto"/>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spacing w:line="360" w:lineRule="auto"/>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 施工</w:t>
      </w:r>
    </w:p>
    <w:p>
      <w:pPr>
        <w:autoSpaceDE w:val="0"/>
        <w:autoSpaceDN w:val="0"/>
        <w:adjustRightInd w:val="0"/>
        <w:spacing w:line="360" w:lineRule="auto"/>
        <w:ind w:firstLine="2520" w:firstLineChars="900"/>
        <w:jc w:val="left"/>
        <w:rPr>
          <w:rFonts w:hAnsi="宋体" w:cs="宋体"/>
          <w:sz w:val="28"/>
        </w:rPr>
      </w:pPr>
    </w:p>
    <w:p>
      <w:pPr>
        <w:autoSpaceDE w:val="0"/>
        <w:autoSpaceDN w:val="0"/>
        <w:adjustRightInd w:val="0"/>
        <w:spacing w:line="360" w:lineRule="auto"/>
        <w:ind w:firstLine="2520" w:firstLineChars="900"/>
        <w:jc w:val="left"/>
        <w:rPr>
          <w:rFonts w:hAnsi="宋体" w:cs="宋体"/>
          <w:sz w:val="28"/>
        </w:rPr>
      </w:pPr>
    </w:p>
    <w:p>
      <w:pPr>
        <w:autoSpaceDE w:val="0"/>
        <w:autoSpaceDN w:val="0"/>
        <w:adjustRightInd w:val="0"/>
        <w:spacing w:line="360" w:lineRule="auto"/>
        <w:ind w:firstLine="2520" w:firstLineChars="900"/>
        <w:jc w:val="left"/>
        <w:rPr>
          <w:rFonts w:hAnsi="宋体" w:cs="宋体"/>
          <w:sz w:val="28"/>
        </w:rPr>
      </w:pPr>
    </w:p>
    <w:p>
      <w:pPr>
        <w:autoSpaceDE w:val="0"/>
        <w:autoSpaceDN w:val="0"/>
        <w:adjustRightInd w:val="0"/>
        <w:spacing w:line="360" w:lineRule="auto"/>
        <w:jc w:val="center"/>
        <w:rPr>
          <w:rFonts w:hAnsi="宋体" w:cs="宋体"/>
          <w:b/>
          <w:spacing w:val="60"/>
          <w:sz w:val="70"/>
        </w:rPr>
      </w:pPr>
    </w:p>
    <w:p>
      <w:pPr>
        <w:autoSpaceDE w:val="0"/>
        <w:autoSpaceDN w:val="0"/>
        <w:adjustRightInd w:val="0"/>
        <w:spacing w:line="360" w:lineRule="auto"/>
        <w:jc w:val="center"/>
        <w:rPr>
          <w:rFonts w:hAnsi="宋体" w:cs="宋体"/>
          <w:sz w:val="44"/>
        </w:rPr>
      </w:pPr>
      <w:r>
        <w:rPr>
          <w:rFonts w:hint="eastAsia" w:hAnsi="宋体" w:cs="宋体"/>
          <w:b/>
          <w:spacing w:val="60"/>
          <w:sz w:val="70"/>
        </w:rPr>
        <w:t>投 标 文 件</w:t>
      </w:r>
    </w:p>
    <w:p>
      <w:pPr>
        <w:autoSpaceDE w:val="0"/>
        <w:autoSpaceDN w:val="0"/>
        <w:adjustRightInd w:val="0"/>
        <w:spacing w:line="360" w:lineRule="auto"/>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220</w:t>
      </w:r>
      <w:r>
        <w:rPr>
          <w:rFonts w:hint="eastAsia" w:hAnsi="宋体" w:cs="宋体"/>
          <w:bCs/>
          <w:color w:val="000000" w:themeColor="text1"/>
          <w:sz w:val="32"/>
          <w:szCs w:val="22"/>
        </w:rPr>
        <w:t>号</w:t>
      </w:r>
    </w:p>
    <w:p>
      <w:pPr>
        <w:autoSpaceDE w:val="0"/>
        <w:autoSpaceDN w:val="0"/>
        <w:adjustRightInd w:val="0"/>
        <w:spacing w:line="360" w:lineRule="auto"/>
        <w:jc w:val="center"/>
        <w:rPr>
          <w:bCs/>
          <w:sz w:val="44"/>
          <w:szCs w:val="44"/>
        </w:rPr>
      </w:pPr>
    </w:p>
    <w:p>
      <w:pPr>
        <w:autoSpaceDE w:val="0"/>
        <w:autoSpaceDN w:val="0"/>
        <w:adjustRightInd w:val="0"/>
        <w:spacing w:line="360" w:lineRule="auto"/>
        <w:jc w:val="center"/>
        <w:rPr>
          <w:rFonts w:hAnsi="宋体" w:cs="宋体"/>
          <w:sz w:val="44"/>
        </w:rPr>
      </w:pPr>
      <w:r>
        <w:rPr>
          <w:rFonts w:hint="eastAsia"/>
          <w:bCs/>
          <w:sz w:val="44"/>
          <w:szCs w:val="44"/>
        </w:rPr>
        <w:t>综合（信用）标</w:t>
      </w:r>
    </w:p>
    <w:p>
      <w:pPr>
        <w:autoSpaceDE w:val="0"/>
        <w:autoSpaceDN w:val="0"/>
        <w:adjustRightInd w:val="0"/>
        <w:spacing w:line="360" w:lineRule="auto"/>
        <w:jc w:val="center"/>
        <w:rPr>
          <w:rFonts w:hAnsi="宋体" w:cs="宋体"/>
          <w:sz w:val="44"/>
        </w:rPr>
      </w:pPr>
    </w:p>
    <w:p>
      <w:pPr>
        <w:autoSpaceDE w:val="0"/>
        <w:autoSpaceDN w:val="0"/>
        <w:adjustRightInd w:val="0"/>
        <w:spacing w:line="360" w:lineRule="auto"/>
        <w:jc w:val="center"/>
        <w:rPr>
          <w:rFonts w:hAnsi="宋体" w:cs="宋体"/>
          <w:sz w:val="44"/>
        </w:rPr>
      </w:pPr>
    </w:p>
    <w:p>
      <w:pPr>
        <w:pStyle w:val="66"/>
        <w:spacing w:line="360" w:lineRule="auto"/>
        <w:jc w:val="center"/>
        <w:rPr>
          <w:rFonts w:hAnsi="宋体"/>
          <w:color w:val="auto"/>
          <w:sz w:val="23"/>
        </w:rPr>
      </w:pPr>
    </w:p>
    <w:p>
      <w:pPr>
        <w:pStyle w:val="66"/>
        <w:spacing w:line="360" w:lineRule="auto"/>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360" w:lineRule="auto"/>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360" w:lineRule="auto"/>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spacing w:line="360" w:lineRule="auto"/>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360" w:lineRule="auto"/>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360" w:lineRule="auto"/>
        <w:rPr>
          <w:rFonts w:hAnsi="宋体" w:cs="黑体"/>
          <w:sz w:val="28"/>
          <w:szCs w:val="28"/>
        </w:rPr>
      </w:pPr>
    </w:p>
    <w:p>
      <w:pPr>
        <w:numPr>
          <w:ilvl w:val="0"/>
          <w:numId w:val="6"/>
        </w:num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投标函及投标函附录；</w:t>
      </w:r>
    </w:p>
    <w:p>
      <w:pPr>
        <w:numPr>
          <w:ilvl w:val="0"/>
          <w:numId w:val="6"/>
        </w:num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法定代表人身份证明、授权委托书；</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360" w:lineRule="auto"/>
        <w:ind w:right="215" w:firstLine="1125" w:firstLineChars="469"/>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sz w:val="24"/>
        </w:rPr>
        <w:t>十、近年发生的诉讼及仲裁情况；</w:t>
      </w:r>
    </w:p>
    <w:p>
      <w:pPr>
        <w:pStyle w:val="2"/>
        <w:spacing w:line="360" w:lineRule="auto"/>
        <w:ind w:firstLine="1180" w:firstLineChars="492"/>
        <w:rPr>
          <w:rFonts w:hAnsi="宋体" w:cs="仿宋_GB2312"/>
          <w:b/>
          <w:sz w:val="24"/>
        </w:rPr>
      </w:pPr>
      <w:r>
        <w:rPr>
          <w:rFonts w:hint="eastAsia" w:hAnsi="宋体" w:cs="仿宋_GB2312"/>
          <w:b/>
          <w:sz w:val="24"/>
        </w:rPr>
        <w:t>十一、其它材料</w:t>
      </w:r>
    </w:p>
    <w:p>
      <w:pPr>
        <w:spacing w:line="360" w:lineRule="auto"/>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spacing w:line="360" w:lineRule="auto"/>
        <w:rPr>
          <w:rFonts w:hAnsi="宋体"/>
          <w:b/>
          <w:color w:val="0000FF"/>
          <w:sz w:val="32"/>
        </w:rPr>
      </w:pPr>
    </w:p>
    <w:p>
      <w:pPr>
        <w:pStyle w:val="2"/>
        <w:ind w:firstLine="340"/>
      </w:pPr>
    </w:p>
    <w:p>
      <w:pPr>
        <w:pStyle w:val="2"/>
        <w:ind w:firstLine="340"/>
      </w:pPr>
    </w:p>
    <w:p>
      <w:pPr>
        <w:pStyle w:val="2"/>
        <w:ind w:firstLine="340"/>
      </w:pPr>
    </w:p>
    <w:p>
      <w:pPr>
        <w:pStyle w:val="2"/>
        <w:spacing w:line="360" w:lineRule="auto"/>
        <w:ind w:firstLine="340"/>
      </w:pPr>
    </w:p>
    <w:p>
      <w:pPr>
        <w:tabs>
          <w:tab w:val="center" w:pos="4739"/>
        </w:tabs>
        <w:spacing w:line="360" w:lineRule="auto"/>
        <w:jc w:val="center"/>
        <w:rPr>
          <w:rFonts w:hAnsi="宋体"/>
          <w:b/>
          <w:sz w:val="32"/>
        </w:rPr>
      </w:pPr>
      <w:r>
        <w:rPr>
          <w:rFonts w:hint="eastAsia" w:hAnsi="宋体"/>
          <w:b/>
          <w:sz w:val="32"/>
        </w:rPr>
        <w:t>一、投标函及投标函附录</w:t>
      </w:r>
    </w:p>
    <w:p>
      <w:pPr>
        <w:spacing w:beforeLines="100" w:afterLines="50" w:line="360" w:lineRule="auto"/>
        <w:jc w:val="center"/>
        <w:rPr>
          <w:rFonts w:ascii="黑体" w:eastAsia="黑体"/>
          <w:sz w:val="28"/>
          <w:szCs w:val="28"/>
        </w:rPr>
      </w:pPr>
      <w:bookmarkStart w:id="75" w:name="_Toc271787730"/>
      <w:r>
        <w:rPr>
          <w:rFonts w:hint="eastAsia" w:ascii="黑体" w:eastAsia="黑体"/>
          <w:sz w:val="28"/>
          <w:szCs w:val="28"/>
        </w:rPr>
        <w:t>（一）投标函</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在考察现场并充分研究（项目名称）（以下简称“本工程”）施工招标文件的全部内容后，我方兹以：</w:t>
      </w:r>
    </w:p>
    <w:p>
      <w:pPr>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ind w:firstLine="480" w:firstLineChars="200"/>
        <w:rPr>
          <w:rFonts w:ascii="新宋体" w:hAnsi="新宋体" w:eastAsia="新宋体"/>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日</w:t>
      </w:r>
    </w:p>
    <w:p>
      <w:pPr>
        <w:autoSpaceDE w:val="0"/>
        <w:autoSpaceDN w:val="0"/>
        <w:adjustRightInd w:val="0"/>
        <w:spacing w:line="360" w:lineRule="auto"/>
        <w:outlineLvl w:val="0"/>
        <w:rPr>
          <w:rFonts w:ascii="黑体" w:hAnsi="新宋体" w:eastAsia="黑体" w:cs="黑体"/>
          <w:sz w:val="28"/>
          <w:szCs w:val="28"/>
        </w:rPr>
      </w:pPr>
      <w:bookmarkStart w:id="76" w:name="_Toc250616672"/>
    </w:p>
    <w:p>
      <w:pPr>
        <w:autoSpaceDE w:val="0"/>
        <w:autoSpaceDN w:val="0"/>
        <w:adjustRightInd w:val="0"/>
        <w:spacing w:line="360" w:lineRule="auto"/>
        <w:outlineLvl w:val="0"/>
        <w:rPr>
          <w:rFonts w:ascii="黑体" w:hAnsi="新宋体" w:eastAsia="黑体" w:cs="黑体"/>
          <w:color w:val="0000FF"/>
          <w:sz w:val="28"/>
          <w:szCs w:val="28"/>
        </w:rPr>
      </w:pPr>
    </w:p>
    <w:p>
      <w:pPr>
        <w:pStyle w:val="2"/>
        <w:spacing w:line="360" w:lineRule="auto"/>
        <w:ind w:firstLine="340"/>
      </w:pPr>
    </w:p>
    <w:p>
      <w:pPr>
        <w:pStyle w:val="2"/>
        <w:spacing w:line="360" w:lineRule="auto"/>
        <w:ind w:firstLine="340"/>
      </w:pPr>
    </w:p>
    <w:p>
      <w:pPr>
        <w:autoSpaceDE w:val="0"/>
        <w:autoSpaceDN w:val="0"/>
        <w:adjustRightInd w:val="0"/>
        <w:spacing w:line="360" w:lineRule="auto"/>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6"/>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rPr>
              <w:t>项目</w:t>
            </w:r>
            <w:r>
              <w:rPr>
                <w:rFonts w:hint="eastAsia" w:ascii="新宋体" w:hAnsi="新宋体" w:eastAsia="新宋体"/>
                <w:sz w:val="24"/>
                <w:lang w:val="en-US"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证书</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投标总报价</w:t>
            </w: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ind w:firstLine="600" w:firstLineChars="250"/>
              <w:rPr>
                <w:rFonts w:ascii="新宋体" w:hAnsi="新宋体" w:eastAsia="新宋体"/>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spacing w:line="360" w:lineRule="auto"/>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新宋体" w:hAnsi="新宋体" w:eastAsia="新宋体"/>
          <w:sz w:val="24"/>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360" w:lineRule="auto"/>
        <w:jc w:val="center"/>
        <w:outlineLvl w:val="0"/>
        <w:rPr>
          <w:rFonts w:hAnsi="宋体" w:cs="仿宋_GB2312"/>
          <w:b/>
          <w:sz w:val="28"/>
          <w:szCs w:val="28"/>
        </w:rPr>
      </w:pPr>
      <w:r>
        <w:rPr>
          <w:rFonts w:hint="eastAsia" w:ascii="黑体" w:hAnsi="新宋体" w:eastAsia="黑体" w:cs="黑体"/>
          <w:sz w:val="28"/>
          <w:szCs w:val="28"/>
        </w:rPr>
        <w:t>二、</w:t>
      </w:r>
      <w:bookmarkEnd w:id="75"/>
      <w:r>
        <w:rPr>
          <w:rFonts w:hint="eastAsia" w:hAnsi="宋体" w:cs="仿宋_GB2312"/>
          <w:b/>
          <w:sz w:val="28"/>
          <w:szCs w:val="28"/>
        </w:rPr>
        <w:t>法定代表人身份证明、授权委托书；</w:t>
      </w:r>
    </w:p>
    <w:p>
      <w:pPr>
        <w:autoSpaceDE w:val="0"/>
        <w:autoSpaceDN w:val="0"/>
        <w:adjustRightInd w:val="0"/>
        <w:spacing w:line="360" w:lineRule="auto"/>
        <w:jc w:val="center"/>
        <w:outlineLvl w:val="0"/>
        <w:rPr>
          <w:rFonts w:ascii="黑体" w:hAnsi="新宋体" w:eastAsia="黑体" w:cs="黑体"/>
          <w:sz w:val="28"/>
          <w:szCs w:val="28"/>
        </w:rPr>
      </w:pPr>
      <w:bookmarkStart w:id="77" w:name="_Toc271787731"/>
      <w:r>
        <w:rPr>
          <w:rFonts w:hint="eastAsia" w:ascii="黑体" w:hAnsi="新宋体" w:eastAsia="黑体" w:cs="黑体"/>
          <w:sz w:val="28"/>
          <w:szCs w:val="28"/>
        </w:rPr>
        <w:t>（一）法定代表人身份证明</w:t>
      </w:r>
      <w:bookmarkEnd w:id="77"/>
    </w:p>
    <w:p>
      <w:pPr>
        <w:autoSpaceDE w:val="0"/>
        <w:autoSpaceDN w:val="0"/>
        <w:adjustRightInd w:val="0"/>
        <w:ind w:firstLine="480" w:firstLineChars="200"/>
        <w:jc w:val="left"/>
        <w:rPr>
          <w:rFonts w:hAnsi="宋体" w:cs="仿宋_GB2312"/>
          <w:sz w:val="24"/>
        </w:rPr>
      </w:pPr>
      <w:r>
        <w:rPr>
          <w:rFonts w:hint="eastAsia" w:hAnsi="宋体" w:cs="仿宋_GB2312"/>
          <w:sz w:val="24"/>
        </w:rPr>
        <w:t>投标人名称：</w:t>
      </w:r>
    </w:p>
    <w:p>
      <w:pPr>
        <w:autoSpaceDE w:val="0"/>
        <w:autoSpaceDN w:val="0"/>
        <w:adjustRightInd w:val="0"/>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ind w:firstLine="480" w:firstLineChars="200"/>
        <w:jc w:val="left"/>
        <w:rPr>
          <w:rFonts w:hAnsi="宋体" w:cs="仿宋_GB2312"/>
          <w:sz w:val="24"/>
        </w:rPr>
      </w:pPr>
      <w:r>
        <w:rPr>
          <w:rFonts w:hint="eastAsia" w:hAnsi="宋体" w:cs="仿宋_GB2312"/>
          <w:sz w:val="24"/>
        </w:rPr>
        <w:t>地址：</w:t>
      </w:r>
    </w:p>
    <w:p>
      <w:pPr>
        <w:autoSpaceDE w:val="0"/>
        <w:autoSpaceDN w:val="0"/>
        <w:adjustRightInd w:val="0"/>
        <w:ind w:firstLine="480" w:firstLineChars="200"/>
        <w:jc w:val="left"/>
        <w:rPr>
          <w:rFonts w:hAnsi="宋体" w:cs="仿宋_GB2312"/>
          <w:sz w:val="24"/>
        </w:rPr>
      </w:pPr>
      <w:r>
        <w:rPr>
          <w:rFonts w:hint="eastAsia" w:hAnsi="宋体" w:cs="仿宋_GB2312"/>
          <w:sz w:val="24"/>
        </w:rPr>
        <w:t>成立时间：</w:t>
      </w:r>
      <w:r>
        <w:rPr>
          <w:rFonts w:hint="eastAsia" w:hAnsi="宋体" w:cs="TimesNewRomanPSMT"/>
          <w:sz w:val="24"/>
        </w:rPr>
        <w:t xml:space="preserve">   </w:t>
      </w:r>
      <w:r>
        <w:rPr>
          <w:rFonts w:hint="eastAsia" w:hAnsi="宋体" w:cs="仿宋_GB2312"/>
          <w:sz w:val="24"/>
        </w:rPr>
        <w:t>年</w:t>
      </w:r>
      <w:r>
        <w:rPr>
          <w:rFonts w:hint="eastAsia" w:hAnsi="宋体" w:cs="TimesNewRomanPSMT"/>
          <w:sz w:val="24"/>
        </w:rPr>
        <w:t xml:space="preserve">     </w:t>
      </w:r>
      <w:r>
        <w:rPr>
          <w:rFonts w:hint="eastAsia" w:hAnsi="宋体" w:cs="仿宋_GB2312"/>
          <w:sz w:val="24"/>
        </w:rPr>
        <w:t>月</w:t>
      </w:r>
      <w:r>
        <w:rPr>
          <w:rFonts w:hint="eastAsia" w:hAnsi="宋体" w:cs="TimesNewRomanPSMT"/>
          <w:sz w:val="24"/>
        </w:rPr>
        <w:t xml:space="preserve">     </w:t>
      </w:r>
      <w:r>
        <w:rPr>
          <w:rFonts w:hint="eastAsia" w:hAnsi="宋体" w:cs="仿宋_GB2312"/>
          <w:sz w:val="24"/>
        </w:rPr>
        <w:t>日</w:t>
      </w:r>
    </w:p>
    <w:p>
      <w:pPr>
        <w:autoSpaceDE w:val="0"/>
        <w:autoSpaceDN w:val="0"/>
        <w:adjustRightInd w:val="0"/>
        <w:ind w:firstLine="480" w:firstLineChars="200"/>
        <w:jc w:val="left"/>
        <w:rPr>
          <w:rFonts w:hAnsi="宋体" w:cs="仿宋_GB2312"/>
          <w:sz w:val="24"/>
        </w:rPr>
      </w:pPr>
      <w:r>
        <w:rPr>
          <w:rFonts w:hint="eastAsia" w:hAnsi="宋体" w:cs="仿宋_GB2312"/>
          <w:sz w:val="24"/>
        </w:rPr>
        <w:t>经营期限：</w:t>
      </w:r>
      <w:r>
        <w:rPr>
          <w:rFonts w:hint="eastAsia" w:hAnsi="宋体" w:cs="TimesNewRomanPSMT"/>
          <w:sz w:val="24"/>
        </w:rPr>
        <w:t xml:space="preserve">  </w:t>
      </w:r>
    </w:p>
    <w:p>
      <w:pPr>
        <w:autoSpaceDE w:val="0"/>
        <w:autoSpaceDN w:val="0"/>
        <w:adjustRightInd w:val="0"/>
        <w:ind w:firstLine="480" w:firstLineChars="200"/>
        <w:jc w:val="left"/>
        <w:rPr>
          <w:rFonts w:hAnsi="宋体" w:cs="仿宋_GB2312"/>
          <w:sz w:val="24"/>
        </w:rPr>
      </w:pPr>
      <w:r>
        <w:rPr>
          <w:rFonts w:hint="eastAsia" w:hAnsi="宋体" w:cs="仿宋_GB2312"/>
          <w:sz w:val="24"/>
        </w:rPr>
        <w:t>姓名：</w:t>
      </w:r>
      <w:r>
        <w:rPr>
          <w:rFonts w:hint="eastAsia" w:hAnsi="宋体" w:cs="TimesNewRomanPSMT"/>
          <w:sz w:val="24"/>
        </w:rPr>
        <w:t xml:space="preserve">       </w:t>
      </w:r>
      <w:r>
        <w:rPr>
          <w:rFonts w:hint="eastAsia" w:hAnsi="宋体" w:cs="仿宋_GB2312"/>
          <w:sz w:val="24"/>
        </w:rPr>
        <w:t>性别：</w:t>
      </w:r>
      <w:r>
        <w:rPr>
          <w:rFonts w:hint="eastAsia" w:hAnsi="宋体" w:cs="TimesNewRomanPSMT"/>
          <w:sz w:val="24"/>
        </w:rPr>
        <w:t xml:space="preserve">       </w:t>
      </w:r>
      <w:r>
        <w:rPr>
          <w:rFonts w:hint="eastAsia" w:hAnsi="宋体" w:cs="仿宋_GB2312"/>
          <w:sz w:val="24"/>
        </w:rPr>
        <w:t>年龄：</w:t>
      </w:r>
      <w:r>
        <w:rPr>
          <w:rFonts w:hint="eastAsia" w:hAnsi="宋体" w:cs="TimesNewRomanPSMT"/>
          <w:sz w:val="24"/>
        </w:rPr>
        <w:t xml:space="preserve">      </w:t>
      </w:r>
      <w:r>
        <w:rPr>
          <w:rFonts w:hint="eastAsia" w:hAnsi="宋体" w:cs="仿宋_GB2312"/>
          <w:sz w:val="24"/>
        </w:rPr>
        <w:t>职务：</w:t>
      </w:r>
      <w:r>
        <w:rPr>
          <w:rFonts w:hint="eastAsia" w:hAnsi="宋体" w:cs="TimesNewRomanPSMT"/>
          <w:sz w:val="24"/>
        </w:rPr>
        <w:t xml:space="preserve"> </w:t>
      </w:r>
    </w:p>
    <w:p>
      <w:pPr>
        <w:autoSpaceDE w:val="0"/>
        <w:autoSpaceDN w:val="0"/>
        <w:adjustRightInd w:val="0"/>
        <w:ind w:firstLine="480" w:firstLineChars="200"/>
        <w:jc w:val="left"/>
        <w:rPr>
          <w:rFonts w:hAnsi="宋体" w:cs="仿宋_GB2312"/>
          <w:sz w:val="24"/>
        </w:rPr>
      </w:pPr>
      <w:r>
        <w:rPr>
          <w:rFonts w:hint="eastAsia" w:hAnsi="宋体" w:cs="仿宋_GB2312"/>
          <w:sz w:val="24"/>
        </w:rPr>
        <w:t>系</w:t>
      </w:r>
      <w:r>
        <w:rPr>
          <w:rFonts w:hint="eastAsia" w:hAnsi="宋体" w:cs="TimesNewRomanPSMT"/>
          <w:sz w:val="24"/>
        </w:rPr>
        <w:t xml:space="preserve">               </w:t>
      </w:r>
      <w:r>
        <w:rPr>
          <w:rFonts w:hint="eastAsia" w:hAnsi="宋体" w:cs="仿宋_GB2312"/>
          <w:sz w:val="24"/>
        </w:rPr>
        <w:t>（投标人名称）的法定代表人。</w:t>
      </w:r>
    </w:p>
    <w:p>
      <w:pPr>
        <w:autoSpaceDE w:val="0"/>
        <w:autoSpaceDN w:val="0"/>
        <w:adjustRightInd w:val="0"/>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ind w:firstLine="480" w:firstLineChars="200"/>
        <w:jc w:val="right"/>
        <w:rPr>
          <w:rFonts w:hAnsi="宋体" w:cs="仿宋_GB2312"/>
          <w:sz w:val="24"/>
        </w:rPr>
      </w:pPr>
    </w:p>
    <w:p>
      <w:pPr>
        <w:autoSpaceDE w:val="0"/>
        <w:autoSpaceDN w:val="0"/>
        <w:adjustRightInd w:val="0"/>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ind w:firstLine="680" w:firstLineChars="200"/>
        <w:jc w:val="right"/>
        <w:rPr>
          <w:rFonts w:hAnsi="宋体" w:cs="仿宋_GB2312"/>
          <w:szCs w:val="21"/>
        </w:rPr>
      </w:pPr>
    </w:p>
    <w:p>
      <w:pPr>
        <w:autoSpaceDE w:val="0"/>
        <w:autoSpaceDN w:val="0"/>
        <w:adjustRightInd w:val="0"/>
        <w:jc w:val="center"/>
        <w:outlineLvl w:val="0"/>
        <w:rPr>
          <w:rFonts w:ascii="黑体" w:hAnsi="新宋体" w:eastAsia="黑体" w:cs="黑体"/>
          <w:sz w:val="28"/>
          <w:szCs w:val="28"/>
        </w:rPr>
      </w:pPr>
      <w:bookmarkStart w:id="78" w:name="_Toc271787732"/>
      <w:r>
        <w:rPr>
          <w:rFonts w:hint="eastAsia" w:ascii="黑体" w:hAnsi="新宋体" w:eastAsia="黑体" w:cs="黑体"/>
          <w:sz w:val="28"/>
          <w:szCs w:val="28"/>
        </w:rPr>
        <w:t>（二）授权委托书</w:t>
      </w:r>
      <w:bookmarkEnd w:id="78"/>
    </w:p>
    <w:p>
      <w:pPr>
        <w:autoSpaceDE w:val="0"/>
        <w:autoSpaceDN w:val="0"/>
        <w:adjustRightInd w:val="0"/>
        <w:jc w:val="center"/>
        <w:rPr>
          <w:rFonts w:hAnsi="宋体" w:cs="黑体"/>
          <w:sz w:val="28"/>
          <w:szCs w:val="28"/>
        </w:rPr>
      </w:pPr>
    </w:p>
    <w:p>
      <w:pPr>
        <w:autoSpaceDE w:val="0"/>
        <w:autoSpaceDN w:val="0"/>
        <w:adjustRightInd w:val="0"/>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ind w:firstLine="480" w:firstLineChars="200"/>
        <w:jc w:val="left"/>
        <w:rPr>
          <w:rFonts w:hAnsi="宋体" w:cs="仿宋_GB2312"/>
          <w:sz w:val="24"/>
        </w:rPr>
      </w:pPr>
      <w:r>
        <w:rPr>
          <w:rFonts w:hint="eastAsia" w:hAnsi="宋体" w:cs="仿宋_GB2312"/>
          <w:sz w:val="24"/>
        </w:rPr>
        <w:t>附：法定代表人身份证及授权委托人身份证</w:t>
      </w:r>
    </w:p>
    <w:p>
      <w:pPr>
        <w:autoSpaceDE w:val="0"/>
        <w:autoSpaceDN w:val="0"/>
        <w:adjustRightInd w:val="0"/>
        <w:ind w:firstLine="480" w:firstLineChars="200"/>
        <w:jc w:val="left"/>
        <w:rPr>
          <w:rFonts w:hAnsi="宋体" w:cs="仿宋_GB2312"/>
          <w:sz w:val="24"/>
        </w:rPr>
      </w:pPr>
    </w:p>
    <w:p>
      <w:pPr>
        <w:autoSpaceDE w:val="0"/>
        <w:autoSpaceDN w:val="0"/>
        <w:adjustRightInd w:val="0"/>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ind w:firstLine="3700" w:firstLineChars="1542"/>
        <w:jc w:val="left"/>
        <w:rPr>
          <w:rFonts w:hAnsi="宋体" w:cs="仿宋_GB2312"/>
          <w:sz w:val="24"/>
        </w:rPr>
      </w:pPr>
      <w:r>
        <w:rPr>
          <w:rFonts w:hint="eastAsia" w:hAnsi="宋体" w:cs="仿宋_GB2312"/>
          <w:sz w:val="24"/>
        </w:rPr>
        <w:t>年月日</w:t>
      </w:r>
    </w:p>
    <w:p>
      <w:pPr>
        <w:pStyle w:val="2"/>
        <w:ind w:firstLine="340"/>
      </w:pPr>
      <w:r>
        <w:br w:type="page"/>
      </w:r>
    </w:p>
    <w:p>
      <w:pPr>
        <w:pStyle w:val="2"/>
        <w:ind w:firstLine="340"/>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三</w:t>
      </w:r>
      <w:r>
        <w:rPr>
          <w:rFonts w:hint="eastAsia" w:hAnsi="宋体"/>
          <w:b/>
          <w:sz w:val="32"/>
        </w:rPr>
        <w:t>、投标保证金</w:t>
      </w:r>
    </w:p>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ind w:firstLine="2800" w:firstLineChars="1000"/>
        <w:contextualSpacing/>
        <w:rPr>
          <w:rFonts w:hAnsi="宋体"/>
          <w:b/>
          <w:sz w:val="28"/>
          <w:szCs w:val="28"/>
        </w:rPr>
      </w:pPr>
      <w:r>
        <w:rPr>
          <w:rFonts w:hint="eastAsia" w:hAnsi="宋体"/>
          <w:b/>
          <w:sz w:val="28"/>
          <w:szCs w:val="28"/>
        </w:rPr>
        <w:t>（二）主要人员简历表</w:t>
      </w:r>
    </w:p>
    <w:p>
      <w:pPr>
        <w:contextualSpacing/>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负责人</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姓  名</w:t>
            </w: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r>
              <w:rPr>
                <w:rFonts w:hint="eastAsia" w:hAnsi="宋体"/>
                <w:sz w:val="24"/>
              </w:rPr>
              <w:t>年  龄</w:t>
            </w: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r>
              <w:rPr>
                <w:rFonts w:hint="eastAsia" w:hAnsi="宋体"/>
                <w:sz w:val="24"/>
              </w:rPr>
              <w:t>学历</w:t>
            </w: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职  称</w:t>
            </w: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r>
              <w:rPr>
                <w:rFonts w:hint="eastAsia" w:hAnsi="宋体"/>
                <w:sz w:val="24"/>
              </w:rPr>
              <w:t>职  务</w:t>
            </w: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r>
              <w:rPr>
                <w:rFonts w:hint="eastAsia" w:hAnsi="宋体"/>
                <w:sz w:val="24"/>
              </w:rPr>
              <w:t>拟在本工程任职</w:t>
            </w:r>
          </w:p>
        </w:tc>
        <w:tc>
          <w:tcPr>
            <w:tcW w:w="2391" w:type="dxa"/>
            <w:vAlign w:val="center"/>
          </w:tcPr>
          <w:p>
            <w:pPr>
              <w:spacing w:line="360" w:lineRule="auto"/>
              <w:jc w:val="center"/>
              <w:rPr>
                <w:rFonts w:hint="eastAsia" w:hAnsi="宋体" w:eastAsia="宋体"/>
                <w:sz w:val="24"/>
                <w:lang w:eastAsia="zh-CN"/>
              </w:rPr>
            </w:pPr>
            <w:r>
              <w:rPr>
                <w:rFonts w:hint="eastAsia"/>
                <w:sz w:val="24"/>
              </w:rPr>
              <w:t>项目</w:t>
            </w:r>
            <w:r>
              <w:rPr>
                <w:rFonts w:hint="eastAsia"/>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spacing w:line="360" w:lineRule="auto"/>
              <w:jc w:val="center"/>
              <w:rPr>
                <w:rFonts w:hAnsi="宋体"/>
                <w:sz w:val="24"/>
              </w:rPr>
            </w:pPr>
            <w:r>
              <w:rPr>
                <w:rFonts w:hint="eastAsia" w:hAnsi="宋体"/>
                <w:sz w:val="24"/>
                <w:lang w:val="en-US" w:eastAsia="zh-CN"/>
              </w:rPr>
              <w:t>职称</w:t>
            </w:r>
          </w:p>
        </w:tc>
        <w:tc>
          <w:tcPr>
            <w:tcW w:w="1434" w:type="dxa"/>
            <w:vAlign w:val="center"/>
          </w:tcPr>
          <w:p>
            <w:pPr>
              <w:spacing w:line="360" w:lineRule="auto"/>
              <w:jc w:val="center"/>
              <w:rPr>
                <w:rFonts w:hAnsi="宋体"/>
                <w:sz w:val="24"/>
              </w:rPr>
            </w:pPr>
            <w:r>
              <w:rPr>
                <w:rFonts w:hint="eastAsia" w:hAnsi="宋体"/>
                <w:sz w:val="24"/>
              </w:rPr>
              <w:t xml:space="preserve">      级</w:t>
            </w:r>
          </w:p>
        </w:tc>
        <w:tc>
          <w:tcPr>
            <w:tcW w:w="2074" w:type="dxa"/>
            <w:vAlign w:val="center"/>
          </w:tcPr>
          <w:p>
            <w:pPr>
              <w:spacing w:line="360" w:lineRule="auto"/>
              <w:jc w:val="center"/>
              <w:rPr>
                <w:rFonts w:hAnsi="宋体"/>
                <w:sz w:val="24"/>
              </w:rPr>
            </w:pPr>
            <w:r>
              <w:rPr>
                <w:rFonts w:hint="eastAsia" w:hAnsi="宋体"/>
                <w:sz w:val="24"/>
              </w:rPr>
              <w:t>专业</w:t>
            </w: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毕业学校</w:t>
            </w:r>
          </w:p>
        </w:tc>
        <w:tc>
          <w:tcPr>
            <w:tcW w:w="8339" w:type="dxa"/>
            <w:gridSpan w:val="5"/>
            <w:vAlign w:val="center"/>
          </w:tcPr>
          <w:p>
            <w:pPr>
              <w:spacing w:line="360" w:lineRule="auto"/>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spacing w:line="360" w:lineRule="auto"/>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时  间</w:t>
            </w:r>
          </w:p>
        </w:tc>
        <w:tc>
          <w:tcPr>
            <w:tcW w:w="3874" w:type="dxa"/>
            <w:gridSpan w:val="3"/>
            <w:vAlign w:val="center"/>
          </w:tcPr>
          <w:p>
            <w:pPr>
              <w:spacing w:line="360" w:lineRule="auto"/>
              <w:jc w:val="center"/>
              <w:rPr>
                <w:rFonts w:hAnsi="宋体"/>
                <w:sz w:val="24"/>
              </w:rPr>
            </w:pPr>
            <w:r>
              <w:rPr>
                <w:rFonts w:hint="eastAsia" w:hAnsi="宋体"/>
                <w:sz w:val="24"/>
              </w:rPr>
              <w:t>参加过的类似项目名称</w:t>
            </w:r>
          </w:p>
        </w:tc>
        <w:tc>
          <w:tcPr>
            <w:tcW w:w="2074" w:type="dxa"/>
            <w:vAlign w:val="center"/>
          </w:tcPr>
          <w:p>
            <w:pPr>
              <w:spacing w:line="360" w:lineRule="auto"/>
              <w:jc w:val="center"/>
              <w:rPr>
                <w:rFonts w:hAnsi="宋体"/>
                <w:sz w:val="24"/>
              </w:rPr>
            </w:pPr>
            <w:r>
              <w:rPr>
                <w:rFonts w:hint="eastAsia" w:hAnsi="宋体"/>
                <w:sz w:val="24"/>
              </w:rPr>
              <w:t>工程概况说明</w:t>
            </w:r>
          </w:p>
        </w:tc>
        <w:tc>
          <w:tcPr>
            <w:tcW w:w="2391" w:type="dxa"/>
            <w:vAlign w:val="center"/>
          </w:tcPr>
          <w:p>
            <w:pPr>
              <w:spacing w:line="360" w:lineRule="auto"/>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bl>
    <w:p>
      <w:pPr>
        <w:spacing w:line="360" w:lineRule="auto"/>
        <w:rPr>
          <w:rFonts w:hAnsi="宋体"/>
          <w:sz w:val="24"/>
          <w:szCs w:val="24"/>
        </w:rPr>
      </w:pPr>
      <w:r>
        <w:rPr>
          <w:rFonts w:hAnsi="宋体"/>
          <w:szCs w:val="21"/>
        </w:rPr>
        <w:br w:type="page"/>
      </w:r>
      <w:r>
        <w:rPr>
          <w:rFonts w:hint="eastAsia" w:ascii="黑体" w:hAnsi="宋体" w:eastAsia="黑体"/>
          <w:sz w:val="24"/>
        </w:rPr>
        <w:t>附2：主要项目管理人员简历表</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360" w:lineRule="auto"/>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360" w:lineRule="auto"/>
              <w:rPr>
                <w:rFonts w:hAnsi="宋体"/>
                <w:sz w:val="24"/>
              </w:rPr>
            </w:pPr>
            <w:r>
              <w:rPr>
                <w:rFonts w:hint="eastAsia" w:hAnsi="宋体"/>
                <w:sz w:val="24"/>
              </w:rPr>
              <w:t>姓    名</w:t>
            </w:r>
          </w:p>
        </w:tc>
        <w:tc>
          <w:tcPr>
            <w:tcW w:w="4884" w:type="dxa"/>
            <w:tcBorders>
              <w:left w:val="nil"/>
            </w:tcBorders>
            <w:vAlign w:val="center"/>
          </w:tcPr>
          <w:p>
            <w:pPr>
              <w:spacing w:line="360" w:lineRule="auto"/>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360" w:lineRule="auto"/>
              <w:rPr>
                <w:rFonts w:hAnsi="宋体"/>
                <w:sz w:val="24"/>
              </w:rPr>
            </w:pPr>
            <w:r>
              <w:rPr>
                <w:rFonts w:hint="eastAsia" w:hAnsi="宋体"/>
                <w:sz w:val="24"/>
              </w:rPr>
              <w:t>性    别</w:t>
            </w:r>
          </w:p>
        </w:tc>
        <w:tc>
          <w:tcPr>
            <w:tcW w:w="4884" w:type="dxa"/>
            <w:vAlign w:val="center"/>
          </w:tcPr>
          <w:p>
            <w:pPr>
              <w:spacing w:line="360" w:lineRule="auto"/>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360" w:lineRule="auto"/>
              <w:rPr>
                <w:rFonts w:hAnsi="宋体"/>
                <w:sz w:val="24"/>
              </w:rPr>
            </w:pPr>
            <w:r>
              <w:rPr>
                <w:rFonts w:hint="eastAsia" w:hAnsi="宋体"/>
                <w:sz w:val="24"/>
              </w:rPr>
              <w:t>学历和专业</w:t>
            </w:r>
          </w:p>
        </w:tc>
        <w:tc>
          <w:tcPr>
            <w:tcW w:w="4884" w:type="dxa"/>
            <w:vAlign w:val="center"/>
          </w:tcPr>
          <w:p>
            <w:pPr>
              <w:spacing w:line="360" w:lineRule="auto"/>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360" w:lineRule="auto"/>
              <w:rPr>
                <w:rFonts w:hAnsi="宋体"/>
                <w:sz w:val="24"/>
              </w:rPr>
            </w:pPr>
            <w:r>
              <w:rPr>
                <w:rFonts w:hint="eastAsia" w:hAnsi="宋体"/>
                <w:sz w:val="24"/>
              </w:rPr>
              <w:t>拥有的执业资格</w:t>
            </w:r>
          </w:p>
        </w:tc>
        <w:tc>
          <w:tcPr>
            <w:tcW w:w="4884" w:type="dxa"/>
            <w:vAlign w:val="center"/>
          </w:tcPr>
          <w:p>
            <w:pPr>
              <w:spacing w:line="360" w:lineRule="auto"/>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360" w:lineRule="auto"/>
              <w:rPr>
                <w:rFonts w:hAnsi="宋体"/>
                <w:sz w:val="24"/>
              </w:rPr>
            </w:pPr>
            <w:r>
              <w:rPr>
                <w:rFonts w:hint="eastAsia" w:hAnsi="宋体"/>
                <w:sz w:val="24"/>
              </w:rPr>
              <w:t>执业资格证书编号</w:t>
            </w:r>
          </w:p>
        </w:tc>
        <w:tc>
          <w:tcPr>
            <w:tcW w:w="4884" w:type="dxa"/>
            <w:vAlign w:val="center"/>
          </w:tcPr>
          <w:p>
            <w:pPr>
              <w:spacing w:line="360" w:lineRule="auto"/>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vAlign w:val="center"/>
          </w:tcPr>
          <w:p>
            <w:pPr>
              <w:spacing w:line="360" w:lineRule="auto"/>
              <w:jc w:val="center"/>
              <w:rPr>
                <w:rFonts w:hAnsi="宋体"/>
                <w:sz w:val="24"/>
              </w:rPr>
            </w:pPr>
            <w:r>
              <w:rPr>
                <w:rFonts w:hint="eastAsia" w:hAnsi="宋体"/>
                <w:sz w:val="24"/>
              </w:rPr>
              <w:t>主要工作业绩及担任的主要工作</w:t>
            </w:r>
          </w:p>
        </w:tc>
        <w:tc>
          <w:tcPr>
            <w:tcW w:w="7984" w:type="dxa"/>
            <w:gridSpan w:val="2"/>
          </w:tcPr>
          <w:p>
            <w:pPr>
              <w:spacing w:line="360" w:lineRule="auto"/>
              <w:rPr>
                <w:rFonts w:hAnsi="宋体"/>
                <w:sz w:val="24"/>
              </w:rPr>
            </w:pPr>
          </w:p>
        </w:tc>
      </w:tr>
    </w:tbl>
    <w:p>
      <w:pPr>
        <w:spacing w:line="360" w:lineRule="auto"/>
        <w:rPr>
          <w:rFonts w:ascii="黑体" w:hAnsi="宋体" w:eastAsia="黑体"/>
          <w:sz w:val="24"/>
        </w:rPr>
      </w:pPr>
    </w:p>
    <w:p>
      <w:pPr>
        <w:spacing w:line="360" w:lineRule="auto"/>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contextualSpacing/>
        <w:rPr>
          <w:rFonts w:hAnsi="宋体"/>
          <w:sz w:val="24"/>
        </w:rPr>
      </w:pPr>
      <w:r>
        <w:rPr>
          <w:rFonts w:hint="eastAsia" w:hAnsi="宋体"/>
          <w:position w:val="-7"/>
          <w:sz w:val="24"/>
          <w:u w:val="single"/>
        </w:rPr>
        <w:t xml:space="preserve">                </w:t>
      </w:r>
      <w:r>
        <w:rPr>
          <w:rFonts w:hint="eastAsia" w:hAnsi="宋体"/>
          <w:sz w:val="24"/>
        </w:rPr>
        <w:t>（招标人名称）：</w:t>
      </w:r>
    </w:p>
    <w:p>
      <w:pPr>
        <w:ind w:firstLine="480" w:firstLineChars="200"/>
        <w:contextualSpacing/>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负责人</w:t>
      </w:r>
      <w:r>
        <w:rPr>
          <w:rFonts w:hint="eastAsia" w:hAnsi="宋体"/>
          <w:sz w:val="24"/>
        </w:rPr>
        <w:t>（</w:t>
      </w:r>
      <w:r>
        <w:rPr>
          <w:rFonts w:hint="eastAsia"/>
          <w:sz w:val="24"/>
        </w:rPr>
        <w:t>项目</w:t>
      </w:r>
      <w:r>
        <w:rPr>
          <w:rFonts w:hint="eastAsia"/>
          <w:sz w:val="24"/>
          <w:lang w:val="en-US" w:eastAsia="zh-CN"/>
        </w:rPr>
        <w:t>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ind w:firstLine="480" w:firstLineChars="200"/>
        <w:contextualSpacing/>
        <w:rPr>
          <w:rFonts w:hAnsi="宋体"/>
          <w:sz w:val="24"/>
        </w:rPr>
      </w:pPr>
      <w:r>
        <w:rPr>
          <w:rFonts w:hint="eastAsia" w:hAnsi="宋体"/>
          <w:sz w:val="24"/>
        </w:rPr>
        <w:t>我方保证上述信息的真实和准确，并愿意承担因我方就此弄虚作假所引起的一切法律后果。</w:t>
      </w:r>
    </w:p>
    <w:p>
      <w:pPr>
        <w:ind w:firstLine="480" w:firstLineChars="200"/>
        <w:contextualSpacing/>
        <w:rPr>
          <w:rFonts w:hAnsi="宋体"/>
          <w:sz w:val="24"/>
        </w:rPr>
      </w:pPr>
      <w:r>
        <w:rPr>
          <w:rFonts w:hint="eastAsia" w:hAnsi="宋体"/>
          <w:sz w:val="24"/>
        </w:rPr>
        <w:t>特此承诺</w:t>
      </w:r>
    </w:p>
    <w:p>
      <w:pPr>
        <w:contextualSpacing/>
        <w:jc w:val="right"/>
        <w:rPr>
          <w:rFonts w:hAnsi="宋体"/>
          <w:sz w:val="24"/>
        </w:rPr>
      </w:pPr>
      <w:r>
        <w:rPr>
          <w:rFonts w:hint="eastAsia" w:hAnsi="宋体"/>
          <w:sz w:val="24"/>
        </w:rPr>
        <w:t>投标人：（盖单位章）</w:t>
      </w:r>
    </w:p>
    <w:p>
      <w:pPr>
        <w:ind w:right="315"/>
        <w:contextualSpacing/>
        <w:jc w:val="right"/>
        <w:rPr>
          <w:rFonts w:hAnsi="宋体"/>
          <w:sz w:val="24"/>
        </w:rPr>
      </w:pPr>
      <w:r>
        <w:rPr>
          <w:rFonts w:hint="eastAsia" w:hAnsi="宋体"/>
          <w:sz w:val="24"/>
        </w:rPr>
        <w:t>法定代表人：</w:t>
      </w:r>
      <w:r>
        <w:rPr>
          <w:rFonts w:hint="eastAsia" w:ascii="新宋体" w:hAnsi="新宋体" w:eastAsia="新宋体"/>
          <w:sz w:val="24"/>
        </w:rPr>
        <w:t>（签字）</w:t>
      </w:r>
    </w:p>
    <w:p>
      <w:pPr>
        <w:ind w:right="480" w:firstLine="7080" w:firstLineChars="2950"/>
        <w:contextualSpacing/>
        <w:rPr>
          <w:rFonts w:hAnsi="宋体"/>
          <w:sz w:val="24"/>
        </w:rPr>
      </w:pPr>
      <w:r>
        <w:rPr>
          <w:rFonts w:hint="eastAsia" w:hAnsi="宋体"/>
          <w:sz w:val="24"/>
        </w:rPr>
        <w:t>年   月    日</w:t>
      </w: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spacing w:line="360" w:lineRule="auto"/>
        <w:ind w:firstLine="340"/>
      </w:pPr>
    </w:p>
    <w:p>
      <w:pPr>
        <w:pStyle w:val="2"/>
        <w:spacing w:line="360" w:lineRule="auto"/>
        <w:ind w:firstLine="340"/>
      </w:pPr>
    </w:p>
    <w:p>
      <w:pPr>
        <w:pStyle w:val="2"/>
        <w:spacing w:line="360" w:lineRule="auto"/>
        <w:ind w:firstLine="340"/>
      </w:pPr>
    </w:p>
    <w:p>
      <w:pPr>
        <w:pStyle w:val="2"/>
        <w:spacing w:line="360" w:lineRule="auto"/>
        <w:ind w:firstLine="340"/>
      </w:pPr>
    </w:p>
    <w:p>
      <w:pPr>
        <w:pStyle w:val="2"/>
        <w:spacing w:line="360" w:lineRule="auto"/>
        <w:ind w:firstLine="340"/>
        <w:jc w:val="center"/>
      </w:pPr>
    </w:p>
    <w:p>
      <w:pPr>
        <w:autoSpaceDE w:val="0"/>
        <w:autoSpaceDN w:val="0"/>
        <w:spacing w:line="360" w:lineRule="auto"/>
        <w:ind w:firstLine="640" w:firstLineChars="200"/>
        <w:jc w:val="center"/>
        <w:outlineLvl w:val="0"/>
        <w:rPr>
          <w:rFonts w:hAnsi="宋体"/>
          <w:b/>
          <w:sz w:val="32"/>
          <w:szCs w:val="32"/>
        </w:rPr>
      </w:pPr>
      <w:r>
        <w:rPr>
          <w:rFonts w:hint="eastAsia" w:hAnsi="宋体"/>
          <w:b/>
          <w:sz w:val="32"/>
          <w:szCs w:val="32"/>
        </w:rPr>
        <w:t>七、近年财务状况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pStyle w:val="2"/>
        <w:spacing w:line="360" w:lineRule="auto"/>
        <w:ind w:firstLine="340"/>
      </w:pPr>
    </w:p>
    <w:p>
      <w:pPr>
        <w:pStyle w:val="2"/>
        <w:spacing w:line="360" w:lineRule="auto"/>
        <w:ind w:firstLine="340"/>
      </w:pPr>
    </w:p>
    <w:p>
      <w:pPr>
        <w:pStyle w:val="2"/>
        <w:spacing w:line="360" w:lineRule="auto"/>
        <w:ind w:firstLine="340"/>
      </w:pPr>
    </w:p>
    <w:p>
      <w:pPr>
        <w:pStyle w:val="2"/>
        <w:spacing w:line="360" w:lineRule="auto"/>
        <w:ind w:firstLine="340"/>
      </w:pPr>
    </w:p>
    <w:p>
      <w:pPr>
        <w:pStyle w:val="2"/>
        <w:spacing w:line="360" w:lineRule="auto"/>
        <w:ind w:firstLine="340"/>
      </w:pPr>
    </w:p>
    <w:p>
      <w:pPr>
        <w:pStyle w:val="2"/>
        <w:spacing w:line="360" w:lineRule="auto"/>
        <w:ind w:firstLine="340"/>
      </w:pPr>
    </w:p>
    <w:p>
      <w:pPr>
        <w:pStyle w:val="2"/>
        <w:spacing w:line="360" w:lineRule="auto"/>
        <w:ind w:firstLine="340"/>
      </w:pPr>
    </w:p>
    <w:p>
      <w:pPr>
        <w:autoSpaceDE w:val="0"/>
        <w:autoSpaceDN w:val="0"/>
        <w:spacing w:line="360" w:lineRule="auto"/>
        <w:ind w:firstLine="640" w:firstLineChars="200"/>
        <w:jc w:val="center"/>
        <w:outlineLvl w:val="0"/>
        <w:rPr>
          <w:rFonts w:hAnsi="宋体"/>
          <w:b/>
          <w:sz w:val="32"/>
          <w:szCs w:val="32"/>
        </w:rPr>
      </w:pPr>
      <w:r>
        <w:rPr>
          <w:rFonts w:hint="eastAsia" w:hAnsi="宋体"/>
          <w:b/>
          <w:sz w:val="32"/>
          <w:szCs w:val="32"/>
        </w:rPr>
        <w:t>八、近年完成的类似项目情况</w:t>
      </w:r>
    </w:p>
    <w:p>
      <w:pPr>
        <w:pStyle w:val="2"/>
        <w:spacing w:line="360" w:lineRule="auto"/>
        <w:ind w:firstLine="340"/>
      </w:pP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九、正在施工的和新承接的项目情况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十、近年发生的诉讼及仲裁情况；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bCs/>
          <w:color w:val="0000FF"/>
          <w:sz w:val="32"/>
          <w:szCs w:val="32"/>
        </w:rPr>
      </w:pPr>
      <w:r>
        <w:rPr>
          <w:rFonts w:hint="eastAsia" w:hAnsi="宋体" w:cs="仿宋_GB2312"/>
          <w:b/>
          <w:sz w:val="32"/>
          <w:szCs w:val="32"/>
        </w:rPr>
        <w:t>十一、其它材料</w:t>
      </w:r>
    </w:p>
    <w:p>
      <w:pPr>
        <w:autoSpaceDE w:val="0"/>
        <w:autoSpaceDN w:val="0"/>
        <w:adjustRightInd w:val="0"/>
        <w:spacing w:line="360" w:lineRule="auto"/>
        <w:ind w:right="215" w:firstLine="640"/>
        <w:rPr>
          <w:rFonts w:hAnsi="宋体"/>
          <w:bCs/>
          <w:color w:val="0000FF"/>
          <w:sz w:val="32"/>
          <w:szCs w:val="32"/>
        </w:rPr>
      </w:pPr>
    </w:p>
    <w:p>
      <w:pPr>
        <w:tabs>
          <w:tab w:val="center" w:pos="4739"/>
        </w:tabs>
        <w:spacing w:line="360" w:lineRule="auto"/>
        <w:ind w:left="180"/>
        <w:rPr>
          <w:color w:val="0000FF"/>
          <w:sz w:val="32"/>
          <w:szCs w:val="32"/>
        </w:rPr>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pStyle w:val="2"/>
        <w:spacing w:line="360" w:lineRule="auto"/>
        <w:ind w:firstLine="340"/>
      </w:pPr>
    </w:p>
    <w:p>
      <w:pPr>
        <w:pStyle w:val="2"/>
        <w:spacing w:line="360" w:lineRule="auto"/>
        <w:ind w:firstLine="340"/>
      </w:pPr>
    </w:p>
    <w:p>
      <w:pPr>
        <w:pStyle w:val="2"/>
        <w:spacing w:line="360" w:lineRule="auto"/>
        <w:ind w:firstLine="340"/>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tabs>
          <w:tab w:val="center" w:pos="4739"/>
        </w:tabs>
        <w:spacing w:line="360" w:lineRule="auto"/>
        <w:ind w:left="180"/>
        <w:jc w:val="right"/>
        <w:rPr>
          <w:color w:val="0000FF"/>
          <w:sz w:val="32"/>
          <w:szCs w:val="32"/>
        </w:rPr>
      </w:pPr>
    </w:p>
    <w:p>
      <w:pPr>
        <w:pStyle w:val="2"/>
        <w:spacing w:line="360" w:lineRule="auto"/>
        <w:ind w:firstLine="340"/>
      </w:pPr>
    </w:p>
    <w:p>
      <w:pPr>
        <w:pStyle w:val="2"/>
        <w:spacing w:line="360" w:lineRule="auto"/>
        <w:ind w:firstLine="340"/>
      </w:pPr>
    </w:p>
    <w:p>
      <w:pPr>
        <w:autoSpaceDE w:val="0"/>
        <w:autoSpaceDN w:val="0"/>
        <w:adjustRightInd w:val="0"/>
        <w:spacing w:line="360" w:lineRule="auto"/>
        <w:jc w:val="right"/>
        <w:rPr>
          <w:rFonts w:hAnsi="宋体" w:cs="宋体"/>
          <w:sz w:val="23"/>
          <w:u w:val="single"/>
        </w:rPr>
      </w:pPr>
      <w:r>
        <w:rPr>
          <w:rFonts w:hint="eastAsia" w:hAnsi="宋体" w:cs="宋体"/>
          <w:sz w:val="24"/>
          <w:szCs w:val="21"/>
        </w:rPr>
        <w:t>正（副）本</w:t>
      </w:r>
    </w:p>
    <w:p>
      <w:pPr>
        <w:autoSpaceDE w:val="0"/>
        <w:autoSpaceDN w:val="0"/>
        <w:adjustRightInd w:val="0"/>
        <w:spacing w:line="360" w:lineRule="auto"/>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 施工</w:t>
      </w:r>
    </w:p>
    <w:p>
      <w:pPr>
        <w:autoSpaceDE w:val="0"/>
        <w:autoSpaceDN w:val="0"/>
        <w:adjustRightInd w:val="0"/>
        <w:spacing w:line="360" w:lineRule="auto"/>
        <w:ind w:firstLine="2520" w:firstLineChars="900"/>
        <w:jc w:val="left"/>
        <w:rPr>
          <w:rFonts w:hAnsi="宋体" w:cs="宋体"/>
          <w:sz w:val="28"/>
        </w:rPr>
      </w:pPr>
    </w:p>
    <w:p>
      <w:pPr>
        <w:autoSpaceDE w:val="0"/>
        <w:autoSpaceDN w:val="0"/>
        <w:adjustRightInd w:val="0"/>
        <w:spacing w:line="360" w:lineRule="auto"/>
        <w:jc w:val="left"/>
        <w:rPr>
          <w:rFonts w:hAnsi="宋体" w:cs="宋体"/>
          <w:sz w:val="28"/>
        </w:rPr>
      </w:pPr>
    </w:p>
    <w:p>
      <w:pPr>
        <w:autoSpaceDE w:val="0"/>
        <w:autoSpaceDN w:val="0"/>
        <w:adjustRightInd w:val="0"/>
        <w:spacing w:line="360" w:lineRule="auto"/>
        <w:rPr>
          <w:rFonts w:hAnsi="宋体" w:cs="宋体"/>
          <w:b/>
          <w:spacing w:val="60"/>
          <w:sz w:val="70"/>
        </w:rPr>
      </w:pPr>
    </w:p>
    <w:p>
      <w:pPr>
        <w:autoSpaceDE w:val="0"/>
        <w:autoSpaceDN w:val="0"/>
        <w:adjustRightInd w:val="0"/>
        <w:spacing w:line="360" w:lineRule="auto"/>
        <w:jc w:val="center"/>
        <w:rPr>
          <w:rFonts w:hAnsi="宋体" w:cs="宋体"/>
          <w:b/>
          <w:spacing w:val="60"/>
          <w:sz w:val="70"/>
        </w:rPr>
      </w:pPr>
    </w:p>
    <w:p>
      <w:pPr>
        <w:autoSpaceDE w:val="0"/>
        <w:autoSpaceDN w:val="0"/>
        <w:adjustRightInd w:val="0"/>
        <w:spacing w:line="360" w:lineRule="auto"/>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spacing w:line="360" w:lineRule="auto"/>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220</w:t>
      </w:r>
      <w:r>
        <w:rPr>
          <w:rFonts w:hint="eastAsia" w:hAnsi="宋体" w:cs="宋体"/>
          <w:bCs/>
          <w:color w:val="000000" w:themeColor="text1"/>
          <w:sz w:val="32"/>
          <w:szCs w:val="22"/>
        </w:rPr>
        <w:t>号</w:t>
      </w:r>
      <w:r>
        <w:rPr>
          <w:rFonts w:hAnsi="宋体" w:cs="宋体"/>
          <w:bCs/>
          <w:color w:val="000000" w:themeColor="text1"/>
          <w:sz w:val="32"/>
          <w:szCs w:val="22"/>
        </w:rPr>
        <w:tab/>
      </w:r>
    </w:p>
    <w:p>
      <w:pPr>
        <w:autoSpaceDE w:val="0"/>
        <w:autoSpaceDN w:val="0"/>
        <w:adjustRightInd w:val="0"/>
        <w:spacing w:line="360" w:lineRule="auto"/>
        <w:jc w:val="center"/>
        <w:rPr>
          <w:rFonts w:hAnsi="宋体" w:cs="宋体"/>
          <w:sz w:val="44"/>
        </w:rPr>
      </w:pPr>
      <w:r>
        <w:rPr>
          <w:rFonts w:hint="eastAsia" w:hAnsi="宋体" w:cs="宋体"/>
          <w:sz w:val="44"/>
        </w:rPr>
        <w:t>（技术标）</w:t>
      </w:r>
    </w:p>
    <w:p>
      <w:pPr>
        <w:autoSpaceDE w:val="0"/>
        <w:autoSpaceDN w:val="0"/>
        <w:adjustRightInd w:val="0"/>
        <w:spacing w:line="360" w:lineRule="auto"/>
        <w:rPr>
          <w:rFonts w:hAnsi="宋体" w:cs="宋体"/>
          <w:sz w:val="44"/>
        </w:rPr>
      </w:pPr>
    </w:p>
    <w:p>
      <w:pPr>
        <w:pStyle w:val="2"/>
        <w:spacing w:line="360" w:lineRule="auto"/>
        <w:ind w:firstLine="440"/>
        <w:rPr>
          <w:rFonts w:hAnsi="宋体" w:cs="宋体"/>
          <w:sz w:val="44"/>
        </w:rPr>
      </w:pPr>
    </w:p>
    <w:p>
      <w:pPr>
        <w:pStyle w:val="66"/>
        <w:spacing w:line="360" w:lineRule="auto"/>
        <w:jc w:val="center"/>
        <w:rPr>
          <w:rFonts w:hAnsi="宋体"/>
          <w:color w:val="auto"/>
          <w:sz w:val="23"/>
        </w:rPr>
      </w:pPr>
    </w:p>
    <w:p>
      <w:pPr>
        <w:pStyle w:val="66"/>
        <w:spacing w:line="360" w:lineRule="auto"/>
        <w:jc w:val="center"/>
        <w:rPr>
          <w:rFonts w:hAnsi="宋体"/>
          <w:color w:val="auto"/>
          <w:sz w:val="23"/>
        </w:rPr>
      </w:pPr>
    </w:p>
    <w:p>
      <w:pPr>
        <w:pStyle w:val="66"/>
        <w:spacing w:line="360" w:lineRule="auto"/>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360" w:lineRule="auto"/>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360" w:lineRule="auto"/>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360" w:lineRule="auto"/>
        <w:jc w:val="left"/>
        <w:rPr>
          <w:rFonts w:hAnsi="宋体" w:cs="宋体"/>
          <w:b/>
          <w:sz w:val="44"/>
        </w:rPr>
      </w:pPr>
    </w:p>
    <w:p>
      <w:pPr>
        <w:autoSpaceDE w:val="0"/>
        <w:autoSpaceDN w:val="0"/>
        <w:spacing w:line="360" w:lineRule="auto"/>
        <w:rPr>
          <w:rFonts w:hAnsi="宋体" w:cs="宋体"/>
          <w:b/>
          <w:sz w:val="36"/>
          <w:szCs w:val="36"/>
        </w:rPr>
      </w:pPr>
    </w:p>
    <w:p>
      <w:pPr>
        <w:pStyle w:val="2"/>
        <w:spacing w:line="360" w:lineRule="auto"/>
        <w:ind w:firstLine="340"/>
      </w:pPr>
    </w:p>
    <w:p>
      <w:pPr>
        <w:autoSpaceDE w:val="0"/>
        <w:autoSpaceDN w:val="0"/>
        <w:spacing w:line="360" w:lineRule="auto"/>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spacing w:line="360" w:lineRule="auto"/>
        <w:ind w:left="180"/>
        <w:rPr>
          <w:rFonts w:hAnsi="宋体" w:cs="宋体"/>
          <w:b/>
          <w:sz w:val="26"/>
          <w:szCs w:val="26"/>
        </w:rPr>
      </w:pPr>
      <w:r>
        <w:rPr>
          <w:rFonts w:hint="eastAsia" w:hAnsi="宋体" w:cs="宋体"/>
          <w:b/>
          <w:sz w:val="26"/>
          <w:szCs w:val="26"/>
        </w:rPr>
        <w:t>（1）内容完整性和编制水平；</w:t>
      </w:r>
    </w:p>
    <w:p>
      <w:pPr>
        <w:tabs>
          <w:tab w:val="center" w:pos="4739"/>
        </w:tabs>
        <w:spacing w:line="360" w:lineRule="auto"/>
        <w:ind w:left="180"/>
        <w:rPr>
          <w:rFonts w:hAnsi="宋体" w:cs="宋体"/>
          <w:b/>
          <w:sz w:val="26"/>
          <w:szCs w:val="26"/>
        </w:rPr>
      </w:pPr>
      <w:r>
        <w:rPr>
          <w:rFonts w:hint="eastAsia" w:hAnsi="宋体" w:cs="宋体"/>
          <w:b/>
          <w:sz w:val="26"/>
          <w:szCs w:val="26"/>
        </w:rPr>
        <w:t>（2）施工方案和技术措施；</w:t>
      </w:r>
    </w:p>
    <w:p>
      <w:pPr>
        <w:tabs>
          <w:tab w:val="center" w:pos="4739"/>
        </w:tabs>
        <w:spacing w:line="360" w:lineRule="auto"/>
        <w:ind w:left="180"/>
        <w:rPr>
          <w:rFonts w:hAnsi="宋体" w:cs="宋体"/>
          <w:b/>
          <w:sz w:val="26"/>
          <w:szCs w:val="26"/>
        </w:rPr>
      </w:pPr>
      <w:r>
        <w:rPr>
          <w:rFonts w:hint="eastAsia" w:hAnsi="宋体" w:cs="宋体"/>
          <w:b/>
          <w:sz w:val="26"/>
          <w:szCs w:val="26"/>
        </w:rPr>
        <w:t>（3）质量管理体系与措施；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（4）安全管理体系与措施；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（5）环境保护管理体系与措施；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（6）工程进度计划与措施；</w:t>
      </w:r>
    </w:p>
    <w:p>
      <w:pPr>
        <w:tabs>
          <w:tab w:val="center" w:pos="4739"/>
        </w:tabs>
        <w:spacing w:line="360" w:lineRule="auto"/>
        <w:ind w:left="180"/>
        <w:rPr>
          <w:rFonts w:hAnsi="宋体" w:cs="宋体"/>
          <w:b/>
          <w:sz w:val="26"/>
          <w:szCs w:val="26"/>
        </w:rPr>
      </w:pPr>
      <w:r>
        <w:rPr>
          <w:rFonts w:hint="eastAsia" w:hAnsi="宋体" w:cs="宋体"/>
          <w:b/>
          <w:sz w:val="26"/>
          <w:szCs w:val="26"/>
        </w:rPr>
        <w:t>（7）拟投入资源配备计划；</w:t>
      </w:r>
    </w:p>
    <w:p>
      <w:pPr>
        <w:tabs>
          <w:tab w:val="center" w:pos="4739"/>
        </w:tabs>
        <w:spacing w:line="360" w:lineRule="auto"/>
        <w:ind w:left="180"/>
        <w:rPr>
          <w:rFonts w:hAnsi="宋体" w:cs="宋体"/>
          <w:b/>
          <w:sz w:val="26"/>
          <w:szCs w:val="26"/>
        </w:rPr>
      </w:pPr>
      <w:r>
        <w:rPr>
          <w:rFonts w:hint="eastAsia" w:hAnsi="宋体" w:cs="宋体"/>
          <w:b/>
          <w:sz w:val="26"/>
          <w:szCs w:val="26"/>
        </w:rPr>
        <w:t>（8）施工进度表或施工网络图；</w:t>
      </w:r>
    </w:p>
    <w:p>
      <w:pPr>
        <w:tabs>
          <w:tab w:val="center" w:pos="4739"/>
        </w:tabs>
        <w:spacing w:line="360" w:lineRule="auto"/>
        <w:ind w:left="180"/>
        <w:rPr>
          <w:rFonts w:hAnsi="宋体" w:cs="宋体"/>
          <w:b/>
          <w:sz w:val="26"/>
          <w:szCs w:val="26"/>
        </w:rPr>
      </w:pPr>
      <w:r>
        <w:rPr>
          <w:rFonts w:hint="eastAsia" w:hAnsi="宋体" w:cs="宋体"/>
          <w:b/>
          <w:sz w:val="26"/>
          <w:szCs w:val="26"/>
        </w:rPr>
        <w:t>（9）施工总平面布置图；</w:t>
      </w:r>
    </w:p>
    <w:p>
      <w:pPr>
        <w:tabs>
          <w:tab w:val="center" w:pos="4739"/>
        </w:tabs>
        <w:spacing w:line="360" w:lineRule="auto"/>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spacing w:line="360" w:lineRule="auto"/>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spacing w:line="360" w:lineRule="auto"/>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spacing w:line="360" w:lineRule="auto"/>
        <w:ind w:left="180"/>
        <w:rPr>
          <w:rFonts w:hAnsi="宋体" w:cs="TimesNewRomanPSMT"/>
          <w:color w:val="0000FF"/>
          <w:sz w:val="18"/>
          <w:szCs w:val="18"/>
        </w:rPr>
      </w:pPr>
    </w:p>
    <w:p>
      <w:pPr>
        <w:autoSpaceDE w:val="0"/>
        <w:autoSpaceDN w:val="0"/>
        <w:adjustRightInd w:val="0"/>
        <w:spacing w:line="360" w:lineRule="auto"/>
        <w:rPr>
          <w:rFonts w:hAnsi="宋体" w:cs="宋体"/>
          <w:b/>
          <w:color w:val="0000FF"/>
          <w:sz w:val="26"/>
          <w:szCs w:val="26"/>
        </w:rPr>
      </w:pPr>
    </w:p>
    <w:sectPr>
      <w:headerReference r:id="rId7" w:type="first"/>
      <w:footerReference r:id="rId9" w:type="first"/>
      <w:footerReference r:id="rId8"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r>
      <w:rPr>
        <w:rFonts w:hint="eastAsia" w:ascii="仿宋" w:hAnsi="仿宋" w:eastAsia="仿宋"/>
        <w:b/>
        <w:sz w:val="21"/>
        <w:szCs w:val="21"/>
      </w:rPr>
      <w:t xml:space="preserve">                          </w:t>
    </w:r>
    <w:r>
      <w:rPr>
        <w:rFonts w:hint="eastAsia" w:ascii="仿宋" w:hAnsi="仿宋" w:eastAsia="仿宋"/>
        <w:b/>
        <w:sz w:val="21"/>
        <w:szCs w:val="21"/>
        <w:lang w:val="en-US" w:eastAsia="zh-CN"/>
      </w:rPr>
      <w:t xml:space="preserve">                             </w:t>
    </w:r>
    <w:r>
      <w:rPr>
        <w:rFonts w:hint="eastAsia" w:ascii="仿宋" w:hAnsi="仿宋" w:eastAsia="仿宋"/>
        <w:b/>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ind w:firstLine="8011" w:firstLineChars="3800"/>
      <w:jc w:val="both"/>
      <w:rPr>
        <w:rFonts w:ascii="仿宋" w:hAnsi="仿宋" w:eastAsia="仿宋"/>
        <w:b/>
        <w:sz w:val="21"/>
        <w:szCs w:val="21"/>
      </w:rPr>
    </w:pPr>
    <w:r>
      <w:rPr>
        <w:rFonts w:hint="eastAsia" w:ascii="仿宋" w:hAnsi="仿宋" w:eastAsia="仿宋"/>
        <w:b/>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077428A"/>
    <w:multiLevelType w:val="singleLevel"/>
    <w:tmpl w:val="4077428A"/>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14AC8"/>
    <w:rsid w:val="000206AB"/>
    <w:rsid w:val="00020C45"/>
    <w:rsid w:val="0002446F"/>
    <w:rsid w:val="0002487C"/>
    <w:rsid w:val="000307B7"/>
    <w:rsid w:val="00053998"/>
    <w:rsid w:val="00055437"/>
    <w:rsid w:val="0005578B"/>
    <w:rsid w:val="00056F61"/>
    <w:rsid w:val="00060023"/>
    <w:rsid w:val="000619E2"/>
    <w:rsid w:val="00061BCD"/>
    <w:rsid w:val="0008358D"/>
    <w:rsid w:val="000948C6"/>
    <w:rsid w:val="000A2DFC"/>
    <w:rsid w:val="000A48CB"/>
    <w:rsid w:val="000A720A"/>
    <w:rsid w:val="000C5130"/>
    <w:rsid w:val="000D038F"/>
    <w:rsid w:val="000D2497"/>
    <w:rsid w:val="000D70F0"/>
    <w:rsid w:val="000E5041"/>
    <w:rsid w:val="000F0912"/>
    <w:rsid w:val="000F52B5"/>
    <w:rsid w:val="00105309"/>
    <w:rsid w:val="00141371"/>
    <w:rsid w:val="001419BE"/>
    <w:rsid w:val="001617DE"/>
    <w:rsid w:val="00161821"/>
    <w:rsid w:val="001621DF"/>
    <w:rsid w:val="00170351"/>
    <w:rsid w:val="00172A27"/>
    <w:rsid w:val="00176F7E"/>
    <w:rsid w:val="0018399A"/>
    <w:rsid w:val="00190A8C"/>
    <w:rsid w:val="001912DC"/>
    <w:rsid w:val="001929B3"/>
    <w:rsid w:val="00193F11"/>
    <w:rsid w:val="001A030E"/>
    <w:rsid w:val="001C37FA"/>
    <w:rsid w:val="001C7AF9"/>
    <w:rsid w:val="001C7C8B"/>
    <w:rsid w:val="001E4B47"/>
    <w:rsid w:val="00202D29"/>
    <w:rsid w:val="00207CE5"/>
    <w:rsid w:val="00212E5F"/>
    <w:rsid w:val="002225A8"/>
    <w:rsid w:val="00223978"/>
    <w:rsid w:val="0022570C"/>
    <w:rsid w:val="002320BE"/>
    <w:rsid w:val="002330D7"/>
    <w:rsid w:val="002333F7"/>
    <w:rsid w:val="0023418F"/>
    <w:rsid w:val="00262141"/>
    <w:rsid w:val="0026624E"/>
    <w:rsid w:val="0027166A"/>
    <w:rsid w:val="00272BC1"/>
    <w:rsid w:val="002838F3"/>
    <w:rsid w:val="00285179"/>
    <w:rsid w:val="00290A21"/>
    <w:rsid w:val="002941A4"/>
    <w:rsid w:val="002A38DB"/>
    <w:rsid w:val="002B1E02"/>
    <w:rsid w:val="002B40CB"/>
    <w:rsid w:val="002B449E"/>
    <w:rsid w:val="002B6CFD"/>
    <w:rsid w:val="002C107D"/>
    <w:rsid w:val="002C349A"/>
    <w:rsid w:val="002C6E5F"/>
    <w:rsid w:val="002D0A31"/>
    <w:rsid w:val="002E4AC4"/>
    <w:rsid w:val="002E5D21"/>
    <w:rsid w:val="002F1644"/>
    <w:rsid w:val="002F399A"/>
    <w:rsid w:val="00307FBE"/>
    <w:rsid w:val="0032098B"/>
    <w:rsid w:val="0032594D"/>
    <w:rsid w:val="00344E9F"/>
    <w:rsid w:val="00352160"/>
    <w:rsid w:val="00356E8B"/>
    <w:rsid w:val="003666F0"/>
    <w:rsid w:val="0037733A"/>
    <w:rsid w:val="00377A31"/>
    <w:rsid w:val="003843FF"/>
    <w:rsid w:val="00386B3C"/>
    <w:rsid w:val="003875B4"/>
    <w:rsid w:val="00393239"/>
    <w:rsid w:val="003934E1"/>
    <w:rsid w:val="003A476D"/>
    <w:rsid w:val="003B04D0"/>
    <w:rsid w:val="003B483B"/>
    <w:rsid w:val="003C1457"/>
    <w:rsid w:val="003C4244"/>
    <w:rsid w:val="003C4F81"/>
    <w:rsid w:val="003D228E"/>
    <w:rsid w:val="003E5FBF"/>
    <w:rsid w:val="003E7172"/>
    <w:rsid w:val="003F16E6"/>
    <w:rsid w:val="0041298A"/>
    <w:rsid w:val="00415BC0"/>
    <w:rsid w:val="00415F75"/>
    <w:rsid w:val="00425C54"/>
    <w:rsid w:val="00461496"/>
    <w:rsid w:val="004622E3"/>
    <w:rsid w:val="0047049E"/>
    <w:rsid w:val="00471034"/>
    <w:rsid w:val="00473F55"/>
    <w:rsid w:val="00477253"/>
    <w:rsid w:val="00496950"/>
    <w:rsid w:val="004B35D2"/>
    <w:rsid w:val="004B3D96"/>
    <w:rsid w:val="004B415F"/>
    <w:rsid w:val="004B6B14"/>
    <w:rsid w:val="004C2CFA"/>
    <w:rsid w:val="004D2B00"/>
    <w:rsid w:val="004D4388"/>
    <w:rsid w:val="004D4ACD"/>
    <w:rsid w:val="004D738C"/>
    <w:rsid w:val="004E06CE"/>
    <w:rsid w:val="004E3A03"/>
    <w:rsid w:val="004E5430"/>
    <w:rsid w:val="004F1948"/>
    <w:rsid w:val="00502770"/>
    <w:rsid w:val="005046F1"/>
    <w:rsid w:val="00505474"/>
    <w:rsid w:val="00506A04"/>
    <w:rsid w:val="00506DAE"/>
    <w:rsid w:val="00512133"/>
    <w:rsid w:val="0051467F"/>
    <w:rsid w:val="005203E6"/>
    <w:rsid w:val="00521D31"/>
    <w:rsid w:val="00525BCF"/>
    <w:rsid w:val="00534174"/>
    <w:rsid w:val="00536444"/>
    <w:rsid w:val="0055012A"/>
    <w:rsid w:val="00567406"/>
    <w:rsid w:val="0057676B"/>
    <w:rsid w:val="005C2FC1"/>
    <w:rsid w:val="005C7B38"/>
    <w:rsid w:val="005C7D89"/>
    <w:rsid w:val="005E093B"/>
    <w:rsid w:val="005F4A28"/>
    <w:rsid w:val="005F5DB4"/>
    <w:rsid w:val="00601E8B"/>
    <w:rsid w:val="00602998"/>
    <w:rsid w:val="0061138F"/>
    <w:rsid w:val="0061516E"/>
    <w:rsid w:val="00626173"/>
    <w:rsid w:val="00630C65"/>
    <w:rsid w:val="00633B63"/>
    <w:rsid w:val="00642003"/>
    <w:rsid w:val="00645869"/>
    <w:rsid w:val="00657EFD"/>
    <w:rsid w:val="00661C56"/>
    <w:rsid w:val="00673E81"/>
    <w:rsid w:val="00675296"/>
    <w:rsid w:val="006808AC"/>
    <w:rsid w:val="00682AFF"/>
    <w:rsid w:val="00686E55"/>
    <w:rsid w:val="006A2C94"/>
    <w:rsid w:val="006A3BD6"/>
    <w:rsid w:val="006C58EE"/>
    <w:rsid w:val="006E2258"/>
    <w:rsid w:val="006E42B1"/>
    <w:rsid w:val="006E68C1"/>
    <w:rsid w:val="006F2F1D"/>
    <w:rsid w:val="00711825"/>
    <w:rsid w:val="00715420"/>
    <w:rsid w:val="00715CEE"/>
    <w:rsid w:val="007258B7"/>
    <w:rsid w:val="00727632"/>
    <w:rsid w:val="0073757E"/>
    <w:rsid w:val="007425B6"/>
    <w:rsid w:val="00751460"/>
    <w:rsid w:val="007545F3"/>
    <w:rsid w:val="007551CB"/>
    <w:rsid w:val="00760E93"/>
    <w:rsid w:val="0076566C"/>
    <w:rsid w:val="007675A2"/>
    <w:rsid w:val="00774D52"/>
    <w:rsid w:val="0077752D"/>
    <w:rsid w:val="00777F6E"/>
    <w:rsid w:val="00793DFF"/>
    <w:rsid w:val="007A249B"/>
    <w:rsid w:val="007A3500"/>
    <w:rsid w:val="007D76A7"/>
    <w:rsid w:val="007E6E4C"/>
    <w:rsid w:val="007F00E2"/>
    <w:rsid w:val="00804EC3"/>
    <w:rsid w:val="0080662A"/>
    <w:rsid w:val="008100C7"/>
    <w:rsid w:val="0081250A"/>
    <w:rsid w:val="0081767F"/>
    <w:rsid w:val="00827E47"/>
    <w:rsid w:val="0083254B"/>
    <w:rsid w:val="00837836"/>
    <w:rsid w:val="00843389"/>
    <w:rsid w:val="00855EAA"/>
    <w:rsid w:val="00860A2A"/>
    <w:rsid w:val="00871CC4"/>
    <w:rsid w:val="00880FE6"/>
    <w:rsid w:val="00897233"/>
    <w:rsid w:val="008A6355"/>
    <w:rsid w:val="008B0D34"/>
    <w:rsid w:val="008B19B5"/>
    <w:rsid w:val="008C206C"/>
    <w:rsid w:val="008D64E5"/>
    <w:rsid w:val="008D77C9"/>
    <w:rsid w:val="008F5961"/>
    <w:rsid w:val="009046D3"/>
    <w:rsid w:val="00913652"/>
    <w:rsid w:val="00914023"/>
    <w:rsid w:val="00932AE1"/>
    <w:rsid w:val="0093783C"/>
    <w:rsid w:val="00942D61"/>
    <w:rsid w:val="00953E1B"/>
    <w:rsid w:val="00960292"/>
    <w:rsid w:val="00964C0D"/>
    <w:rsid w:val="00982AE9"/>
    <w:rsid w:val="00984D0F"/>
    <w:rsid w:val="009A0AEF"/>
    <w:rsid w:val="009A54C5"/>
    <w:rsid w:val="009B0078"/>
    <w:rsid w:val="009C15B6"/>
    <w:rsid w:val="009C713A"/>
    <w:rsid w:val="009D128A"/>
    <w:rsid w:val="009D4EC7"/>
    <w:rsid w:val="009E399B"/>
    <w:rsid w:val="009E474B"/>
    <w:rsid w:val="009E6D32"/>
    <w:rsid w:val="009F6862"/>
    <w:rsid w:val="00A02446"/>
    <w:rsid w:val="00A0359D"/>
    <w:rsid w:val="00A11DD3"/>
    <w:rsid w:val="00A20EE8"/>
    <w:rsid w:val="00A23EC7"/>
    <w:rsid w:val="00A272E1"/>
    <w:rsid w:val="00A40FF4"/>
    <w:rsid w:val="00A423F5"/>
    <w:rsid w:val="00A46546"/>
    <w:rsid w:val="00A500A7"/>
    <w:rsid w:val="00A5380D"/>
    <w:rsid w:val="00A728AE"/>
    <w:rsid w:val="00A74405"/>
    <w:rsid w:val="00A86771"/>
    <w:rsid w:val="00A919DC"/>
    <w:rsid w:val="00A926DB"/>
    <w:rsid w:val="00A94023"/>
    <w:rsid w:val="00A976FA"/>
    <w:rsid w:val="00AA1746"/>
    <w:rsid w:val="00AC2A4B"/>
    <w:rsid w:val="00AC4975"/>
    <w:rsid w:val="00AD18B4"/>
    <w:rsid w:val="00AD3534"/>
    <w:rsid w:val="00AD6026"/>
    <w:rsid w:val="00AE2107"/>
    <w:rsid w:val="00AE432D"/>
    <w:rsid w:val="00AE5E22"/>
    <w:rsid w:val="00B143F2"/>
    <w:rsid w:val="00B156DC"/>
    <w:rsid w:val="00B31935"/>
    <w:rsid w:val="00B33A32"/>
    <w:rsid w:val="00B36113"/>
    <w:rsid w:val="00B36978"/>
    <w:rsid w:val="00B43F93"/>
    <w:rsid w:val="00B6140C"/>
    <w:rsid w:val="00B75316"/>
    <w:rsid w:val="00B84440"/>
    <w:rsid w:val="00B92E15"/>
    <w:rsid w:val="00B97E45"/>
    <w:rsid w:val="00BA1328"/>
    <w:rsid w:val="00BC2BAE"/>
    <w:rsid w:val="00BD4994"/>
    <w:rsid w:val="00BE3E23"/>
    <w:rsid w:val="00BF3412"/>
    <w:rsid w:val="00C13D39"/>
    <w:rsid w:val="00C179DF"/>
    <w:rsid w:val="00C22BCB"/>
    <w:rsid w:val="00C40DF7"/>
    <w:rsid w:val="00C616A4"/>
    <w:rsid w:val="00C62082"/>
    <w:rsid w:val="00C6250E"/>
    <w:rsid w:val="00C6550A"/>
    <w:rsid w:val="00C8055C"/>
    <w:rsid w:val="00C83852"/>
    <w:rsid w:val="00C840A3"/>
    <w:rsid w:val="00C87FBD"/>
    <w:rsid w:val="00C94803"/>
    <w:rsid w:val="00C96F90"/>
    <w:rsid w:val="00CB7BEE"/>
    <w:rsid w:val="00CE2CC1"/>
    <w:rsid w:val="00CE5747"/>
    <w:rsid w:val="00CE7649"/>
    <w:rsid w:val="00CF3870"/>
    <w:rsid w:val="00D05B24"/>
    <w:rsid w:val="00D11773"/>
    <w:rsid w:val="00D14B49"/>
    <w:rsid w:val="00D22F71"/>
    <w:rsid w:val="00D30BB3"/>
    <w:rsid w:val="00D45F01"/>
    <w:rsid w:val="00D54A29"/>
    <w:rsid w:val="00D763A0"/>
    <w:rsid w:val="00D76418"/>
    <w:rsid w:val="00D8542C"/>
    <w:rsid w:val="00D926D6"/>
    <w:rsid w:val="00D95105"/>
    <w:rsid w:val="00DA29A1"/>
    <w:rsid w:val="00DA2BDF"/>
    <w:rsid w:val="00DA3EDB"/>
    <w:rsid w:val="00DB04BE"/>
    <w:rsid w:val="00DC0AF4"/>
    <w:rsid w:val="00DD0A74"/>
    <w:rsid w:val="00DE3CAC"/>
    <w:rsid w:val="00DE5543"/>
    <w:rsid w:val="00DE66BC"/>
    <w:rsid w:val="00DF7149"/>
    <w:rsid w:val="00E05446"/>
    <w:rsid w:val="00E115D2"/>
    <w:rsid w:val="00E2714D"/>
    <w:rsid w:val="00E44B4D"/>
    <w:rsid w:val="00E5143A"/>
    <w:rsid w:val="00E538F9"/>
    <w:rsid w:val="00E936DC"/>
    <w:rsid w:val="00EA5008"/>
    <w:rsid w:val="00F10827"/>
    <w:rsid w:val="00F37FE9"/>
    <w:rsid w:val="00F44FA6"/>
    <w:rsid w:val="00F467A0"/>
    <w:rsid w:val="00F6045E"/>
    <w:rsid w:val="00F63C92"/>
    <w:rsid w:val="00F67CC6"/>
    <w:rsid w:val="00F70363"/>
    <w:rsid w:val="00F728FE"/>
    <w:rsid w:val="00F7314E"/>
    <w:rsid w:val="00F772B0"/>
    <w:rsid w:val="00F83958"/>
    <w:rsid w:val="00F8717A"/>
    <w:rsid w:val="00F9261B"/>
    <w:rsid w:val="00F94E4D"/>
    <w:rsid w:val="00FA563C"/>
    <w:rsid w:val="00FB52C0"/>
    <w:rsid w:val="00FB7A66"/>
    <w:rsid w:val="00FC0AD2"/>
    <w:rsid w:val="00FC0C1C"/>
    <w:rsid w:val="00FD26CD"/>
    <w:rsid w:val="00FD2C2A"/>
    <w:rsid w:val="00FE592E"/>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2CE2BE1"/>
    <w:rsid w:val="032248BA"/>
    <w:rsid w:val="03406A92"/>
    <w:rsid w:val="03470A3A"/>
    <w:rsid w:val="037039DE"/>
    <w:rsid w:val="03771167"/>
    <w:rsid w:val="038E41B6"/>
    <w:rsid w:val="03AC0FD3"/>
    <w:rsid w:val="04054A2B"/>
    <w:rsid w:val="041729A1"/>
    <w:rsid w:val="0438675C"/>
    <w:rsid w:val="046A0239"/>
    <w:rsid w:val="049F4EFD"/>
    <w:rsid w:val="04C3653B"/>
    <w:rsid w:val="04F61493"/>
    <w:rsid w:val="05336A3F"/>
    <w:rsid w:val="053D00B6"/>
    <w:rsid w:val="056C4502"/>
    <w:rsid w:val="05A07B6E"/>
    <w:rsid w:val="05E655CF"/>
    <w:rsid w:val="06030411"/>
    <w:rsid w:val="06B07C45"/>
    <w:rsid w:val="0702214E"/>
    <w:rsid w:val="07023B66"/>
    <w:rsid w:val="072221F1"/>
    <w:rsid w:val="072E0171"/>
    <w:rsid w:val="07391A2B"/>
    <w:rsid w:val="079E78C0"/>
    <w:rsid w:val="07D15420"/>
    <w:rsid w:val="07D17C7C"/>
    <w:rsid w:val="084A0A3D"/>
    <w:rsid w:val="086F58A5"/>
    <w:rsid w:val="089B0FEE"/>
    <w:rsid w:val="089C4071"/>
    <w:rsid w:val="08AB7C23"/>
    <w:rsid w:val="092B3D47"/>
    <w:rsid w:val="09E337AF"/>
    <w:rsid w:val="0A702524"/>
    <w:rsid w:val="0A750927"/>
    <w:rsid w:val="0A9A5D3D"/>
    <w:rsid w:val="0A9B67F9"/>
    <w:rsid w:val="0AD97181"/>
    <w:rsid w:val="0AFE4389"/>
    <w:rsid w:val="0B0978FC"/>
    <w:rsid w:val="0B15582D"/>
    <w:rsid w:val="0B6364EE"/>
    <w:rsid w:val="0B8D3B33"/>
    <w:rsid w:val="0BAF573C"/>
    <w:rsid w:val="0BF0362D"/>
    <w:rsid w:val="0C057449"/>
    <w:rsid w:val="0C0E61AB"/>
    <w:rsid w:val="0C2F476E"/>
    <w:rsid w:val="0CDB2A0A"/>
    <w:rsid w:val="0D0D6A84"/>
    <w:rsid w:val="0D612D7D"/>
    <w:rsid w:val="0D8F1F77"/>
    <w:rsid w:val="0E0C2AFD"/>
    <w:rsid w:val="0E0E47F0"/>
    <w:rsid w:val="0E121D9A"/>
    <w:rsid w:val="0E2E6AB6"/>
    <w:rsid w:val="0E3B7750"/>
    <w:rsid w:val="0E7A66D6"/>
    <w:rsid w:val="0EA744AE"/>
    <w:rsid w:val="0EAB77A0"/>
    <w:rsid w:val="0EDA3DD9"/>
    <w:rsid w:val="0F1C38A1"/>
    <w:rsid w:val="0F367B25"/>
    <w:rsid w:val="0F540BFC"/>
    <w:rsid w:val="0F5E1E20"/>
    <w:rsid w:val="0FA2654A"/>
    <w:rsid w:val="0FCE6FEC"/>
    <w:rsid w:val="10660739"/>
    <w:rsid w:val="106F11B4"/>
    <w:rsid w:val="109B7E33"/>
    <w:rsid w:val="10CC1D6A"/>
    <w:rsid w:val="10CF1CAA"/>
    <w:rsid w:val="10DC2540"/>
    <w:rsid w:val="11596574"/>
    <w:rsid w:val="117B4CED"/>
    <w:rsid w:val="11D65CBA"/>
    <w:rsid w:val="11E70DCC"/>
    <w:rsid w:val="12266FA5"/>
    <w:rsid w:val="123021D6"/>
    <w:rsid w:val="124B3A99"/>
    <w:rsid w:val="12A5368B"/>
    <w:rsid w:val="1306646C"/>
    <w:rsid w:val="1335275F"/>
    <w:rsid w:val="13362D59"/>
    <w:rsid w:val="13396B15"/>
    <w:rsid w:val="13701D45"/>
    <w:rsid w:val="13B100AE"/>
    <w:rsid w:val="13C55EF0"/>
    <w:rsid w:val="14010277"/>
    <w:rsid w:val="141B4934"/>
    <w:rsid w:val="14216B57"/>
    <w:rsid w:val="14772DD6"/>
    <w:rsid w:val="1487448F"/>
    <w:rsid w:val="14B450AE"/>
    <w:rsid w:val="14B67BFC"/>
    <w:rsid w:val="14BD28E4"/>
    <w:rsid w:val="14E56C94"/>
    <w:rsid w:val="14FB457A"/>
    <w:rsid w:val="151E3969"/>
    <w:rsid w:val="157B5D24"/>
    <w:rsid w:val="159109F4"/>
    <w:rsid w:val="15993788"/>
    <w:rsid w:val="15AF56DA"/>
    <w:rsid w:val="15BE121B"/>
    <w:rsid w:val="15F02BF0"/>
    <w:rsid w:val="16180A85"/>
    <w:rsid w:val="161E22D2"/>
    <w:rsid w:val="168E52DE"/>
    <w:rsid w:val="16DA63EA"/>
    <w:rsid w:val="172E3C96"/>
    <w:rsid w:val="177E7E5E"/>
    <w:rsid w:val="179C0BDA"/>
    <w:rsid w:val="17A72250"/>
    <w:rsid w:val="17C24BC2"/>
    <w:rsid w:val="17E04FBA"/>
    <w:rsid w:val="181513AA"/>
    <w:rsid w:val="189916D9"/>
    <w:rsid w:val="18A80767"/>
    <w:rsid w:val="18FF026F"/>
    <w:rsid w:val="191A476F"/>
    <w:rsid w:val="191F5009"/>
    <w:rsid w:val="19376D41"/>
    <w:rsid w:val="1998712F"/>
    <w:rsid w:val="19C373F7"/>
    <w:rsid w:val="1A031C47"/>
    <w:rsid w:val="1A1A2EB8"/>
    <w:rsid w:val="1A4A02D3"/>
    <w:rsid w:val="1AD86972"/>
    <w:rsid w:val="1AE42722"/>
    <w:rsid w:val="1B2120AC"/>
    <w:rsid w:val="1B2869A8"/>
    <w:rsid w:val="1B8A146C"/>
    <w:rsid w:val="1BAA7CD3"/>
    <w:rsid w:val="1BF51208"/>
    <w:rsid w:val="1C6B0F54"/>
    <w:rsid w:val="1C8708CB"/>
    <w:rsid w:val="1C894EAF"/>
    <w:rsid w:val="1C9D5B1D"/>
    <w:rsid w:val="1CE55C48"/>
    <w:rsid w:val="1CEC79F8"/>
    <w:rsid w:val="1CF35E70"/>
    <w:rsid w:val="1D3C3646"/>
    <w:rsid w:val="1D5505BA"/>
    <w:rsid w:val="1DA97E12"/>
    <w:rsid w:val="1DC62049"/>
    <w:rsid w:val="1DD90759"/>
    <w:rsid w:val="1E176423"/>
    <w:rsid w:val="1E524C7C"/>
    <w:rsid w:val="1F5A47DC"/>
    <w:rsid w:val="1FAE5D33"/>
    <w:rsid w:val="1FCC3593"/>
    <w:rsid w:val="202366AA"/>
    <w:rsid w:val="20497170"/>
    <w:rsid w:val="20601282"/>
    <w:rsid w:val="20A278EC"/>
    <w:rsid w:val="20B14A46"/>
    <w:rsid w:val="20D3484E"/>
    <w:rsid w:val="20D47DB9"/>
    <w:rsid w:val="219F1645"/>
    <w:rsid w:val="21A13727"/>
    <w:rsid w:val="228251F5"/>
    <w:rsid w:val="22AC5A58"/>
    <w:rsid w:val="235B376C"/>
    <w:rsid w:val="23BA6F2A"/>
    <w:rsid w:val="23ED5BF9"/>
    <w:rsid w:val="23FE4E88"/>
    <w:rsid w:val="24253A31"/>
    <w:rsid w:val="244F0613"/>
    <w:rsid w:val="245453D0"/>
    <w:rsid w:val="25A11A8C"/>
    <w:rsid w:val="25C53020"/>
    <w:rsid w:val="26206288"/>
    <w:rsid w:val="262B336A"/>
    <w:rsid w:val="267000DD"/>
    <w:rsid w:val="268E0AD7"/>
    <w:rsid w:val="26FD2231"/>
    <w:rsid w:val="271D34AE"/>
    <w:rsid w:val="27F01DF4"/>
    <w:rsid w:val="281E0FE5"/>
    <w:rsid w:val="289A661F"/>
    <w:rsid w:val="292B2876"/>
    <w:rsid w:val="293A6D89"/>
    <w:rsid w:val="296B0A15"/>
    <w:rsid w:val="29D827B0"/>
    <w:rsid w:val="29D90988"/>
    <w:rsid w:val="29EF08CA"/>
    <w:rsid w:val="29FB716E"/>
    <w:rsid w:val="2A162046"/>
    <w:rsid w:val="2A2D6002"/>
    <w:rsid w:val="2A3C2B26"/>
    <w:rsid w:val="2AC01785"/>
    <w:rsid w:val="2ADE189C"/>
    <w:rsid w:val="2AF730EF"/>
    <w:rsid w:val="2B0F6C2E"/>
    <w:rsid w:val="2B1C2E31"/>
    <w:rsid w:val="2B2926C1"/>
    <w:rsid w:val="2B351489"/>
    <w:rsid w:val="2B661A55"/>
    <w:rsid w:val="2B8C1610"/>
    <w:rsid w:val="2B924EF7"/>
    <w:rsid w:val="2B967A5F"/>
    <w:rsid w:val="2BE85CD5"/>
    <w:rsid w:val="2BF47537"/>
    <w:rsid w:val="2C41373D"/>
    <w:rsid w:val="2C4338B1"/>
    <w:rsid w:val="2CA32136"/>
    <w:rsid w:val="2CBD63FA"/>
    <w:rsid w:val="2DA53C82"/>
    <w:rsid w:val="2DD348F7"/>
    <w:rsid w:val="2E4C12F6"/>
    <w:rsid w:val="2EAD42E7"/>
    <w:rsid w:val="2ED14AA3"/>
    <w:rsid w:val="2EDF2A3C"/>
    <w:rsid w:val="2EF06E27"/>
    <w:rsid w:val="2F2E5819"/>
    <w:rsid w:val="2F8B1FAF"/>
    <w:rsid w:val="2FD608B6"/>
    <w:rsid w:val="30033829"/>
    <w:rsid w:val="300A19BE"/>
    <w:rsid w:val="302D0111"/>
    <w:rsid w:val="303323D8"/>
    <w:rsid w:val="30531075"/>
    <w:rsid w:val="30721749"/>
    <w:rsid w:val="30837237"/>
    <w:rsid w:val="30BB211F"/>
    <w:rsid w:val="30CB09DA"/>
    <w:rsid w:val="30F34025"/>
    <w:rsid w:val="310F08BA"/>
    <w:rsid w:val="312C43CB"/>
    <w:rsid w:val="317923F6"/>
    <w:rsid w:val="31A6072E"/>
    <w:rsid w:val="31A815F8"/>
    <w:rsid w:val="31D315D8"/>
    <w:rsid w:val="320D00ED"/>
    <w:rsid w:val="3221131C"/>
    <w:rsid w:val="326112DB"/>
    <w:rsid w:val="32B35085"/>
    <w:rsid w:val="32DB62AF"/>
    <w:rsid w:val="32DC3B5D"/>
    <w:rsid w:val="33003A4B"/>
    <w:rsid w:val="33720C4A"/>
    <w:rsid w:val="33C24013"/>
    <w:rsid w:val="33D134FA"/>
    <w:rsid w:val="34C04B6C"/>
    <w:rsid w:val="350267A3"/>
    <w:rsid w:val="351434B7"/>
    <w:rsid w:val="35293722"/>
    <w:rsid w:val="352A4911"/>
    <w:rsid w:val="3543129D"/>
    <w:rsid w:val="364411F3"/>
    <w:rsid w:val="36473E42"/>
    <w:rsid w:val="3762597F"/>
    <w:rsid w:val="376709A8"/>
    <w:rsid w:val="37AF1E47"/>
    <w:rsid w:val="37B3163C"/>
    <w:rsid w:val="381F0F23"/>
    <w:rsid w:val="382F4F00"/>
    <w:rsid w:val="38F81758"/>
    <w:rsid w:val="39092949"/>
    <w:rsid w:val="394B386E"/>
    <w:rsid w:val="395651D7"/>
    <w:rsid w:val="3A1B55B0"/>
    <w:rsid w:val="3A426B31"/>
    <w:rsid w:val="3AF2191D"/>
    <w:rsid w:val="3B5102FE"/>
    <w:rsid w:val="3B651539"/>
    <w:rsid w:val="3B656DBF"/>
    <w:rsid w:val="3B81545F"/>
    <w:rsid w:val="3BFC0F79"/>
    <w:rsid w:val="3C043ACB"/>
    <w:rsid w:val="3C0A747E"/>
    <w:rsid w:val="3C0F2C7B"/>
    <w:rsid w:val="3C1079DE"/>
    <w:rsid w:val="3C150573"/>
    <w:rsid w:val="3C1975A9"/>
    <w:rsid w:val="3C416BDA"/>
    <w:rsid w:val="3CC2265C"/>
    <w:rsid w:val="3D55100C"/>
    <w:rsid w:val="3D9F1720"/>
    <w:rsid w:val="3DB27522"/>
    <w:rsid w:val="3DBA0DE7"/>
    <w:rsid w:val="3DC61463"/>
    <w:rsid w:val="3E0811A4"/>
    <w:rsid w:val="3E9D334D"/>
    <w:rsid w:val="3ED830C1"/>
    <w:rsid w:val="3F5F5B0A"/>
    <w:rsid w:val="3F6E75BE"/>
    <w:rsid w:val="3F6F3B4F"/>
    <w:rsid w:val="3FD225D7"/>
    <w:rsid w:val="3FED5807"/>
    <w:rsid w:val="3FF52E0F"/>
    <w:rsid w:val="401E51CD"/>
    <w:rsid w:val="402F2E6D"/>
    <w:rsid w:val="40833C36"/>
    <w:rsid w:val="40CB2822"/>
    <w:rsid w:val="41380022"/>
    <w:rsid w:val="413A779B"/>
    <w:rsid w:val="41F91632"/>
    <w:rsid w:val="42036C0E"/>
    <w:rsid w:val="420B640A"/>
    <w:rsid w:val="42756582"/>
    <w:rsid w:val="43074B6B"/>
    <w:rsid w:val="43155376"/>
    <w:rsid w:val="43515855"/>
    <w:rsid w:val="43FC4765"/>
    <w:rsid w:val="4413719D"/>
    <w:rsid w:val="44190BF7"/>
    <w:rsid w:val="44401E33"/>
    <w:rsid w:val="44537DBC"/>
    <w:rsid w:val="44641E1F"/>
    <w:rsid w:val="44730B5F"/>
    <w:rsid w:val="4474369A"/>
    <w:rsid w:val="44D14757"/>
    <w:rsid w:val="44DC7FF5"/>
    <w:rsid w:val="44E86CB8"/>
    <w:rsid w:val="44FD16E5"/>
    <w:rsid w:val="459267A0"/>
    <w:rsid w:val="45F3766A"/>
    <w:rsid w:val="4634113C"/>
    <w:rsid w:val="465C610C"/>
    <w:rsid w:val="468C526C"/>
    <w:rsid w:val="469D1377"/>
    <w:rsid w:val="46A20458"/>
    <w:rsid w:val="46CC25DB"/>
    <w:rsid w:val="46DB53FA"/>
    <w:rsid w:val="46E061F1"/>
    <w:rsid w:val="46E74935"/>
    <w:rsid w:val="46E813ED"/>
    <w:rsid w:val="47017745"/>
    <w:rsid w:val="47645B43"/>
    <w:rsid w:val="47A84DA9"/>
    <w:rsid w:val="47B1125E"/>
    <w:rsid w:val="47C759B2"/>
    <w:rsid w:val="47CA7773"/>
    <w:rsid w:val="480E477A"/>
    <w:rsid w:val="48405E10"/>
    <w:rsid w:val="485E44A4"/>
    <w:rsid w:val="48615AB5"/>
    <w:rsid w:val="48651BCD"/>
    <w:rsid w:val="48745655"/>
    <w:rsid w:val="487E013D"/>
    <w:rsid w:val="48F0581F"/>
    <w:rsid w:val="49032A86"/>
    <w:rsid w:val="493F1D69"/>
    <w:rsid w:val="49594955"/>
    <w:rsid w:val="49AA59B2"/>
    <w:rsid w:val="49CF2911"/>
    <w:rsid w:val="49E50628"/>
    <w:rsid w:val="4A0F57C3"/>
    <w:rsid w:val="4A7B0D63"/>
    <w:rsid w:val="4A932A58"/>
    <w:rsid w:val="4AB11443"/>
    <w:rsid w:val="4ADD0CFA"/>
    <w:rsid w:val="4B157C35"/>
    <w:rsid w:val="4B8D7C37"/>
    <w:rsid w:val="4B91311E"/>
    <w:rsid w:val="4BEC39C9"/>
    <w:rsid w:val="4BF47C24"/>
    <w:rsid w:val="4BFF06A6"/>
    <w:rsid w:val="4C563314"/>
    <w:rsid w:val="4C9301B2"/>
    <w:rsid w:val="4CC71CD9"/>
    <w:rsid w:val="4CF639B7"/>
    <w:rsid w:val="4D0E7D41"/>
    <w:rsid w:val="4D2F59D2"/>
    <w:rsid w:val="4D363C0B"/>
    <w:rsid w:val="4D3B6DAA"/>
    <w:rsid w:val="4D687814"/>
    <w:rsid w:val="4D7F5C38"/>
    <w:rsid w:val="4DB20A8F"/>
    <w:rsid w:val="4DBC24D9"/>
    <w:rsid w:val="4DCF3394"/>
    <w:rsid w:val="4E137BE7"/>
    <w:rsid w:val="4E5E1C79"/>
    <w:rsid w:val="4ECC0A63"/>
    <w:rsid w:val="4ECE7F61"/>
    <w:rsid w:val="4ED11A46"/>
    <w:rsid w:val="4EE52AC1"/>
    <w:rsid w:val="4F2B024A"/>
    <w:rsid w:val="4F320749"/>
    <w:rsid w:val="4F760AE0"/>
    <w:rsid w:val="4F817B37"/>
    <w:rsid w:val="4FDC3EA6"/>
    <w:rsid w:val="50100886"/>
    <w:rsid w:val="50583DB2"/>
    <w:rsid w:val="50673B5C"/>
    <w:rsid w:val="50706545"/>
    <w:rsid w:val="50760C36"/>
    <w:rsid w:val="50982913"/>
    <w:rsid w:val="50CE42A9"/>
    <w:rsid w:val="50D91C6D"/>
    <w:rsid w:val="510420F7"/>
    <w:rsid w:val="514B43E3"/>
    <w:rsid w:val="51567631"/>
    <w:rsid w:val="5162639F"/>
    <w:rsid w:val="51AA21BB"/>
    <w:rsid w:val="51D06B67"/>
    <w:rsid w:val="51DF2355"/>
    <w:rsid w:val="51E60E87"/>
    <w:rsid w:val="51F66CD0"/>
    <w:rsid w:val="52AC49F5"/>
    <w:rsid w:val="52AD4347"/>
    <w:rsid w:val="52CA2BF0"/>
    <w:rsid w:val="532C5BCA"/>
    <w:rsid w:val="53440C6E"/>
    <w:rsid w:val="53FC307D"/>
    <w:rsid w:val="54153A4D"/>
    <w:rsid w:val="54563723"/>
    <w:rsid w:val="54A93422"/>
    <w:rsid w:val="54B70268"/>
    <w:rsid w:val="555979C7"/>
    <w:rsid w:val="557B2F88"/>
    <w:rsid w:val="55A6717A"/>
    <w:rsid w:val="55B202EF"/>
    <w:rsid w:val="55CD0C94"/>
    <w:rsid w:val="55E910B6"/>
    <w:rsid w:val="55F877EC"/>
    <w:rsid w:val="55F940B7"/>
    <w:rsid w:val="55FD13B8"/>
    <w:rsid w:val="55FD470E"/>
    <w:rsid w:val="562177C1"/>
    <w:rsid w:val="563655E8"/>
    <w:rsid w:val="56365C2E"/>
    <w:rsid w:val="56770197"/>
    <w:rsid w:val="56C36EF8"/>
    <w:rsid w:val="57025219"/>
    <w:rsid w:val="571A030C"/>
    <w:rsid w:val="574040F3"/>
    <w:rsid w:val="574822E8"/>
    <w:rsid w:val="575C0149"/>
    <w:rsid w:val="57690E4F"/>
    <w:rsid w:val="57935A23"/>
    <w:rsid w:val="57B02BD0"/>
    <w:rsid w:val="57B45167"/>
    <w:rsid w:val="57F51D84"/>
    <w:rsid w:val="57F60E39"/>
    <w:rsid w:val="5830091C"/>
    <w:rsid w:val="583E5434"/>
    <w:rsid w:val="58434D5F"/>
    <w:rsid w:val="58F87A38"/>
    <w:rsid w:val="590410D8"/>
    <w:rsid w:val="591B6F8F"/>
    <w:rsid w:val="5948761B"/>
    <w:rsid w:val="59B53395"/>
    <w:rsid w:val="59B84974"/>
    <w:rsid w:val="5A1A2C4A"/>
    <w:rsid w:val="5A354542"/>
    <w:rsid w:val="5A477D5A"/>
    <w:rsid w:val="5A4A12C4"/>
    <w:rsid w:val="5A5574BB"/>
    <w:rsid w:val="5A5865CD"/>
    <w:rsid w:val="5A5D411C"/>
    <w:rsid w:val="5A987FB9"/>
    <w:rsid w:val="5AF01F35"/>
    <w:rsid w:val="5B565EED"/>
    <w:rsid w:val="5BA37F50"/>
    <w:rsid w:val="5BB31251"/>
    <w:rsid w:val="5BC04523"/>
    <w:rsid w:val="5BC97DE9"/>
    <w:rsid w:val="5BF0152C"/>
    <w:rsid w:val="5BF279CB"/>
    <w:rsid w:val="5BFE3223"/>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026A52"/>
    <w:rsid w:val="5F2556F8"/>
    <w:rsid w:val="5F472817"/>
    <w:rsid w:val="5F65126D"/>
    <w:rsid w:val="5F851A81"/>
    <w:rsid w:val="5F975D31"/>
    <w:rsid w:val="5FAA7F21"/>
    <w:rsid w:val="60182510"/>
    <w:rsid w:val="60527275"/>
    <w:rsid w:val="60C50406"/>
    <w:rsid w:val="61335E3E"/>
    <w:rsid w:val="615F4317"/>
    <w:rsid w:val="6179504F"/>
    <w:rsid w:val="61CB0DCB"/>
    <w:rsid w:val="61E251F3"/>
    <w:rsid w:val="61E55E53"/>
    <w:rsid w:val="62263F49"/>
    <w:rsid w:val="62322573"/>
    <w:rsid w:val="62664464"/>
    <w:rsid w:val="629B426B"/>
    <w:rsid w:val="62A142EF"/>
    <w:rsid w:val="62AF39C3"/>
    <w:rsid w:val="62C370EC"/>
    <w:rsid w:val="62CA6F4A"/>
    <w:rsid w:val="62E719F2"/>
    <w:rsid w:val="63046CD6"/>
    <w:rsid w:val="631471BD"/>
    <w:rsid w:val="63613B44"/>
    <w:rsid w:val="636E5C0D"/>
    <w:rsid w:val="63725411"/>
    <w:rsid w:val="638C029E"/>
    <w:rsid w:val="63BF2AA4"/>
    <w:rsid w:val="63D40918"/>
    <w:rsid w:val="6452759F"/>
    <w:rsid w:val="6469515D"/>
    <w:rsid w:val="64BC309B"/>
    <w:rsid w:val="64DE29BA"/>
    <w:rsid w:val="64E21E53"/>
    <w:rsid w:val="64F8178D"/>
    <w:rsid w:val="65727D75"/>
    <w:rsid w:val="65A15117"/>
    <w:rsid w:val="65DC2619"/>
    <w:rsid w:val="660E6422"/>
    <w:rsid w:val="66222AF8"/>
    <w:rsid w:val="66D654FF"/>
    <w:rsid w:val="6738785E"/>
    <w:rsid w:val="67A105DD"/>
    <w:rsid w:val="67C44765"/>
    <w:rsid w:val="680E7CB8"/>
    <w:rsid w:val="683271F5"/>
    <w:rsid w:val="68961081"/>
    <w:rsid w:val="6AE65093"/>
    <w:rsid w:val="6B2805C1"/>
    <w:rsid w:val="6B5427FA"/>
    <w:rsid w:val="6B563B97"/>
    <w:rsid w:val="6B713E97"/>
    <w:rsid w:val="6BC03C88"/>
    <w:rsid w:val="6BC81A9A"/>
    <w:rsid w:val="6BD95B85"/>
    <w:rsid w:val="6BE63F1B"/>
    <w:rsid w:val="6C4B22F3"/>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C17B69"/>
    <w:rsid w:val="70D45145"/>
    <w:rsid w:val="715044D6"/>
    <w:rsid w:val="71863CBA"/>
    <w:rsid w:val="71C15203"/>
    <w:rsid w:val="71CD77C5"/>
    <w:rsid w:val="720C5E2C"/>
    <w:rsid w:val="72305CB7"/>
    <w:rsid w:val="7254789B"/>
    <w:rsid w:val="727608EA"/>
    <w:rsid w:val="72A43286"/>
    <w:rsid w:val="72BF1E1E"/>
    <w:rsid w:val="730208D7"/>
    <w:rsid w:val="736B1B21"/>
    <w:rsid w:val="739A5F82"/>
    <w:rsid w:val="73CE3686"/>
    <w:rsid w:val="73D535AF"/>
    <w:rsid w:val="73DA381C"/>
    <w:rsid w:val="73E858FB"/>
    <w:rsid w:val="743D795A"/>
    <w:rsid w:val="744B3786"/>
    <w:rsid w:val="74D53D71"/>
    <w:rsid w:val="75064B2D"/>
    <w:rsid w:val="7508592C"/>
    <w:rsid w:val="75224721"/>
    <w:rsid w:val="753700FE"/>
    <w:rsid w:val="755C4181"/>
    <w:rsid w:val="75A41183"/>
    <w:rsid w:val="75DC41A0"/>
    <w:rsid w:val="76125119"/>
    <w:rsid w:val="76634335"/>
    <w:rsid w:val="7668193E"/>
    <w:rsid w:val="76751F9F"/>
    <w:rsid w:val="767D01C7"/>
    <w:rsid w:val="76805AF9"/>
    <w:rsid w:val="768B52C6"/>
    <w:rsid w:val="76A850F2"/>
    <w:rsid w:val="76A907DA"/>
    <w:rsid w:val="76B10C5B"/>
    <w:rsid w:val="76B11FB5"/>
    <w:rsid w:val="76DC63F8"/>
    <w:rsid w:val="770B193F"/>
    <w:rsid w:val="77406F97"/>
    <w:rsid w:val="77486AE3"/>
    <w:rsid w:val="77705083"/>
    <w:rsid w:val="778C3462"/>
    <w:rsid w:val="77B6266B"/>
    <w:rsid w:val="77DB7F41"/>
    <w:rsid w:val="77FF5915"/>
    <w:rsid w:val="78FE3063"/>
    <w:rsid w:val="793A45C1"/>
    <w:rsid w:val="795311B6"/>
    <w:rsid w:val="7959389C"/>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2E6319"/>
    <w:rsid w:val="7C852914"/>
    <w:rsid w:val="7C8D21C1"/>
    <w:rsid w:val="7D0509A8"/>
    <w:rsid w:val="7D143198"/>
    <w:rsid w:val="7D601E46"/>
    <w:rsid w:val="7D79759A"/>
    <w:rsid w:val="7D7B4CC5"/>
    <w:rsid w:val="7D7D4494"/>
    <w:rsid w:val="7DB56558"/>
    <w:rsid w:val="7DBA3498"/>
    <w:rsid w:val="7DD80B01"/>
    <w:rsid w:val="7DF007AE"/>
    <w:rsid w:val="7E233D55"/>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99"/>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41AC6-2A95-48B9-B19F-9E682EE13D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4662</Words>
  <Characters>26578</Characters>
  <Lines>221</Lines>
  <Paragraphs>62</Paragraphs>
  <TotalTime>25</TotalTime>
  <ScaleCrop>false</ScaleCrop>
  <LinksUpToDate>false</LinksUpToDate>
  <CharactersWithSpaces>31178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2018-08-27T04:00:00Z</dcterms:created>
  <dc:creator>微软用户</dc:creator>
  <cp:lastModifiedBy>河南省地标工程管理有限公司:河南省地标工程管理有限公司</cp:lastModifiedBy>
  <cp:lastPrinted>2018-12-25T08:16:28Z</cp:lastPrinted>
  <dcterms:modified xsi:type="dcterms:W3CDTF">2018-12-25T08:26:45Z</dcterms:modified>
  <dc:title>魏武大道曹操饮马河桥工程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