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rPr>
          <w:rFonts w:hint="eastAsia" w:ascii="黑体" w:hAnsi="黑体" w:eastAsia="黑体" w:cs="黑体"/>
          <w:color w:val="000000"/>
          <w:sz w:val="44"/>
          <w:szCs w:val="44"/>
        </w:rPr>
      </w:pPr>
      <w:r>
        <w:rPr>
          <w:rFonts w:hint="eastAsia" w:ascii="黑体" w:hAnsi="黑体" w:eastAsia="黑体" w:cs="黑体"/>
          <w:b/>
          <w:sz w:val="44"/>
          <w:szCs w:val="44"/>
          <w:lang w:val="en-US" w:eastAsia="zh-CN"/>
        </w:rPr>
        <w:t>禹州市机动车遥感监测及网络平台建设项目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
          <w:bCs w:val="0"/>
          <w:color w:val="000000"/>
          <w:w w:val="90"/>
          <w:sz w:val="52"/>
          <w:szCs w:val="52"/>
        </w:rPr>
      </w:pPr>
      <w:r>
        <w:rPr>
          <w:rFonts w:hint="eastAsia" w:asciiTheme="majorEastAsia" w:hAnsiTheme="majorEastAsia" w:eastAsiaTheme="majorEastAsia" w:cstheme="majorEastAsia"/>
          <w:b/>
          <w:bCs w:val="0"/>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val="en-US" w:eastAsia="zh-CN"/>
        </w:rPr>
        <w:t>YZCG -G2018337</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环境保护局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3"/>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3"/>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禹州市机动车遥感监测及网络平台建设项目</w:t>
      </w: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b/>
          <w:sz w:val="36"/>
          <w:szCs w:val="36"/>
          <w:lang w:val="en-US"/>
        </w:rPr>
      </w:pPr>
      <w:r>
        <w:rPr>
          <w:rFonts w:hint="eastAsia" w:asciiTheme="majorEastAsia" w:hAnsiTheme="majorEastAsia" w:eastAsiaTheme="majorEastAsia" w:cstheme="majorEastAsia"/>
          <w:b/>
          <w:kern w:val="2"/>
          <w:sz w:val="36"/>
          <w:szCs w:val="36"/>
          <w:lang w:val="en-US" w:eastAsia="zh-CN" w:bidi="ar"/>
        </w:rPr>
        <w:t>招  标 邀 请 函</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Theme="majorEastAsia" w:hAnsiTheme="majorEastAsia" w:eastAsiaTheme="majorEastAsia" w:cstheme="majorEastAsia"/>
          <w:sz w:val="32"/>
          <w:szCs w:val="32"/>
          <w:lang w:val="en-US"/>
        </w:rPr>
      </w:pPr>
      <w:r>
        <w:rPr>
          <w:rFonts w:hint="eastAsia" w:asciiTheme="majorEastAsia" w:hAnsiTheme="majorEastAsia" w:eastAsiaTheme="majorEastAsia" w:cstheme="majorEastAsia"/>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禹州市政府采购中心受禹州市环境保护局的委托，就“禹州市机动车遥感监测及网络平台建设项目”进行公开招标，欢迎合格的投标人前来投标。</w:t>
      </w:r>
    </w:p>
    <w:p>
      <w:pPr>
        <w:keepNext w:val="0"/>
        <w:keepLines w:val="0"/>
        <w:widowControl/>
        <w:numPr>
          <w:ilvl w:val="0"/>
          <w:numId w:val="5"/>
        </w:numPr>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项目基本情况</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采购人：禹州市环境保护局</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Theme="majorEastAsia" w:hAnsiTheme="majorEastAsia" w:eastAsiaTheme="majorEastAsia" w:cstheme="majorEastAsia"/>
          <w:kern w:val="2"/>
          <w:sz w:val="24"/>
          <w:szCs w:val="24"/>
          <w:shd w:val="clear" w:fill="FFFFFF"/>
          <w:lang w:val="en-US" w:eastAsia="zh-CN" w:bidi="ar"/>
        </w:rPr>
      </w:pPr>
      <w:r>
        <w:rPr>
          <w:rFonts w:hint="eastAsia" w:asciiTheme="majorEastAsia" w:hAnsiTheme="majorEastAsia" w:eastAsiaTheme="majorEastAsia" w:cstheme="majorEastAsia"/>
          <w:color w:val="000000"/>
          <w:kern w:val="0"/>
          <w:sz w:val="24"/>
          <w:szCs w:val="24"/>
          <w:shd w:val="clear" w:fill="FFFFFF"/>
          <w:lang w:val="en-US" w:eastAsia="zh-CN" w:bidi="ar"/>
        </w:rPr>
        <w:t>项目名称：</w:t>
      </w:r>
      <w:r>
        <w:rPr>
          <w:rFonts w:hint="eastAsia" w:asciiTheme="majorEastAsia" w:hAnsiTheme="majorEastAsia" w:eastAsiaTheme="majorEastAsia" w:cstheme="majorEastAsia"/>
          <w:kern w:val="2"/>
          <w:sz w:val="24"/>
          <w:szCs w:val="24"/>
          <w:shd w:val="clear" w:fill="FFFFFF"/>
          <w:lang w:val="en-US" w:eastAsia="zh-CN" w:bidi="ar"/>
        </w:rPr>
        <w:t>禹州市机动车遥感监测及网络平台建设项目</w:t>
      </w:r>
    </w:p>
    <w:p>
      <w:pPr>
        <w:keepNext w:val="0"/>
        <w:keepLines w:val="0"/>
        <w:widowControl/>
        <w:suppressLineNumbers w:val="0"/>
        <w:shd w:val="clear" w:fill="FFFFFF"/>
        <w:autoSpaceDE w:val="0"/>
        <w:autoSpaceDN/>
        <w:spacing w:before="0" w:beforeAutospacing="0" w:after="0" w:afterAutospacing="0" w:line="400" w:lineRule="exact"/>
        <w:ind w:left="481" w:right="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3、采购编号：</w:t>
      </w:r>
      <w:r>
        <w:rPr>
          <w:rFonts w:hint="eastAsia" w:asciiTheme="majorEastAsia" w:hAnsiTheme="majorEastAsia" w:eastAsiaTheme="majorEastAsia" w:cstheme="majorEastAsia"/>
          <w:kern w:val="2"/>
          <w:sz w:val="24"/>
          <w:szCs w:val="24"/>
          <w:shd w:val="clear" w:fill="FFFFFF"/>
          <w:lang w:val="en-US" w:eastAsia="zh-CN" w:bidi="ar"/>
        </w:rPr>
        <w:t>YZCG-G2018337</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color w:val="000000"/>
          <w:kern w:val="0"/>
          <w:sz w:val="24"/>
          <w:szCs w:val="24"/>
          <w:shd w:val="clear" w:fill="FFFFFF"/>
          <w:lang w:val="en-US" w:eastAsia="zh-CN" w:bidi="ar"/>
        </w:rPr>
      </w:pPr>
      <w:r>
        <w:rPr>
          <w:rFonts w:hint="eastAsia" w:asciiTheme="majorEastAsia" w:hAnsiTheme="majorEastAsia" w:eastAsiaTheme="majorEastAsia" w:cstheme="majorEastAsia"/>
          <w:color w:val="000000"/>
          <w:kern w:val="0"/>
          <w:sz w:val="24"/>
          <w:szCs w:val="24"/>
          <w:shd w:val="clear" w:fill="FFFFFF"/>
          <w:lang w:val="en-US" w:eastAsia="zh-CN" w:bidi="ar"/>
        </w:rPr>
        <w:t>4、项目需求：</w:t>
      </w:r>
      <w:r>
        <w:rPr>
          <w:rFonts w:hint="eastAsia" w:asciiTheme="majorEastAsia" w:hAnsiTheme="majorEastAsia" w:eastAsiaTheme="majorEastAsia" w:cstheme="majorEastAsia"/>
          <w:kern w:val="2"/>
          <w:sz w:val="24"/>
          <w:szCs w:val="24"/>
          <w:shd w:val="clear" w:fill="FFFFFF"/>
          <w:lang w:val="en-US" w:eastAsia="zh-CN" w:bidi="ar"/>
        </w:rPr>
        <w:t>机动车遥感监测及网络平台建设购买服务</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5、采购预算：641.9</w:t>
      </w:r>
      <w:r>
        <w:rPr>
          <w:rFonts w:hint="eastAsia" w:asciiTheme="majorEastAsia" w:hAnsiTheme="majorEastAsia" w:eastAsiaTheme="majorEastAsia" w:cstheme="majorEastAsia"/>
          <w:kern w:val="2"/>
          <w:sz w:val="24"/>
          <w:szCs w:val="24"/>
          <w:shd w:val="clear" w:fill="FFFFFF"/>
          <w:lang w:val="en-US" w:eastAsia="zh-CN" w:bidi="ar"/>
        </w:rPr>
        <w:t>万元</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6、采购限价：641.9万元</w:t>
      </w:r>
    </w:p>
    <w:p>
      <w:pPr>
        <w:keepNext w:val="0"/>
        <w:keepLines w:val="0"/>
        <w:widowControl/>
        <w:suppressLineNumbers w:val="0"/>
        <w:shd w:val="clear" w:fill="FFFFFF"/>
        <w:autoSpaceDE w:val="0"/>
        <w:autoSpaceDN/>
        <w:spacing w:before="0" w:beforeAutospacing="0" w:after="0" w:afterAutospacing="0" w:line="400" w:lineRule="exact"/>
        <w:ind w:left="0" w:right="0" w:firstLine="354" w:firstLineChars="147"/>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二、需要落实的政府采购政策</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三、供应商资格要求：</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kern w:val="2"/>
          <w:sz w:val="24"/>
          <w:szCs w:val="24"/>
          <w:shd w:val="clear" w:fill="FFFFFF"/>
          <w:lang w:val="en-US" w:eastAsia="zh-CN" w:bidi="ar"/>
        </w:rPr>
        <w:t>1、符合《政府采购法》第二十二条之规定;</w:t>
      </w:r>
    </w:p>
    <w:p>
      <w:pPr>
        <w:keepNext w:val="0"/>
        <w:keepLines w:val="0"/>
        <w:widowControl w:val="0"/>
        <w:suppressLineNumbers w:val="0"/>
        <w:autoSpaceDE w:val="0"/>
        <w:autoSpaceDN/>
        <w:spacing w:before="0" w:beforeAutospacing="0" w:after="0" w:afterAutospacing="0" w:line="400" w:lineRule="exact"/>
        <w:ind w:left="319" w:leftChars="152" w:right="0" w:firstLine="120" w:firstLineChars="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360" w:firstLineChars="1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3、本项目不接受联合体投标。</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b/>
          <w:color w:val="000000"/>
          <w:kern w:val="0"/>
          <w:sz w:val="24"/>
          <w:szCs w:val="24"/>
          <w:shd w:val="clear" w:fill="FFFFFF"/>
          <w:lang w:val="en-US"/>
        </w:rPr>
      </w:pPr>
      <w:r>
        <w:rPr>
          <w:rFonts w:hint="eastAsia" w:asciiTheme="majorEastAsia" w:hAnsiTheme="majorEastAsia" w:eastAsiaTheme="majorEastAsia" w:cstheme="majorEastAsia"/>
          <w:b/>
          <w:color w:val="000000"/>
          <w:kern w:val="0"/>
          <w:sz w:val="24"/>
          <w:szCs w:val="24"/>
          <w:shd w:val="clear"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1、持CA数字认证证书，登录</w:t>
      </w:r>
      <w:r>
        <w:rPr>
          <w:rFonts w:hint="eastAsia" w:asciiTheme="majorEastAsia" w:hAnsiTheme="majorEastAsia" w:eastAsiaTheme="majorEastAsia" w:cstheme="majorEastAsia"/>
          <w:kern w:val="2"/>
          <w:sz w:val="24"/>
          <w:szCs w:val="24"/>
          <w:lang w:val="en-US" w:eastAsia="zh-CN" w:bidi="ar"/>
        </w:rPr>
        <w:fldChar w:fldCharType="begin"/>
      </w:r>
      <w:r>
        <w:rPr>
          <w:rFonts w:hint="eastAsia" w:asciiTheme="majorEastAsia" w:hAnsiTheme="majorEastAsia" w:eastAsiaTheme="majorEastAsia" w:cstheme="majorEastAsia"/>
          <w:kern w:val="2"/>
          <w:sz w:val="24"/>
          <w:szCs w:val="24"/>
          <w:lang w:val="en-US" w:eastAsia="zh-CN" w:bidi="ar"/>
        </w:rPr>
        <w:instrText xml:space="preserve"> HYPERLINK "http://221.14.6.70:8088/ggzy/eps/public/RegistAllJcxx.html" </w:instrText>
      </w:r>
      <w:r>
        <w:rPr>
          <w:rFonts w:hint="eastAsia" w:asciiTheme="majorEastAsia" w:hAnsiTheme="majorEastAsia" w:eastAsiaTheme="majorEastAsia" w:cstheme="majorEastAsia"/>
          <w:kern w:val="2"/>
          <w:sz w:val="24"/>
          <w:szCs w:val="24"/>
          <w:lang w:val="en-US" w:eastAsia="zh-CN" w:bidi="ar"/>
        </w:rPr>
        <w:fldChar w:fldCharType="separate"/>
      </w:r>
      <w:r>
        <w:rPr>
          <w:rStyle w:val="29"/>
          <w:rFonts w:hint="eastAsia" w:asciiTheme="majorEastAsia" w:hAnsiTheme="majorEastAsia" w:eastAsiaTheme="majorEastAsia" w:cstheme="majorEastAsia"/>
          <w:sz w:val="24"/>
          <w:szCs w:val="24"/>
          <w:u w:val="single"/>
          <w:lang w:val="en-US"/>
        </w:rPr>
        <w:t>http://221.14.6.70:8088/ggzy/eps/public/RegistAllJcxx.html</w:t>
      </w:r>
      <w:r>
        <w:rPr>
          <w:rFonts w:hint="eastAsia" w:asciiTheme="majorEastAsia" w:hAnsiTheme="majorEastAsia" w:eastAsiaTheme="majorEastAsia" w:cstheme="majorEastAsia"/>
          <w:kern w:val="2"/>
          <w:sz w:val="24"/>
          <w:szCs w:val="24"/>
          <w:lang w:val="en-US" w:eastAsia="zh-CN" w:bidi="ar"/>
        </w:rPr>
        <w:fldChar w:fldCharType="end"/>
      </w:r>
      <w:r>
        <w:rPr>
          <w:rFonts w:hint="eastAsia" w:asciiTheme="majorEastAsia" w:hAnsiTheme="majorEastAsia" w:eastAsiaTheme="majorEastAsia" w:cstheme="majorEastAsia"/>
          <w:kern w:val="2"/>
          <w:sz w:val="24"/>
          <w:szCs w:val="24"/>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2、在投标截止时间前登录</w:t>
      </w:r>
      <w:r>
        <w:rPr>
          <w:rFonts w:hint="eastAsia" w:asciiTheme="majorEastAsia" w:hAnsiTheme="majorEastAsia" w:eastAsiaTheme="majorEastAsia" w:cstheme="majorEastAsia"/>
          <w:kern w:val="2"/>
          <w:sz w:val="24"/>
          <w:szCs w:val="24"/>
          <w:lang w:val="en-US" w:eastAsia="zh-CN" w:bidi="ar"/>
        </w:rPr>
        <w:fldChar w:fldCharType="begin"/>
      </w:r>
      <w:r>
        <w:rPr>
          <w:rFonts w:hint="eastAsia" w:asciiTheme="majorEastAsia" w:hAnsiTheme="majorEastAsia" w:eastAsiaTheme="majorEastAsia" w:cstheme="majorEastAsia"/>
          <w:kern w:val="2"/>
          <w:sz w:val="24"/>
          <w:szCs w:val="24"/>
          <w:lang w:val="en-US" w:eastAsia="zh-CN" w:bidi="ar"/>
        </w:rPr>
        <w:instrText xml:space="preserve"> HYPERLINK "http://221.14.6.70:8088/ggzy/" </w:instrText>
      </w:r>
      <w:r>
        <w:rPr>
          <w:rFonts w:hint="eastAsia" w:asciiTheme="majorEastAsia" w:hAnsiTheme="majorEastAsia" w:eastAsiaTheme="majorEastAsia" w:cstheme="majorEastAsia"/>
          <w:kern w:val="2"/>
          <w:sz w:val="24"/>
          <w:szCs w:val="24"/>
          <w:lang w:val="en-US" w:eastAsia="zh-CN" w:bidi="ar"/>
        </w:rPr>
        <w:fldChar w:fldCharType="separate"/>
      </w:r>
      <w:r>
        <w:rPr>
          <w:rStyle w:val="29"/>
          <w:rFonts w:hint="eastAsia" w:asciiTheme="majorEastAsia" w:hAnsiTheme="majorEastAsia" w:eastAsiaTheme="majorEastAsia" w:cstheme="majorEastAsia"/>
          <w:sz w:val="24"/>
          <w:szCs w:val="24"/>
          <w:u w:val="single"/>
          <w:lang w:val="en-US"/>
        </w:rPr>
        <w:t>http://221.14.6.70:8088/ggzy/</w:t>
      </w:r>
      <w:r>
        <w:rPr>
          <w:rFonts w:hint="eastAsia" w:asciiTheme="majorEastAsia" w:hAnsiTheme="majorEastAsia" w:eastAsiaTheme="majorEastAsia" w:cstheme="majorEastAsia"/>
          <w:kern w:val="2"/>
          <w:sz w:val="24"/>
          <w:szCs w:val="24"/>
          <w:lang w:val="en-US" w:eastAsia="zh-CN" w:bidi="ar"/>
        </w:rPr>
        <w:fldChar w:fldCharType="end"/>
      </w:r>
      <w:r>
        <w:rPr>
          <w:rFonts w:hint="eastAsia" w:asciiTheme="majorEastAsia" w:hAnsiTheme="majorEastAsia" w:eastAsiaTheme="majorEastAsia" w:cstheme="majorEastAsia"/>
          <w:kern w:val="2"/>
          <w:sz w:val="24"/>
          <w:szCs w:val="24"/>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4、招标文件每份售价人民币200元，于递交投标文件时缴纳给采购代理机构，售后不退。</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五、投标截止时间、开标时间及地点：</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1、投标截止及开标时间：2019年1月15日9：00（北京时间），逾期送达或不符合规定的投标文件不予接受。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2、开标地点：</w:t>
      </w:r>
      <w:r>
        <w:rPr>
          <w:rFonts w:hint="eastAsia" w:asciiTheme="majorEastAsia" w:hAnsiTheme="majorEastAsia" w:eastAsiaTheme="majorEastAsia" w:cstheme="majorEastAsia"/>
          <w:kern w:val="2"/>
          <w:sz w:val="24"/>
          <w:szCs w:val="24"/>
          <w:lang w:val="en-US" w:eastAsia="zh-CN" w:bidi="ar"/>
        </w:rPr>
        <w:t>禹州市公共资源交易中心第二开标室（禹州市行政服务中心楼9楼）</w:t>
      </w: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（1）加密电子投标文件（.file格式）须在投标截止时间（开标时间）前通过《全国公共资源交易平台(河南省▪许昌市)》公共资源交易系统成功上传。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color w:val="000000"/>
          <w:kern w:val="0"/>
          <w:sz w:val="24"/>
          <w:szCs w:val="24"/>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七、代理机构及采购单位地址、联系人、联系电话</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（一）代理机构：禹州市政府采购中心</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地址：</w:t>
      </w:r>
      <w:r>
        <w:rPr>
          <w:rFonts w:hint="eastAsia" w:asciiTheme="majorEastAsia" w:hAnsiTheme="majorEastAsia" w:eastAsiaTheme="majorEastAsia" w:cstheme="majorEastAsia"/>
          <w:kern w:val="2"/>
          <w:sz w:val="24"/>
          <w:szCs w:val="24"/>
          <w:shd w:val="clear" w:fill="FFFFFF"/>
          <w:lang w:val="en-US" w:eastAsia="zh-CN" w:bidi="ar"/>
        </w:rPr>
        <w:t>禹州市行政服务中心楼917房间</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联系人：艾先生  联系电话：0374-2077111</w:t>
      </w:r>
    </w:p>
    <w:p>
      <w:pPr>
        <w:keepNext w:val="0"/>
        <w:keepLines w:val="0"/>
        <w:widowControl/>
        <w:numPr>
          <w:ilvl w:val="0"/>
          <w:numId w:val="7"/>
        </w:numPr>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采购单位：</w:t>
      </w:r>
      <w:r>
        <w:rPr>
          <w:rFonts w:hint="eastAsia" w:asciiTheme="majorEastAsia" w:hAnsiTheme="majorEastAsia" w:eastAsiaTheme="majorEastAsia" w:cstheme="majorEastAsia"/>
          <w:kern w:val="2"/>
          <w:sz w:val="24"/>
          <w:szCs w:val="24"/>
          <w:shd w:val="clear" w:fill="FFFFFF"/>
          <w:lang w:val="en-US" w:eastAsia="zh-CN" w:bidi="ar"/>
        </w:rPr>
        <w:t>禹州市环境保护局</w:t>
      </w:r>
    </w:p>
    <w:p>
      <w:pPr>
        <w:keepNext w:val="0"/>
        <w:keepLines w:val="0"/>
        <w:widowControl/>
        <w:suppressLineNumbers w:val="0"/>
        <w:shd w:val="clear" w:fill="FFFFFF"/>
        <w:autoSpaceDE w:val="0"/>
        <w:autoSpaceDN/>
        <w:spacing w:before="0" w:beforeAutospacing="0" w:after="0" w:afterAutospacing="0" w:line="400" w:lineRule="exact"/>
        <w:ind w:left="0" w:right="0" w:firstLine="480" w:firstLineChars="200"/>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地址：禹州市创业大厦</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Theme="majorEastAsia" w:hAnsiTheme="majorEastAsia" w:eastAsiaTheme="majorEastAsia" w:cstheme="majorEastAsia"/>
          <w:color w:val="000000"/>
          <w:kern w:val="0"/>
          <w:sz w:val="24"/>
          <w:szCs w:val="24"/>
          <w:shd w:val="clear" w:fill="FFFFFF"/>
          <w:lang w:val="en-US"/>
        </w:rPr>
      </w:pPr>
      <w:r>
        <w:rPr>
          <w:rFonts w:hint="eastAsia" w:asciiTheme="majorEastAsia" w:hAnsiTheme="majorEastAsia" w:eastAsiaTheme="majorEastAsia" w:cstheme="majorEastAsia"/>
          <w:color w:val="000000"/>
          <w:kern w:val="0"/>
          <w:sz w:val="24"/>
          <w:szCs w:val="24"/>
          <w:shd w:val="clear" w:fill="FFFFFF"/>
          <w:lang w:val="en-US" w:eastAsia="zh-CN" w:bidi="ar"/>
        </w:rPr>
        <w:t>联系人：魏先生   联系电话：0374-6066325</w:t>
      </w:r>
    </w:p>
    <w:p>
      <w:pPr>
        <w:keepNext w:val="0"/>
        <w:keepLines w:val="0"/>
        <w:widowControl w:val="0"/>
        <w:suppressLineNumbers w:val="0"/>
        <w:autoSpaceDE w:val="0"/>
        <w:autoSpaceDN/>
        <w:spacing w:before="0" w:beforeAutospacing="0" w:after="0" w:afterAutospacing="0" w:line="400" w:lineRule="exact"/>
        <w:ind w:left="0" w:right="0" w:firstLine="4080" w:firstLineChars="17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560" w:firstLineChars="19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3720" w:firstLineChars="155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2018年12月25日</w:t>
      </w:r>
    </w:p>
    <w:p>
      <w:pPr>
        <w:rPr>
          <w:rFonts w:hint="eastAsia" w:asciiTheme="majorEastAsia" w:hAnsiTheme="majorEastAsia" w:eastAsiaTheme="majorEastAsia" w:cstheme="majorEastAsia"/>
          <w:sz w:val="24"/>
          <w:szCs w:val="24"/>
        </w:rPr>
      </w:pPr>
    </w:p>
    <w:p>
      <w:pPr>
        <w:pStyle w:val="23"/>
        <w:widowControl/>
        <w:shd w:val="clear" w:color="auto" w:fill="FFFFFF"/>
        <w:spacing w:line="315" w:lineRule="atLeast"/>
        <w:ind w:firstLine="420"/>
        <w:jc w:val="left"/>
        <w:rPr>
          <w:rFonts w:hint="eastAsia" w:asciiTheme="majorEastAsia" w:hAnsiTheme="majorEastAsia" w:eastAsiaTheme="majorEastAsia" w:cstheme="majorEastAsia"/>
          <w:color w:val="000000"/>
          <w:sz w:val="24"/>
          <w:szCs w:val="24"/>
          <w:shd w:val="clear" w:color="auto" w:fill="FFFFFF"/>
        </w:rPr>
      </w:pPr>
    </w:p>
    <w:p>
      <w:pPr>
        <w:pageBreakBefore/>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ageBreakBefore/>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一、项目概述</w:t>
      </w:r>
      <w:r>
        <w:rPr>
          <w:rFonts w:hint="eastAsia" w:asciiTheme="majorEastAsia" w:hAnsiTheme="majorEastAsia" w:eastAsiaTheme="majorEastAsia" w:cstheme="majorEastAsia"/>
          <w:kern w:val="0"/>
          <w:sz w:val="24"/>
          <w:szCs w:val="24"/>
        </w:rPr>
        <w:t>：本项目是购买服务项目，投标人中标后以中标人为主体，按照省环保攻坚办要求和国家相关法律法规、行业标准，在招标人指定地点安装一套固定式遥感监测设备，并配备一套移动式遥感监测设备和配套网络运营平台，同时承担5年运维运营服务工作。</w:t>
      </w:r>
    </w:p>
    <w:p>
      <w:pPr>
        <w:widowControl/>
        <w:shd w:val="clear" w:color="auto" w:fill="FFFFFF"/>
        <w:spacing w:line="360"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注：</w:t>
      </w:r>
      <w:r>
        <w:rPr>
          <w:rFonts w:hint="eastAsia" w:asciiTheme="majorEastAsia" w:hAnsiTheme="majorEastAsia" w:eastAsiaTheme="majorEastAsia" w:cstheme="majorEastAsia"/>
          <w:kern w:val="0"/>
          <w:sz w:val="24"/>
          <w:szCs w:val="24"/>
        </w:rPr>
        <w:t xml:space="preserve">交付（服务、完工）时间：自合同签订之日60各日历日                      </w:t>
      </w:r>
    </w:p>
    <w:p>
      <w:pPr>
        <w:widowControl/>
        <w:numPr>
          <w:ilvl w:val="0"/>
          <w:numId w:val="5"/>
        </w:numPr>
        <w:shd w:val="clear" w:color="auto" w:fill="FFFFFF"/>
        <w:spacing w:line="360" w:lineRule="auto"/>
        <w:ind w:left="0" w:leftChars="0" w:firstLine="482" w:firstLineChars="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采购需求</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（一）本项目需实现的功能或者目标</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计划在禹州市区范围内237省道吴湾村处安装1套固定式遥感监测设备；部署1套移动式遥感监测系统。每套设备有多个子系统共同协作完成监测，包括固定式遥感设备、环境空气质量监测设备、车道牌照自动识别摄像设备、速度加速度监测仪、环境气象监测设备、UPS不间断供电设备、安防配套设备等多套不同功能的设备。通过实时数据联网建立机动车污染环境执法取证平台，实现城区重点区域高污染车限行管理，</w:t>
      </w:r>
      <w:bookmarkStart w:id="0" w:name="_Hlk511768504"/>
      <w:r>
        <w:rPr>
          <w:rFonts w:hint="eastAsia" w:asciiTheme="majorEastAsia" w:hAnsiTheme="majorEastAsia" w:eastAsiaTheme="majorEastAsia" w:cstheme="majorEastAsia"/>
          <w:kern w:val="0"/>
          <w:sz w:val="24"/>
          <w:szCs w:val="24"/>
        </w:rPr>
        <w:t>减少城区高污染机动车排放废气，提高城区空气质量。</w:t>
      </w:r>
      <w:bookmarkEnd w:id="0"/>
    </w:p>
    <w:p>
      <w:pPr>
        <w:widowControl/>
        <w:numPr>
          <w:ilvl w:val="0"/>
          <w:numId w:val="9"/>
        </w:numPr>
        <w:shd w:val="clear" w:color="auto" w:fill="FFFFFF"/>
        <w:spacing w:line="360" w:lineRule="auto"/>
        <w:ind w:firstLine="6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需求清单</w:t>
      </w:r>
    </w:p>
    <w:tbl>
      <w:tblPr>
        <w:tblStyle w:val="31"/>
        <w:tblW w:w="9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83"/>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序号</w:t>
            </w:r>
          </w:p>
        </w:tc>
        <w:tc>
          <w:tcPr>
            <w:tcW w:w="98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名称</w:t>
            </w:r>
          </w:p>
        </w:tc>
        <w:tc>
          <w:tcPr>
            <w:tcW w:w="7659"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98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服务团队要求</w:t>
            </w:r>
          </w:p>
        </w:tc>
        <w:tc>
          <w:tcPr>
            <w:tcW w:w="7659" w:type="dxa"/>
          </w:tcPr>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1、组建不少于2人的专业化的技术服务队伍，保障尾气监测系统7*24正常工作，并配合禹州市环保局进行相关工作。项目组成员应当有开展过计算机（软/硬件）类似项目案例的经验。</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2、运维单位项目组所有管理和技术人员未经与采购人协调同意，不得随意变更、调动。</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3、须向甲方监控中心安排一名工作人员，负责平台数据异常报警监管，视频工作异常监管，数据统计，数据报表制定等。</w:t>
            </w:r>
          </w:p>
          <w:p>
            <w:pPr>
              <w:widowControl/>
              <w:spacing w:line="360" w:lineRule="auto"/>
              <w:ind w:firstLine="240" w:firstLineChars="1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4、须有一名专业人员负责移动式遥感监测车和车载设备的维护、车辆驾驶工作，并配合甲方在指定位置对过往车辆进行排检。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98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运维服务要求</w:t>
            </w:r>
          </w:p>
        </w:tc>
        <w:tc>
          <w:tcPr>
            <w:tcW w:w="7659" w:type="dxa"/>
          </w:tcPr>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1、具备 7*24 小时值班值守能力，对尾气在线监测系统进行日常维护，能随时调取尾气超标车辆的监控数据和影像资料给采购人或采购人指定的相应管理部门。每日上、下午通过运维监控子系统对前端监控设备的运行进行检查，观察其工作是否正常，通讯是否畅通，并记录在案。发现数据持续异常情况，立即前往现场进行检查。</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2、每月一至二次对前端监测设备进行现场维护，查看仪器数据与异常情况，并记录在案，检查球机镜头是否清洁，必要时进行清洗。 </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3、对前端监测设备，每月至少检查 1 次采样、计量、反应器、检测器等单元的工作情况，对采集器进行清理。</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4、每月至少对自动监控设备进行一次现场设备校准。</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5、每台监控设备每个月的巡检次数不低于 2 次，确保服务期间的监测仪器功能正常，年度设备的故障率低于 10%，确保监测仪器的日平均在线率超过 90%。</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6、监控平台应每日检查整体通信链路是否正常，时刻保持报警、控制设备处于安全响应状态，设置操作权限，防止误操作。 </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7、发现异常或接到异常通知，在工作日工作时间内，对于固定式尾气监测系统，要求在 2 小时以内赶到现场并排除故障；对移动式尾气监测系统，要求在4小时以内排除故障。</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8、应根据仪器结构特点和厂商提供的维修手册要求，制定常见故障的判断和检修的方法及程序。对于在现场能够明确诊断，并且可由简单更换备件解决的问题，如尾气监测系统、车牌抓拍系统、主控计算机等，可在现场进行检修与更换。对于其他不易诊断和检修的故障，应将发生故障的仪器送实验室进行检查和维修，并在现场用备用仪器替代发生故障的仪器。</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9、系统建成投入正式运行后，投标人须提供完整的运维台账，以便配合招标方的日常检查。在每次检修完成后，应根据检修内容和更换部件情况，对仪器进行校准，并记录检修及校准情况。</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10、详细列出系统运行中所需要更换的备品备件清单，包括型号、产地、更换周期等，保证设备及时得到维护。核心部件的备品备件必须后备一套。</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11、在服务期限内投标人按采购人免费更换故障的设备及所属配件。</w:t>
            </w:r>
          </w:p>
          <w:p>
            <w:pPr>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12、投标人应当建立技术培训和考核机制，确保运维人员能熟练开展相关设备使用、维护、维修工作，不断提高运维技术水平。</w:t>
            </w:r>
          </w:p>
          <w:p>
            <w:pPr>
              <w:widowControl/>
              <w:spacing w:line="360"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13、按照采购人要求组织对管理部门或管理对象相关人员开展必要的系统操作等培训。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98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质控</w:t>
            </w:r>
          </w:p>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要求</w:t>
            </w:r>
          </w:p>
        </w:tc>
        <w:tc>
          <w:tcPr>
            <w:tcW w:w="7659" w:type="dxa"/>
          </w:tcPr>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监测项目：</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测量一氧化碳（CO）、二氧化碳（CO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）、碳氢化合物（HC），氮氧化物（NO</w:t>
            </w:r>
            <w:r>
              <w:rPr>
                <w:rFonts w:hint="eastAsia" w:asciiTheme="majorEastAsia" w:hAnsiTheme="majorEastAsia" w:eastAsiaTheme="majorEastAsia" w:cstheme="majorEastAsia"/>
                <w:sz w:val="24"/>
                <w:szCs w:val="24"/>
                <w:vertAlign w:val="subscript"/>
              </w:rPr>
              <w:t>x</w:t>
            </w:r>
            <w:r>
              <w:rPr>
                <w:rFonts w:hint="eastAsia" w:asciiTheme="majorEastAsia" w:hAnsiTheme="majorEastAsia" w:eastAsiaTheme="majorEastAsia" w:cstheme="majorEastAsia"/>
                <w:sz w:val="24"/>
                <w:szCs w:val="24"/>
              </w:rPr>
              <w:t>）、不透光烟度值以及光吸收系数k。</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测量范围及项目</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1、CO为0％－10％；</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为0％－16％；</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3、HC≤10000ppm；</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4、NO</w:t>
            </w:r>
            <w:r>
              <w:rPr>
                <w:rFonts w:hint="eastAsia" w:asciiTheme="majorEastAsia" w:hAnsiTheme="majorEastAsia" w:eastAsiaTheme="majorEastAsia" w:cstheme="majorEastAsia"/>
                <w:sz w:val="24"/>
                <w:szCs w:val="24"/>
                <w:vertAlign w:val="subscript"/>
              </w:rPr>
              <w:t>X</w:t>
            </w:r>
            <w:r>
              <w:rPr>
                <w:rFonts w:hint="eastAsia" w:asciiTheme="majorEastAsia" w:hAnsiTheme="majorEastAsia" w:eastAsiaTheme="majorEastAsia" w:cstheme="majorEastAsia"/>
                <w:sz w:val="24"/>
                <w:szCs w:val="24"/>
              </w:rPr>
              <w:t>≤10000ppm；</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5、烟度为不透光烟度0～100%，光吸收系数k：0～16m-1</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测量精度：</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1、CO精度：读数值的±10%；</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精度：读数值的±10%；</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3、HC精度：读数值的±10%或绝对误差±250ppm取最大值；</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4、NO</w:t>
            </w:r>
            <w:r>
              <w:rPr>
                <w:rFonts w:hint="eastAsia" w:asciiTheme="majorEastAsia" w:hAnsiTheme="majorEastAsia" w:eastAsiaTheme="majorEastAsia" w:cstheme="majorEastAsia"/>
                <w:sz w:val="24"/>
                <w:szCs w:val="24"/>
                <w:vertAlign w:val="subscript"/>
              </w:rPr>
              <w:t>x</w:t>
            </w:r>
            <w:r>
              <w:rPr>
                <w:rFonts w:hint="eastAsia" w:asciiTheme="majorEastAsia" w:hAnsiTheme="majorEastAsia" w:eastAsiaTheme="majorEastAsia" w:cstheme="majorEastAsia"/>
                <w:sz w:val="24"/>
                <w:szCs w:val="24"/>
              </w:rPr>
              <w:t>精度：读数值的±10%或绝对误差±250ppm取最大值；</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5、不透光烟度：读数值的±5%；</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工作性能：</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、HC、NOx、不透光烟度重复性误差不超过±5％，汽车在加速状态、尾气管后置条件或者中间条件下，有效烟团捕获率不小于85％</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UPS不间断供电：</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1、UPS类型：在线式。</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2、输入电压范围：115-300V。</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3、输出电压范围：220（1±2%）V。</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4、额定功率：保证大于所供电设备额定功率的2倍</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5、延迟时间：4小时以上 </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速度加速度系统：</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1、保证测量精度的车辆速度范围为：测速范围5km/h</w:t>
            </w:r>
            <w:r>
              <w:rPr>
                <w:rFonts w:hint="eastAsia" w:asciiTheme="majorEastAsia" w:hAnsiTheme="majorEastAsia" w:eastAsiaTheme="majorEastAsia" w:cstheme="majorEastAsia"/>
                <w:sz w:val="24"/>
                <w:szCs w:val="24"/>
                <w:vertAlign w:val="subscript"/>
              </w:rPr>
              <w:t xml:space="preserve"> </w:t>
            </w:r>
            <w:r>
              <w:rPr>
                <w:rFonts w:hint="eastAsia" w:asciiTheme="majorEastAsia" w:hAnsiTheme="majorEastAsia" w:eastAsiaTheme="majorEastAsia" w:cstheme="majorEastAsia"/>
                <w:sz w:val="24"/>
                <w:szCs w:val="24"/>
              </w:rPr>
              <w:t>- 120km/h；</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2、测速响应时间≤33ms</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3、测速误差≤3km/h</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4、加速度精度：≤0.22m/s</w:t>
            </w:r>
            <w:r>
              <w:rPr>
                <w:rFonts w:hint="eastAsia" w:asciiTheme="majorEastAsia" w:hAnsiTheme="majorEastAsia" w:eastAsiaTheme="majorEastAsia" w:cstheme="majorEastAsia"/>
                <w:sz w:val="24"/>
                <w:szCs w:val="24"/>
                <w:vertAlign w:val="superscript"/>
              </w:rPr>
              <w:t>2</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牌照自动识别系统：</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1、现场实时正确识别率95％或以上；</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2、车辆捕获率≥99%、车牌识别率≥95%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3、可识别牌照颜色和文字；</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4、校对系统；</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5、自动学习功能；</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6、按可信度对识别牌照排序；</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7、可根据测量的速度、加速度、坡度等数据计算车辆的VSP，并筛选、标记出有效数据；</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8、同一车牌号能根据车牌颜色区分；</w:t>
            </w:r>
          </w:p>
          <w:p>
            <w:pPr>
              <w:widowControl/>
              <w:spacing w:line="360"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9、可以批量处理无效数据、无法识别车牌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983" w:type="dxa"/>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数据分析要求</w:t>
            </w:r>
          </w:p>
        </w:tc>
        <w:tc>
          <w:tcPr>
            <w:tcW w:w="7659" w:type="dxa"/>
          </w:tcPr>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1、每日应以电子版的形式提供监测数据统计分析日报。在服务期限内必须满足对统计分析报告的定制要求。</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2、每周一应以纸质和电子版的形式提供上周的监测数据统计分析周报。在服务期限内必须满足对统计分析报告的定制要求。</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3、每月10日之前应以纸质和电子版的形式提供上月的监测数据统计分析月报。在服务期限内必须满足对统计分析报告的定制要求。</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4、根据对特定时间段（例如冬防或重污染天气时段）或特定区域的管理需求，提供相应特定时间段或特定区域的数据分析报告。</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5、在服务到期后提供服务期满的总结分析报表（告），并完成项目总结汇报。</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日报、周报、月报、季报、年报，数据分析内容包括如下信息：包括监控路段大气基本信息、尾气超标汽车牌照、超标数据等；各站点数据传输率；数据同比、环比、排名、超标报警、超标比例、尾气超标物浓度分布范围等统计分析；超标率及超标车次，超标原因分析等；</w:t>
            </w:r>
          </w:p>
          <w:p>
            <w:pPr>
              <w:ind w:firstLine="240" w:firstLineChars="1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7、季报在下一月10日之前提供；年报在次年1月10之前提供分析年报。</w:t>
            </w:r>
          </w:p>
        </w:tc>
      </w:tr>
    </w:tbl>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rPr>
      </w:pP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rPr>
      </w:pPr>
    </w:p>
    <w:tbl>
      <w:tblPr>
        <w:tblStyle w:val="31"/>
        <w:tblW w:w="91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13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序号</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系统</w:t>
            </w:r>
          </w:p>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名称</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固定水平式遥感监测系统需求清单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固定水平式遥感监测仪</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依据标准：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1、在用柴油车排气污染物测量方法及技术要求》（HJ 845-2017）</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2、《点燃式发动机汽车排气污染物排放限值及测量方法（双怠速法及简易工况法）》（GB18285-2005）</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 车 用 压 燃 式 发 动 机 和 压 燃 式 发 动 机 汽 车 排 气 烟 度 排 放 限 值 及 测 量 方 法 》（ GB3847-2005）</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4、《机动车测速仪》（GB/T 21255-2007）</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5、《通用计量术语与定义》（JJF 1001-2011）</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6、《遥感式汽油车排放有害气体检测仪检定规程》（JJG（京）45—2011）</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7、《机动车尾气遥测设备 通用技术要求》（JB/T 11996-2014）</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8、《环境空气质量标准》（GB3095-2012）</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9、《大气污染物综合排放标准》（GB16297-1996）</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10、《国家电气设备安全技术规范》(GB19517-2009)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ajorEastAsia" w:hAnsiTheme="majorEastAsia" w:eastAsiaTheme="majorEastAsia" w:cstheme="maj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监测项目：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测量一氧化碳（CO）、二氧化碳（CO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）、碳氢化合物（HC），氮氧化物（NO</w:t>
            </w:r>
            <w:r>
              <w:rPr>
                <w:rFonts w:hint="eastAsia" w:asciiTheme="majorEastAsia" w:hAnsiTheme="majorEastAsia" w:eastAsiaTheme="majorEastAsia" w:cstheme="majorEastAsia"/>
                <w:sz w:val="24"/>
                <w:szCs w:val="24"/>
                <w:vertAlign w:val="subscript"/>
              </w:rPr>
              <w:t>x</w:t>
            </w:r>
            <w:r>
              <w:rPr>
                <w:rFonts w:hint="eastAsia" w:asciiTheme="majorEastAsia" w:hAnsiTheme="majorEastAsia" w:eastAsiaTheme="majorEastAsia" w:cstheme="majorEastAsia"/>
                <w:sz w:val="24"/>
                <w:szCs w:val="24"/>
              </w:rPr>
              <w:t>）、不透光烟度值以及光吸收系数k。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ajorEastAsia" w:hAnsiTheme="majorEastAsia" w:eastAsiaTheme="majorEastAsia" w:cstheme="maj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测量范围及项目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1、CO为0％－10％；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为0％－16％；</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3、HC≤10000ppm；</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4、NO</w:t>
            </w:r>
            <w:r>
              <w:rPr>
                <w:rFonts w:hint="eastAsia" w:asciiTheme="majorEastAsia" w:hAnsiTheme="majorEastAsia" w:eastAsiaTheme="majorEastAsia" w:cstheme="majorEastAsia"/>
                <w:sz w:val="24"/>
                <w:szCs w:val="24"/>
                <w:vertAlign w:val="subscript"/>
              </w:rPr>
              <w:t>X</w:t>
            </w:r>
            <w:r>
              <w:rPr>
                <w:rFonts w:hint="eastAsia" w:asciiTheme="majorEastAsia" w:hAnsiTheme="majorEastAsia" w:eastAsiaTheme="majorEastAsia" w:cstheme="majorEastAsia"/>
                <w:sz w:val="24"/>
                <w:szCs w:val="24"/>
              </w:rPr>
              <w:t>≤10000ppm；</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ajorEastAsia" w:hAnsiTheme="majorEastAsia" w:eastAsiaTheme="majorEastAsia" w:cstheme="maj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测量精度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1、CO精度：读数值的±10%；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精度：读数值的±10%；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3、HC精度：读数值的±10%或绝对误差±250ppm取最大值；</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4、NO</w:t>
            </w:r>
            <w:r>
              <w:rPr>
                <w:rFonts w:hint="eastAsia" w:asciiTheme="majorEastAsia" w:hAnsiTheme="majorEastAsia" w:eastAsiaTheme="majorEastAsia" w:cstheme="majorEastAsia"/>
                <w:sz w:val="24"/>
                <w:szCs w:val="24"/>
                <w:vertAlign w:val="subscript"/>
              </w:rPr>
              <w:t>x</w:t>
            </w:r>
            <w:r>
              <w:rPr>
                <w:rFonts w:hint="eastAsia" w:asciiTheme="majorEastAsia" w:hAnsiTheme="majorEastAsia" w:eastAsiaTheme="majorEastAsia" w:cstheme="majorEastAsia"/>
                <w:sz w:val="24"/>
                <w:szCs w:val="24"/>
              </w:rPr>
              <w:t>精度：读数值的±10%或绝对误差±250ppm取最大值；</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Theme="majorEastAsia" w:hAnsiTheme="majorEastAsia" w:eastAsiaTheme="majorEastAsia" w:cstheme="majorEastAsia"/>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工作性能：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、HC、NOx、不透光烟度重复性误差不超过±5％，汽车在加速状态、尾气管后置条件或者中间条件下，有效烟团捕获率不小于85％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UPS不间断供电</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1、UPS类型：在线式。</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2、输入电压范围：115-300V。</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3、输出电压范围：220（1±2%）V。</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4、额定功率：保证大于所供电设备额定功率的2倍</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5、延迟时间：4小时以上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速度加速度系统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1、保证测量精度的车辆速度范围为：测速范围5km/h</w:t>
            </w:r>
            <w:r>
              <w:rPr>
                <w:rFonts w:hint="eastAsia" w:asciiTheme="majorEastAsia" w:hAnsiTheme="majorEastAsia" w:eastAsiaTheme="majorEastAsia" w:cstheme="majorEastAsia"/>
                <w:sz w:val="24"/>
                <w:szCs w:val="24"/>
                <w:vertAlign w:val="subscript"/>
              </w:rPr>
              <w:t xml:space="preserve"> </w:t>
            </w:r>
            <w:r>
              <w:rPr>
                <w:rFonts w:hint="eastAsia" w:asciiTheme="majorEastAsia" w:hAnsiTheme="majorEastAsia" w:eastAsiaTheme="majorEastAsia" w:cstheme="majorEastAsia"/>
                <w:sz w:val="24"/>
                <w:szCs w:val="24"/>
              </w:rPr>
              <w:t>- 120km/h；</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2、测速响应时间≤33ms</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3、测速误差≤3km/h</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4、加速度精度：≤0.22m/s</w:t>
            </w:r>
            <w:r>
              <w:rPr>
                <w:rFonts w:hint="eastAsia" w:asciiTheme="majorEastAsia" w:hAnsiTheme="majorEastAsia" w:eastAsiaTheme="majorEastAsia" w:cstheme="majorEastAsia"/>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bookmarkStart w:id="1" w:name="_Hlk527312648"/>
            <w:r>
              <w:rPr>
                <w:rFonts w:hint="eastAsia" w:asciiTheme="majorEastAsia" w:hAnsiTheme="majorEastAsia" w:eastAsiaTheme="majorEastAsia" w:cstheme="majorEastAsia"/>
                <w:kern w:val="0"/>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1、支持11种常见颜色（白、灰、黄、粉、红、紫、绿、蓝、棕、黑、青）识别</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2、可以识别7种车型：大客车、中型客车、大货车、小货车、面包车、小轿车及SUV</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3、机动车抓拍，车辆捕获率≥99%、车牌识别率≥95%</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4、支持车牌、车型、车身颜色、车标及车辆子品牌、挂坠、安全带、遮阳板等信息识别</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5、支持车标识别和车辆子品牌识别</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6、自动学习功能</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恒温控制系统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柜内温度可调，保证前端控制系统及遥感设备在正常的工作环境范围内，内部根据实际功能要求采用分层结构，制造标准满足IP55要求，有隔热措施，具备一定强度，防止轻微碰撞受损。机柜应有铭牌说明所属单位，联系人、联系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具有自动定时校准和手动校准两种模式；</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校准池上需标明封装日期及浓度；有效期半年或以上；</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环境气象测量系统</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1、温度计检测范围为-40℃～80℃，测量精度为±0.5℃；</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2、湿度计检测范围为0%～100%，测量精度为±2%；</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3、大气压检测范围：10hPa～1100hPa，测量精度为±0.5hPa；</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4、风速测量范围0～60m/s，测量精度± 0.2 m/s或读数的3%，分辨率0.1m/s；</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空气质量微型监测站</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可同时监测PM2.5、PM10、SO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、NO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、CO、O</w:t>
            </w:r>
            <w:r>
              <w:rPr>
                <w:rFonts w:hint="eastAsia" w:asciiTheme="majorEastAsia" w:hAnsiTheme="majorEastAsia" w:eastAsiaTheme="majorEastAsia" w:cstheme="majorEastAsia"/>
                <w:sz w:val="24"/>
                <w:szCs w:val="24"/>
                <w:vertAlign w:val="subscript"/>
              </w:rPr>
              <w:t>3</w:t>
            </w:r>
            <w:r>
              <w:rPr>
                <w:rFonts w:hint="eastAsia" w:asciiTheme="majorEastAsia" w:hAnsiTheme="majorEastAsia" w:eastAsiaTheme="majorEastAsia" w:cstheme="majorEastAsia"/>
                <w:sz w:val="24"/>
                <w:szCs w:val="24"/>
              </w:rPr>
              <w:t>。</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1、颗粒物自动在线监测系统可测量PM2.5、PM10等细颗粒物，采用光散射原理，测量量程0.01～2000µg/m</w:t>
            </w:r>
            <w:r>
              <w:rPr>
                <w:rFonts w:hint="eastAsia" w:asciiTheme="majorEastAsia" w:hAnsiTheme="majorEastAsia" w:eastAsiaTheme="majorEastAsia" w:cstheme="majorEastAsia"/>
                <w:sz w:val="24"/>
                <w:szCs w:val="24"/>
                <w:vertAlign w:val="superscript"/>
              </w:rPr>
              <w:t>3</w:t>
            </w:r>
            <w:r>
              <w:rPr>
                <w:rFonts w:hint="eastAsia" w:asciiTheme="majorEastAsia" w:hAnsiTheme="majorEastAsia" w:eastAsiaTheme="majorEastAsia" w:cstheme="majorEastAsia"/>
                <w:sz w:val="24"/>
                <w:szCs w:val="24"/>
              </w:rPr>
              <w:t>，测量重复性≤10%，准确度±10%，分辨率达到0.01µg/m</w:t>
            </w:r>
            <w:r>
              <w:rPr>
                <w:rFonts w:hint="eastAsia" w:asciiTheme="majorEastAsia" w:hAnsiTheme="majorEastAsia" w:eastAsiaTheme="majorEastAsia" w:cstheme="majorEastAsia"/>
                <w:sz w:val="24"/>
                <w:szCs w:val="24"/>
                <w:vertAlign w:val="superscript"/>
              </w:rPr>
              <w:t>3</w:t>
            </w:r>
            <w:r>
              <w:rPr>
                <w:rFonts w:hint="eastAsia" w:asciiTheme="majorEastAsia" w:hAnsiTheme="majorEastAsia" w:eastAsiaTheme="majorEastAsia" w:cstheme="majorEastAsia"/>
                <w:sz w:val="24"/>
                <w:szCs w:val="24"/>
              </w:rPr>
              <w:t>，最大响应粒径范围0.1～10µm；空气动力学颗粒物粒径切割范围：1.0-10µm；</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2、气态污染物监测子系统可测量CO、O</w:t>
            </w:r>
            <w:r>
              <w:rPr>
                <w:rFonts w:hint="eastAsia" w:asciiTheme="majorEastAsia" w:hAnsiTheme="majorEastAsia" w:eastAsiaTheme="majorEastAsia" w:cstheme="majorEastAsia"/>
                <w:sz w:val="24"/>
                <w:szCs w:val="24"/>
                <w:vertAlign w:val="subscript"/>
              </w:rPr>
              <w:t>3</w:t>
            </w:r>
            <w:r>
              <w:rPr>
                <w:rFonts w:hint="eastAsia" w:asciiTheme="majorEastAsia" w:hAnsiTheme="majorEastAsia" w:eastAsiaTheme="majorEastAsia" w:cstheme="majorEastAsia"/>
                <w:sz w:val="24"/>
                <w:szCs w:val="24"/>
              </w:rPr>
              <w:t>、SO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、NO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主控计算机（知名品牌工控机）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显示器、配备17寸以上LED显示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▲保障系统稳定运行，一旦出现故障可以立即自动修复（提供有效技术资料）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所有软件界面应为简体中文，仪器所有软件与Windows系统兼容，方便使用。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实时数据显示：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1、能够按站点、车道实时显示最新一条监测抓拍的监测车辆的照片，并关联车辆检测基本信息，包括：过车时间、车牌号、车牌颜色、车辆类型、车辆行驶速度/加速度、车辆VSP等信息。</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2、可针对每一辆经过车辆，实时检测车辆尾气排放浓度信息（CO、CO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、HC、NO、不透光烟度、光吸收系数）及林格曼黑度。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光路调试及气体标定：</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1、管理软件有调试模式，进入调试模式后，发送测试命令，机动车排气遥感检测主机返回数据，根据光路的波形的能量状况对设备进行调试。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2、软件可在线进行气体标定，设置不同的标气浓度值，系统支持一键操作，校准时间可自由设置。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数据记录及存储：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1、遥感测量地点每经过一辆车，不论是否获得有效排放数据，测量系统均会自动生成一个记录，每个记录都具有特定的序列号作为检测记录编号。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2、检测的车辆数据及尾气信息组合成一张图片实时记录在硬盘上，同时自动备份。数据记录使用增量记录方式，同一天检测的数据只生成一个文件，方便用户操作使用。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3、软件将前端录像文件压缩后储存，图片和视频存放在独立文件夹中，车辆视频和图象照片文件名用记录编号+顺序号命名，具有唯一性，便于用户查找及三级联网和数据共享。</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数据查询：</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1、历史数据查询，支持多种条件查询，不仅可以按照日期时间段、车牌号、合格/不合格具体字段进行数据查询，还可以通过排放参数（CO、CO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2、超标车数据查询，支持按照站点、时间段、车牌号以及参数（CO、CO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、HC、NOX、不透光烟度、光吸收系数、燃油类型、黑烟车等）查询出来超标以及高排放车辆信息。</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系统管理：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1、管理软件可以对前端所有设备进行管理，并判断系统中设备的在线状态，对于异常情况下出现的设备不在线状态，系统会自动判断并给出报警提示。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2、管理软件可以对前端LED屏的显示内容进行管理，根据客户实际需求来自定义显示行数、字体大小、显示内容等。</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在线升级：</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1、管理软件具有升级功能，可以对系统中的设备进行在线或远程升级的操作。</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数据传输：</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2、根据实际情况，支持选择无线4G或者光纤传输。符合地市、省和国家三级联网和数据共享规范要求。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L/F立杆、LED屏以及其立杆和标志标牌</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L/F立杆：采用钢制热镀锌工艺，净空高不低于5米，跨度依据现场确定，安装基座不能占用行车道空间，预留走线孔及检修口，底部入地端入地，并预留大口径螺母紧固装置，地下为混凝土浇筑。立杆进行防腐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2、LED：LED信息屏支架悬臂式F型支架悬臂下净高6米，面积&gt;2.5m</w:t>
            </w:r>
            <w:r>
              <w:rPr>
                <w:rFonts w:hint="eastAsia" w:asciiTheme="majorEastAsia" w:hAnsiTheme="majorEastAsia" w:eastAsiaTheme="majorEastAsia" w:cstheme="majorEastAsia"/>
                <w:sz w:val="24"/>
                <w:szCs w:val="24"/>
                <w:vertAlign w:val="superscript"/>
              </w:rPr>
              <w:t>2</w:t>
            </w:r>
            <w:r>
              <w:rPr>
                <w:rFonts w:hint="eastAsia" w:asciiTheme="majorEastAsia" w:hAnsiTheme="majorEastAsia" w:eastAsiaTheme="majorEastAsia" w:cstheme="majorEastAsia"/>
                <w:sz w:val="24"/>
                <w:szCs w:val="24"/>
              </w:rPr>
              <w:t xml:space="preserve"> ，整屏平均光强：≥15000CD/ m</w:t>
            </w:r>
            <w:r>
              <w:rPr>
                <w:rFonts w:hint="eastAsia" w:asciiTheme="majorEastAsia" w:hAnsiTheme="majorEastAsia" w:eastAsiaTheme="majorEastAsia" w:cstheme="majorEastAsia"/>
                <w:sz w:val="24"/>
                <w:szCs w:val="24"/>
                <w:vertAlign w:val="superscript"/>
              </w:rPr>
              <w:t>2</w:t>
            </w:r>
            <w:r>
              <w:rPr>
                <w:rFonts w:hint="eastAsia" w:asciiTheme="majorEastAsia" w:hAnsiTheme="majorEastAsia" w:eastAsiaTheme="majorEastAsia" w:cstheme="majorEastAsia"/>
                <w:sz w:val="24"/>
                <w:szCs w:val="24"/>
              </w:rPr>
              <w:t>（法线方向），刷新频率：≥120帧/秒。帧频：≥60帧/秒，可视距离：10-200m。系统工作湿度：10%-90%。系统工作温度：-20℃～+65℃。使用寿命：＞10万小时。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3、立杆：采用钢制热镀锌工艺，净空高不低于5米，安装基座不能占用行车道空间，底部入地端入地，地下为混凝土浇筑，立杆进行防腐、防风处理。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4、标志标牌：现场设立标志标牌，对即将驶入车辆进行告知，采用钢制热镀锌工艺，尺寸：800*1200(3M)。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现场安防监控</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高清球机：</w:t>
            </w:r>
          </w:p>
          <w:p>
            <w:pPr>
              <w:adjustRightInd w:val="0"/>
              <w:snapToGrid w:val="0"/>
              <w:jc w:val="left"/>
              <w:rPr>
                <w:rFonts w:hint="eastAsia" w:asciiTheme="majorEastAsia" w:hAnsiTheme="majorEastAsia" w:eastAsiaTheme="majorEastAsia" w:cstheme="majorEastAsia"/>
                <w:sz w:val="24"/>
                <w:szCs w:val="24"/>
                <w:u w:color="000000"/>
              </w:rPr>
            </w:pPr>
            <w:r>
              <w:rPr>
                <w:rFonts w:hint="eastAsia" w:asciiTheme="majorEastAsia" w:hAnsiTheme="majorEastAsia" w:eastAsiaTheme="majorEastAsia" w:cstheme="majorEastAsia"/>
                <w:sz w:val="24"/>
                <w:szCs w:val="24"/>
              </w:rPr>
              <w:t>1、摄像机靶面尺寸≥1/1.8英寸。</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2、视频输出支持≥2560×1536@25fps，分辨力≥1900TVL，红外距离≥300米。</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3、支持30倍光学变焦。</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4、支持最低照度彩色0.0005Lux，黑白0.0001Lux。</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5、支持水平手控速度≥550°/S，垂直速度≥120°/S，云台定位精度为±0.1°。</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6、水平旋转范围为360°连续旋转，垂直旋转范围为-20°~90°。</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7、支持≥300个预置位，支持≥18条巡航扫描，支持≥7条模式路径设置，支持预置位视频冻结功能；可实现RS485接口优先或RJ45网络接口优先控制功能。</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8、信噪比≥60dB，网络延时不大于100ms。</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9、支持智能红外、透雾、强光抑制、电子防抖、数字降噪、防红外过曝功能。</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10、支持区域遮盖功能；支持3D定位、断电记忆功能；支持IP地址访问控制功能，支持定时抓图或报警联动抓图上传ftp功能。</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11、具备本机存储功能，支持SD卡热插拔。</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12、支持采用H.265、H.264视频编码标准，H.264编码支持Baseline/Main/High Profile，音频编码支持G.711ulaw/G.711alaw/G.726/G.722.1/AAC</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13、支持GB28181协议，支持标准Onvif协议。</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14、支持区域入侵、越界入侵、徘徊、物品移除、物品遗留、人员聚集、停车，并联动报警。</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15、支持IP67，TVS 8kV防浪涌，工作温度范围-45℃-70℃。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16、球机需要安装支架，应根据现场实际配置。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硬盘录像机：</w:t>
            </w:r>
          </w:p>
          <w:p>
            <w:pPr>
              <w:adjustRightInd w:val="0"/>
              <w:snapToGrid w:val="0"/>
              <w:jc w:val="left"/>
              <w:rPr>
                <w:rFonts w:hint="eastAsia" w:asciiTheme="majorEastAsia" w:hAnsiTheme="majorEastAsia" w:eastAsiaTheme="majorEastAsia" w:cstheme="majorEastAsia"/>
                <w:sz w:val="24"/>
                <w:szCs w:val="24"/>
                <w:u w:color="000000"/>
              </w:rPr>
            </w:pPr>
            <w:r>
              <w:rPr>
                <w:rFonts w:hint="eastAsia" w:asciiTheme="majorEastAsia" w:hAnsiTheme="majorEastAsia" w:eastAsiaTheme="majorEastAsia" w:cstheme="majorEastAsia"/>
                <w:sz w:val="24"/>
                <w:szCs w:val="24"/>
              </w:rPr>
              <w:t>1、可接入带宽≥80Mbps的8路H.265编码、1080p格式的视频图像。</w:t>
            </w:r>
          </w:p>
          <w:p>
            <w:pPr>
              <w:adjustRightInd w:val="0"/>
              <w:snapToGrid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2、支持1路HDMI、1路VGA输出，支持4K输出显示，HDMI或VGA接口可输出不同图像，并可分别进行预览、回放、配置等操作。</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3、支持高清网络视频的解码显示。</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4、支持将不同时间段的多个目标叠加在一个背景上同时回放。</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5、支持系统备份功能，检测到一个系统异常时，可从另一个系统启动，并恢复异常系统。</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6、支持走廊模式预览，可对画面顺时针旋转270度或中心、上下、左右翻转预览。</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7、可自适应接入H.265、H.264编码格式的网络视频。</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8、支持4个SATA接口；支持硬盘热插拔，支持硬盘休眠。</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9、支持2个以太网口，可将2个网口设置不同网段的IP地址。</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10、支持录像续传接收功能，接入具有断网续传功能的网络摄像机，当MVR与摄像机之间网络中断并恢复后，可自动接收摄像机内存储的视频图像。</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11、至少支持2个USB2.0，1个USB3.0接口。</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12、支持16路报警输入，4路报警输出接口。</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13、支持标准ONVIF、PSIA、GB28181、TCP、UDP、RTP、RTSP、HTTPS、UPnP、SNMP、SADP、SMTP、NFS、iSCSI等网络协议。</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14、支持GB28181、Ehome 协议接入平台。</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15、≥5TB监控专用硬盘。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现场基础施工</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1、设备安装：</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1）立杆安装以及调试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2）道边机柜安装；</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3）水平式遥测系统设备安装包括系统主机和辅机装置；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4）摄像机安装（高车作业）；</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5）现场辅助设施安装；</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6）必须符合本项目实际需求。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7）结合远程端数据中心服务器，对现场检测点遥测设备、车牌识别系统、速度加速度测试单元、环境参数测量单元等软硬件进行安装调试并满足本项目实际需求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2、安装地基、手孔井等设计、施工及处理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1）机柜地基应与道路地基隔离，隔离带深度不小于0.5米，地基向地下不少于1.5米，满足在重型车辆通过时的抗震要求。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2）基坑四壁周围砖砌，中间混凝土注成型，表层用水泥打平。</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3）预留走线管两根，走线管必须使用防腐防锈钢管，具有一定抗压机耐腐蚀性，直径不小于12cm，走线管一段入土，另一端尽量靠近设备室侧面，以便于走线及后期维护。</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4）地基上端平台宽度不小于30cm，便于使用中机柜的维护与机柜上端设备的检修。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5）地基平台内侧用于安装空调机柜，根据机柜尺寸及结构，预留紧固装置，平台中心作磨砂处理。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6）混凝土道路拆除、机柜下沉箱设计施工，包括所有现场安装设施地基基础。</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7）施工过程中，尽可能不破坏道路原貌。（如有改变，施工结束后按原貌及时恢复。）</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8）必须符合本项目实际需求。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3、供电及网络管线铺设（含电缆及网线）</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1）对前端检测点设备，设计并铺设供电及网络管线，达到项目现场实际工作需求。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2）地下电缆为三芯铜芯电缆，外部为防腐橡胶，中间有铁皮保护，内侧有绝缘橡胶和缓冲橡胶条，铜芯线满足“GB12706-2002”要求。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3）参考型号：ZCYJV22  3×6（阻燃交联聚乙烯绝缘聚氯乙烯护套铠装电力电缆）。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4）电缆槽深度不小于60cm，槽底打平，在有坡度路面，要保障槽底坡度不大于15度。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5）电缆线需先用PVC地下专用保护管套接，连接处作防水处理。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6）电缆槽底部先铺设一层细沙，将处理好的电缆线铺设在电缆槽底部细沙上，然后在电缆上部摆放一层砖，最后用土覆盖。</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7）在电源进线端使用防雷保护器，电表下端使用漏电保护器，防止雷暴及触电风险，如果开关及电表室外使用，需使用专用室外电力保护箱。</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8）施工过程中，尽可能不破坏道路原貌。（如有改变，施工结束后按原貌及时恢复。）</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9）传输链路建议使用光纤传输，工程符合国家及行业相关标准。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10）单个检测点带宽满足所有图片及检测数据实时、同步传输回监控中心且监控中心可实时、同步操控前端系统、设备的要求。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11）现场布线包括机柜综合布线施工、电缆沿线桥、线槽、沟内支架及导管敷、硬塑料管埋地敷设施工、镀锌钢管敷设等施工等。</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4、现场防水处理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1）防尘、防水、防盗、耐腐处理；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2）机柜底座、走线槽严格按照工程施工要求，预留走水通道，外部密封。</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3）敷设地下管线、安装地基及检修井需防水。</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4）外路面施工材料需满足防水要求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5、其他：为了保护前端设备安全性，现场设置水泥防撞隔离墩及钢护栏，外部作警示反光膜处理。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黑烟车智能抓拍系统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黑烟车智能抓拍系统</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主要分为：</w:t>
            </w:r>
            <w:r>
              <w:rPr>
                <w:rFonts w:hint="eastAsia" w:asciiTheme="majorEastAsia" w:hAnsiTheme="majorEastAsia" w:eastAsiaTheme="majorEastAsia" w:cstheme="majorEastAsia"/>
                <w:bCs/>
                <w:sz w:val="24"/>
                <w:szCs w:val="24"/>
              </w:rPr>
              <w:t>高清车牌识别摄像机</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Cs/>
                <w:sz w:val="24"/>
                <w:szCs w:val="24"/>
              </w:rPr>
              <w:t>高清视频采集摄像机</w:t>
            </w:r>
            <w:r>
              <w:rPr>
                <w:rFonts w:hint="eastAsia" w:asciiTheme="majorEastAsia" w:hAnsiTheme="majorEastAsia" w:eastAsiaTheme="majorEastAsia" w:cstheme="majorEastAsia"/>
                <w:sz w:val="24"/>
                <w:szCs w:val="24"/>
              </w:rPr>
              <w:t>、以及黑烟车识别仪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高清车牌识别摄像机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传感器类型：1英寸全局曝光CMOS</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分辨率：4096(H)×2160(V)</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帧率：25fps</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码流：8192Kbps</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接口协议：ONVIF(PROFILE S,PROFILE G),ISAPI ,GB28181</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内部组件：防尘、防水面板，LED补光灯</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摄像机参数配置功能：曝光速度可根据现场实际情况调试，3000-4000；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AGC控制在50；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白平衡在50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视频压缩标准：H.264/H.265/MJPEG</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输出图片格式：JPEG</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接口：3个RS-485接口,1个RS-232接口；2个RJ45 10M/100M/1000M自适应以太网口</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触发输入：4路外部触发输入，1路SYNC信号灯电源同步输入</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触发输出：6路（光耦隔离2500VAC）,作为补光灯同步输出控制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存储：支持TF卡口（≤64G），支持云存储协议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终端接入：支持接入终端服务器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电压：100VAC～240VAC；频率：48Hz～52Hz</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功耗：＜20W</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目标检测：机动车抓拍，车辆捕获率≥99%（线圈），车辆捕获率≥95%（视频）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高清视频采集摄像机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采集车辆尾部车牌和烟团</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采用1英寸≥900万像素高帧率彩色全局曝光CMOS高清智能摄像机，最大分辨率可达4096×2160，帧率高达25帧；</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支持LED频闪灯同步补光，防护罩内置LED车牌补光灯，摄像机内置网络防雷；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支持车牌、车型、车身颜色等信息识别功能，支持压线、逆行、闯红灯、不按导向行驶等违法检测功能；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红绿灯信号检测方式支持：IO信号，红绿灯检测器，视频检测；</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识别车牌种类多：民用车牌（除5小车辆），警用车牌，2012式新军用车牌，2012式武警车牌，新能源车牌；</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支持远程数据上传，可将抓拍的图片上传给终端服务器、FTP服务器或者后端平台等；</w:t>
            </w:r>
          </w:p>
          <w:p>
            <w:pPr>
              <w:pStyle w:val="19"/>
              <w:ind w:firstLine="0" w:firstLineChars="0"/>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具有防尘、防水、网络防雷、防浪涌等功能。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黑烟车识别仪</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黑烟车抓拍仪作为前端核心设备，通过端口连接摄像机，实现采集道路现场的视频图像，压缩编码后经网络上传到监控中心。</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CPU ：i7以上处理器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内 存：不小于8G</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硬 盘：不小于1T</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支持DirectX 11.2/12,OpenGL4.3，支持VGA，HDMI同步/异步显示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网络功能：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集成2个千兆网卡</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支持网络唤醒、PXE功能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Watchdog功能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支持硬件复位功能(256级，0~255秒)</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1）自动跟踪道路行驶车辆，自动判别黑烟车；（2）自动豁免无烟车辆；（3）精确的定义黑烟车的特征，降低误报和漏报现象；（4）自动筛选、保存、传输、播放黑烟车视频片段；（5）自动识别车辆牌照；（6） 可自动调节抓拍阈值和支持远程阈值参数调节功能；（7）黑烟车误判率≤25%，黑烟车漏判率≤20%。（8）可实现前后抓拍自动匹配；（11）林格曼烟度自动匹配</w:t>
            </w:r>
          </w:p>
          <w:p>
            <w:pPr>
              <w:pStyle w:val="19"/>
              <w:ind w:firstLine="0" w:firstLineChars="0"/>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▲产品林格曼黑度输出等级：0-5级；产品需提供省级及以上计量部门针对林格曼黑度的校准证书。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便携式尾气监测设备</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系统包含透射式烟度计、尾气分析仪、振动式转速分析仪、便携式发电机、多功能插排等。要求设备具备单人便携使用，满足路检执法人员通过手提或背负等方式实现便携移动。设备应自带工作电源，不受使用场所限制。</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本设备用于机动车汽油发动机排放废气中的HC、CO、CO2、O2及NO浓度测量， 符合标准ISO3930、OIML R99和JJG688Ⅰ级精度要求。可应用于双怠速和路检的系统设备配套，是满足GB18285、HJ/T289工况法测量设备技术要求的专用分析仪器。</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采用进口HORIBA光学平台，不分光红外吸收原理（NDIR）测量CO、HC、CO2浓度；采用电化学传感器测量O2、NO浓度，独家采用进口设备平台稳定性好。</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标配转速、油温接口可测量发动机转速和油温。</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标配RS232接口，方便检测线组网、数据传输与报表打印。</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采样通道加载过滤系统，高效分离废气中的油水和杂质，使从采样通道进入的样气符合高精度采样平台的检测要求，以此保证测量精度与稳定性。</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全中文菜单操作，LCD液晶大屏幕显示。</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设备能自动计算、显示发动机空燃比λ值，提供自动调零、车牌号码输入与时间显示功能，可提供500组测量数据的存储与查阅及车牌号智能搜索功能。</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可特别提供摩托车检验功能。</w:t>
            </w:r>
          </w:p>
          <w:p>
            <w:pPr>
              <w:autoSpaceDN w:val="0"/>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配置打印机，直接打印测试数据。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网络使用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5年网络使用：20M及以上专用光纤网络，连接至平台。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sz w:val="24"/>
                <w:szCs w:val="24"/>
              </w:rPr>
              <w:t>移动式机动车尾气遥感检测系统设备需求清单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移动式机动车尾气遥感监测系统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依据标准：</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1、在用柴油车排气污染物测量方法及技术要求》（HJ 845-2017）</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2、《点燃式发动机汽车排气污染物排放限值及测量方法（双怠速法及简易工况法）》（GB18285-2005）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 车 用 压 燃 式 发 动 机 和 压 燃 式 发 动 机 汽 车 排 气 烟 度 排 放 限 值 及 测 量 方 法 》（ GB3847-2005）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4、《机动车测速仪》（GB/T 21255-2007）</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5、《通用计量术语与定义》（JJF 1001-2011）</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6、《遥感式汽油车排放有害气体检测仪检定规程》（JJG（京）45—2011）</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7、《机动车尾气遥测设备 通用技术要求》（JB/T 11996-2014）</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8、《环境空气质量标准》（GB3095-2012）</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9、《大气污染物综合排放标准》（GB16297-1996）</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10、《国家电气设备安全技术规范》(GB19517-2009)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监测项目：</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测量一氧化碳（CO）、二氧化碳（CO2）、碳氢化合物（HC），氮氧化物（NOx）、不透光烟度值以及光吸收系数k。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测量范围及项目</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1、CO为0％－10％；</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为0％－16％；</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3、HC≤10000ppm；</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4、NOx≤10000ppm；</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测量精度</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1、CO精度：读数值的±10%；</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精度：读数值的±10%；</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3、HC精度：读数值的±10%或绝对误差±250ppm取最大值；</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4、NOx精度：读数值的±10%或绝对误差±250ppm取最大值；</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工作性能：</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、HC、NOx、不透光烟度重复性误差不超过±5％，汽车在加速状态、尾气管后置条件或者中间条件下，有效烟团捕获率不小于85％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供电要求：</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路边检测设备需采用便携式电源供电，保证检测设备正常工作四个小时以上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速度加速度测试单元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▲1、保证测量精度的车辆速度范围为：测速范围5km/h-120km/h；</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2、测速响应时间≤33ms</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3、测速误差≤3km/h</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4、加速度精度：≤0.22m/s2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1、现场实时正确识别率95％或以上；</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2、车辆捕获率≥99%、车牌识别率≥95%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3、可识别牌照颜色和文字；</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4、校对系统；</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5、自动学习功能；</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6、按可信度对识别牌照排序；</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7、可根据测量的速度、加速度、坡度等数据计算车辆的VSP，并筛选、标记出有效数据；</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8、同一车牌号能根据车牌颜色区分；</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9、可以批量处理无效数据、无法识别车牌号等。</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10、可以识别车型，包含大型车小型车、中型车等车型测试通道长度：35米。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具有自动定时校准和手动校准两种模式；</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校准池上需标明封装日期及浓度；有效期半年或以上；</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1、温度计检测范围为-40℃～80℃，测量精度为±0.5℃；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2、湿度计检测范围为0%～100%，测量精度为±2%；</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3、大气压检测范围：10hPa～1100hPa，测量精度为±0.5hPa；</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4、风速测量范围0～60m/S，测量精度± 0.2 m/s或读数的3%，分辨率0.1米/秒；</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空气质量微型监测站</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可同时监测PM2.5、PM10、SO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、NO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、CO、O</w:t>
            </w:r>
            <w:r>
              <w:rPr>
                <w:rFonts w:hint="eastAsia" w:asciiTheme="majorEastAsia" w:hAnsiTheme="majorEastAsia" w:eastAsiaTheme="majorEastAsia" w:cstheme="majorEastAsia"/>
                <w:sz w:val="24"/>
                <w:szCs w:val="24"/>
                <w:vertAlign w:val="subscript"/>
              </w:rPr>
              <w:t>3</w:t>
            </w:r>
            <w:r>
              <w:rPr>
                <w:rFonts w:hint="eastAsia" w:asciiTheme="majorEastAsia" w:hAnsiTheme="majorEastAsia" w:eastAsiaTheme="majorEastAsia" w:cstheme="majorEastAsia"/>
                <w:sz w:val="24"/>
                <w:szCs w:val="24"/>
              </w:rPr>
              <w:t>。</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颗粒物自动在线监测系统可测量PM2.5、PM10等细颗粒物，采用光散射原理，测量量程0.01～2000µg/m3，，测量重复性≤10%，准确度±10%，分辨率达到0.01µg/m3，最大响应粒径范围0.1～10µm；空气动力学颗粒物粒径切割范围：1.0-10um；</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2、气态污染物监测子系统可测量CO、O</w:t>
            </w:r>
            <w:r>
              <w:rPr>
                <w:rFonts w:hint="eastAsia" w:asciiTheme="majorEastAsia" w:hAnsiTheme="majorEastAsia" w:eastAsiaTheme="majorEastAsia" w:cstheme="majorEastAsia"/>
                <w:sz w:val="24"/>
                <w:szCs w:val="24"/>
                <w:vertAlign w:val="subscript"/>
              </w:rPr>
              <w:t>3</w:t>
            </w:r>
            <w:r>
              <w:rPr>
                <w:rFonts w:hint="eastAsia" w:asciiTheme="majorEastAsia" w:hAnsiTheme="majorEastAsia" w:eastAsiaTheme="majorEastAsia" w:cstheme="majorEastAsia"/>
                <w:sz w:val="24"/>
                <w:szCs w:val="24"/>
              </w:rPr>
              <w:t>、SO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、NO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主控计算机（知名品牌工控机）</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14以上显示器。</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▲保障系统稳定运行，一旦出现故障可以立即自动修复（提供有效技术资料）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激光打印机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A4纸激光打印，轻巧和便于携带，体积小便于安装在车内使用。能与主控计算机连接，软件根据检测数据自动打印对超标车辆限期治理通知书、现场处罚决定书等行政执法文书。</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接口：高速USB2.0</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分辨率抵达：1200X1200dpi</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打印负荷：5000页;自适应操作系统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所有软件界面应为简体中文，仪器所有软件与Windows系统兼容，方便使用。</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实时数据显示：</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1．能够按站点、车道实时显示最新一条监测抓拍的监测车辆的照片，并关联车辆检测基本信息，包括：过车时间、车牌号、车牌颜色、车辆类型、车辆行驶速度/加速度、车辆VSP等信息。</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2．可针对每一辆经过车辆，实时检测车辆尾气排放浓度信息（CO、CO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、HC、NOX、不透光烟度、光吸收系数）。</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光路调试及气体标定：</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1．管理软件有调试模式，进入调试模式后，发送测试命令，机动车排气遥感检测主机返回数据，根据光路的波形的能量状况对设备进行调试。</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2．软件可在线进行气体标定，设置不同的标气浓度值，系统支持一键操作，校准时间可自由设置。</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数据记录及存储：</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1．遥感测量地点每经过一辆车，不论是否获得有效排放数据，测量系统均会自动生成一个记录，每个记录都具有特定的序列号作为检测记录编号。</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2．检测的车辆数据及尾气信息组合成一张图片实时记录在硬盘上，同时自动备份。数据记录使用增量记录方式，同一天检测的数据只生成一个文件，方便用户操作使用。</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3．软件将前端录像文件压缩后储存，图片和视频存放在独立文件夹中，车辆视频和图象照片文件名用记录编号+顺序号命名，具有唯一性，便于用户查找及三级联网和数据共享。</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数据查询：</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1．历史数据查询，支持多种条件查询，不仅可以按照日期时间段、车牌号、合格/不合格具体字段进行数据查询，还可以通过排放参数（CO、CO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2．超标车数据查询，支持按照站点、时间段、车牌号以及参数（CO、CO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、HC、NOX、不透光烟度、光吸收系数、燃油类型、黑烟车等）查询出来超标以及高排放车辆信息。</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系统管理：</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1．管理软件可以对前端所有设备进行管理，并判断系统中设备的在线状态，对于异常情况下出现的设备不在线状态，系统会自动判断并给出报警提示。</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2．管理软件可以对前端LED屏的显示内容进行管理，根据客户实际需求来自定义显示行数、字体大小、显示内容等。</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在线升级：</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管理软件具有升级功能，可以对系统中的设备进行在线或远程升级的操作。</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数据传输：</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根据实际情况，支持选择无线4G或者光纤传输。符合地市、省和国家三级联网和数据共享规范要求。</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道路流量监测系统</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专用装载车及改装</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专用装载车及改装</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长宽高尺寸不得小于5700mm×1800mm×2450mm，排放标准必须符合国家排放标准的规定</w:t>
            </w:r>
          </w:p>
          <w:p>
            <w:pPr>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基本要求：</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车体分为三个功能区：驾驶区、监测区、承载区；承载区需满足汽/柴组合式遥测设备及便携式汽车/不透光烟度校准仪器的摆放要求；车体结构为高硬度、高强度全金属结构，侧壁作加强筋处理，内墙体防水阻燃可擦洗；车厢地面防滑、防腐蚀、防静电处理；具有较好的电绝缘性、热绝缘性、阻燃性和较好的保温性；车体侧窗后车门封闭，其它窗避光处理，配备车用灭火器2个、安全锤2把。</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2、车内监测支持设备要求：</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配备满足车载便携仪器专业储存柜，并带有锁定装置；预留便携式仪器的存放空间，带减震垫，配备专用仪器托盘</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3、供电及照明系统：</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有用电器具均可由车载蓄电装置或者市电供电，自动切换。部分照明用电由汽车动力驱动，配电系统能满足市电和发电系统电源输入和输出的要求；带50米线盘1组，带电源保护装置，并根据车载仪器设备的需要，配置相应的防水电源插口；配备配电柜、车载专用外接电源接口；照明系统满足通用仪器要求，设有应急照明灯。</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4、空调及排风系统：</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双空调系统，除原配车载空调外，车箱监测区另配车载式顶置空调，冷却量3KW、加热量2.2KW，空调供电即可接入市电。</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5、车顶及驾驶区、监测区支持设备要求：</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顶平台须坚固、结实，气象参数测定设备固定于车顶平台左侧（靠近检测道路，用于检测道路底层空气环境状况）。安装液晶显示屏倒车监视器，车载GPS/北斗语音导航系统。监测区设有监控工作台，满足尾气检测流动办公需求，设置可移动座椅2个。</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6、车控系统及独立控制开关：</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7、车外部：</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装配后车门爬梯；外部标识为：机动车排气污染遥感检测车。车身字体图饰烤漆处理，并经用户确认后实施。车顶加装车顶平台及室外LED电子显示屏，要求故障率低，维护维修便利。</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8、车顶LED电子显示屏：</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LED显示屏面积不小于0.8㎡，过往车辆可清晰看见显示内容，显示颜色：≥65536色，灰度等级：≥256级，工作电压：220V±15%，40-60Hz，可视角度-60°至+30°，水平±70°或以上，像素密度：≥6400点/㎡，效果高于双基色显示屏，点距：10mm或更好，抗冲击、防水、防风，寿命大于10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车顶监控系统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车顶监控系统：对移动式遥感检测系统的检测过程进行全程监控，现场监控主要有视频采集设备、网络硬盘录像机组成，存储时间不少于三个月。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标准气</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标准气：8升防腐内胆的标准气体钢瓶，二级以上（包括二级）标准混合气，并带有减压压力显示表的不锈钢减压阀，用于遥测系统检测环境背景标定和审查，具体满足如下条件：</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CO：2.50%（±5%）；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：14.5%（±5%）；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NO：2500ppm(±5%)；</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HC：100ppm(±5%)；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警用隔离墩</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警用隔离墩：PVC反光锥套，具有良好的柔韧性，抗滚压及硬物碰撞，防日晒雨打，耐热耐寒不龟裂，不变色，红白相间，颜色醒目，保障遥测现场操作人员及设备的安全。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通讯联网</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通讯联网：4G无线移动网络，保障数据的上传和系统联通。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sz w:val="24"/>
                <w:szCs w:val="24"/>
              </w:rPr>
              <w:t>尾气遥感监测大数据平台系统需求清单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站点分布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不同显示形式显示固定式检测站点与移动式检测站点、地图上显示区域内所有布控站点、车道具体地理位置，并且清楚显示出站点目前数据的连接性和环境空气质量等级信息。通过点击站点可查看监测数据信息，包括：当前最新的尾气监测数据信息、视频、照片。可以快速定位到具体站点、车道的采集数据信息，地图中同步以不同图标形式显示移动式监测点。在地图上直观展示该地区的全部机动车尾气监测点位、环境空气质量等级、监测站点各车道车辆检测实时数据、以及移动监测点位信息。将鼠标移动到某站点上即可查看该站点车辆的实时数据内容以及抓拍图片、监控视频等信息。具备快速定位能力，可显示具体车道的尾气检测数据以及空气质量数据。地图实时显示各站点的 AQI 指数并且划分为六个程度等级（一级、二级、三级、四级、五级、六级）及联网情况（掉线、无数据），共显示有八个状态，并采用不同颜色进行标注。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点位及运行管理</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1、实现对监测点位、遥测线、遥测设备信息，点位日常运行维护、设备标定检查的维护管理，对监测点位和遥测设备进行唯一编号。</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2、监测点位的编号规则规定如下：1位点位类型+6位行政区划代码+3位顺序号（如“A130128001”）。点位类型：1位，A-表示垂直固定式，B-表示水平固定式，C-表示移动式。行政区划代码 ：6位，表示点位安装地点位置，如是移动式监测点位则用所属单位地址替代。顺序号：3位，表示点位投入运行的顺序号。</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3、遥测线编号规则规定如下：遥测线编号：2位顺序号。利用地理信息系统和卫星定位系统技术(移动式)显示监测点位经纬度、运行状态。运行异常的应及时报警。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质量</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管理</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对监测点位上传来的数据进行统一校验，剔除无效数据，对数据决策分析和给环保厅数据上报打下基础。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监测</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管理</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1、实时监测包括实时数据、实时监控两个模块内容。可显示点位实时监测数据的具体信息以及实时视频监控。</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实时数据：实时数据子模块主要显示各站点、各车道的实时监控数据。展现形式可以分为直观信息展示与详细列表展示：直观信息可实时显示最新一条监测抓拍的车辆的照片、与车管所数据库对接车辆检测基本信息（车辆号牌、号牌种类、厂牌型号、车架号、发动机号、车辆类型、出厂年月、车主信息、车辆用途）及车辆年检记录、车型、车型颜色、车牌颜色、黄绿色标、燃油类型、黑烟车信息、监测 数据合格有效性、环境空气质量信息（PM10、PM2.5、SO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、CO、O</w:t>
            </w:r>
            <w:r>
              <w:rPr>
                <w:rFonts w:hint="eastAsia" w:asciiTheme="majorEastAsia" w:hAnsiTheme="majorEastAsia" w:eastAsiaTheme="majorEastAsia" w:cstheme="majorEastAsia"/>
                <w:sz w:val="24"/>
                <w:szCs w:val="24"/>
                <w:vertAlign w:val="subscript"/>
              </w:rPr>
              <w:t>3</w:t>
            </w:r>
            <w:r>
              <w:rPr>
                <w:rFonts w:hint="eastAsia" w:asciiTheme="majorEastAsia" w:hAnsiTheme="majorEastAsia" w:eastAsiaTheme="majorEastAsia" w:cstheme="majorEastAsia"/>
                <w:sz w:val="24"/>
                <w:szCs w:val="24"/>
              </w:rPr>
              <w:t>、NO、NO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 NOX、温度、湿度、风向、风速、压强、降雨量）、车辆 VSP 信息、车速、加速度、坡度、车辆尾气排放浓度信息（CO、CO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通光度、光吸收系数），监测数据以图形形式直观显示；监测车辆的详细信息以列表形式显示，对超标数据以颜色对比突出显示，数据列表中可实时查看调取具体视频信息、图片，图片信息支持打印。按具体监测点位、上下行车道类型、站点类型等，进行最新监测车辆信息的数据查询。尾气检测参数信息、车辆基本信息、气象、环境空气质量数据等内容的实时监测数据，分别以模块形式进行显示，图形信息均支持保存下载，页面数据检测汇总信息以列表的形式直观反映。</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实时监控：已集成各大视频服务器厂商的视频控件，可接收现场端监测站点的视频图像，并进行实时视频监控。用户可以通过平台对现场端的视频监控设备进行远程控制。上端站点选择框可选择需要查看的站点，并支持视频的云台操控、图片抓拍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查询</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查询模块主要包括历史数据查询、超标车辆数据查询、环境空气质量查询、高排污查询、违规查询、移动式站点数据查询等子模块。该查询模块对于已有相关信息的车辆，根据检测识别车牌信息调用数据库信息判别柴油或汽油车。对于无相关信息的车辆，则通过由用户设定不透光烟度车辆判别限值（该值不同于排放限值，应设置专门的判别限值输入菜单）对车辆作临时判别，即假定超过判别限值的为柴油车，低于判别限值的为汽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统计</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分析</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统计分析模块中可实现多种信息统计，包括：车流量/合格/不合格信息统计、 AQI 与车流量对比、尾气排放物与污染物对比、车辆信息比重、检测有效率统计、分时段对比；可以对所有布控点位的数据进行统计、分析。数据信息可以与省市机动车环保监管平台实现数据与信息的对接；车流量/合格不合格信息统计：可根据时间段、单站点/多站点、合格/不合格、车辆总数、字段信息等进行查询（按照站点或区域统计车流量合格不合格数量）显示车流量信息以及合格不合格数， 统计结果以图形/列表形式显示。列表可以 EXCEL导出至本地。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预警</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主要针对检测设备的掉线、故障信息进行查询。预警结果可以以短信、微信形式进行提醒。 该功能根据检测设备状态信息对设备掉线、故障信息以及数据异常信息以微信、短信形式进行推送预警报警信息，此处可以查看已经推送的每条短信、微信的具体信息。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传输</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平台与监测点位各类信息应实时同步，管理端软件之间的数据交换应通过环保专网、数据传输与交换平台进行，管理端软件与上级管理端软件，如与许昌市、省级遥感监测平台、国家遥感监测平台之间应保证数据及时同步。</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2、需要交换的内容应包括：监测点位信息、交通流量信息、遥感监测数据、车辆数据、设备自检、设备检查信息。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视频</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监控</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实现流媒体转发功能，能够监控各个点位的视频。满足市级机动车遥感监测平台、省机动车遥感监测平台的视频远程观看和远程调用需要。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1、应建立本地车辆数据库，车辆数据库定期和监测点位同步。</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2、车辆数据库应定期上传至省机动车遥感监测平台，每月更新一次。</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3、车辆数据库应及时和当地公安交通管理部门同步更新数据。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外埠</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对采集的外埠车辆遥感监测信息，如无法匹配车辆数据库的，应及时通过省级遥感监测平台查询查询下载车辆信息后进行判定，并更新记录。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GIS</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展现</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地图集中显示各个监测点位的地理位置信息，以及各监测点位 AQI 空气质量等级信息，点击站点显示监测站点实时车辆尾气检测数据的详细信息，包括尾气参数（CO、CO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、HC、NOX、不通光烟度）柱状分析图，车辆基本信息、气象 信息、空气质量信息、抓拍图片信息。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后台</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系统管理</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1、该模块主要对平台上所有功能模块的基础信息进行维护。其中包括：人员管理、权限管理、站点信息和参数信息四大管理模块。</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站点管理可对不同地区的站点进行添加和修改；用户管理可对不同人员进行查删改的操作，支持写入人员信息和勾选角色、负责站点等信息；权限管理：可以为不同角色设置不同权限，具备多组用户输入功能，对人员登录权限进行设置，不同级别用户不同权限；参数限值：该功能可设置不同参数的上下限值，低于或 高于此限制，数据即视作无效，不参与数据分析、统计、比较等操作。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可视化分析</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1、机动车尾气监测中包含多种维度指标，尾气信息、车牌、气象环境、加速度等，遥感监测系统能够通过遥测设备采集CO、CO</w:t>
            </w:r>
            <w:r>
              <w:rPr>
                <w:rFonts w:hint="eastAsia" w:asciiTheme="majorEastAsia" w:hAnsiTheme="majorEastAsia" w:eastAsiaTheme="majorEastAsia" w:cstheme="majorEastAsia"/>
                <w:sz w:val="24"/>
                <w:szCs w:val="24"/>
                <w:vertAlign w:val="subscript"/>
              </w:rPr>
              <w:t>2</w:t>
            </w:r>
            <w:r>
              <w:rPr>
                <w:rFonts w:hint="eastAsia" w:asciiTheme="majorEastAsia" w:hAnsiTheme="majorEastAsia" w:eastAsiaTheme="majorEastAsia" w:cstheme="majorEastAsia"/>
                <w:sz w:val="24"/>
                <w:szCs w:val="24"/>
              </w:rPr>
              <w:t>、HC、NOX、烟度、不透光系数和林格曼黑度等数据，并结合相关气象信息及机动车尾气排放核心数据库信息进行综合加工、治理，形成大量待探索挖掘的数据信息。</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2、可对数据展现结果的查看，进行联动交互分析、过滤筛选，并可对关心的报告结果进行收藏，可即时查看真实数据，可进行数据的上卷下钻钻透分析，可对展现结果进行导出PDF、Excel操作。</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利用GIS地图，展现监测点具体地理位置。当在GIS地图中选择某一监测站，可以看到该监测站的尾气污染物情况、各时间段监测的空气质量情况、经过该监测站的车流列表，已经当前监测站所在区域的AQI、各污染物之间的平均浓度数据；</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利用柱形图及饼图方式，展现尾气中重点污染物的数值及占比情况，并可以按照不同的聚合方式进行统计，如平均值、最大值、最小值等；</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4、利用折线图展现各时段空气AQI指标情况，分析不同季度、不同月份的AQI影响因子，观察AQI整体变化趋势，针对高污染时段进行有效控制；</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5、利用列表，展现监测点车辆情况，包含车牌、驾驶人、监测点地址、时间等相关信息，便于与其他指标进行关联性分析，同时可以对高污染车辆进行“围追堵截”；</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6、利用大数据相关算法，计算AQI及各污染物平均浓度相关性，建立两者的时间区县，分析不同时段两者的变化情况。图形中数据可以以Excel或PDF的形式进行导出，方便数据传递和价值分享；</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7、利用KPI，将最为关注的AQI及污染物平均浓度进行直观展现。</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通过可视化分析的手段，可以将监测数据进行整体呈现，既可以看到整个禹州的尾气排放与AQI的宏观情况，同时也可以聚焦到某一监测站进行微观分析，并且可以针对不同污染物、不同时间段、不同车辆信息进行细粒度分析展现，辅助防污办人员进行科学、合理的数据分析和支持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网络平台需求清单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采用现有的环保专网，各监测点位接入到市环保局，然后统一经由环保专网上传到许昌市环保局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应用服务器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机架式，8Core  E5-2600 CPU，32GB内存，2*300GB硬盘，Raid1,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数据库服务器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机架式，8Core  E5-2600 CPU，64GB内存，4T硬盘，Raid1,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交换机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产品类型：千兆以太网交换机</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应用层级：三层</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传输速度：10/100/1000Mbps</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交换方式：存储—转发</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端口：48个千兆电口、4个千兆SFP</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背板带宽：≥256Gbps</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包转发率：≥78Mpps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防火墙</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1U机架式结构；标配6个10/100/1000 Base-T铜口；具备1个扩展槽位；具备2个USB接口，具备1对硬件 bypass接口，8G内存；具备应用识别与控制功能，包含一年应用识别升级 服务；具备IPSec VPN功能，默认隧道数1000、默认客户端数5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UPS</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outlineLvl w:val="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单进单出高频在线式不间断电源系统，容量为6KVA，后备供电半小时。</w:t>
            </w:r>
          </w:p>
          <w:p>
            <w:pPr>
              <w:widowControl/>
              <w:outlineLvl w:val="0"/>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1、整体结构要求：</w:t>
            </w:r>
          </w:p>
          <w:p>
            <w:pPr>
              <w:widowControl/>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1）具有输入功率因数校正（PFC）技术，输入功率因数高达0.99</w:t>
            </w:r>
          </w:p>
          <w:p>
            <w:pPr>
              <w:widowControl/>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2）具有并机可共用电池组功能</w:t>
            </w:r>
          </w:p>
          <w:p>
            <w:pPr>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3）具备经济运行模式（ECO）功能</w:t>
            </w:r>
          </w:p>
          <w:p>
            <w:pPr>
              <w:widowControl/>
              <w:ind w:left="310" w:hanging="360"/>
              <w:jc w:val="left"/>
              <w:outlineLvl w:val="0"/>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2、电气性能要求：</w:t>
            </w:r>
          </w:p>
          <w:p>
            <w:pPr>
              <w:widowControl/>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1）整流输入电压范围：120VAC-276VAC（单项电压）</w:t>
            </w:r>
          </w:p>
          <w:p>
            <w:pPr>
              <w:widowControl/>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2）输入功率因数：满载时≥0.99</w:t>
            </w:r>
          </w:p>
          <w:p>
            <w:pPr>
              <w:widowControl/>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3）输出电压失真度：失真度＜2%（线性负载）</w:t>
            </w:r>
          </w:p>
          <w:p>
            <w:pPr>
              <w:widowControl/>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4）输出功率因数：UPS的输出功率因数≥0.8</w:t>
            </w:r>
          </w:p>
          <w:p>
            <w:pPr>
              <w:widowControl/>
              <w:ind w:left="310" w:hanging="36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5）旁路输入：旁路保护电压上限：+25%（可选+10%、+15%、+20%）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旁路保护电压下限：-45%(可选-20%、-30%)</w:t>
            </w:r>
          </w:p>
          <w:p>
            <w:pPr>
              <w:widowControl/>
              <w:ind w:left="310" w:hanging="36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6）输出电压：</w:t>
            </w:r>
            <w:r>
              <w:rPr>
                <w:rFonts w:hint="eastAsia" w:asciiTheme="majorEastAsia" w:hAnsiTheme="majorEastAsia" w:eastAsiaTheme="majorEastAsia" w:cstheme="majorEastAsia"/>
                <w:sz w:val="24"/>
                <w:szCs w:val="24"/>
              </w:rPr>
              <w:t>220/230/240±1％VA</w:t>
            </w:r>
          </w:p>
          <w:p>
            <w:pP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所投品牌为知名品牌，投标UPS主机与蓄电池必须为同一品牌，蓄电池需提供生产许可证：蓄电池制造商与UPS制造商营业执照法人为同一人。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显示屏</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55寸LED显示屏</w:t>
            </w:r>
          </w:p>
        </w:tc>
      </w:tr>
    </w:tbl>
    <w:p>
      <w:pPr>
        <w:widowControl/>
        <w:numPr>
          <w:ilvl w:val="0"/>
          <w:numId w:val="0"/>
        </w:numPr>
        <w:shd w:val="clear" w:color="auto" w:fill="FFFFFF"/>
        <w:spacing w:line="360" w:lineRule="auto"/>
        <w:jc w:val="left"/>
        <w:rPr>
          <w:rFonts w:hint="eastAsia" w:asciiTheme="majorEastAsia" w:hAnsiTheme="majorEastAsia" w:eastAsiaTheme="majorEastAsia" w:cstheme="majorEastAsia"/>
          <w:kern w:val="0"/>
          <w:sz w:val="24"/>
          <w:szCs w:val="24"/>
        </w:rPr>
      </w:pPr>
    </w:p>
    <w:p>
      <w:pPr>
        <w:widowControl/>
        <w:numPr>
          <w:ilvl w:val="0"/>
          <w:numId w:val="10"/>
        </w:numPr>
        <w:shd w:val="clear" w:color="auto" w:fill="FFFFFF"/>
        <w:spacing w:line="360" w:lineRule="auto"/>
        <w:ind w:firstLine="6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采购标的执行标准</w:t>
      </w:r>
    </w:p>
    <w:p>
      <w:pPr>
        <w:ind w:firstLine="851"/>
        <w:rPr>
          <w:rFonts w:hint="eastAsia" w:asciiTheme="majorEastAsia" w:hAnsiTheme="majorEastAsia" w:eastAsiaTheme="majorEastAsia" w:cstheme="majorEastAsia"/>
          <w:sz w:val="24"/>
          <w:szCs w:val="24"/>
        </w:rPr>
      </w:pPr>
      <w:bookmarkStart w:id="2" w:name="_Hlk526674328"/>
      <w:r>
        <w:rPr>
          <w:rFonts w:hint="eastAsia" w:asciiTheme="majorEastAsia" w:hAnsiTheme="majorEastAsia" w:eastAsiaTheme="majorEastAsia" w:cstheme="majorEastAsia"/>
          <w:sz w:val="24"/>
          <w:szCs w:val="24"/>
        </w:rPr>
        <w:t>1、《机动车辆及挂车分类》（GB/T 15089-2001）</w:t>
      </w:r>
    </w:p>
    <w:p>
      <w:pPr>
        <w:ind w:firstLine="85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2、《点燃式发动机汽车排气污染物排放限值及测量方法（双怠速法及简易工况法）》（GB18285-2005）</w:t>
      </w:r>
    </w:p>
    <w:p>
      <w:pPr>
        <w:ind w:firstLine="648" w:firstLineChars="2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车 用 压 燃 式 发 动 机 和 压 燃 式 发 动 机 汽 车 排 气 烟 度 排 放 限 值 及 测 量 方 法 》（ GB3847-2005）</w:t>
      </w:r>
    </w:p>
    <w:p>
      <w:pPr>
        <w:ind w:firstLine="648" w:firstLineChars="2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4、《机动车测速仪》（GB/T 21255-2007）</w:t>
      </w:r>
    </w:p>
    <w:p>
      <w:pPr>
        <w:ind w:firstLine="648" w:firstLineChars="2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5、《通用计量术语与定义》（JJF 1001-2011）</w:t>
      </w:r>
    </w:p>
    <w:p>
      <w:pPr>
        <w:ind w:firstLine="648" w:firstLineChars="2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6、《遥感式汽油车排放有害气体检测仪检定规程》（JJG（京）45—2011）</w:t>
      </w:r>
    </w:p>
    <w:p>
      <w:pPr>
        <w:ind w:firstLine="648" w:firstLineChars="2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7、《机动车尾气遥测设备 通用技术要求》（JB/T 11996-2014）</w:t>
      </w:r>
    </w:p>
    <w:p>
      <w:pPr>
        <w:ind w:firstLine="648" w:firstLineChars="27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8、《在用柴油车污染物测量方法及技术要求》（遥感监测法）（HJ845-2017）</w:t>
      </w:r>
      <w:bookmarkEnd w:id="2"/>
    </w:p>
    <w:p>
      <w:pPr>
        <w:widowControl/>
        <w:numPr>
          <w:ilvl w:val="0"/>
          <w:numId w:val="11"/>
        </w:numPr>
        <w:shd w:val="clear" w:color="auto" w:fill="FFFFFF"/>
        <w:spacing w:line="360" w:lineRule="auto"/>
        <w:ind w:firstLine="480" w:firstLineChars="200"/>
        <w:contextualSpacing/>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服务标准、期限、效率等要求（</w:t>
      </w:r>
      <w:r>
        <w:rPr>
          <w:rFonts w:hint="eastAsia" w:asciiTheme="majorEastAsia" w:hAnsiTheme="majorEastAsia" w:eastAsiaTheme="majorEastAsia" w:cstheme="majorEastAsia"/>
          <w:iCs/>
          <w:kern w:val="0"/>
          <w:sz w:val="24"/>
          <w:szCs w:val="24"/>
        </w:rPr>
        <w:t>根据项目具体情况填写</w:t>
      </w:r>
      <w:r>
        <w:rPr>
          <w:rFonts w:hint="eastAsia" w:asciiTheme="majorEastAsia" w:hAnsiTheme="majorEastAsia" w:eastAsiaTheme="majorEastAsia" w:cstheme="majorEastAsia"/>
          <w:kern w:val="0"/>
          <w:sz w:val="24"/>
          <w:szCs w:val="24"/>
        </w:rPr>
        <w:t>）</w:t>
      </w:r>
    </w:p>
    <w:p>
      <w:pPr>
        <w:autoSpaceDE w:val="0"/>
        <w:autoSpaceDN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shd w:val="clear" w:color="auto" w:fill="FFFFFF"/>
        </w:rPr>
        <w:t>1、中标人应于合同签订后60日历日内，按照招标文件要求将招标项目所涉及货物送达、安装调试完毕并投入运行，经甲方验收合格之日起正式提供“禹州市机动车尾气遥感监测系统5年期监测运营及运维服务”。具体需求详见服务需求清单。</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（五）验收标准</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1、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2、中标人应及时向采购人提供设备及服务，并承诺与采购人进行积极主动的合作，中标人必须服从采购人的统一协调，在设备供货、技术支持、运行维护等方面相互配合；</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3、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4、产品未经验收时，由中标人负责保管至采购项目交货结束，其间发生的损坏、遗失由中标人负责；</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5、设备到货后中标人应免费派技术人员在现场安装、调试；</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6、中标人应遵守采购单位安装现场的一切规章制度；</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7、中标人在设备全部安装完工并通过采购方的验收之前应对安装好的设备及设备的安装工具等提供适当的保护、包装或覆盖等处理，直至验收合格，以免设备受损；</w:t>
      </w:r>
    </w:p>
    <w:p>
      <w:pPr>
        <w:pStyle w:val="50"/>
        <w:numPr>
          <w:ilvl w:val="0"/>
          <w:numId w:val="0"/>
        </w:numPr>
        <w:spacing w:line="360" w:lineRule="auto"/>
        <w:ind w:firstLine="480" w:firstLineChars="200"/>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8、调试期间或保修过程中，中标人负责及时清理垃圾，并将包装物及垃圾堆放至采购人指定地点。</w:t>
      </w:r>
    </w:p>
    <w:p>
      <w:pPr>
        <w:widowControl/>
        <w:spacing w:line="360" w:lineRule="auto"/>
        <w:ind w:firstLine="480" w:firstLineChars="200"/>
        <w:jc w:val="left"/>
        <w:rPr>
          <w:rFonts w:hint="eastAsia" w:asciiTheme="majorEastAsia" w:hAnsiTheme="majorEastAsia" w:eastAsiaTheme="majorEastAsia" w:cstheme="majorEastAsia"/>
          <w:kern w:val="0"/>
          <w:sz w:val="24"/>
          <w:szCs w:val="24"/>
          <w:shd w:val="clear" w:color="auto" w:fill="FFFFFF"/>
        </w:rPr>
      </w:pPr>
      <w:r>
        <w:rPr>
          <w:rFonts w:hint="eastAsia" w:asciiTheme="majorEastAsia" w:hAnsiTheme="majorEastAsia" w:eastAsiaTheme="majorEastAsia" w:cstheme="majorEastAsia"/>
          <w:kern w:val="0"/>
          <w:sz w:val="24"/>
          <w:szCs w:val="24"/>
          <w:shd w:val="clear" w:color="auto" w:fill="FFFFFF"/>
        </w:rPr>
        <w:t>9、采购人应当及时对采购项目进行验收。采购人可以邀请第三方机构参与验收。参与验收的第三方机构的意见作为验收书的参考资料一并存档。</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shd w:val="clear" w:color="auto" w:fill="FFFFFF"/>
          <w:lang w:val="en-US"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三、采购资金支付</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shd w:val="clear" w:color="auto" w:fill="FFFFFF"/>
          <w:lang w:val="en-US"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（一）支付方式：电子转账</w:t>
      </w:r>
    </w:p>
    <w:p>
      <w:pPr>
        <w:widowControl/>
        <w:shd w:val="clear" w:color="auto" w:fill="FFFFFF"/>
        <w:spacing w:line="360" w:lineRule="auto"/>
        <w:ind w:firstLine="600"/>
        <w:jc w:val="left"/>
        <w:rPr>
          <w:rFonts w:hint="eastAsia" w:asciiTheme="majorEastAsia" w:hAnsiTheme="majorEastAsia" w:eastAsiaTheme="majorEastAsia" w:cstheme="majorEastAsia"/>
          <w:kern w:val="0"/>
          <w:sz w:val="24"/>
          <w:szCs w:val="24"/>
          <w:shd w:val="clear" w:color="auto" w:fill="FFFFFF"/>
          <w:lang w:val="en-US"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（二）支付时间及条件：以签订合同为准。</w:t>
      </w:r>
    </w:p>
    <w:p>
      <w:pPr>
        <w:spacing w:line="360" w:lineRule="auto"/>
        <w:ind w:firstLine="480" w:firstLineChars="200"/>
        <w:rPr>
          <w:rFonts w:hint="eastAsia" w:asciiTheme="majorEastAsia" w:hAnsiTheme="majorEastAsia" w:eastAsiaTheme="majorEastAsia" w:cstheme="majorEastAsia"/>
          <w:kern w:val="0"/>
          <w:sz w:val="24"/>
          <w:szCs w:val="24"/>
          <w:shd w:val="clear" w:color="auto" w:fill="FFFFFF"/>
          <w:lang w:val="zh-CN" w:eastAsia="zh-CN" w:bidi="ar-SA"/>
        </w:rPr>
      </w:pPr>
      <w:r>
        <w:rPr>
          <w:rFonts w:hint="eastAsia" w:asciiTheme="majorEastAsia" w:hAnsiTheme="majorEastAsia" w:eastAsiaTheme="majorEastAsia" w:cstheme="majorEastAsia"/>
          <w:kern w:val="0"/>
          <w:sz w:val="24"/>
          <w:szCs w:val="24"/>
          <w:shd w:val="clear" w:color="auto" w:fill="FFFFFF"/>
          <w:lang w:val="zh-CN" w:eastAsia="zh-CN" w:bidi="ar-SA"/>
        </w:rPr>
        <w:t>四、其他要求</w:t>
      </w:r>
    </w:p>
    <w:p>
      <w:pPr>
        <w:spacing w:line="360" w:lineRule="auto"/>
        <w:ind w:firstLine="480" w:firstLineChars="200"/>
        <w:rPr>
          <w:rFonts w:hint="eastAsia" w:asciiTheme="majorEastAsia" w:hAnsiTheme="majorEastAsia" w:eastAsiaTheme="majorEastAsia" w:cstheme="majorEastAsia"/>
          <w:kern w:val="0"/>
          <w:sz w:val="24"/>
          <w:szCs w:val="24"/>
          <w:shd w:val="clear" w:color="auto" w:fill="FFFFFF"/>
          <w:lang w:val="zh-CN" w:eastAsia="zh-CN" w:bidi="ar-SA"/>
        </w:rPr>
      </w:pPr>
      <w:r>
        <w:rPr>
          <w:rFonts w:hint="eastAsia" w:asciiTheme="majorEastAsia" w:hAnsiTheme="majorEastAsia" w:eastAsiaTheme="majorEastAsia" w:cstheme="majorEastAsia"/>
          <w:kern w:val="0"/>
          <w:sz w:val="24"/>
          <w:szCs w:val="24"/>
          <w:shd w:val="clear" w:color="auto" w:fill="FFFFFF"/>
          <w:lang w:val="zh-CN" w:eastAsia="zh-CN" w:bidi="ar-SA"/>
        </w:rPr>
        <w:t>1、投标人须明确投标产品的厂家、产地、品牌、型号、详细参数，否则为无效投标。</w:t>
      </w:r>
    </w:p>
    <w:p>
      <w:pPr>
        <w:spacing w:line="360" w:lineRule="auto"/>
        <w:ind w:firstLine="480" w:firstLineChars="200"/>
        <w:rPr>
          <w:rFonts w:hint="eastAsia" w:asciiTheme="majorEastAsia" w:hAnsiTheme="majorEastAsia" w:eastAsiaTheme="majorEastAsia" w:cstheme="majorEastAsia"/>
          <w:kern w:val="0"/>
          <w:sz w:val="24"/>
          <w:szCs w:val="24"/>
          <w:shd w:val="clear" w:color="auto" w:fill="FFFFFF"/>
          <w:lang w:val="zh-CN"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2</w:t>
      </w:r>
      <w:r>
        <w:rPr>
          <w:rFonts w:hint="eastAsia" w:asciiTheme="majorEastAsia" w:hAnsiTheme="majorEastAsia" w:eastAsiaTheme="majorEastAsia" w:cstheme="majorEastAsia"/>
          <w:kern w:val="0"/>
          <w:sz w:val="24"/>
          <w:szCs w:val="24"/>
          <w:shd w:val="clear" w:color="auto" w:fill="FFFFFF"/>
          <w:lang w:val="zh-CN" w:eastAsia="zh-CN" w:bidi="ar-SA"/>
        </w:rPr>
        <w:t>、投标人应就该项目完整投标，否则为无效投标。</w:t>
      </w:r>
    </w:p>
    <w:p>
      <w:pPr>
        <w:spacing w:line="360" w:lineRule="auto"/>
        <w:ind w:firstLine="480" w:firstLineChars="200"/>
        <w:rPr>
          <w:rFonts w:hint="eastAsia" w:asciiTheme="majorEastAsia" w:hAnsiTheme="majorEastAsia" w:eastAsiaTheme="majorEastAsia" w:cstheme="majorEastAsia"/>
          <w:kern w:val="0"/>
          <w:sz w:val="24"/>
          <w:szCs w:val="24"/>
          <w:shd w:val="clear" w:color="auto" w:fill="FFFFFF"/>
          <w:lang w:val="zh-CN"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3</w:t>
      </w:r>
      <w:r>
        <w:rPr>
          <w:rFonts w:hint="eastAsia" w:asciiTheme="majorEastAsia" w:hAnsiTheme="majorEastAsia" w:eastAsiaTheme="majorEastAsia" w:cstheme="majorEastAsia"/>
          <w:kern w:val="0"/>
          <w:sz w:val="24"/>
          <w:szCs w:val="24"/>
          <w:shd w:val="clear" w:color="auto" w:fill="FFFFFF"/>
          <w:lang w:val="zh-CN" w:eastAsia="zh-CN" w:bidi="ar-SA"/>
        </w:rPr>
        <w:t>、产品必须符合国家质量检测标准和本招标文件规定标准的全新正品现货，提供随货物《产品合格证》及其它相关质量证明文件。</w:t>
      </w:r>
    </w:p>
    <w:p>
      <w:pPr>
        <w:spacing w:line="360" w:lineRule="auto"/>
        <w:ind w:firstLine="480" w:firstLineChars="200"/>
        <w:rPr>
          <w:rFonts w:hint="eastAsia" w:asciiTheme="majorEastAsia" w:hAnsiTheme="majorEastAsia" w:eastAsiaTheme="majorEastAsia" w:cstheme="majorEastAsia"/>
          <w:kern w:val="0"/>
          <w:sz w:val="24"/>
          <w:szCs w:val="24"/>
          <w:shd w:val="clear" w:color="auto" w:fill="FFFFFF"/>
          <w:lang w:val="zh-CN"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4、本项目不接受</w:t>
      </w:r>
      <w:r>
        <w:rPr>
          <w:rFonts w:hint="eastAsia" w:asciiTheme="majorEastAsia" w:hAnsiTheme="majorEastAsia" w:eastAsiaTheme="majorEastAsia" w:cstheme="majorEastAsia"/>
          <w:kern w:val="0"/>
          <w:sz w:val="24"/>
          <w:szCs w:val="24"/>
          <w:shd w:val="clear" w:color="auto" w:fill="FFFFFF"/>
          <w:lang w:val="zh-CN" w:eastAsia="zh-CN" w:bidi="ar-SA"/>
        </w:rPr>
        <w:t>进口产品。</w:t>
      </w:r>
    </w:p>
    <w:p>
      <w:pPr>
        <w:spacing w:line="360" w:lineRule="auto"/>
        <w:ind w:firstLine="480" w:firstLineChars="200"/>
        <w:rPr>
          <w:rFonts w:hint="eastAsia" w:asciiTheme="majorEastAsia" w:hAnsiTheme="majorEastAsia" w:eastAsiaTheme="majorEastAsia" w:cstheme="majorEastAsia"/>
          <w:kern w:val="0"/>
          <w:sz w:val="24"/>
          <w:szCs w:val="24"/>
          <w:shd w:val="clear" w:color="auto" w:fill="FFFFFF"/>
          <w:lang w:val="zh-CN"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5、中标方需提供产品使用说明书及光盘。并有义务进行有关使用培训。</w:t>
      </w:r>
    </w:p>
    <w:p>
      <w:pPr>
        <w:spacing w:line="360" w:lineRule="auto"/>
        <w:ind w:firstLine="480" w:firstLineChars="200"/>
        <w:rPr>
          <w:rFonts w:hint="eastAsia" w:asciiTheme="majorEastAsia" w:hAnsiTheme="majorEastAsia" w:eastAsiaTheme="majorEastAsia" w:cstheme="majorEastAsia"/>
          <w:kern w:val="0"/>
          <w:sz w:val="24"/>
          <w:szCs w:val="24"/>
          <w:shd w:val="clear" w:color="auto" w:fill="FFFFFF"/>
          <w:lang w:val="zh-CN" w:eastAsia="zh-CN" w:bidi="ar-SA"/>
        </w:rPr>
      </w:pPr>
      <w:r>
        <w:rPr>
          <w:rFonts w:hint="eastAsia" w:asciiTheme="majorEastAsia" w:hAnsiTheme="majorEastAsia" w:eastAsiaTheme="majorEastAsia" w:cstheme="majorEastAsia"/>
          <w:kern w:val="0"/>
          <w:sz w:val="24"/>
          <w:szCs w:val="24"/>
          <w:shd w:val="clear" w:color="auto" w:fill="FFFFFF"/>
          <w:lang w:val="en-US" w:eastAsia="zh-CN" w:bidi="ar-SA"/>
        </w:rPr>
        <w:t>6</w:t>
      </w:r>
      <w:r>
        <w:rPr>
          <w:rFonts w:hint="eastAsia" w:asciiTheme="majorEastAsia" w:hAnsiTheme="majorEastAsia" w:eastAsiaTheme="majorEastAsia" w:cstheme="majorEastAsia"/>
          <w:kern w:val="0"/>
          <w:sz w:val="24"/>
          <w:szCs w:val="24"/>
          <w:shd w:val="clear" w:color="auto" w:fill="FFFFFF"/>
          <w:lang w:val="zh-CN" w:eastAsia="zh-CN" w:bidi="ar-SA"/>
        </w:rPr>
        <w:t>、本项目招标文件中加</w:t>
      </w:r>
      <w:r>
        <w:rPr>
          <w:rFonts w:hint="eastAsia" w:asciiTheme="majorEastAsia" w:hAnsiTheme="majorEastAsia" w:eastAsiaTheme="majorEastAsia" w:cstheme="majorEastAsia"/>
          <w:kern w:val="0"/>
          <w:sz w:val="24"/>
          <w:szCs w:val="24"/>
          <w:shd w:val="clear" w:color="auto" w:fill="FFFFFF"/>
          <w:lang w:val="en-US" w:eastAsia="zh-CN" w:bidi="ar-SA"/>
        </w:rPr>
        <w:t>★</w:t>
      </w:r>
      <w:r>
        <w:rPr>
          <w:rFonts w:hint="eastAsia" w:asciiTheme="majorEastAsia" w:hAnsiTheme="majorEastAsia" w:eastAsiaTheme="majorEastAsia" w:cstheme="majorEastAsia"/>
          <w:kern w:val="0"/>
          <w:sz w:val="24"/>
          <w:szCs w:val="24"/>
          <w:shd w:val="clear" w:color="auto" w:fill="FFFFFF"/>
          <w:lang w:val="zh-CN" w:eastAsia="zh-CN" w:bidi="ar-SA"/>
        </w:rPr>
        <w:t>项为不允许偏离的实质性要求和条件。</w:t>
      </w: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jc w:val="left"/>
        <w:rPr>
          <w:rFonts w:hint="eastAsia" w:asciiTheme="majorEastAsia" w:hAnsiTheme="majorEastAsia" w:eastAsiaTheme="majorEastAsia" w:cstheme="majorEastAsia"/>
          <w:b/>
          <w:kern w:val="0"/>
          <w:sz w:val="24"/>
          <w:szCs w:val="24"/>
        </w:rPr>
      </w:pPr>
    </w:p>
    <w:p>
      <w:pPr>
        <w:widowControl/>
        <w:ind w:firstLine="1687" w:firstLineChars="700"/>
        <w:jc w:val="left"/>
        <w:rPr>
          <w:rFonts w:hint="eastAsia" w:asciiTheme="majorEastAsia" w:hAnsiTheme="majorEastAsia" w:eastAsiaTheme="majorEastAsia" w:cstheme="majorEastAsia"/>
          <w:b/>
          <w:kern w:val="0"/>
          <w:sz w:val="24"/>
          <w:szCs w:val="24"/>
        </w:rPr>
      </w:pPr>
    </w:p>
    <w:p>
      <w:pPr>
        <w:widowControl/>
        <w:ind w:firstLine="1687" w:firstLineChars="700"/>
        <w:jc w:val="left"/>
        <w:rPr>
          <w:rFonts w:hint="eastAsia" w:asciiTheme="majorEastAsia" w:hAnsiTheme="majorEastAsia" w:eastAsiaTheme="majorEastAsia" w:cstheme="majorEastAsia"/>
          <w:b/>
          <w:kern w:val="0"/>
          <w:sz w:val="24"/>
          <w:szCs w:val="24"/>
        </w:rPr>
      </w:pPr>
    </w:p>
    <w:p>
      <w:pPr>
        <w:widowControl/>
        <w:ind w:firstLine="1687" w:firstLineChars="700"/>
        <w:jc w:val="left"/>
        <w:rPr>
          <w:rFonts w:hint="eastAsia" w:asciiTheme="majorEastAsia" w:hAnsiTheme="majorEastAsia" w:eastAsiaTheme="majorEastAsia" w:cstheme="majorEastAsia"/>
          <w:b/>
          <w:kern w:val="0"/>
          <w:sz w:val="24"/>
          <w:szCs w:val="24"/>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hint="eastAsia" w:cs="宋体" w:asciiTheme="majorEastAsia" w:hAnsiTheme="majorEastAsia" w:eastAsiaTheme="majorEastAsia"/>
          <w:b/>
          <w:kern w:val="0"/>
          <w:sz w:val="36"/>
          <w:szCs w:val="36"/>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3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rPr>
                <w:rFonts w:cs="仿宋_GB2312" w:asciiTheme="minorEastAsia" w:hAnsiTheme="minorEastAsia" w:eastAsiaTheme="minorEastAsia"/>
              </w:rPr>
            </w:pPr>
            <w:r>
              <w:rPr>
                <w:rFonts w:hint="eastAsia" w:cs="仿宋_GB2312" w:asciiTheme="minorEastAsia" w:hAnsiTheme="minorEastAsia"/>
              </w:rPr>
              <w:t>项目名称</w:t>
            </w:r>
            <w:r>
              <w:rPr>
                <w:rFonts w:hint="eastAsia" w:cs="仿宋_GB2312" w:asciiTheme="minorEastAsia" w:hAnsiTheme="minorEastAsia" w:eastAsiaTheme="minorEastAsia"/>
              </w:rPr>
              <w:t>：</w:t>
            </w:r>
            <w:r>
              <w:rPr>
                <w:rFonts w:hint="eastAsia" w:cs="仿宋_GB2312" w:asciiTheme="minorEastAsia" w:hAnsiTheme="minorEastAsia"/>
                <w:lang w:val="en-US" w:eastAsia="zh-CN"/>
              </w:rPr>
              <w:t>禹州市机动车遥感监测及网络平台建设项目</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采购</w:t>
            </w:r>
            <w:r>
              <w:rPr>
                <w:rFonts w:hint="eastAsia" w:cs="仿宋_GB2312" w:asciiTheme="minorEastAsia" w:hAnsiTheme="minorEastAsia"/>
                <w:sz w:val="24"/>
                <w:szCs w:val="24"/>
              </w:rPr>
              <w:t>编号：</w:t>
            </w:r>
            <w:r>
              <w:rPr>
                <w:rFonts w:hint="eastAsia" w:cs="仿宋_GB2312" w:asciiTheme="minorEastAsia" w:hAnsiTheme="minorEastAsia"/>
                <w:sz w:val="24"/>
                <w:szCs w:val="24"/>
                <w:lang w:val="en-US" w:eastAsia="zh-CN"/>
              </w:rPr>
              <w:t>YZCG-G2018337</w:t>
            </w:r>
          </w:p>
          <w:p>
            <w:pPr>
              <w:pStyle w:val="23"/>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项目内容：详见</w:t>
            </w:r>
            <w:r>
              <w:rPr>
                <w:rFonts w:cs="仿宋_GB2312" w:asciiTheme="minorEastAsia" w:hAnsiTheme="minorEastAsia" w:eastAsiaTheme="minorEastAsia"/>
              </w:rPr>
              <w:t>采购需求</w:t>
            </w:r>
          </w:p>
          <w:p>
            <w:pPr>
              <w:pStyle w:val="23"/>
              <w:widowControl/>
              <w:shd w:val="clear" w:color="auto" w:fill="FFFFFF"/>
              <w:spacing w:line="360" w:lineRule="auto"/>
              <w:contextualSpacing/>
              <w:jc w:val="left"/>
              <w:rPr>
                <w:rFonts w:hint="eastAsia" w:eastAsia="宋体" w:cs="仿宋_GB2312" w:asciiTheme="minorEastAsia" w:hAnsiTheme="minorEastAsia"/>
                <w:lang w:eastAsia="zh-CN"/>
              </w:rPr>
            </w:pPr>
            <w:r>
              <w:rPr>
                <w:rFonts w:hint="eastAsia" w:cs="仿宋_GB2312" w:asciiTheme="minorEastAsia" w:hAnsiTheme="minorEastAsia"/>
              </w:rPr>
              <w:t>项目地址：</w:t>
            </w:r>
            <w:r>
              <w:rPr>
                <w:rFonts w:hint="eastAsia" w:cs="仿宋_GB2312" w:asciiTheme="minorEastAsia" w:hAnsiTheme="minorEastAsia"/>
                <w:lang w:eastAsia="zh-CN"/>
              </w:rPr>
              <w:t>禹州市创业大厦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环境保护局</w:t>
            </w:r>
          </w:p>
          <w:p>
            <w:pPr>
              <w:pStyle w:val="23"/>
              <w:widowControl/>
              <w:shd w:val="clear" w:color="auto" w:fill="FFFFFF"/>
              <w:spacing w:line="360" w:lineRule="auto"/>
              <w:contextualSpacing/>
              <w:jc w:val="left"/>
              <w:rPr>
                <w:rFonts w:hint="eastAsia" w:eastAsia="宋体" w:cs="仿宋_GB2312" w:asciiTheme="minorEastAsia" w:hAnsiTheme="minorEastAsia"/>
                <w:color w:val="000000"/>
                <w:lang w:eastAsia="zh-CN"/>
              </w:rPr>
            </w:pPr>
            <w:r>
              <w:rPr>
                <w:rFonts w:hint="eastAsia" w:cs="仿宋_GB2312" w:asciiTheme="minorEastAsia" w:hAnsiTheme="minorEastAsia"/>
              </w:rPr>
              <w:t>地址：</w:t>
            </w:r>
            <w:r>
              <w:rPr>
                <w:rFonts w:hint="eastAsia" w:cs="仿宋_GB2312" w:asciiTheme="minorEastAsia" w:hAnsiTheme="minorEastAsia"/>
                <w:lang w:eastAsia="zh-CN"/>
              </w:rPr>
              <w:t>禹州市</w:t>
            </w:r>
          </w:p>
          <w:p>
            <w:pPr>
              <w:rPr>
                <w:rFonts w:hint="eastAsia" w:eastAsiaTheme="minorEastAsia"/>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魏</w:t>
            </w:r>
            <w:r>
              <w:rPr>
                <w:rFonts w:hint="eastAsia" w:cs="仿宋_GB2312" w:asciiTheme="minorEastAsia" w:hAnsiTheme="minorEastAsia"/>
                <w:color w:val="000000"/>
                <w:sz w:val="24"/>
                <w:szCs w:val="24"/>
              </w:rPr>
              <w:t>先生</w:t>
            </w:r>
            <w:r>
              <w:rPr>
                <w:rFonts w:hint="eastAsia" w:cs="仿宋_GB2312" w:asciiTheme="minorEastAsia" w:hAnsiTheme="minorEastAsia"/>
                <w:sz w:val="24"/>
                <w:szCs w:val="24"/>
              </w:rPr>
              <w:t xml:space="preserve">       电话：</w:t>
            </w:r>
            <w:r>
              <w:rPr>
                <w:rFonts w:hint="eastAsia" w:cs="仿宋_GB2312" w:asciiTheme="minorEastAsia" w:hAnsiTheme="minorEastAsia"/>
                <w:color w:val="000000"/>
                <w:sz w:val="24"/>
                <w:szCs w:val="24"/>
              </w:rPr>
              <w:t>0374-</w:t>
            </w:r>
            <w:r>
              <w:rPr>
                <w:rFonts w:hint="eastAsia" w:cs="仿宋_GB2312" w:asciiTheme="minorEastAsia" w:hAnsiTheme="minorEastAsia"/>
                <w:color w:val="000000"/>
                <w:sz w:val="24"/>
                <w:szCs w:val="24"/>
                <w:lang w:val="en-US" w:eastAsia="zh-CN"/>
              </w:rPr>
              <w:t>6066325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w:t>
            </w:r>
            <w:r>
              <w:rPr>
                <w:rFonts w:cs="仿宋_GB2312" w:asciiTheme="minorEastAsia" w:hAnsiTheme="minorEastAsia"/>
                <w:sz w:val="24"/>
                <w:szCs w:val="24"/>
              </w:rPr>
              <w:t>采购中心</w:t>
            </w:r>
          </w:p>
          <w:p>
            <w:pPr>
              <w:pStyle w:val="23"/>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年度的财务审计报告；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 w:val="24"/>
                <w:szCs w:val="24"/>
              </w:rPr>
            </w:pPr>
            <w:r>
              <w:rPr>
                <w:rFonts w:hint="eastAsia" w:cs="宋体" w:asciiTheme="minorEastAsia" w:hAnsiTheme="minorEastAsia"/>
                <w:b/>
                <w:color w:val="FF0000"/>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lang w:val="en-US" w:eastAsia="zh-CN"/>
              </w:rPr>
              <w:t>641.9</w:t>
            </w:r>
            <w:r>
              <w:rPr>
                <w:rFonts w:hint="eastAsia" w:cs="仿宋_GB2312" w:asciiTheme="minorEastAsia" w:hAnsiTheme="minorEastAsia"/>
                <w:color w:val="000000"/>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sym w:font="Wingdings 2" w:char="00A3"/>
            </w: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年</w:t>
            </w:r>
            <w:r>
              <w:rPr>
                <w:rFonts w:hint="eastAsia" w:cs="宋体" w:asciiTheme="minorEastAsia" w:hAnsiTheme="minorEastAsia"/>
                <w:bCs/>
                <w:sz w:val="24"/>
                <w:szCs w:val="24"/>
                <w:u w:val="single"/>
                <w:lang w:val="en-US" w:eastAsia="zh-CN"/>
              </w:rPr>
              <w:t xml:space="preserve"> 1</w:t>
            </w:r>
            <w:r>
              <w:rPr>
                <w:rFonts w:hint="eastAsia" w:cs="宋体" w:asciiTheme="minorEastAsia" w:hAnsiTheme="minorEastAsia"/>
                <w:bCs/>
                <w:sz w:val="24"/>
                <w:szCs w:val="24"/>
                <w:lang w:val="zh-CN"/>
              </w:rPr>
              <w:t>月</w:t>
            </w:r>
            <w:r>
              <w:rPr>
                <w:rFonts w:hint="eastAsia" w:cs="宋体" w:asciiTheme="minorEastAsia" w:hAnsiTheme="minorEastAsia"/>
                <w:bCs/>
                <w:sz w:val="24"/>
                <w:szCs w:val="24"/>
                <w:u w:val="single"/>
                <w:lang w:val="en-US" w:eastAsia="zh-CN"/>
              </w:rPr>
              <w:t xml:space="preserve"> 15</w:t>
            </w:r>
            <w:r>
              <w:rPr>
                <w:rFonts w:hint="eastAsia" w:cs="宋体" w:asciiTheme="minorEastAsia" w:hAnsiTheme="minorEastAsia"/>
                <w:bCs/>
                <w:sz w:val="24"/>
                <w:szCs w:val="24"/>
                <w:lang w:val="zh-CN"/>
              </w:rPr>
              <w:t>日</w:t>
            </w:r>
            <w:r>
              <w:rPr>
                <w:rFonts w:hint="eastAsia" w:cs="宋体" w:asciiTheme="minorEastAsia" w:hAnsiTheme="minorEastAsia"/>
                <w:bCs/>
                <w:sz w:val="24"/>
                <w:szCs w:val="24"/>
                <w:u w:val="single"/>
                <w:lang w:val="en-US" w:eastAsia="zh-CN"/>
              </w:rPr>
              <w:t xml:space="preserve"> 9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w:t>
            </w:r>
            <w:r>
              <w:rPr>
                <w:rFonts w:cs="宋体" w:asciiTheme="minorEastAsia" w:hAnsiTheme="minorEastAsia"/>
                <w:bCs/>
                <w:sz w:val="24"/>
                <w:szCs w:val="24"/>
                <w:lang w:val="zh-CN"/>
              </w:rPr>
              <w:t>政府采购中心开标</w:t>
            </w:r>
            <w:r>
              <w:rPr>
                <w:rFonts w:hint="eastAsia" w:cs="宋体" w:asciiTheme="minorEastAsia" w:hAnsiTheme="minorEastAsia"/>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w:t>
            </w:r>
            <w:bookmarkStart w:id="12" w:name="_GoBack"/>
            <w:bookmarkEnd w:id="12"/>
            <w:r>
              <w:rPr>
                <w:rFonts w:hint="eastAsia" w:cs="仿宋_GB2312" w:asciiTheme="minorEastAsia" w:hAnsiTheme="minorEastAsia"/>
                <w:sz w:val="24"/>
                <w:szCs w:val="24"/>
                <w:lang w:val="zh-CN"/>
              </w:rPr>
              <w:t>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hint="eastAsia" w:cs="宋体" w:asciiTheme="minorEastAsia" w:hAnsiTheme="minorEastAsia"/>
                <w:b/>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中标人在接到中标通知时，须向代理机构发送投标报价及分项报价一览表（包含主要中标标的的名称、规格型号、数量、单价、服务要求等）电子文档，并同时通知评标服务部，联系电话：联系电话：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widowControl/>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0"/>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3"/>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4"/>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w:t>
      </w:r>
      <w:r>
        <w:rPr>
          <w:rFonts w:hint="eastAsia" w:cs="仿宋_GB2312" w:asciiTheme="minorEastAsia" w:hAnsiTheme="minorEastAsia"/>
          <w:color w:val="FF0000"/>
          <w:sz w:val="24"/>
          <w:szCs w:val="24"/>
          <w:lang w:val="zh-CN"/>
        </w:rPr>
        <w:t>0374-</w:t>
      </w:r>
      <w:r>
        <w:rPr>
          <w:rFonts w:hint="eastAsia" w:cs="仿宋_GB2312" w:asciiTheme="minorEastAsia" w:hAnsiTheme="minorEastAsia"/>
          <w:color w:val="FF0000"/>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30.2.7投标文件内容模糊不清，无法辨认的。</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3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hint="eastAsia"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3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分值构成</w:t>
            </w:r>
          </w:p>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200" w:firstLineChars="5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价格分值：30 分</w:t>
            </w:r>
          </w:p>
          <w:p>
            <w:pPr>
              <w:widowControl/>
              <w:spacing w:line="360" w:lineRule="auto"/>
              <w:ind w:firstLine="1200" w:firstLineChars="500"/>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商务部分：15分</w:t>
            </w:r>
          </w:p>
          <w:p>
            <w:pPr>
              <w:widowControl/>
              <w:spacing w:line="360" w:lineRule="auto"/>
              <w:ind w:firstLine="1200" w:firstLineChars="500"/>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投标报价</w:t>
            </w:r>
          </w:p>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pStyle w:val="44"/>
              <w:numPr>
                <w:ilvl w:val="0"/>
                <w:numId w:val="12"/>
              </w:numPr>
              <w:spacing w:line="330" w:lineRule="atLeast"/>
              <w:ind w:left="-2" w:leftChars="-2" w:hanging="2" w:hangingChars="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评标基准价：满足招标文件要求的有效投标报价中，最低的投标报价为评标基准价。投标报价得分=（评标基准价/投标报价）×30</w:t>
            </w:r>
          </w:p>
          <w:p>
            <w:pPr>
              <w:pStyle w:val="44"/>
              <w:numPr>
                <w:ilvl w:val="0"/>
                <w:numId w:val="12"/>
              </w:numPr>
              <w:spacing w:line="330" w:lineRule="atLeast"/>
              <w:ind w:left="-2" w:leftChars="-2" w:hanging="2" w:hangingChars="1"/>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为促进中小企业发展，根据《中华人民共和国政府采购法实施条例》和财库【2011】181号的规定，给与小型和微型企业产品价格6%的折扣，用扣除后的价格参与评审，参与评审的小微企业产品投标价=小微企业产品报价×（1%-6%）。</w:t>
            </w:r>
          </w:p>
          <w:p>
            <w:pPr>
              <w:pStyle w:val="44"/>
              <w:numPr>
                <w:ilvl w:val="0"/>
                <w:numId w:val="12"/>
              </w:numPr>
              <w:spacing w:line="330" w:lineRule="atLeast"/>
              <w:ind w:left="-2" w:leftChars="-2" w:hanging="2" w:hangingChars="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公司信誉、资质以及综合实力等证明</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1、投标人所投产品制造商信用等级为AAA级的得3分，AA级的得2分，AA级以下得1分，未提供不得分。</w:t>
            </w:r>
          </w:p>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2、投标人所投产品制造商具有ISO9001质量管理体系认证证书的得1分。</w:t>
            </w:r>
          </w:p>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3、投标人所投产品制造商具有ISO14001环境管理体系认证证书的得1分。</w:t>
            </w:r>
          </w:p>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4、投标人所投产品制造商具有ISO/IEC27001信息安全管理体系认证证书的得1分。</w:t>
            </w:r>
          </w:p>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以上证书须在投标文件中提供加盖制造商鲜章的复印件，原件备查。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业绩证明</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投标人所投产品制造商提供2015年1月1日以来机动车尾气遥感监测类项目业绩： 每提供一个得3分，累计最多可得9分。</w:t>
            </w:r>
          </w:p>
          <w:p>
            <w:pP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须同时提供政府采购中标通知书、合同，不能完整提供业绩证明材料的不得分（投标文件中提供加盖公章的复印件，原件备查）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三、技术部分（满分55分）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标书响应程度</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zh-CN"/>
              </w:rPr>
              <w:t>设备选型及技术指标：根据技术要求中对设备选型和技术指标的要求进行打分，招标文件中“</w:t>
            </w:r>
            <w:r>
              <w:rPr>
                <w:rFonts w:hint="eastAsia" w:asciiTheme="majorEastAsia" w:hAnsiTheme="majorEastAsia" w:eastAsiaTheme="majorEastAsia" w:cstheme="majorEastAsia"/>
                <w:sz w:val="24"/>
                <w:szCs w:val="24"/>
                <w:shd w:val="pct10" w:color="auto" w:fill="FFFFFF"/>
              </w:rPr>
              <w:t>▲</w:t>
            </w:r>
            <w:r>
              <w:rPr>
                <w:rFonts w:hint="eastAsia" w:asciiTheme="majorEastAsia" w:hAnsiTheme="majorEastAsia" w:eastAsiaTheme="majorEastAsia" w:cstheme="majorEastAsia"/>
                <w:bCs/>
                <w:sz w:val="24"/>
                <w:szCs w:val="24"/>
                <w:lang w:val="zh-CN"/>
              </w:rPr>
              <w:t>”号指标有一项不满足扣2</w:t>
            </w:r>
            <w:r>
              <w:rPr>
                <w:rFonts w:hint="eastAsia" w:asciiTheme="majorEastAsia" w:hAnsiTheme="majorEastAsia" w:eastAsiaTheme="majorEastAsia" w:cstheme="majorEastAsia"/>
                <w:bCs/>
                <w:sz w:val="24"/>
                <w:szCs w:val="24"/>
              </w:rPr>
              <w:t>分，非</w:t>
            </w:r>
            <w:r>
              <w:rPr>
                <w:rFonts w:hint="eastAsia" w:asciiTheme="majorEastAsia" w:hAnsiTheme="majorEastAsia" w:eastAsiaTheme="majorEastAsia" w:cstheme="majorEastAsia"/>
                <w:bCs/>
                <w:sz w:val="24"/>
                <w:szCs w:val="24"/>
                <w:lang w:val="zh-CN"/>
              </w:rPr>
              <w:t>“</w:t>
            </w:r>
            <w:r>
              <w:rPr>
                <w:rFonts w:hint="eastAsia" w:asciiTheme="majorEastAsia" w:hAnsiTheme="majorEastAsia" w:eastAsiaTheme="majorEastAsia" w:cstheme="majorEastAsia"/>
                <w:sz w:val="24"/>
                <w:szCs w:val="24"/>
                <w:shd w:val="pct10" w:color="auto" w:fill="FFFFFF"/>
              </w:rPr>
              <w:t>▲</w:t>
            </w:r>
            <w:r>
              <w:rPr>
                <w:rFonts w:hint="eastAsia" w:asciiTheme="majorEastAsia" w:hAnsiTheme="majorEastAsia" w:eastAsiaTheme="majorEastAsia" w:cstheme="majorEastAsia"/>
                <w:bCs/>
                <w:sz w:val="24"/>
                <w:szCs w:val="24"/>
                <w:lang w:val="zh-CN"/>
              </w:rPr>
              <w:t>”号指标有一项不满足扣1</w:t>
            </w:r>
            <w:r>
              <w:rPr>
                <w:rFonts w:hint="eastAsia" w:asciiTheme="majorEastAsia" w:hAnsiTheme="majorEastAsia" w:eastAsiaTheme="majorEastAsia" w:cstheme="majorEastAsia"/>
                <w:bCs/>
                <w:sz w:val="24"/>
                <w:szCs w:val="24"/>
              </w:rPr>
              <w:t>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000000"/>
                <w:sz w:val="24"/>
                <w:szCs w:val="24"/>
              </w:rPr>
              <w:t>整体方案</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对本项目需求的理解、技术路线、项目总体技术方案的先进性、完整性、实用性、合理性、符合性、安全性、扩展性、维护性等综合比较评分。满足以上九项的得9分，满足五项的得4分，五项以下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产品先进性</w:t>
            </w:r>
          </w:p>
        </w:tc>
        <w:tc>
          <w:tcPr>
            <w:tcW w:w="6164"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1、投标人所投产品具有省级及以上计量院出具的检定证书/校准证书/测试证书（气体部分、不透光部分、测量速度部分、温湿度部分、光源），有一个得2分，最高10分；</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2、投标人所投产品具有固定水平式遥感监测设备和移动式遥感监测设备的省级以上计量院出具的高低温检测报告，有一个得2分，最高4分；</w:t>
            </w:r>
          </w:p>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3、投标人所投产品具有固定水平式遥感监测设备和移动式遥感监测设备省级以上计量院或最终用户出具的遥感监测设备无故障证明材料，有一个得2分，最高得4分。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以上检测报告须在投标文件中提供加盖产品制造商鲜章的复印件，原件备查。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投标人根据本项目实际需求提供的实施方案有详细的规划，合理的进度计划、供货方案、安装调试方案、质量保障措施、培训方案及验收方案进行综合评价，优秀的得7分，良好的得4分，一般的2分，较差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拟投入设备及软件技术能力</w:t>
            </w:r>
          </w:p>
        </w:tc>
        <w:tc>
          <w:tcPr>
            <w:tcW w:w="6164"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44"/>
                <w:sz w:val="24"/>
                <w:szCs w:val="24"/>
                <w:lang w:val="zh-CN"/>
              </w:rPr>
              <w:t>1</w:t>
            </w:r>
            <w:r>
              <w:rPr>
                <w:rFonts w:hint="eastAsia" w:asciiTheme="majorEastAsia" w:hAnsiTheme="majorEastAsia" w:eastAsiaTheme="majorEastAsia" w:cstheme="majorEastAsia"/>
                <w:sz w:val="24"/>
                <w:szCs w:val="24"/>
                <w:lang w:val="zh-CN"/>
              </w:rPr>
              <w:t>、为保证系统整体稳定性和兼容性，汽车尾气遥感监测系统主要硬件产品（遥感监测仪）与</w:t>
            </w:r>
            <w:r>
              <w:rPr>
                <w:rFonts w:hint="eastAsia" w:asciiTheme="majorEastAsia" w:hAnsiTheme="majorEastAsia" w:eastAsiaTheme="majorEastAsia" w:cstheme="majorEastAsia"/>
                <w:sz w:val="24"/>
                <w:szCs w:val="24"/>
              </w:rPr>
              <w:t>尾气遥感监测大数据平台系统为同一品牌的得3分。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000000"/>
                <w:sz w:val="24"/>
                <w:szCs w:val="24"/>
              </w:rPr>
              <w:t>运维</w:t>
            </w:r>
            <w:r>
              <w:rPr>
                <w:rFonts w:hint="eastAsia" w:asciiTheme="majorEastAsia" w:hAnsiTheme="majorEastAsia" w:eastAsiaTheme="majorEastAsia" w:cstheme="majorEastAsia"/>
                <w:sz w:val="24"/>
                <w:szCs w:val="24"/>
              </w:rPr>
              <w:t>、售后服务</w:t>
            </w:r>
            <w:r>
              <w:rPr>
                <w:rFonts w:hint="eastAsia" w:asciiTheme="majorEastAsia" w:hAnsiTheme="majorEastAsia" w:eastAsiaTheme="majorEastAsia" w:cstheme="majorEastAsia"/>
                <w:color w:val="000000"/>
                <w:sz w:val="24"/>
                <w:szCs w:val="24"/>
              </w:rPr>
              <w:t>方案</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投标人根据本项目实际需求提供的运维方案和售后服务方案是否详细合理、清晰完整，从服务内容、服务措施、服务标准、服务流程、服务响应时间等方面进行综合评价，优秀的得5分，良好的得3分，一般的得1分，较差的不得分。</w:t>
            </w:r>
          </w:p>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2、投标人保证不少于两名驻禹州市本地的专职运维人员的得3分，否则不得分。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8分</w:t>
            </w:r>
          </w:p>
        </w:tc>
      </w:tr>
    </w:tbl>
    <w:p>
      <w:pPr>
        <w:widowControl/>
        <w:shd w:val="clear" w:color="auto" w:fill="FFFFFF"/>
        <w:spacing w:line="360" w:lineRule="auto"/>
        <w:jc w:val="left"/>
        <w:rPr>
          <w:rFonts w:hint="eastAsia" w:asciiTheme="majorEastAsia" w:hAnsiTheme="majorEastAsia" w:eastAsiaTheme="majorEastAsia" w:cstheme="majorEastAsia"/>
          <w:kern w:val="0"/>
          <w:sz w:val="24"/>
          <w:szCs w:val="24"/>
        </w:rPr>
      </w:pPr>
    </w:p>
    <w:p>
      <w:pPr>
        <w:spacing w:line="360" w:lineRule="auto"/>
        <w:ind w:firstLine="482" w:firstLineChars="2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其中：价格分计算（落实政府采购政策价格调整部分）</w:t>
      </w:r>
    </w:p>
    <w:p>
      <w:pPr>
        <w:spacing w:line="360" w:lineRule="auto"/>
        <w:ind w:firstLine="482" w:firstLineChars="200"/>
        <w:rPr>
          <w:rFonts w:hint="eastAsia" w:asciiTheme="majorEastAsia" w:hAnsiTheme="majorEastAsia" w:eastAsiaTheme="majorEastAsia" w:cstheme="majorEastAsia"/>
          <w:b/>
          <w:sz w:val="24"/>
          <w:szCs w:val="24"/>
          <w:lang w:val="zh-CN"/>
        </w:rPr>
      </w:pPr>
    </w:p>
    <w:tbl>
      <w:tblPr>
        <w:tblStyle w:val="3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0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序号</w:t>
            </w:r>
          </w:p>
        </w:tc>
        <w:tc>
          <w:tcPr>
            <w:tcW w:w="2823"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情形</w:t>
            </w:r>
          </w:p>
        </w:tc>
        <w:tc>
          <w:tcPr>
            <w:tcW w:w="3006"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rPr>
              <w:t>价格扣除</w:t>
            </w:r>
            <w:r>
              <w:rPr>
                <w:rFonts w:hint="eastAsia" w:asciiTheme="majorEastAsia" w:hAnsiTheme="majorEastAsia" w:eastAsiaTheme="majorEastAsia" w:cstheme="majorEastAsia"/>
                <w:b/>
                <w:color w:val="000000"/>
                <w:sz w:val="24"/>
                <w:szCs w:val="24"/>
                <w:lang w:val="en-GB"/>
              </w:rPr>
              <w:t>比例</w:t>
            </w:r>
          </w:p>
        </w:tc>
        <w:tc>
          <w:tcPr>
            <w:tcW w:w="238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b/>
                <w:color w:val="000000"/>
                <w:sz w:val="24"/>
                <w:szCs w:val="24"/>
                <w:lang w:val="en-GB"/>
              </w:rPr>
              <w:t>1</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非联合体投标人</w:t>
            </w:r>
          </w:p>
          <w:p>
            <w:pPr>
              <w:jc w:val="center"/>
              <w:rPr>
                <w:rFonts w:hint="eastAsia" w:asciiTheme="majorEastAsia" w:hAnsiTheme="majorEastAsia" w:eastAsiaTheme="majorEastAsia" w:cstheme="majorEastAsia"/>
                <w:b/>
                <w:color w:val="000000"/>
                <w:sz w:val="24"/>
                <w:szCs w:val="24"/>
                <w:lang w:val="en-GB"/>
              </w:rPr>
            </w:pPr>
            <w:r>
              <w:rPr>
                <w:rFonts w:hint="eastAsia" w:asciiTheme="majorEastAsia" w:hAnsiTheme="majorEastAsia" w:eastAsiaTheme="majorEastAsia" w:cstheme="majorEastAsia"/>
                <w:color w:val="000000"/>
                <w:sz w:val="24"/>
                <w:szCs w:val="24"/>
                <w:lang w:val="en-GB"/>
              </w:rPr>
              <w:t>（投标人须为中小企业）</w:t>
            </w:r>
          </w:p>
        </w:tc>
        <w:tc>
          <w:tcPr>
            <w:tcW w:w="3006" w:type="dxa"/>
            <w:vAlign w:val="center"/>
          </w:tcPr>
          <w:p>
            <w:pPr>
              <w:jc w:val="center"/>
              <w:rPr>
                <w:rFonts w:hint="eastAsia" w:asciiTheme="majorEastAsia" w:hAnsiTheme="majorEastAsia" w:eastAsiaTheme="majorEastAsia" w:cstheme="majorEastAsia"/>
                <w:b/>
                <w:sz w:val="24"/>
                <w:szCs w:val="24"/>
                <w:lang w:val="en-GB"/>
              </w:rPr>
            </w:pPr>
            <w:r>
              <w:rPr>
                <w:rFonts w:hint="eastAsia" w:asciiTheme="majorEastAsia" w:hAnsiTheme="majorEastAsia" w:eastAsiaTheme="majorEastAsia" w:cstheme="majorEastAsia"/>
                <w:color w:val="000000"/>
                <w:sz w:val="24"/>
                <w:szCs w:val="24"/>
              </w:rPr>
              <w:t>对小型和微型企业产品的价格扣除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vMerge w:val="restart"/>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小型和微型企业产品的价格</w:t>
            </w:r>
            <w:r>
              <w:rPr>
                <w:rFonts w:hint="eastAsia" w:asciiTheme="majorEastAsia" w:hAnsiTheme="majorEastAsia" w:eastAsiaTheme="majorEastAsia" w:cstheme="majorEastAsia"/>
                <w:color w:val="000000"/>
                <w:sz w:val="24"/>
                <w:szCs w:val="24"/>
                <w:lang w:val="en-GB"/>
              </w:rPr>
              <w:t>×6%</w:t>
            </w:r>
          </w:p>
          <w:p>
            <w:pPr>
              <w:jc w:val="center"/>
              <w:rPr>
                <w:rFonts w:hint="eastAsia" w:asciiTheme="majorEastAsia" w:hAnsiTheme="majorEastAsia" w:eastAsiaTheme="majorEastAsia" w:cstheme="maj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p>
        </w:tc>
        <w:tc>
          <w:tcPr>
            <w:tcW w:w="2823" w:type="dxa"/>
            <w:vAlign w:val="center"/>
          </w:tcPr>
          <w:p>
            <w:pPr>
              <w:jc w:val="center"/>
              <w:rPr>
                <w:rFonts w:hint="eastAsia" w:asciiTheme="majorEastAsia" w:hAnsiTheme="majorEastAsia" w:eastAsiaTheme="majorEastAsia" w:cstheme="majorEastAsia"/>
                <w:b/>
                <w:color w:val="000000"/>
                <w:sz w:val="24"/>
                <w:szCs w:val="24"/>
              </w:rPr>
            </w:pPr>
          </w:p>
        </w:tc>
        <w:tc>
          <w:tcPr>
            <w:tcW w:w="3006" w:type="dxa"/>
            <w:vAlign w:val="center"/>
          </w:tcPr>
          <w:p>
            <w:pPr>
              <w:jc w:val="center"/>
              <w:rPr>
                <w:rFonts w:hint="eastAsia" w:asciiTheme="majorEastAsia" w:hAnsiTheme="majorEastAsia" w:eastAsiaTheme="majorEastAsia" w:cstheme="majorEastAsia"/>
                <w:b/>
                <w:sz w:val="24"/>
                <w:szCs w:val="24"/>
                <w:lang w:val="en-GB"/>
              </w:rPr>
            </w:pPr>
          </w:p>
        </w:tc>
        <w:tc>
          <w:tcPr>
            <w:tcW w:w="2381" w:type="dxa"/>
            <w:vMerge w:val="continue"/>
            <w:shd w:val="clear" w:color="auto" w:fill="auto"/>
          </w:tcPr>
          <w:p>
            <w:pPr>
              <w:rPr>
                <w:rFonts w:hint="eastAsia" w:asciiTheme="majorEastAsia" w:hAnsiTheme="majorEastAsia" w:eastAsiaTheme="majorEastAsia" w:cstheme="majorEastAsia"/>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GB"/>
              </w:rPr>
            </w:pPr>
          </w:p>
        </w:tc>
        <w:tc>
          <w:tcPr>
            <w:tcW w:w="2823" w:type="dxa"/>
            <w:vAlign w:val="center"/>
          </w:tcPr>
          <w:p>
            <w:pPr>
              <w:jc w:val="center"/>
              <w:rPr>
                <w:rFonts w:hint="eastAsia" w:asciiTheme="majorEastAsia" w:hAnsiTheme="majorEastAsia" w:eastAsiaTheme="majorEastAsia" w:cstheme="majorEastAsia"/>
                <w:b/>
                <w:color w:val="000000"/>
                <w:sz w:val="24"/>
                <w:szCs w:val="24"/>
                <w:lang w:val="en-GB"/>
              </w:rPr>
            </w:pPr>
          </w:p>
        </w:tc>
        <w:tc>
          <w:tcPr>
            <w:tcW w:w="3006" w:type="dxa"/>
            <w:vAlign w:val="center"/>
          </w:tcPr>
          <w:p>
            <w:pPr>
              <w:jc w:val="center"/>
              <w:rPr>
                <w:rFonts w:hint="eastAsia" w:asciiTheme="majorEastAsia" w:hAnsiTheme="majorEastAsia" w:eastAsiaTheme="majorEastAsia" w:cstheme="majorEastAsia"/>
                <w:b/>
                <w:sz w:val="24"/>
                <w:szCs w:val="24"/>
                <w:lang w:val="en-GB"/>
              </w:rPr>
            </w:pPr>
          </w:p>
        </w:tc>
        <w:tc>
          <w:tcPr>
            <w:tcW w:w="2381" w:type="dxa"/>
            <w:shd w:val="clear" w:color="auto" w:fill="auto"/>
            <w:vAlign w:val="center"/>
          </w:tcPr>
          <w:p>
            <w:pPr>
              <w:jc w:val="center"/>
              <w:rPr>
                <w:rFonts w:hint="eastAsia" w:asciiTheme="majorEastAsia" w:hAnsiTheme="majorEastAsia" w:eastAsiaTheme="majorEastAsia" w:cstheme="maj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2</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监狱企业</w:t>
            </w:r>
          </w:p>
        </w:tc>
        <w:tc>
          <w:tcPr>
            <w:tcW w:w="3006"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视同小型、微型企业</w:t>
            </w:r>
          </w:p>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对监狱企业产品价格扣除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监狱企业产品的价格</w:t>
            </w:r>
            <w:r>
              <w:rPr>
                <w:rFonts w:hint="eastAsia" w:asciiTheme="majorEastAsia" w:hAnsiTheme="majorEastAsia" w:eastAsiaTheme="majorEastAsia" w:cstheme="maj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sz w:val="24"/>
                <w:szCs w:val="24"/>
                <w:lang w:val="en-US" w:eastAsia="zh-CN"/>
              </w:rPr>
              <w:t>3</w:t>
            </w:r>
          </w:p>
        </w:tc>
        <w:tc>
          <w:tcPr>
            <w:tcW w:w="2823"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残疾人福利性单位</w:t>
            </w:r>
          </w:p>
        </w:tc>
        <w:tc>
          <w:tcPr>
            <w:tcW w:w="3006" w:type="dxa"/>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视同小型、微型企业</w:t>
            </w:r>
          </w:p>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对残疾人福利性单位产品价格扣除</w:t>
            </w:r>
            <w:r>
              <w:rPr>
                <w:rFonts w:hint="eastAsia" w:asciiTheme="majorEastAsia" w:hAnsiTheme="majorEastAsia" w:eastAsiaTheme="majorEastAsia" w:cstheme="majorEastAsia"/>
                <w:sz w:val="24"/>
                <w:szCs w:val="24"/>
                <w:u w:val="single"/>
              </w:rPr>
              <w:t>6</w:t>
            </w:r>
            <w:r>
              <w:rPr>
                <w:rFonts w:hint="eastAsia" w:asciiTheme="majorEastAsia" w:hAnsiTheme="majorEastAsia" w:eastAsiaTheme="majorEastAsia" w:cstheme="majorEastAsia"/>
                <w:sz w:val="24"/>
                <w:szCs w:val="24"/>
              </w:rPr>
              <w:t>%</w:t>
            </w:r>
          </w:p>
        </w:tc>
        <w:tc>
          <w:tcPr>
            <w:tcW w:w="2381" w:type="dxa"/>
            <w:shd w:val="clear" w:color="auto" w:fill="auto"/>
            <w:vAlign w:val="center"/>
          </w:tcPr>
          <w:p>
            <w:pPr>
              <w:jc w:val="center"/>
              <w:rPr>
                <w:rFonts w:hint="eastAsia" w:asciiTheme="majorEastAsia" w:hAnsiTheme="majorEastAsia" w:eastAsiaTheme="majorEastAsia" w:cstheme="majorEastAsia"/>
                <w:color w:val="000000"/>
                <w:sz w:val="24"/>
                <w:szCs w:val="24"/>
                <w:lang w:val="en-GB"/>
              </w:rPr>
            </w:pPr>
            <w:r>
              <w:rPr>
                <w:rFonts w:hint="eastAsia" w:asciiTheme="majorEastAsia" w:hAnsiTheme="majorEastAsia" w:eastAsiaTheme="majorEastAsia" w:cstheme="majorEastAsia"/>
                <w:color w:val="000000"/>
                <w:sz w:val="24"/>
                <w:szCs w:val="24"/>
                <w:lang w:val="en-GB"/>
              </w:rPr>
              <w:t>评标价格＝投标报价—</w:t>
            </w:r>
            <w:r>
              <w:rPr>
                <w:rFonts w:hint="eastAsia" w:asciiTheme="majorEastAsia" w:hAnsiTheme="majorEastAsia" w:eastAsiaTheme="majorEastAsia" w:cstheme="majorEastAsia"/>
                <w:color w:val="000000"/>
                <w:sz w:val="24"/>
                <w:szCs w:val="24"/>
              </w:rPr>
              <w:t>残疾人福利性单位产品的价格</w:t>
            </w:r>
            <w:r>
              <w:rPr>
                <w:rFonts w:hint="eastAsia" w:asciiTheme="majorEastAsia" w:hAnsiTheme="majorEastAsia" w:eastAsiaTheme="majorEastAsia" w:cstheme="maj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评标基准价=评标价格的最低价</w:t>
            </w:r>
          </w:p>
          <w:p>
            <w:pPr>
              <w:adjustRightInd w:val="0"/>
              <w:spacing w:line="360" w:lineRule="auto"/>
              <w:ind w:left="-88" w:leftChars="-42" w:firstLine="513" w:firstLineChars="214"/>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根据得分从高到低推荐三名中标候选人。</w:t>
      </w: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pageBreakBefore/>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lang w:eastAsia="zh-CN"/>
        </w:rPr>
        <w:t>一</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lang w:eastAsia="zh-CN"/>
        </w:rPr>
      </w:pPr>
      <w:r>
        <w:rPr>
          <w:rFonts w:hint="eastAsia" w:asciiTheme="majorEastAsia" w:hAnsiTheme="majorEastAsia" w:eastAsiaTheme="majorEastAsia"/>
          <w:b/>
          <w:bCs/>
          <w:color w:val="000000"/>
          <w:sz w:val="36"/>
          <w:szCs w:val="36"/>
          <w:lang w:eastAsia="zh-CN"/>
        </w:rPr>
        <w:t>投标函附表</w:t>
      </w: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6"/>
        <w:spacing w:line="480" w:lineRule="auto"/>
        <w:ind w:firstLine="540" w:firstLineChars="225"/>
        <w:jc w:val="left"/>
        <w:rPr>
          <w:rFonts w:asciiTheme="minorEastAsia" w:hAnsiTheme="minorEastAsia"/>
          <w:color w:val="000000"/>
          <w:szCs w:val="24"/>
        </w:rPr>
      </w:pPr>
    </w:p>
    <w:p>
      <w:pPr>
        <w:pStyle w:val="46"/>
        <w:spacing w:line="480" w:lineRule="auto"/>
        <w:ind w:firstLine="540" w:firstLineChars="225"/>
        <w:jc w:val="left"/>
        <w:rPr>
          <w:rFonts w:asciiTheme="minorEastAsia" w:hAnsiTheme="minorEastAsia"/>
          <w:color w:val="000000"/>
          <w:szCs w:val="24"/>
        </w:rPr>
      </w:pPr>
    </w:p>
    <w:p>
      <w:pPr>
        <w:pStyle w:val="46"/>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6"/>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9"/>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8"/>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（全称）</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57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45"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62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55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0" w:name="OLE_LINK13"/>
      <w:bookmarkStart w:id="11" w:name="OLE_LINK14"/>
      <w:r>
        <w:rPr>
          <w:rFonts w:hint="eastAsia" w:ascii="宋体" w:hAnsi="宋体"/>
          <w:b/>
          <w:bCs/>
          <w:color w:val="000000"/>
          <w:sz w:val="36"/>
          <w:szCs w:val="36"/>
        </w:rPr>
        <w:t>4.10 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1928" w:right="1701" w:bottom="1559" w:left="16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4097"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7328F2E"/>
    <w:multiLevelType w:val="singleLevel"/>
    <w:tmpl w:val="D7328F2E"/>
    <w:lvl w:ilvl="0" w:tentative="0">
      <w:start w:val="3"/>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410F2A5"/>
    <w:multiLevelType w:val="singleLevel"/>
    <w:tmpl w:val="0410F2A5"/>
    <w:lvl w:ilvl="0" w:tentative="0">
      <w:start w:val="2"/>
      <w:numFmt w:val="chineseCounting"/>
      <w:suff w:val="nothing"/>
      <w:lvlText w:val="（%1）"/>
      <w:lvlJc w:val="left"/>
      <w:rPr>
        <w:rFonts w:hint="eastAsia"/>
      </w:rPr>
    </w:lvl>
  </w:abstractNum>
  <w:abstractNum w:abstractNumId="7">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1C33232"/>
    <w:multiLevelType w:val="multilevel"/>
    <w:tmpl w:val="31C33232"/>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5"/>
      <w:suff w:val="nothing"/>
      <w:lvlText w:val="%1、"/>
      <w:lvlJc w:val="left"/>
    </w:lvl>
  </w:abstractNum>
  <w:abstractNum w:abstractNumId="12">
    <w:nsid w:val="7981FE0E"/>
    <w:multiLevelType w:val="singleLevel"/>
    <w:tmpl w:val="7981FE0E"/>
    <w:lvl w:ilvl="0" w:tentative="0">
      <w:start w:val="1"/>
      <w:numFmt w:val="chineseCounting"/>
      <w:suff w:val="space"/>
      <w:lvlText w:val="第%1章"/>
      <w:lvlJc w:val="left"/>
      <w:rPr>
        <w:rFonts w:hint="eastAsia"/>
      </w:rPr>
    </w:lvl>
  </w:abstractNum>
  <w:num w:numId="1">
    <w:abstractNumId w:val="4"/>
  </w:num>
  <w:num w:numId="2">
    <w:abstractNumId w:val="5"/>
  </w:num>
  <w:num w:numId="3">
    <w:abstractNumId w:val="11"/>
  </w:num>
  <w:num w:numId="4">
    <w:abstractNumId w:val="12"/>
  </w:num>
  <w:num w:numId="5">
    <w:abstractNumId w:val="1"/>
  </w:num>
  <w:num w:numId="6">
    <w:abstractNumId w:val="7"/>
  </w:num>
  <w:num w:numId="7">
    <w:abstractNumId w:val="2"/>
  </w:num>
  <w:num w:numId="8">
    <w:abstractNumId w:val="10"/>
  </w:num>
  <w:num w:numId="9">
    <w:abstractNumId w:val="6"/>
  </w:num>
  <w:num w:numId="10">
    <w:abstractNumId w:val="3"/>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550D"/>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66DB"/>
    <w:rsid w:val="00077FF3"/>
    <w:rsid w:val="00082C6E"/>
    <w:rsid w:val="00084872"/>
    <w:rsid w:val="00086DE9"/>
    <w:rsid w:val="00092652"/>
    <w:rsid w:val="00093BD2"/>
    <w:rsid w:val="00094806"/>
    <w:rsid w:val="000B59E9"/>
    <w:rsid w:val="000C05E8"/>
    <w:rsid w:val="000C393F"/>
    <w:rsid w:val="000C57C8"/>
    <w:rsid w:val="000C6E80"/>
    <w:rsid w:val="000D1E1E"/>
    <w:rsid w:val="000D23AB"/>
    <w:rsid w:val="000D74F9"/>
    <w:rsid w:val="000E263E"/>
    <w:rsid w:val="000E264F"/>
    <w:rsid w:val="000E4F3B"/>
    <w:rsid w:val="000E7356"/>
    <w:rsid w:val="001008C2"/>
    <w:rsid w:val="001052E3"/>
    <w:rsid w:val="00110C26"/>
    <w:rsid w:val="0011325E"/>
    <w:rsid w:val="00121991"/>
    <w:rsid w:val="001262C8"/>
    <w:rsid w:val="001276EF"/>
    <w:rsid w:val="00140426"/>
    <w:rsid w:val="00141B3F"/>
    <w:rsid w:val="0014416B"/>
    <w:rsid w:val="00147B7D"/>
    <w:rsid w:val="001502BD"/>
    <w:rsid w:val="00163CBE"/>
    <w:rsid w:val="001645B9"/>
    <w:rsid w:val="00165060"/>
    <w:rsid w:val="00172427"/>
    <w:rsid w:val="00177750"/>
    <w:rsid w:val="00182C08"/>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AA9"/>
    <w:rsid w:val="001D6E54"/>
    <w:rsid w:val="001E1B0A"/>
    <w:rsid w:val="001E66A5"/>
    <w:rsid w:val="001E6C54"/>
    <w:rsid w:val="001E78EA"/>
    <w:rsid w:val="001F121D"/>
    <w:rsid w:val="001F202D"/>
    <w:rsid w:val="001F4319"/>
    <w:rsid w:val="001F4B20"/>
    <w:rsid w:val="001F7E43"/>
    <w:rsid w:val="002026FE"/>
    <w:rsid w:val="002107C9"/>
    <w:rsid w:val="0021205D"/>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8CC"/>
    <w:rsid w:val="002704F0"/>
    <w:rsid w:val="0027728C"/>
    <w:rsid w:val="00281155"/>
    <w:rsid w:val="00292257"/>
    <w:rsid w:val="0029317C"/>
    <w:rsid w:val="00296074"/>
    <w:rsid w:val="002969B1"/>
    <w:rsid w:val="002A00B7"/>
    <w:rsid w:val="002A0347"/>
    <w:rsid w:val="002B2BE8"/>
    <w:rsid w:val="002D0D13"/>
    <w:rsid w:val="002E3055"/>
    <w:rsid w:val="002E60F6"/>
    <w:rsid w:val="002E744B"/>
    <w:rsid w:val="002F3637"/>
    <w:rsid w:val="002F366B"/>
    <w:rsid w:val="002F4A90"/>
    <w:rsid w:val="0030587D"/>
    <w:rsid w:val="0031527C"/>
    <w:rsid w:val="00316537"/>
    <w:rsid w:val="00316973"/>
    <w:rsid w:val="00316D67"/>
    <w:rsid w:val="0032209C"/>
    <w:rsid w:val="003244F2"/>
    <w:rsid w:val="00334874"/>
    <w:rsid w:val="00336815"/>
    <w:rsid w:val="00345108"/>
    <w:rsid w:val="00345E09"/>
    <w:rsid w:val="00350E1D"/>
    <w:rsid w:val="0035386D"/>
    <w:rsid w:val="00360DAD"/>
    <w:rsid w:val="00365286"/>
    <w:rsid w:val="00365BDD"/>
    <w:rsid w:val="00370DFF"/>
    <w:rsid w:val="00380000"/>
    <w:rsid w:val="00383277"/>
    <w:rsid w:val="00391CDE"/>
    <w:rsid w:val="0039291E"/>
    <w:rsid w:val="003A02F1"/>
    <w:rsid w:val="003A4C56"/>
    <w:rsid w:val="003A71C3"/>
    <w:rsid w:val="003B5BE5"/>
    <w:rsid w:val="003B6765"/>
    <w:rsid w:val="003C013E"/>
    <w:rsid w:val="003C669F"/>
    <w:rsid w:val="003D2A39"/>
    <w:rsid w:val="003D6EA0"/>
    <w:rsid w:val="003D795D"/>
    <w:rsid w:val="003E4259"/>
    <w:rsid w:val="003E4CE5"/>
    <w:rsid w:val="003E7330"/>
    <w:rsid w:val="003F635C"/>
    <w:rsid w:val="00400336"/>
    <w:rsid w:val="004040EC"/>
    <w:rsid w:val="00414D08"/>
    <w:rsid w:val="00420293"/>
    <w:rsid w:val="004224AA"/>
    <w:rsid w:val="0042333E"/>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2B16"/>
    <w:rsid w:val="005075CA"/>
    <w:rsid w:val="00510715"/>
    <w:rsid w:val="00510D29"/>
    <w:rsid w:val="005119C1"/>
    <w:rsid w:val="00512E1D"/>
    <w:rsid w:val="00520172"/>
    <w:rsid w:val="00523277"/>
    <w:rsid w:val="00523927"/>
    <w:rsid w:val="00523928"/>
    <w:rsid w:val="00526033"/>
    <w:rsid w:val="00527005"/>
    <w:rsid w:val="005314A3"/>
    <w:rsid w:val="00533BD9"/>
    <w:rsid w:val="00540AEB"/>
    <w:rsid w:val="005415F6"/>
    <w:rsid w:val="00542031"/>
    <w:rsid w:val="0054297D"/>
    <w:rsid w:val="00546002"/>
    <w:rsid w:val="0055171B"/>
    <w:rsid w:val="00555840"/>
    <w:rsid w:val="005601D7"/>
    <w:rsid w:val="005675A5"/>
    <w:rsid w:val="005719EB"/>
    <w:rsid w:val="00572C46"/>
    <w:rsid w:val="005755F7"/>
    <w:rsid w:val="00576428"/>
    <w:rsid w:val="005939AD"/>
    <w:rsid w:val="00593F74"/>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5F07F3"/>
    <w:rsid w:val="005F7E21"/>
    <w:rsid w:val="006010BB"/>
    <w:rsid w:val="00601DC9"/>
    <w:rsid w:val="00603BB7"/>
    <w:rsid w:val="006070B9"/>
    <w:rsid w:val="00607890"/>
    <w:rsid w:val="006211BD"/>
    <w:rsid w:val="00621788"/>
    <w:rsid w:val="00622134"/>
    <w:rsid w:val="00622FF6"/>
    <w:rsid w:val="00627EF3"/>
    <w:rsid w:val="006341CB"/>
    <w:rsid w:val="0063573A"/>
    <w:rsid w:val="00636AAD"/>
    <w:rsid w:val="00644E97"/>
    <w:rsid w:val="00651415"/>
    <w:rsid w:val="00664CA7"/>
    <w:rsid w:val="006674B6"/>
    <w:rsid w:val="0066760C"/>
    <w:rsid w:val="00671218"/>
    <w:rsid w:val="00680403"/>
    <w:rsid w:val="006816B9"/>
    <w:rsid w:val="0068441A"/>
    <w:rsid w:val="00685CAE"/>
    <w:rsid w:val="00685F96"/>
    <w:rsid w:val="00687238"/>
    <w:rsid w:val="0069117B"/>
    <w:rsid w:val="006951C7"/>
    <w:rsid w:val="006A2151"/>
    <w:rsid w:val="006B3B14"/>
    <w:rsid w:val="006C33F0"/>
    <w:rsid w:val="006C575E"/>
    <w:rsid w:val="006D24FE"/>
    <w:rsid w:val="006D7995"/>
    <w:rsid w:val="006E1073"/>
    <w:rsid w:val="006E5294"/>
    <w:rsid w:val="006E69A9"/>
    <w:rsid w:val="006E7D75"/>
    <w:rsid w:val="006F42BD"/>
    <w:rsid w:val="006F6735"/>
    <w:rsid w:val="00703498"/>
    <w:rsid w:val="00714EA5"/>
    <w:rsid w:val="00716A7A"/>
    <w:rsid w:val="00723ED1"/>
    <w:rsid w:val="0072488A"/>
    <w:rsid w:val="00727688"/>
    <w:rsid w:val="00730668"/>
    <w:rsid w:val="0073735A"/>
    <w:rsid w:val="007373E3"/>
    <w:rsid w:val="00737B3F"/>
    <w:rsid w:val="00742F47"/>
    <w:rsid w:val="00743379"/>
    <w:rsid w:val="007530A0"/>
    <w:rsid w:val="00757D8D"/>
    <w:rsid w:val="00761164"/>
    <w:rsid w:val="007642BA"/>
    <w:rsid w:val="00765091"/>
    <w:rsid w:val="00771B80"/>
    <w:rsid w:val="00773878"/>
    <w:rsid w:val="00775A7C"/>
    <w:rsid w:val="00775C43"/>
    <w:rsid w:val="007942AC"/>
    <w:rsid w:val="007A05F2"/>
    <w:rsid w:val="007A0F7B"/>
    <w:rsid w:val="007A1777"/>
    <w:rsid w:val="007A5599"/>
    <w:rsid w:val="007B3355"/>
    <w:rsid w:val="007C23FB"/>
    <w:rsid w:val="007C6809"/>
    <w:rsid w:val="007D0575"/>
    <w:rsid w:val="007D37EB"/>
    <w:rsid w:val="007D6EF3"/>
    <w:rsid w:val="007E2A0C"/>
    <w:rsid w:val="007F1CC8"/>
    <w:rsid w:val="007F4AD2"/>
    <w:rsid w:val="007F7141"/>
    <w:rsid w:val="00805938"/>
    <w:rsid w:val="00810B9A"/>
    <w:rsid w:val="008123F9"/>
    <w:rsid w:val="00813462"/>
    <w:rsid w:val="008147AE"/>
    <w:rsid w:val="00814D8F"/>
    <w:rsid w:val="00815F3D"/>
    <w:rsid w:val="00815F60"/>
    <w:rsid w:val="008219F4"/>
    <w:rsid w:val="00822AC8"/>
    <w:rsid w:val="00823078"/>
    <w:rsid w:val="00827FEC"/>
    <w:rsid w:val="00834D27"/>
    <w:rsid w:val="00835102"/>
    <w:rsid w:val="008416CD"/>
    <w:rsid w:val="00847A1F"/>
    <w:rsid w:val="00856E26"/>
    <w:rsid w:val="008629A1"/>
    <w:rsid w:val="00870DCD"/>
    <w:rsid w:val="00875099"/>
    <w:rsid w:val="008824BB"/>
    <w:rsid w:val="0088531A"/>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207B"/>
    <w:rsid w:val="00903C60"/>
    <w:rsid w:val="00910FBF"/>
    <w:rsid w:val="009130EC"/>
    <w:rsid w:val="00913638"/>
    <w:rsid w:val="00920741"/>
    <w:rsid w:val="009407DF"/>
    <w:rsid w:val="00943BF4"/>
    <w:rsid w:val="00944C89"/>
    <w:rsid w:val="009455CF"/>
    <w:rsid w:val="009462A9"/>
    <w:rsid w:val="00947653"/>
    <w:rsid w:val="00951C8E"/>
    <w:rsid w:val="00960CD8"/>
    <w:rsid w:val="00964173"/>
    <w:rsid w:val="009652AA"/>
    <w:rsid w:val="00966269"/>
    <w:rsid w:val="00967D90"/>
    <w:rsid w:val="00971DFC"/>
    <w:rsid w:val="00973BD1"/>
    <w:rsid w:val="00974710"/>
    <w:rsid w:val="00976944"/>
    <w:rsid w:val="00977773"/>
    <w:rsid w:val="00992F1F"/>
    <w:rsid w:val="0099354B"/>
    <w:rsid w:val="00994A8A"/>
    <w:rsid w:val="009A296B"/>
    <w:rsid w:val="009A2BC5"/>
    <w:rsid w:val="009A47E3"/>
    <w:rsid w:val="009A6F91"/>
    <w:rsid w:val="009B0E1C"/>
    <w:rsid w:val="009B3ABA"/>
    <w:rsid w:val="009C12AB"/>
    <w:rsid w:val="009C35AA"/>
    <w:rsid w:val="009C4B5C"/>
    <w:rsid w:val="009C7356"/>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33F7E"/>
    <w:rsid w:val="00A409A7"/>
    <w:rsid w:val="00A5050D"/>
    <w:rsid w:val="00A54F2D"/>
    <w:rsid w:val="00A57099"/>
    <w:rsid w:val="00A577F4"/>
    <w:rsid w:val="00A634C2"/>
    <w:rsid w:val="00A71479"/>
    <w:rsid w:val="00A72BD8"/>
    <w:rsid w:val="00A8201D"/>
    <w:rsid w:val="00A85EC6"/>
    <w:rsid w:val="00A9002A"/>
    <w:rsid w:val="00AA0FE4"/>
    <w:rsid w:val="00AA16B6"/>
    <w:rsid w:val="00AA265E"/>
    <w:rsid w:val="00AA4A46"/>
    <w:rsid w:val="00AC0D4D"/>
    <w:rsid w:val="00AC62A0"/>
    <w:rsid w:val="00AC6B92"/>
    <w:rsid w:val="00AD1900"/>
    <w:rsid w:val="00AD310A"/>
    <w:rsid w:val="00AD43D5"/>
    <w:rsid w:val="00AD5AFA"/>
    <w:rsid w:val="00AD5C9F"/>
    <w:rsid w:val="00AE0428"/>
    <w:rsid w:val="00B00754"/>
    <w:rsid w:val="00B0198A"/>
    <w:rsid w:val="00B0319F"/>
    <w:rsid w:val="00B17370"/>
    <w:rsid w:val="00B2055A"/>
    <w:rsid w:val="00B2067D"/>
    <w:rsid w:val="00B24B86"/>
    <w:rsid w:val="00B30A6C"/>
    <w:rsid w:val="00B40771"/>
    <w:rsid w:val="00B40C7E"/>
    <w:rsid w:val="00B64EAB"/>
    <w:rsid w:val="00B65A0E"/>
    <w:rsid w:val="00B66E6E"/>
    <w:rsid w:val="00B75416"/>
    <w:rsid w:val="00B758FC"/>
    <w:rsid w:val="00B76639"/>
    <w:rsid w:val="00B80C52"/>
    <w:rsid w:val="00B91885"/>
    <w:rsid w:val="00B93A43"/>
    <w:rsid w:val="00B95A20"/>
    <w:rsid w:val="00BA0BDF"/>
    <w:rsid w:val="00BB1EC0"/>
    <w:rsid w:val="00BB3445"/>
    <w:rsid w:val="00BB6CC2"/>
    <w:rsid w:val="00BC01E9"/>
    <w:rsid w:val="00BD0FE7"/>
    <w:rsid w:val="00BD3AFF"/>
    <w:rsid w:val="00BF1DA5"/>
    <w:rsid w:val="00BF21E1"/>
    <w:rsid w:val="00BF5DFB"/>
    <w:rsid w:val="00C06F9E"/>
    <w:rsid w:val="00C1514A"/>
    <w:rsid w:val="00C23622"/>
    <w:rsid w:val="00C36189"/>
    <w:rsid w:val="00C414AD"/>
    <w:rsid w:val="00C430C9"/>
    <w:rsid w:val="00C4523B"/>
    <w:rsid w:val="00C45EEC"/>
    <w:rsid w:val="00C46E10"/>
    <w:rsid w:val="00C51319"/>
    <w:rsid w:val="00C52959"/>
    <w:rsid w:val="00C54545"/>
    <w:rsid w:val="00C638EC"/>
    <w:rsid w:val="00C7189B"/>
    <w:rsid w:val="00C731CA"/>
    <w:rsid w:val="00C75A26"/>
    <w:rsid w:val="00C80F81"/>
    <w:rsid w:val="00C8587D"/>
    <w:rsid w:val="00C932A1"/>
    <w:rsid w:val="00C956D7"/>
    <w:rsid w:val="00C975C9"/>
    <w:rsid w:val="00CA0494"/>
    <w:rsid w:val="00CA2C12"/>
    <w:rsid w:val="00CB2009"/>
    <w:rsid w:val="00CB5066"/>
    <w:rsid w:val="00CB5576"/>
    <w:rsid w:val="00CB64ED"/>
    <w:rsid w:val="00CC45F5"/>
    <w:rsid w:val="00CD4CBE"/>
    <w:rsid w:val="00CD7E6D"/>
    <w:rsid w:val="00CE0F39"/>
    <w:rsid w:val="00CE33AB"/>
    <w:rsid w:val="00CF4F24"/>
    <w:rsid w:val="00D11037"/>
    <w:rsid w:val="00D15F8D"/>
    <w:rsid w:val="00D21019"/>
    <w:rsid w:val="00D228EB"/>
    <w:rsid w:val="00D313D6"/>
    <w:rsid w:val="00D31F0B"/>
    <w:rsid w:val="00D35049"/>
    <w:rsid w:val="00D409E1"/>
    <w:rsid w:val="00D43A89"/>
    <w:rsid w:val="00D44821"/>
    <w:rsid w:val="00D50947"/>
    <w:rsid w:val="00D54C29"/>
    <w:rsid w:val="00D60BC1"/>
    <w:rsid w:val="00D80561"/>
    <w:rsid w:val="00D87CA6"/>
    <w:rsid w:val="00D90CE2"/>
    <w:rsid w:val="00D95770"/>
    <w:rsid w:val="00DA3386"/>
    <w:rsid w:val="00DA5F22"/>
    <w:rsid w:val="00DA70EB"/>
    <w:rsid w:val="00DB3A21"/>
    <w:rsid w:val="00DB748A"/>
    <w:rsid w:val="00DC5A3D"/>
    <w:rsid w:val="00DD105A"/>
    <w:rsid w:val="00DD116A"/>
    <w:rsid w:val="00DD1648"/>
    <w:rsid w:val="00E02920"/>
    <w:rsid w:val="00E155B5"/>
    <w:rsid w:val="00E16A95"/>
    <w:rsid w:val="00E203D7"/>
    <w:rsid w:val="00E23924"/>
    <w:rsid w:val="00E24944"/>
    <w:rsid w:val="00E2643B"/>
    <w:rsid w:val="00E32D01"/>
    <w:rsid w:val="00E403D1"/>
    <w:rsid w:val="00E42736"/>
    <w:rsid w:val="00E43378"/>
    <w:rsid w:val="00E52D68"/>
    <w:rsid w:val="00E6072E"/>
    <w:rsid w:val="00E63821"/>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0A96"/>
    <w:rsid w:val="00EC2484"/>
    <w:rsid w:val="00EC53F6"/>
    <w:rsid w:val="00ED4705"/>
    <w:rsid w:val="00ED4AF7"/>
    <w:rsid w:val="00EE167A"/>
    <w:rsid w:val="00EE20E3"/>
    <w:rsid w:val="00EE37D3"/>
    <w:rsid w:val="00EE38E4"/>
    <w:rsid w:val="00EF38CD"/>
    <w:rsid w:val="00EF4CE3"/>
    <w:rsid w:val="00EF56E4"/>
    <w:rsid w:val="00EF6433"/>
    <w:rsid w:val="00EF684F"/>
    <w:rsid w:val="00EF69A2"/>
    <w:rsid w:val="00F01880"/>
    <w:rsid w:val="00F06A23"/>
    <w:rsid w:val="00F07138"/>
    <w:rsid w:val="00F10BC0"/>
    <w:rsid w:val="00F12CE8"/>
    <w:rsid w:val="00F13EFD"/>
    <w:rsid w:val="00F165A3"/>
    <w:rsid w:val="00F2162E"/>
    <w:rsid w:val="00F21E3B"/>
    <w:rsid w:val="00F3359B"/>
    <w:rsid w:val="00F43428"/>
    <w:rsid w:val="00F44074"/>
    <w:rsid w:val="00F4626B"/>
    <w:rsid w:val="00F51389"/>
    <w:rsid w:val="00F51ED8"/>
    <w:rsid w:val="00F51FCE"/>
    <w:rsid w:val="00F5466E"/>
    <w:rsid w:val="00F6477D"/>
    <w:rsid w:val="00F66967"/>
    <w:rsid w:val="00F66D61"/>
    <w:rsid w:val="00F675C6"/>
    <w:rsid w:val="00F67F31"/>
    <w:rsid w:val="00F71411"/>
    <w:rsid w:val="00F75216"/>
    <w:rsid w:val="00F847FE"/>
    <w:rsid w:val="00F849D7"/>
    <w:rsid w:val="00F85FCF"/>
    <w:rsid w:val="00F86489"/>
    <w:rsid w:val="00F8732C"/>
    <w:rsid w:val="00F90D82"/>
    <w:rsid w:val="00F92C08"/>
    <w:rsid w:val="00FA63E0"/>
    <w:rsid w:val="00FA64E7"/>
    <w:rsid w:val="00FA774A"/>
    <w:rsid w:val="00FB0DF3"/>
    <w:rsid w:val="00FB2373"/>
    <w:rsid w:val="00FB532F"/>
    <w:rsid w:val="00FC0DEB"/>
    <w:rsid w:val="00FC4909"/>
    <w:rsid w:val="00FC4962"/>
    <w:rsid w:val="00FD12DE"/>
    <w:rsid w:val="00FD62FF"/>
    <w:rsid w:val="00FE2F78"/>
    <w:rsid w:val="00FE61C6"/>
    <w:rsid w:val="00FF4EA4"/>
    <w:rsid w:val="011C6ECB"/>
    <w:rsid w:val="01300DBF"/>
    <w:rsid w:val="01C61C0C"/>
    <w:rsid w:val="020857AE"/>
    <w:rsid w:val="02A519CF"/>
    <w:rsid w:val="04382201"/>
    <w:rsid w:val="04651F33"/>
    <w:rsid w:val="054947FD"/>
    <w:rsid w:val="065A3401"/>
    <w:rsid w:val="073E24F6"/>
    <w:rsid w:val="07425CE2"/>
    <w:rsid w:val="07E01DCC"/>
    <w:rsid w:val="08473241"/>
    <w:rsid w:val="088328FE"/>
    <w:rsid w:val="088740E9"/>
    <w:rsid w:val="08D95158"/>
    <w:rsid w:val="08DF4C24"/>
    <w:rsid w:val="08F673A1"/>
    <w:rsid w:val="094051F1"/>
    <w:rsid w:val="098F5CD8"/>
    <w:rsid w:val="09B47A71"/>
    <w:rsid w:val="0A51030B"/>
    <w:rsid w:val="0A63288C"/>
    <w:rsid w:val="0A905876"/>
    <w:rsid w:val="0A9D1B09"/>
    <w:rsid w:val="0AB87C68"/>
    <w:rsid w:val="0AD628EC"/>
    <w:rsid w:val="0C0808AD"/>
    <w:rsid w:val="0C5C62E0"/>
    <w:rsid w:val="0CF76167"/>
    <w:rsid w:val="0CFC6D5C"/>
    <w:rsid w:val="0D701136"/>
    <w:rsid w:val="0DB9029B"/>
    <w:rsid w:val="0E0319AD"/>
    <w:rsid w:val="0E6A1E83"/>
    <w:rsid w:val="0ECF4C67"/>
    <w:rsid w:val="0F125EAD"/>
    <w:rsid w:val="0F2B5F51"/>
    <w:rsid w:val="101B468F"/>
    <w:rsid w:val="101F02D8"/>
    <w:rsid w:val="109B0A13"/>
    <w:rsid w:val="12096790"/>
    <w:rsid w:val="129255AD"/>
    <w:rsid w:val="12942439"/>
    <w:rsid w:val="12D06055"/>
    <w:rsid w:val="150100D3"/>
    <w:rsid w:val="156124E2"/>
    <w:rsid w:val="15710ED1"/>
    <w:rsid w:val="1700747A"/>
    <w:rsid w:val="173014F8"/>
    <w:rsid w:val="17D253A9"/>
    <w:rsid w:val="180957D1"/>
    <w:rsid w:val="18737DA4"/>
    <w:rsid w:val="18BF7D91"/>
    <w:rsid w:val="19A14A20"/>
    <w:rsid w:val="1B7F3D33"/>
    <w:rsid w:val="1C6028B2"/>
    <w:rsid w:val="1D4104D1"/>
    <w:rsid w:val="1D4A55D9"/>
    <w:rsid w:val="1D8949CF"/>
    <w:rsid w:val="1E1F726F"/>
    <w:rsid w:val="1E6F5F85"/>
    <w:rsid w:val="1EBF0F9A"/>
    <w:rsid w:val="1F382462"/>
    <w:rsid w:val="1F6E0B9A"/>
    <w:rsid w:val="203447B4"/>
    <w:rsid w:val="203B2E83"/>
    <w:rsid w:val="207B2DBE"/>
    <w:rsid w:val="20B20C39"/>
    <w:rsid w:val="2161798A"/>
    <w:rsid w:val="21865A86"/>
    <w:rsid w:val="21A764E9"/>
    <w:rsid w:val="21B8794D"/>
    <w:rsid w:val="22070595"/>
    <w:rsid w:val="220A6D53"/>
    <w:rsid w:val="236B16F8"/>
    <w:rsid w:val="240555F9"/>
    <w:rsid w:val="243458B8"/>
    <w:rsid w:val="245D449F"/>
    <w:rsid w:val="245D7E7F"/>
    <w:rsid w:val="251660DE"/>
    <w:rsid w:val="25C30913"/>
    <w:rsid w:val="25CC4E82"/>
    <w:rsid w:val="260074FA"/>
    <w:rsid w:val="260B6A85"/>
    <w:rsid w:val="263C7982"/>
    <w:rsid w:val="26CF5E4F"/>
    <w:rsid w:val="27710EF1"/>
    <w:rsid w:val="27837A7E"/>
    <w:rsid w:val="29060B08"/>
    <w:rsid w:val="29462CB3"/>
    <w:rsid w:val="29614917"/>
    <w:rsid w:val="29643CBB"/>
    <w:rsid w:val="29CC7E45"/>
    <w:rsid w:val="29F14F71"/>
    <w:rsid w:val="2A077705"/>
    <w:rsid w:val="2A8A1812"/>
    <w:rsid w:val="2CD82CF9"/>
    <w:rsid w:val="2CF16655"/>
    <w:rsid w:val="2EBB336B"/>
    <w:rsid w:val="2F274DF7"/>
    <w:rsid w:val="2FF62F6D"/>
    <w:rsid w:val="30247E73"/>
    <w:rsid w:val="306F09A3"/>
    <w:rsid w:val="30CF1656"/>
    <w:rsid w:val="30DE0EAC"/>
    <w:rsid w:val="30E80578"/>
    <w:rsid w:val="33922392"/>
    <w:rsid w:val="33E10BD4"/>
    <w:rsid w:val="344D0AEE"/>
    <w:rsid w:val="360366ED"/>
    <w:rsid w:val="36196611"/>
    <w:rsid w:val="364B0521"/>
    <w:rsid w:val="36F6103F"/>
    <w:rsid w:val="37534599"/>
    <w:rsid w:val="377E7F82"/>
    <w:rsid w:val="379707D6"/>
    <w:rsid w:val="37E2420E"/>
    <w:rsid w:val="38B65816"/>
    <w:rsid w:val="39693ADD"/>
    <w:rsid w:val="3A425B8B"/>
    <w:rsid w:val="3AEA2F51"/>
    <w:rsid w:val="3B8059DA"/>
    <w:rsid w:val="3C0D7C2F"/>
    <w:rsid w:val="3C486093"/>
    <w:rsid w:val="3CAF7FCB"/>
    <w:rsid w:val="3CB307CD"/>
    <w:rsid w:val="3CD14D05"/>
    <w:rsid w:val="3CE3426E"/>
    <w:rsid w:val="3D082B7E"/>
    <w:rsid w:val="3D0D1896"/>
    <w:rsid w:val="3D2A686E"/>
    <w:rsid w:val="3D603008"/>
    <w:rsid w:val="3D926D5B"/>
    <w:rsid w:val="3E1130DD"/>
    <w:rsid w:val="3E8856D2"/>
    <w:rsid w:val="3E8E38AC"/>
    <w:rsid w:val="3F204458"/>
    <w:rsid w:val="3FD832D1"/>
    <w:rsid w:val="3FF0488E"/>
    <w:rsid w:val="406B46F3"/>
    <w:rsid w:val="40A72C06"/>
    <w:rsid w:val="42882674"/>
    <w:rsid w:val="439B0C61"/>
    <w:rsid w:val="439E5A8C"/>
    <w:rsid w:val="43D61705"/>
    <w:rsid w:val="43F101DC"/>
    <w:rsid w:val="449D13E3"/>
    <w:rsid w:val="44F87889"/>
    <w:rsid w:val="451C500F"/>
    <w:rsid w:val="45905599"/>
    <w:rsid w:val="45CB4D53"/>
    <w:rsid w:val="46626F21"/>
    <w:rsid w:val="46AA6D19"/>
    <w:rsid w:val="46C01741"/>
    <w:rsid w:val="46E91310"/>
    <w:rsid w:val="47086D4F"/>
    <w:rsid w:val="472E4512"/>
    <w:rsid w:val="47396E66"/>
    <w:rsid w:val="47F954D5"/>
    <w:rsid w:val="48E77905"/>
    <w:rsid w:val="493F5B2A"/>
    <w:rsid w:val="4A986023"/>
    <w:rsid w:val="4A9B4115"/>
    <w:rsid w:val="4B8E55C4"/>
    <w:rsid w:val="4BEE1A4F"/>
    <w:rsid w:val="4C9704E8"/>
    <w:rsid w:val="4CA07609"/>
    <w:rsid w:val="4D1B4CE8"/>
    <w:rsid w:val="4E58559A"/>
    <w:rsid w:val="4EA61FAE"/>
    <w:rsid w:val="4F0676C6"/>
    <w:rsid w:val="51743B09"/>
    <w:rsid w:val="51AB387C"/>
    <w:rsid w:val="52AB2884"/>
    <w:rsid w:val="52FE3778"/>
    <w:rsid w:val="533C6C28"/>
    <w:rsid w:val="53414B63"/>
    <w:rsid w:val="54024902"/>
    <w:rsid w:val="54D96167"/>
    <w:rsid w:val="550411D1"/>
    <w:rsid w:val="557806F0"/>
    <w:rsid w:val="55DB1A54"/>
    <w:rsid w:val="55E169E4"/>
    <w:rsid w:val="56593C66"/>
    <w:rsid w:val="572C5103"/>
    <w:rsid w:val="57862BA6"/>
    <w:rsid w:val="58AF61CE"/>
    <w:rsid w:val="58B1477B"/>
    <w:rsid w:val="58F22240"/>
    <w:rsid w:val="595E2D42"/>
    <w:rsid w:val="5B1241A2"/>
    <w:rsid w:val="5B4B5622"/>
    <w:rsid w:val="5C5D0364"/>
    <w:rsid w:val="5D8A796C"/>
    <w:rsid w:val="5DCB0F3C"/>
    <w:rsid w:val="61FD3CDC"/>
    <w:rsid w:val="623F6B4A"/>
    <w:rsid w:val="628776FF"/>
    <w:rsid w:val="6337402F"/>
    <w:rsid w:val="633F522B"/>
    <w:rsid w:val="63447490"/>
    <w:rsid w:val="6382450E"/>
    <w:rsid w:val="63AD3A1F"/>
    <w:rsid w:val="6414098D"/>
    <w:rsid w:val="6656736F"/>
    <w:rsid w:val="6744225C"/>
    <w:rsid w:val="679F3371"/>
    <w:rsid w:val="68117A6F"/>
    <w:rsid w:val="689F2A5A"/>
    <w:rsid w:val="68DF1C34"/>
    <w:rsid w:val="6AC37814"/>
    <w:rsid w:val="6B9C13FC"/>
    <w:rsid w:val="6C1D294D"/>
    <w:rsid w:val="6C3F372F"/>
    <w:rsid w:val="6C6E5C16"/>
    <w:rsid w:val="6CED43EA"/>
    <w:rsid w:val="6CEE3D2E"/>
    <w:rsid w:val="6D2230A7"/>
    <w:rsid w:val="6D2D01EC"/>
    <w:rsid w:val="6D932405"/>
    <w:rsid w:val="6D970C4B"/>
    <w:rsid w:val="6F3B6B42"/>
    <w:rsid w:val="6FEB11D6"/>
    <w:rsid w:val="70177627"/>
    <w:rsid w:val="708D7763"/>
    <w:rsid w:val="71447067"/>
    <w:rsid w:val="72BF1A76"/>
    <w:rsid w:val="734C5279"/>
    <w:rsid w:val="73540DDA"/>
    <w:rsid w:val="737D3492"/>
    <w:rsid w:val="740878EE"/>
    <w:rsid w:val="743B6186"/>
    <w:rsid w:val="74D465DB"/>
    <w:rsid w:val="758E2ABC"/>
    <w:rsid w:val="771A35C1"/>
    <w:rsid w:val="7743134C"/>
    <w:rsid w:val="7859030B"/>
    <w:rsid w:val="78E842D6"/>
    <w:rsid w:val="790E4887"/>
    <w:rsid w:val="79574A1E"/>
    <w:rsid w:val="7AA53AEB"/>
    <w:rsid w:val="7C5F6D73"/>
    <w:rsid w:val="7D9656FB"/>
    <w:rsid w:val="7E226898"/>
    <w:rsid w:val="7F332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5"/>
    <w:semiHidden/>
    <w:unhideWhenUsed/>
    <w:qFormat/>
    <w:uiPriority w:val="99"/>
    <w:rPr>
      <w:b/>
      <w:bCs/>
    </w:rPr>
  </w:style>
  <w:style w:type="paragraph" w:styleId="7">
    <w:name w:val="annotation text"/>
    <w:basedOn w:val="1"/>
    <w:link w:val="64"/>
    <w:semiHidden/>
    <w:unhideWhenUsed/>
    <w:qFormat/>
    <w:uiPriority w:val="99"/>
    <w:pPr>
      <w:jc w:val="left"/>
    </w:pPr>
  </w:style>
  <w:style w:type="paragraph" w:styleId="8">
    <w:name w:val="Body Text First Indent"/>
    <w:basedOn w:val="9"/>
    <w:link w:val="57"/>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6"/>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Balloon Text"/>
    <w:basedOn w:val="1"/>
    <w:link w:val="62"/>
    <w:semiHidden/>
    <w:qFormat/>
    <w:uiPriority w:val="99"/>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Body Text First Indent 2"/>
    <w:next w:val="1"/>
    <w:qFormat/>
    <w:uiPriority w:val="0"/>
    <w:pPr>
      <w:ind w:firstLine="420" w:firstLineChars="200"/>
    </w:pPr>
    <w:rPr>
      <w:rFonts w:eastAsia="楷体_GB2312" w:asciiTheme="minorHAnsi" w:hAnsiTheme="minorHAnsi" w:cstheme="minorBidi"/>
      <w:b/>
      <w:kern w:val="44"/>
      <w:sz w:val="44"/>
      <w:lang w:val="en-US" w:eastAsia="zh-CN" w:bidi="ar-SA"/>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800080" w:themeColor="followedHyperlink"/>
      <w:u w:val="single"/>
    </w:rPr>
  </w:style>
  <w:style w:type="character" w:styleId="28">
    <w:name w:val="Emphasis"/>
    <w:basedOn w:val="24"/>
    <w:qFormat/>
    <w:uiPriority w:val="20"/>
    <w:rPr>
      <w:i/>
      <w:iCs/>
    </w:rPr>
  </w:style>
  <w:style w:type="character" w:styleId="29">
    <w:name w:val="Hyperlink"/>
    <w:basedOn w:val="24"/>
    <w:unhideWhenUsed/>
    <w:qFormat/>
    <w:uiPriority w:val="99"/>
    <w:rPr>
      <w:color w:val="0000FF"/>
      <w:u w:val="single"/>
    </w:rPr>
  </w:style>
  <w:style w:type="character" w:styleId="30">
    <w:name w:val="annotation reference"/>
    <w:basedOn w:val="24"/>
    <w:semiHidden/>
    <w:unhideWhenUsed/>
    <w:qFormat/>
    <w:uiPriority w:val="99"/>
    <w:rPr>
      <w:sz w:val="21"/>
      <w:szCs w:val="21"/>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标题 1 Char"/>
    <w:basedOn w:val="24"/>
    <w:link w:val="2"/>
    <w:qFormat/>
    <w:uiPriority w:val="0"/>
    <w:rPr>
      <w:rFonts w:ascii="Calibri" w:hAnsi="Calibri" w:eastAsia="宋体" w:cs="Times New Roman"/>
      <w:b/>
      <w:bCs/>
      <w:kern w:val="44"/>
      <w:sz w:val="44"/>
      <w:szCs w:val="44"/>
    </w:rPr>
  </w:style>
  <w:style w:type="character" w:customStyle="1" w:styleId="34">
    <w:name w:val="标题 2 Char"/>
    <w:basedOn w:val="24"/>
    <w:link w:val="3"/>
    <w:qFormat/>
    <w:uiPriority w:val="0"/>
    <w:rPr>
      <w:rFonts w:ascii="Arial" w:hAnsi="Arial" w:eastAsia="黑体" w:cs="Times New Roman"/>
      <w:b/>
      <w:bCs/>
      <w:kern w:val="0"/>
      <w:sz w:val="32"/>
      <w:szCs w:val="32"/>
    </w:rPr>
  </w:style>
  <w:style w:type="character" w:customStyle="1" w:styleId="35">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4"/>
    <w:link w:val="5"/>
    <w:qFormat/>
    <w:uiPriority w:val="0"/>
    <w:rPr>
      <w:rFonts w:ascii="Arial" w:hAnsi="Arial" w:eastAsia="黑体" w:cs="Times New Roman"/>
      <w:b/>
      <w:bCs/>
      <w:kern w:val="0"/>
      <w:sz w:val="28"/>
      <w:szCs w:val="28"/>
    </w:rPr>
  </w:style>
  <w:style w:type="character" w:customStyle="1" w:styleId="37">
    <w:name w:val="纯文本 Char"/>
    <w:basedOn w:val="24"/>
    <w:link w:val="15"/>
    <w:qFormat/>
    <w:uiPriority w:val="0"/>
    <w:rPr>
      <w:rFonts w:eastAsia="宋体"/>
      <w:sz w:val="24"/>
    </w:rPr>
  </w:style>
  <w:style w:type="character" w:customStyle="1" w:styleId="38">
    <w:name w:val="日期 Char"/>
    <w:basedOn w:val="24"/>
    <w:link w:val="16"/>
    <w:qFormat/>
    <w:uiPriority w:val="99"/>
  </w:style>
  <w:style w:type="character" w:customStyle="1" w:styleId="39">
    <w:name w:val="页脚 Char"/>
    <w:basedOn w:val="24"/>
    <w:link w:val="18"/>
    <w:qFormat/>
    <w:uiPriority w:val="99"/>
    <w:rPr>
      <w:sz w:val="18"/>
      <w:szCs w:val="18"/>
    </w:rPr>
  </w:style>
  <w:style w:type="character" w:customStyle="1" w:styleId="40">
    <w:name w:val="页眉 Char"/>
    <w:basedOn w:val="24"/>
    <w:link w:val="20"/>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34"/>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4"/>
    <w:link w:val="12"/>
    <w:qFormat/>
    <w:uiPriority w:val="0"/>
    <w:rPr>
      <w:rFonts w:ascii="Times New Roman" w:hAnsi="Times New Roman" w:eastAsia="宋体" w:cs="Times New Roman"/>
      <w:color w:val="FF0000"/>
      <w:sz w:val="24"/>
      <w:szCs w:val="24"/>
    </w:rPr>
  </w:style>
  <w:style w:type="character" w:customStyle="1" w:styleId="53">
    <w:name w:val="edittexttarea"/>
    <w:basedOn w:val="24"/>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4"/>
    <w:link w:val="9"/>
    <w:semiHidden/>
    <w:qFormat/>
    <w:uiPriority w:val="99"/>
  </w:style>
  <w:style w:type="character" w:customStyle="1" w:styleId="57">
    <w:name w:val="正文首行缩进 Char"/>
    <w:basedOn w:val="56"/>
    <w:link w:val="8"/>
    <w:qFormat/>
    <w:uiPriority w:val="0"/>
    <w:rPr>
      <w:rFonts w:ascii="宋体" w:hAnsi="Times New Roman" w:eastAsia="宋体" w:cs="Times New Roman"/>
      <w:kern w:val="0"/>
      <w:sz w:val="34"/>
      <w:szCs w:val="20"/>
    </w:rPr>
  </w:style>
  <w:style w:type="character" w:customStyle="1" w:styleId="58">
    <w:name w:val="HTML 预设格式 Char"/>
    <w:basedOn w:val="24"/>
    <w:link w:val="22"/>
    <w:semiHidden/>
    <w:qFormat/>
    <w:uiPriority w:val="99"/>
    <w:rPr>
      <w:rFonts w:ascii="宋体" w:hAnsi="宋体" w:eastAsia="宋体" w:cs="宋体"/>
      <w:kern w:val="0"/>
      <w:sz w:val="24"/>
      <w:szCs w:val="24"/>
    </w:rPr>
  </w:style>
  <w:style w:type="paragraph" w:customStyle="1" w:styleId="59">
    <w:name w:val="文档正文"/>
    <w:basedOn w:val="1"/>
    <w:link w:val="60"/>
    <w:qFormat/>
    <w:uiPriority w:val="0"/>
    <w:pPr>
      <w:widowControl/>
      <w:snapToGrid w:val="0"/>
      <w:spacing w:before="60" w:after="60" w:line="360" w:lineRule="atLeast"/>
      <w:ind w:firstLine="482"/>
      <w:jc w:val="left"/>
    </w:pPr>
    <w:rPr>
      <w:rFonts w:ascii="Times New Roman" w:hAnsi="Times New Roman" w:eastAsia="宋体" w:cs="Times New Roman"/>
      <w:kern w:val="0"/>
      <w:sz w:val="24"/>
      <w:szCs w:val="20"/>
    </w:rPr>
  </w:style>
  <w:style w:type="character" w:customStyle="1" w:styleId="60">
    <w:name w:val="文档正文 Char"/>
    <w:link w:val="59"/>
    <w:qFormat/>
    <w:locked/>
    <w:uiPriority w:val="0"/>
    <w:rPr>
      <w:rFonts w:ascii="Times New Roman" w:hAnsi="Times New Roman" w:eastAsia="宋体" w:cs="Times New Roman"/>
      <w:kern w:val="0"/>
      <w:sz w:val="24"/>
      <w:szCs w:val="20"/>
    </w:rPr>
  </w:style>
  <w:style w:type="paragraph" w:customStyle="1" w:styleId="61">
    <w:name w:val="无间隔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character" w:customStyle="1" w:styleId="62">
    <w:name w:val="批注框文本 Char"/>
    <w:basedOn w:val="24"/>
    <w:link w:val="17"/>
    <w:semiHidden/>
    <w:qFormat/>
    <w:uiPriority w:val="99"/>
    <w:rPr>
      <w:rFonts w:ascii="Times New Roman" w:hAnsi="Times New Roman" w:eastAsia="宋体" w:cs="Times New Roman"/>
      <w:sz w:val="18"/>
      <w:szCs w:val="18"/>
    </w:rPr>
  </w:style>
  <w:style w:type="paragraph" w:customStyle="1" w:styleId="63">
    <w:name w:val="列出段落2"/>
    <w:basedOn w:val="1"/>
    <w:qFormat/>
    <w:uiPriority w:val="0"/>
    <w:pPr>
      <w:ind w:firstLine="420" w:firstLineChars="200"/>
    </w:pPr>
    <w:rPr>
      <w:rFonts w:ascii="Calibri" w:hAnsi="Calibri" w:eastAsia="宋体" w:cs="Times New Roman"/>
    </w:rPr>
  </w:style>
  <w:style w:type="character" w:customStyle="1" w:styleId="64">
    <w:name w:val="批注文字 Char"/>
    <w:basedOn w:val="24"/>
    <w:link w:val="7"/>
    <w:semiHidden/>
    <w:qFormat/>
    <w:uiPriority w:val="99"/>
  </w:style>
  <w:style w:type="character" w:customStyle="1" w:styleId="65">
    <w:name w:val="批注主题 Char"/>
    <w:basedOn w:val="64"/>
    <w:link w:val="6"/>
    <w:semiHidden/>
    <w:qFormat/>
    <w:uiPriority w:val="99"/>
    <w:rPr>
      <w:b/>
      <w:bCs/>
    </w:rPr>
  </w:style>
  <w:style w:type="character" w:customStyle="1" w:styleId="66">
    <w:name w:val="font0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13548-9635-4463-9257-A8FBD1FB82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7720</Words>
  <Characters>44004</Characters>
  <Lines>366</Lines>
  <Paragraphs>103</Paragraphs>
  <TotalTime>64</TotalTime>
  <ScaleCrop>false</ScaleCrop>
  <LinksUpToDate>false</LinksUpToDate>
  <CharactersWithSpaces>51621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2018-11-01T05:52:00Z</dcterms:created>
  <dc:creator>许昌市公共资源交易中心:孟莉</dc:creator>
  <cp:lastModifiedBy>禹州市公共资源交易中心:侯英红</cp:lastModifiedBy>
  <cp:lastPrinted>2018-11-11T02:35:00Z</cp:lastPrinted>
  <dcterms:modified xsi:type="dcterms:W3CDTF">2018-12-25T05:49:56Z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